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ind w:left="4480"/>
        <w:spacing w:after="0"/>
        <w:rPr>
          <w:sz w:val="20"/>
          <w:szCs w:val="20"/>
          <w:color w:val="auto"/>
        </w:rPr>
      </w:pPr>
      <w:r>
        <w:rPr>
          <w:rFonts w:ascii="Times New Roman" w:cs="Times New Roman" w:eastAsia="Times New Roman" w:hAnsi="Times New Roman"/>
          <w:sz w:val="18"/>
          <w:szCs w:val="18"/>
          <w:b w:val="1"/>
          <w:bCs w:val="1"/>
          <w:color w:val="auto"/>
        </w:rPr>
        <w:t>Director/PDMR Shareholding</w:t>
      </w:r>
    </w:p>
    <w:p>
      <w:pPr>
        <w:spacing w:after="0" w:line="239" w:lineRule="exact"/>
        <w:rPr>
          <w:sz w:val="20"/>
          <w:szCs w:val="20"/>
          <w:color w:val="auto"/>
        </w:rPr>
      </w:pPr>
    </w:p>
    <w:p>
      <w:pPr>
        <w:ind w:left="20" w:right="1259"/>
        <w:spacing w:after="0" w:line="268" w:lineRule="auto"/>
        <w:rPr>
          <w:sz w:val="20"/>
          <w:szCs w:val="20"/>
          <w:color w:val="auto"/>
        </w:rPr>
      </w:pPr>
      <w:r>
        <w:rPr>
          <w:rFonts w:ascii="Times New Roman" w:cs="Times New Roman" w:eastAsia="Times New Roman" w:hAnsi="Times New Roman"/>
          <w:sz w:val="18"/>
          <w:szCs w:val="18"/>
          <w:b w:val="1"/>
          <w:bCs w:val="1"/>
          <w:color w:val="auto"/>
        </w:rPr>
        <w:t>NOTIFICATION AND PUBLIC DISCLOSURE OF TRANSACTIONS BY PERSONS DISCHARGING MANAGERIAL RESPONSIBILITIES IN ACCORDANCE WITH THE REQUIREMENTS OF THE EU AND UK MARKET ABUSE REGIMES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21, 2026</w:t>
      </w:r>
    </w:p>
    <w:p>
      <w:pPr>
        <w:spacing w:after="0" w:line="279" w:lineRule="exact"/>
        <w:rPr>
          <w:sz w:val="20"/>
          <w:szCs w:val="20"/>
          <w:color w:val="auto"/>
        </w:rPr>
      </w:pPr>
    </w:p>
    <w:p>
      <w:pPr>
        <w:ind w:left="20" w:right="1519"/>
        <w:spacing w:after="0" w:line="266" w:lineRule="auto"/>
        <w:rPr>
          <w:sz w:val="20"/>
          <w:szCs w:val="20"/>
          <w:color w:val="auto"/>
        </w:rPr>
      </w:pPr>
      <w:r>
        <w:rPr>
          <w:rFonts w:ascii="Times New Roman" w:cs="Times New Roman" w:eastAsia="Times New Roman" w:hAnsi="Times New Roman"/>
          <w:sz w:val="18"/>
          <w:szCs w:val="18"/>
          <w:color w:val="auto"/>
        </w:rPr>
        <w:t>Shell plc announces that each of the following Persons Discharging Managerial Responsibilities (“PDMRs”) have been made a conditional award of performance shares of Shell plc under the Shell Share Plan 2023, subject to performance conditions determined by the Remuneration Committee and Remuneration Committee discretion, as set out below.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PDMR</w:t>
            </w:r>
          </w:p>
        </w:tc>
        <w:tc>
          <w:tcPr>
            <w:tcW w:w="1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3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Type</w:t>
            </w:r>
          </w:p>
        </w:tc>
        <w:tc>
          <w:tcPr>
            <w:tcW w:w="24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shares awarded</w:t>
            </w:r>
          </w:p>
        </w:tc>
      </w:tr>
      <w:tr>
        <w:trPr>
          <w:trHeight w:val="237"/>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Wael Sawan</w:t>
            </w: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 May 2026</w:t>
            </w:r>
          </w:p>
        </w:tc>
        <w:tc>
          <w:tcPr>
            <w:tcW w:w="2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82,987</w:t>
            </w:r>
          </w:p>
        </w:tc>
      </w:tr>
      <w:tr>
        <w:trPr>
          <w:trHeight w:val="237"/>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Sinead Gorman</w:t>
            </w: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 May 2026</w:t>
            </w:r>
          </w:p>
        </w:tc>
        <w:tc>
          <w:tcPr>
            <w:tcW w:w="2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w:t>
            </w:r>
          </w:p>
        </w:tc>
      </w:tr>
    </w:tbl>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Notification of Dealing Form for each PDMR can be found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Keefe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Deputy Company Secretary</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Shell Media Relations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International, UK, European Press: +44 20 7934 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1054735</wp:posOffset>
            </wp:positionV>
            <wp:extent cx="5186045" cy="4277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Wael</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Sawan</w:t>
            </w:r>
          </w:p>
        </w:tc>
      </w:tr>
      <w:tr>
        <w:trPr>
          <w:trHeight w:val="236"/>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2259" w:hanging="5"/>
        <w:spacing w:after="0" w:line="269" w:lineRule="auto"/>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2399" w:hanging="5"/>
        <w:spacing w:after="0" w:line="269" w:lineRule="auto"/>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Shell</w:t>
            </w: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Plan 2023</w:t>
            </w: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82,987</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2,698,737.24</w:t>
            </w: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82,987</w:t>
            </w: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2,698,737.24</w:t>
            </w: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20/05/2026</w:t>
            </w: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0" w:type="dxa"/>
            <w:vAlign w:val="bottom"/>
          </w:tcPr>
          <w:p>
            <w:pPr>
              <w:spacing w:after="0"/>
              <w:rPr>
                <w:sz w:val="1"/>
                <w:szCs w:val="1"/>
                <w:color w:val="auto"/>
              </w:rPr>
            </w:pPr>
          </w:p>
        </w:tc>
      </w:tr>
    </w:tbl>
    <w:p>
      <w:pPr>
        <w:sectPr>
          <w:pgSz w:w="11900" w:h="16838" w:orient="portrait"/>
          <w:cols w:equalWidth="0" w:num="1">
            <w:col w:w="10139"/>
          </w:cols>
          <w:pgMar w:left="320" w:top="333" w:right="1440" w:bottom="55"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427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86045" cy="4277360"/>
                    </a:xfrm>
                    <a:prstGeom prst="rect">
                      <a:avLst/>
                    </a:prstGeom>
                    <a:noFill/>
                  </pic:spPr>
                </pic:pic>
              </a:graphicData>
            </a:graphic>
          </wp:anchor>
        </w:drawing>
        <w:t>1. Details of the person discharging managerial responsibilities/person closely associated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Sinead</w:t>
            </w: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Gorman</w:t>
            </w:r>
          </w:p>
        </w:tc>
      </w:tr>
      <w:tr>
        <w:trPr>
          <w:trHeight w:val="237"/>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5280" w:type="dxa"/>
            <w:vAlign w:val="bottom"/>
            <w:tcBorders>
              <w:bottom w:val="single" w:sz="8" w:color="auto"/>
            </w:tcBorders>
          </w:tcPr>
          <w:p>
            <w:pPr>
              <w:spacing w:after="0"/>
              <w:rPr>
                <w:sz w:val="20"/>
                <w:szCs w:val="20"/>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40" w:right="3360" w:hanging="5"/>
        <w:spacing w:after="0" w:line="269" w:lineRule="auto"/>
        <w:tabs>
          <w:tab w:leader="none" w:pos="2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bl>
      <w:tblPr>
        <w:tblLayout w:type="fixed"/>
        <w:tblInd w:w="0" w:type="dxa"/>
        <w:tblCellMar>
          <w:top w:w="0" w:type="dxa"/>
          <w:left w:w="0" w:type="dxa"/>
          <w:bottom w:w="0" w:type="dxa"/>
          <w:right w:w="0" w:type="dxa"/>
        </w:tblCellMar>
      </w:tblPr>
      <w:tr>
        <w:trPr>
          <w:trHeight w:val="229"/>
        </w:trPr>
        <w:tc>
          <w:tcPr>
            <w:tcW w:w="290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5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40" w:right="3500" w:hanging="5"/>
        <w:spacing w:after="0" w:line="269" w:lineRule="auto"/>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6"/>
        </w:trPr>
        <w:tc>
          <w:tcPr>
            <w:tcW w:w="2900" w:type="dxa"/>
            <w:vAlign w:val="bottom"/>
            <w:tcBorders>
              <w:top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Description of the financial</w:t>
            </w:r>
          </w:p>
        </w:tc>
        <w:tc>
          <w:tcPr>
            <w:tcW w:w="52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Ordinary shares of €0.07 each</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5280" w:type="dxa"/>
            <w:vAlign w:val="bottom"/>
            <w:vMerge w:val="continue"/>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vMerge w:val="continue"/>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9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Conditional award of performance shares of Shell plc under the Shell</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900" w:type="dxa"/>
            <w:vAlign w:val="bottom"/>
            <w:tcBorders>
              <w:right w:val="single" w:sz="8" w:color="auto"/>
            </w:tcBorders>
            <w:vMerge w:val="continue"/>
          </w:tcPr>
          <w:p>
            <w:pPr>
              <w:spacing w:after="0"/>
              <w:rPr>
                <w:sz w:val="10"/>
                <w:szCs w:val="1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Plan 2023</w:t>
            </w: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auto"/>
              <w:right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32.52</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10,964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356,549.28</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5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10,964</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32.52</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356,549.28</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20/05/2026</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Outside a trading venue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0280"/>
      </w:cols>
      <w:pgMar w:left="320" w:top="29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3"/>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2026-05-21T09:18:59Z</dcterms:created>
  <dcterms:modified xsi:type="dcterms:W3CDTF">2026-05-21T09:18:59Z</dcterms:modified>
</cp:coreProperties>
</file>