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0326.htm"/>
      <w:bookmarkStart w:id="1" w:name="ksf6k_080326"/>
      <w:bookmarkEnd w:id="0"/>
      <w:bookmarkEnd w:id="1"/>
      <w:r>
        <w:rPr>
          <w:bdr w:val="single" w:sz="20" w:space="1" w:color="000000"/>
        </w:rPr>
        <w:t> </w:t>
      </w:r>
    </w:p>
    <w:p>
      <w:pPr>
        <w:pStyle w:val="TextBody"/>
        <w:bidi w:val="0"/>
        <w:jc w:val="center"/>
        <w:rPr/>
      </w:pPr>
      <w:r>
        <w:rPr>
          <w:rStyle w:val="StrongEmphasis"/>
          <w:caps/>
          <w:sz w:val="28"/>
        </w:rPr>
        <w:t>UNITED STATES</w:t>
        <w:br/>
        <w:t>SECURITIES AND EXCHANGE COMMISSION</w:t>
        <w:br/>
        <w:t>Washington, D.C. 20549 </w:t>
      </w:r>
    </w:p>
    <w:p>
      <w:pPr>
        <w:pStyle w:val="TextBody"/>
        <w:bidi w:val="0"/>
        <w:jc w:val="center"/>
        <w:rPr/>
      </w:pPr>
      <w:r>
        <w:rPr>
          <w:rStyle w:val="StrongEmphasis"/>
          <w:caps/>
          <w:sz w:val="28"/>
        </w:rPr>
        <w:t>Form 6-K</w:t>
      </w:r>
    </w:p>
    <w:p>
      <w:pPr>
        <w:pStyle w:val="TextBody"/>
        <w:bidi w:val="0"/>
        <w:jc w:val="center"/>
        <w:rPr/>
      </w:pPr>
      <w:r>
        <w:rPr>
          <w:rStyle w:val="StrongEmphasis"/>
          <w:sz w:val="24"/>
        </w:rPr>
        <w:t>REPORT OF FOREIGN ISSUER </w:t>
        <w:br/>
        <w:t>PURSUANT TO RULE 13a-16 OR 15d-16 </w:t>
        <w:br/>
        <w:t>UNDER THE SECURITIES EXCHANGE ACT OF 1934</w:t>
      </w:r>
      <w:r>
        <w:rPr/>
        <w:t> </w:t>
      </w:r>
    </w:p>
    <w:p>
      <w:pPr>
        <w:pStyle w:val="TextBody"/>
        <w:bidi w:val="0"/>
        <w:jc w:val="center"/>
        <w:rPr/>
      </w:pPr>
      <w:r>
        <w:rPr>
          <w:rStyle w:val="StrongEmphasis"/>
        </w:rPr>
        <w:t>For the month of August 2026</w:t>
      </w:r>
    </w:p>
    <w:p>
      <w:pPr>
        <w:pStyle w:val="TextBody"/>
        <w:bidi w:val="0"/>
        <w:jc w:val="center"/>
        <w:rPr/>
      </w:pPr>
      <w:r>
        <w:rPr>
          <w:rStyle w:val="StrongEmphasis"/>
        </w:rPr>
        <w:t>Commission File Number: 1-32575</w:t>
      </w:r>
      <w:r>
        <w:rPr/>
        <w:t> </w:t>
      </w:r>
    </w:p>
    <w:p>
      <w:pPr>
        <w:pStyle w:val="TextBody"/>
        <w:bidi w:val="0"/>
        <w:jc w:val="center"/>
        <w:rPr/>
      </w:pPr>
      <w:r>
        <w:rPr>
          <w:rStyle w:val="StrongEmphasis"/>
          <w:sz w:val="32"/>
        </w:rPr>
        <w:t>Shell plc</w:t>
      </w:r>
      <w:r>
        <w:rPr/>
        <w:br/>
        <w:t>(Exact name of registrant as specified in its charter) </w:t>
      </w:r>
    </w:p>
    <w:p>
      <w:pPr>
        <w:pStyle w:val="TextBody"/>
        <w:bidi w:val="0"/>
        <w:jc w:val="center"/>
        <w:rPr/>
      </w:pPr>
      <w:r>
        <w:rPr>
          <w:rStyle w:val="StrongEmphasis"/>
        </w:rPr>
        <w:t>England and Wales</w:t>
        <w:br/>
      </w:r>
      <w:r>
        <w:rPr/>
        <w:t>(Jurisdiction of incorporation or organization) </w:t>
      </w:r>
    </w:p>
    <w:p>
      <w:pPr>
        <w:pStyle w:val="TextBody"/>
        <w:bidi w:val="0"/>
        <w:jc w:val="center"/>
        <w:rPr/>
      </w:pPr>
      <w:r>
        <w:rPr>
          <w:rStyle w:val="StrongEmphasis"/>
        </w:rPr>
        <w:t>Shell Centre</w:t>
        <w:br/>
        <w:t>London, SE1 7NA</w:t>
        <w:br/>
        <w:t>United Kingdom</w:t>
        <w:br/>
      </w:r>
      <w:r>
        <w:rPr/>
        <w:t>(Address of principal executive office)</w:t>
      </w:r>
    </w:p>
    <w:p>
      <w:pPr>
        <w:pStyle w:val="TextBody"/>
        <w:bidi w:val="0"/>
        <w:jc w:val="center"/>
        <w:rPr/>
      </w:pPr>
      <w:r>
        <w:rPr>
          <w:rStyle w:val="StrongEmphasis"/>
        </w:rPr>
        <w:t>________________________________</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b/>
        </w:rPr>
      </w:pPr>
      <w:r>
        <w:rPr>
          <w:b/>
        </w:rPr>
        <w:t>Transaction in Own Shares</w:t>
      </w:r>
    </w:p>
    <w:p>
      <w:pPr>
        <w:pStyle w:val="TextBody"/>
        <w:bidi w:val="0"/>
        <w:spacing w:before="0" w:after="283"/>
        <w:jc w:val="left"/>
        <w:rPr/>
      </w:pPr>
      <w:r>
        <w:rPr/>
        <w:t>15 July, 2026</w:t>
      </w:r>
    </w:p>
    <w:p>
      <w:pPr>
        <w:pStyle w:val="TextBody"/>
        <w:bidi w:val="0"/>
        <w:spacing w:before="0" w:after="283"/>
        <w:jc w:val="left"/>
        <w:rPr/>
      </w:pPr>
      <w:r>
        <w:rPr/>
        <w:t>· · · · · · · · · · · · · · · ·</w:t>
      </w:r>
    </w:p>
    <w:p>
      <w:pPr>
        <w:pStyle w:val="TextBody"/>
        <w:bidi w:val="0"/>
        <w:spacing w:before="0" w:after="283"/>
        <w:jc w:val="left"/>
        <w:rPr/>
      </w:pPr>
      <w:r>
        <w:rPr/>
        <w:t xml:space="preserve">Shell plc (the 'Company') announces that on 15 July, 2026 it purchased the following number of Shares for cancellation. </w:t>
      </w:r>
    </w:p>
    <w:p>
      <w:pPr>
        <w:pStyle w:val="TextBody"/>
        <w:bidi w:val="0"/>
        <w:spacing w:before="0" w:after="283"/>
        <w:jc w:val="left"/>
        <w:rPr/>
      </w:pPr>
      <w:r>
        <w:rPr>
          <w:b/>
        </w:rPr>
        <w:t>Aggregated information on Shares purchased according to trading venue:</w:t>
      </w:r>
      <w:r>
        <w:rPr/>
        <w:t> </w:t>
      </w:r>
    </w:p>
    <w:tbl>
      <w:tblPr>
        <w:tblW w:w="10205" w:type="dxa"/>
        <w:jc w:val="left"/>
        <w:tblInd w:w="-10" w:type="dxa"/>
        <w:tblLayout w:type="fixed"/>
        <w:tblCellMar>
          <w:top w:w="28" w:type="dxa"/>
          <w:left w:w="150" w:type="dxa"/>
          <w:bottom w:w="0" w:type="dxa"/>
          <w:right w:w="28" w:type="dxa"/>
        </w:tblCellMar>
      </w:tblPr>
      <w:tblGrid>
        <w:gridCol w:w="1221"/>
        <w:gridCol w:w="1817"/>
        <w:gridCol w:w="1329"/>
        <w:gridCol w:w="1301"/>
        <w:gridCol w:w="2686"/>
        <w:gridCol w:w="947"/>
        <w:gridCol w:w="904"/>
      </w:tblGrid>
      <w:tr>
        <w:trPr/>
        <w:tc>
          <w:tcPr>
            <w:tcW w:w="1221"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9"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6"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4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4"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21"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15/07/2026</w:t>
            </w:r>
          </w:p>
        </w:tc>
        <w:tc>
          <w:tcPr>
            <w:tcW w:w="181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1,543,000</w:t>
            </w:r>
          </w:p>
        </w:tc>
        <w:tc>
          <w:tcPr>
            <w:tcW w:w="1329"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£ 31.8650</w:t>
            </w:r>
          </w:p>
        </w:tc>
        <w:tc>
          <w:tcPr>
            <w:tcW w:w="130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£ 31.3100</w:t>
            </w:r>
          </w:p>
        </w:tc>
        <w:tc>
          <w:tcPr>
            <w:tcW w:w="2686"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£ 31.6176</w:t>
            </w:r>
          </w:p>
        </w:tc>
        <w:tc>
          <w:tcPr>
            <w:tcW w:w="94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4"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21"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15/07/2026</w:t>
            </w:r>
          </w:p>
        </w:tc>
        <w:tc>
          <w:tcPr>
            <w:tcW w:w="181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302,000</w:t>
            </w:r>
          </w:p>
        </w:tc>
        <w:tc>
          <w:tcPr>
            <w:tcW w:w="1329"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£ 31.8600</w:t>
            </w:r>
          </w:p>
        </w:tc>
        <w:tc>
          <w:tcPr>
            <w:tcW w:w="130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£ 31.3100</w:t>
            </w:r>
          </w:p>
        </w:tc>
        <w:tc>
          <w:tcPr>
            <w:tcW w:w="2686"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£ 31.6148</w:t>
            </w:r>
          </w:p>
        </w:tc>
        <w:tc>
          <w:tcPr>
            <w:tcW w:w="94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4"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21"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15/07/2026</w:t>
            </w:r>
          </w:p>
        </w:tc>
        <w:tc>
          <w:tcPr>
            <w:tcW w:w="181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 xml:space="preserve">1,230,000 </w:t>
            </w:r>
          </w:p>
        </w:tc>
        <w:tc>
          <w:tcPr>
            <w:tcW w:w="132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 xml:space="preserve">£ 31.8600 </w:t>
            </w:r>
          </w:p>
        </w:tc>
        <w:tc>
          <w:tcPr>
            <w:tcW w:w="130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 xml:space="preserve">£ 31.4000 </w:t>
            </w:r>
          </w:p>
        </w:tc>
        <w:tc>
          <w:tcPr>
            <w:tcW w:w="2686"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 xml:space="preserve">£ 31.6341 </w:t>
            </w:r>
          </w:p>
        </w:tc>
        <w:tc>
          <w:tcPr>
            <w:tcW w:w="94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BATS (BXE)</w:t>
            </w:r>
          </w:p>
        </w:tc>
        <w:tc>
          <w:tcPr>
            <w:tcW w:w="904"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GBP</w:t>
            </w:r>
          </w:p>
        </w:tc>
      </w:tr>
    </w:tbl>
    <w:p>
      <w:pPr>
        <w:pStyle w:val="TextBody"/>
        <w:bidi w:val="0"/>
        <w:spacing w:before="0" w:after="283"/>
        <w:jc w:val="left"/>
        <w:rPr/>
      </w:pPr>
      <w:r>
        <w:rPr/>
        <w:br/>
        <w:t> These share purchases form part of the Company's share buy-back programme previously announced on 7 May 2026.  </w:t>
      </w:r>
    </w:p>
    <w:p>
      <w:pPr>
        <w:pStyle w:val="TextBody"/>
        <w:bidi w:val="0"/>
        <w:spacing w:before="0" w:after="283"/>
        <w:jc w:val="left"/>
        <w:rPr/>
      </w:pPr>
      <w:r>
        <w:rPr/>
        <w:t>In respect of this programme, Goldman Sachs International will make trading decisions in relation to the securities independently of the Company for a period from 7 May 2026 up to and including 24 July 2026.</w:t>
      </w:r>
    </w:p>
    <w:p>
      <w:pPr>
        <w:pStyle w:val="TextBody"/>
        <w:bidi w:val="0"/>
        <w:spacing w:before="0" w:after="283"/>
        <w:jc w:val="left"/>
        <w:rPr/>
      </w:pPr>
      <w:r>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283"/>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283"/>
        <w:jc w:val="left"/>
        <w:rPr/>
      </w:pPr>
      <w:r>
        <w:rPr/>
        <w:t>Enquiries:</w:t>
      </w:r>
    </w:p>
    <w:p>
      <w:pPr>
        <w:pStyle w:val="TextBody"/>
        <w:bidi w:val="0"/>
        <w:spacing w:before="0" w:after="283"/>
        <w:jc w:val="left"/>
        <w:rPr/>
      </w:pPr>
      <w:r>
        <w:rPr/>
        <w:t>Media: International +44 (0) 207 934 5550; U.S. and Canada: https://www.shell.us/about-us/news-and-insights/media/submit-an-inquiry.html</w:t>
      </w:r>
    </w:p>
    <w:p>
      <w:pPr>
        <w:pStyle w:val="TextBody"/>
        <w:bidi w:val="0"/>
        <w:spacing w:before="0" w:after="283"/>
        <w:jc w:val="left"/>
        <w:rPr/>
      </w:pPr>
      <w:bookmarkStart w:id="2" w:name="gnw_attachments_section-header"/>
      <w:bookmarkEnd w:id="2"/>
      <w:r>
        <w:rPr>
          <w:rStyle w:val="StrongEmphasis"/>
        </w:rPr>
        <w:t>Attachment</w:t>
      </w:r>
      <w:r>
        <w:rPr/>
        <w:t xml:space="preserve"> </w:t>
      </w:r>
    </w:p>
    <w:p>
      <w:pPr>
        <w:pStyle w:val="TextBody"/>
        <w:numPr>
          <w:ilvl w:val="0"/>
          <w:numId w:val="2"/>
        </w:numPr>
        <w:tabs>
          <w:tab w:val="clear" w:pos="1134"/>
          <w:tab w:val="left" w:pos="709" w:leader="none"/>
        </w:tabs>
        <w:bidi w:val="0"/>
        <w:ind w:left="709" w:hanging="283"/>
        <w:jc w:val="left"/>
        <w:rPr/>
      </w:pPr>
      <w:bookmarkStart w:id="3" w:name="gnw_attachments_section-items"/>
      <w:bookmarkEnd w:id="3"/>
      <w:r>
        <w:rPr/>
        <w:t xml:space="preserve">20260715_Shell RNS - full version (https://ml-eu.globenewswire.com/Resource/Download/d82a3ddf-62f1-402d-981a-9bc7717393de)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16 July,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16 July,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74"/>
        <w:gridCol w:w="1761"/>
        <w:gridCol w:w="1364"/>
        <w:gridCol w:w="1352"/>
        <w:gridCol w:w="2405"/>
        <w:gridCol w:w="1010"/>
        <w:gridCol w:w="1039"/>
      </w:tblGrid>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16/07/2026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1,567,000</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£ 31.6700</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£ 31.1050</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£ 31.5033</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16/07/2026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303,000</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£ 31.6700</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£ 31.1300</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£ 31.5018</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16/07/2026</w:t>
            </w:r>
          </w:p>
        </w:tc>
        <w:tc>
          <w:tcPr>
            <w:tcW w:w="176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1,277,000</w:t>
            </w:r>
          </w:p>
        </w:tc>
        <w:tc>
          <w:tcPr>
            <w:tcW w:w="1364"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£ 31.6600</w:t>
            </w:r>
          </w:p>
        </w:tc>
        <w:tc>
          <w:tcPr>
            <w:tcW w:w="135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£ 31.1150</w:t>
            </w:r>
          </w:p>
        </w:tc>
        <w:tc>
          <w:tcPr>
            <w:tcW w:w="24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£ 31.4845</w:t>
            </w:r>
          </w:p>
        </w:tc>
        <w:tc>
          <w:tcPr>
            <w:tcW w:w="101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BATS (BXE)</w:t>
            </w:r>
          </w:p>
        </w:tc>
        <w:tc>
          <w:tcPr>
            <w:tcW w:w="103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GBP</w:t>
            </w:r>
          </w:p>
        </w:tc>
      </w:tr>
    </w:tbl>
    <w:p>
      <w:pPr>
        <w:pStyle w:val="TextBody"/>
        <w:bidi w:val="0"/>
        <w:spacing w:before="0" w:after="0"/>
        <w:jc w:val="left"/>
        <w:rPr/>
      </w:pPr>
      <w:r>
        <w:rPr/>
        <w:t> </w:t>
      </w:r>
    </w:p>
    <w:p>
      <w:pPr>
        <w:pStyle w:val="TextBody"/>
        <w:bidi w:val="0"/>
        <w:spacing w:before="0" w:after="0"/>
        <w:jc w:val="left"/>
        <w:rPr/>
      </w:pPr>
      <w:r>
        <w:rPr/>
        <w:t>These share purchases form part of the Company's share buy-back programme previously announced on 7 May 2026. </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7 May 2026 up to and including 24 July 2026.</w:t>
      </w:r>
    </w:p>
    <w:p>
      <w:pPr>
        <w:pStyle w:val="TextBody"/>
        <w:bidi w:val="0"/>
        <w:spacing w:before="0" w:after="0"/>
        <w:jc w:val="left"/>
        <w:rPr/>
      </w:pPr>
      <w:r>
        <w:rPr/>
        <w:t> </w:t>
      </w:r>
    </w:p>
    <w:p>
      <w:pPr>
        <w:pStyle w:val="TextBody"/>
        <w:bidi w:val="0"/>
        <w:spacing w:before="0" w:after="0"/>
        <w:jc w:val="left"/>
        <w:rPr/>
      </w:pPr>
      <w:r>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t> </w:t>
      </w:r>
    </w:p>
    <w:p>
      <w:pPr>
        <w:pStyle w:val="TextBody"/>
        <w:bidi w:val="0"/>
        <w:spacing w:before="0" w:after="0"/>
        <w:jc w:val="left"/>
        <w:rPr>
          <w:b/>
        </w:rPr>
      </w:pPr>
      <w:r>
        <w:rPr>
          <w:b/>
        </w:rPr>
        <w:t>Attachment</w:t>
      </w:r>
    </w:p>
    <w:p>
      <w:pPr>
        <w:pStyle w:val="TextBody"/>
        <w:numPr>
          <w:ilvl w:val="0"/>
          <w:numId w:val="3"/>
        </w:numPr>
        <w:tabs>
          <w:tab w:val="clear" w:pos="1134"/>
          <w:tab w:val="left" w:pos="709" w:leader="none"/>
        </w:tabs>
        <w:bidi w:val="0"/>
        <w:ind w:left="709" w:hanging="283"/>
        <w:jc w:val="left"/>
        <w:rPr/>
      </w:pPr>
      <w:r>
        <w:rPr/>
        <w:t xml:space="preserve">20260716_Shell RNS - full version (https://ml-eu.globenewswire.com/Resource/Download/626c0c2d-4403-47fd-95f0-b4e0b0ba5bda)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17 July,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17 July,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74"/>
        <w:gridCol w:w="1761"/>
        <w:gridCol w:w="1364"/>
        <w:gridCol w:w="1352"/>
        <w:gridCol w:w="2405"/>
        <w:gridCol w:w="1010"/>
        <w:gridCol w:w="1039"/>
      </w:tblGrid>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17/07/2026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518,785</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£ 32.3400</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£ 31.8100</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£ 32.2060</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17/07/2026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103,300</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£ 32.3350</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£ 31.8150</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£ 32.1786</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17/07/2026</w:t>
            </w:r>
          </w:p>
        </w:tc>
        <w:tc>
          <w:tcPr>
            <w:tcW w:w="176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1,263,000</w:t>
            </w:r>
          </w:p>
        </w:tc>
        <w:tc>
          <w:tcPr>
            <w:tcW w:w="1364"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£ 32.5450</w:t>
            </w:r>
          </w:p>
        </w:tc>
        <w:tc>
          <w:tcPr>
            <w:tcW w:w="135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£ 31.8250</w:t>
            </w:r>
          </w:p>
        </w:tc>
        <w:tc>
          <w:tcPr>
            <w:tcW w:w="24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£ 32.2889</w:t>
            </w:r>
          </w:p>
        </w:tc>
        <w:tc>
          <w:tcPr>
            <w:tcW w:w="101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BATS (BXE)</w:t>
            </w:r>
          </w:p>
        </w:tc>
        <w:tc>
          <w:tcPr>
            <w:tcW w:w="103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GBP</w:t>
            </w:r>
          </w:p>
        </w:tc>
      </w:tr>
    </w:tbl>
    <w:p>
      <w:pPr>
        <w:pStyle w:val="TextBody"/>
        <w:bidi w:val="0"/>
        <w:spacing w:before="0" w:after="0"/>
        <w:jc w:val="left"/>
        <w:rPr/>
      </w:pPr>
      <w:r>
        <w:rPr/>
        <w:t> </w:t>
      </w:r>
    </w:p>
    <w:p>
      <w:pPr>
        <w:pStyle w:val="TextBody"/>
        <w:bidi w:val="0"/>
        <w:spacing w:before="0" w:after="0"/>
        <w:jc w:val="left"/>
        <w:rPr/>
      </w:pPr>
      <w:r>
        <w:rPr/>
        <w:t>These share purchases form part of the Company's share buy-back programme previously announced on 7 May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7 May 2026 up to and including 24 July 2026.</w:t>
      </w:r>
    </w:p>
    <w:p>
      <w:pPr>
        <w:pStyle w:val="TextBody"/>
        <w:bidi w:val="0"/>
        <w:spacing w:before="0" w:after="0"/>
        <w:jc w:val="left"/>
        <w:rPr/>
      </w:pPr>
      <w:r>
        <w:rPr/>
        <w:t> </w:t>
      </w:r>
    </w:p>
    <w:p>
      <w:pPr>
        <w:pStyle w:val="TextBody"/>
        <w:bidi w:val="0"/>
        <w:spacing w:before="0" w:after="0"/>
        <w:jc w:val="left"/>
        <w:rPr/>
      </w:pPr>
      <w:r>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4"/>
        </w:numPr>
        <w:tabs>
          <w:tab w:val="clear" w:pos="1134"/>
          <w:tab w:val="left" w:pos="709" w:leader="none"/>
        </w:tabs>
        <w:bidi w:val="0"/>
        <w:ind w:left="709" w:hanging="283"/>
        <w:jc w:val="left"/>
        <w:rPr/>
      </w:pPr>
      <w:r>
        <w:rPr/>
        <w:t xml:space="preserve">20260717_Shell RNS - full version (https://ml-eu.globenewswire.com/Resource/Download/f6a932dd-fea4-43db-b4e3-d787a6e669fc)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20 July,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20 July,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74"/>
        <w:gridCol w:w="1761"/>
        <w:gridCol w:w="1364"/>
        <w:gridCol w:w="1352"/>
        <w:gridCol w:w="2405"/>
        <w:gridCol w:w="1010"/>
        <w:gridCol w:w="1039"/>
      </w:tblGrid>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20/07/2026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90,000</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£ 32.5500</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£ 31.8350</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£ 32.1249</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20/07/2026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20/07/2026</w:t>
            </w:r>
          </w:p>
        </w:tc>
        <w:tc>
          <w:tcPr>
            <w:tcW w:w="176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94,107</w:t>
            </w:r>
          </w:p>
        </w:tc>
        <w:tc>
          <w:tcPr>
            <w:tcW w:w="1364"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£ 31.8500</w:t>
            </w:r>
          </w:p>
        </w:tc>
        <w:tc>
          <w:tcPr>
            <w:tcW w:w="135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£ 31.8500</w:t>
            </w:r>
          </w:p>
        </w:tc>
        <w:tc>
          <w:tcPr>
            <w:tcW w:w="24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£ 31.8500</w:t>
            </w:r>
          </w:p>
        </w:tc>
        <w:tc>
          <w:tcPr>
            <w:tcW w:w="101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BATS (BXE)</w:t>
            </w:r>
          </w:p>
        </w:tc>
        <w:tc>
          <w:tcPr>
            <w:tcW w:w="103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GBP</w:t>
            </w:r>
          </w:p>
        </w:tc>
      </w:tr>
    </w:tbl>
    <w:p>
      <w:pPr>
        <w:pStyle w:val="TextBody"/>
        <w:bidi w:val="0"/>
        <w:spacing w:before="0" w:after="0"/>
        <w:jc w:val="left"/>
        <w:rPr/>
      </w:pPr>
      <w:r>
        <w:rPr/>
        <w:t> </w:t>
      </w:r>
    </w:p>
    <w:p>
      <w:pPr>
        <w:pStyle w:val="TextBody"/>
        <w:bidi w:val="0"/>
        <w:spacing w:before="0" w:after="0"/>
        <w:jc w:val="left"/>
        <w:rPr/>
      </w:pPr>
      <w:r>
        <w:rPr/>
        <w:t>These share purchases form part of the Company's share buy-back programme previously announced on 7 May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7 May 2026 up to and including 24 July 2026.</w:t>
      </w:r>
    </w:p>
    <w:p>
      <w:pPr>
        <w:pStyle w:val="TextBody"/>
        <w:bidi w:val="0"/>
        <w:spacing w:before="0" w:after="0"/>
        <w:jc w:val="left"/>
        <w:rPr/>
      </w:pPr>
      <w:r>
        <w:rPr/>
        <w:t> </w:t>
      </w:r>
    </w:p>
    <w:p>
      <w:pPr>
        <w:pStyle w:val="TextBody"/>
        <w:bidi w:val="0"/>
        <w:spacing w:before="0" w:after="0"/>
        <w:jc w:val="left"/>
        <w:rPr/>
      </w:pPr>
      <w:r>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5"/>
        </w:numPr>
        <w:tabs>
          <w:tab w:val="clear" w:pos="1134"/>
          <w:tab w:val="left" w:pos="709" w:leader="none"/>
        </w:tabs>
        <w:bidi w:val="0"/>
        <w:ind w:left="709" w:hanging="283"/>
        <w:jc w:val="left"/>
        <w:rPr/>
      </w:pPr>
      <w:r>
        <w:rPr/>
        <w:t xml:space="preserve">20260720_Shell RNS - full version (https://ml-eu.globenewswire.com/Resource/Download/f208d5c5-655f-4f23-a392-9550188fbbb2)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21 July,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21 July,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74"/>
        <w:gridCol w:w="1761"/>
        <w:gridCol w:w="1364"/>
        <w:gridCol w:w="1352"/>
        <w:gridCol w:w="2405"/>
        <w:gridCol w:w="1010"/>
        <w:gridCol w:w="1039"/>
      </w:tblGrid>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21/07/2026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75,000</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£ 32.4950</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£ 32.1000</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£ 32.3494</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21/07/2026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21/07/2026</w:t>
            </w:r>
          </w:p>
        </w:tc>
        <w:tc>
          <w:tcPr>
            <w:tcW w:w="176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64"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4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1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BATS (BXE)</w:t>
            </w:r>
          </w:p>
        </w:tc>
        <w:tc>
          <w:tcPr>
            <w:tcW w:w="103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GBP</w:t>
            </w:r>
          </w:p>
        </w:tc>
      </w:tr>
    </w:tbl>
    <w:p>
      <w:pPr>
        <w:pStyle w:val="TextBody"/>
        <w:bidi w:val="0"/>
        <w:spacing w:before="0" w:after="0"/>
        <w:jc w:val="left"/>
        <w:rPr/>
      </w:pPr>
      <w:r>
        <w:rPr/>
        <w:t> </w:t>
      </w:r>
    </w:p>
    <w:p>
      <w:pPr>
        <w:pStyle w:val="TextBody"/>
        <w:bidi w:val="0"/>
        <w:spacing w:before="0" w:after="0"/>
        <w:jc w:val="left"/>
        <w:rPr/>
      </w:pPr>
      <w:r>
        <w:rPr/>
        <w:t>These share purchases form part of the Company's share buy-back programme previously announced on 7 May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7 May 2026 up to and including 24 July 2026.</w:t>
      </w:r>
    </w:p>
    <w:p>
      <w:pPr>
        <w:pStyle w:val="TextBody"/>
        <w:bidi w:val="0"/>
        <w:spacing w:before="0" w:after="0"/>
        <w:jc w:val="left"/>
        <w:rPr/>
      </w:pPr>
      <w:r>
        <w:rPr/>
        <w:t> </w:t>
      </w:r>
    </w:p>
    <w:p>
      <w:pPr>
        <w:pStyle w:val="TextBody"/>
        <w:bidi w:val="0"/>
        <w:spacing w:before="0" w:after="0"/>
        <w:jc w:val="left"/>
        <w:rPr/>
      </w:pPr>
      <w:r>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t> </w:t>
      </w:r>
    </w:p>
    <w:p>
      <w:pPr>
        <w:pStyle w:val="TextBody"/>
        <w:bidi w:val="0"/>
        <w:spacing w:before="0" w:after="0"/>
        <w:jc w:val="left"/>
        <w:rPr>
          <w:b/>
        </w:rPr>
      </w:pPr>
      <w:r>
        <w:rPr>
          <w:b/>
        </w:rPr>
        <w:t>Attachment</w:t>
      </w:r>
    </w:p>
    <w:p>
      <w:pPr>
        <w:pStyle w:val="TextBody"/>
        <w:numPr>
          <w:ilvl w:val="0"/>
          <w:numId w:val="6"/>
        </w:numPr>
        <w:tabs>
          <w:tab w:val="clear" w:pos="1134"/>
          <w:tab w:val="left" w:pos="709" w:leader="none"/>
        </w:tabs>
        <w:bidi w:val="0"/>
        <w:ind w:left="709" w:hanging="283"/>
        <w:jc w:val="left"/>
        <w:rPr/>
      </w:pPr>
      <w:r>
        <w:rPr/>
        <w:t xml:space="preserve">20260721_Shell RNS - full version (https://ml-eu.globenewswire.com/Resource/Download/ed575ac0-9a25-4d2c-8221-d4e1ec7010ef)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22 July,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22 July,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74"/>
        <w:gridCol w:w="1761"/>
        <w:gridCol w:w="1364"/>
        <w:gridCol w:w="1352"/>
        <w:gridCol w:w="2405"/>
        <w:gridCol w:w="1010"/>
        <w:gridCol w:w="1039"/>
      </w:tblGrid>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22/07/2026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75,000</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£ 33.2100</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£ 32.8700</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£ 33.0385</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22/07/2026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22/07/2026</w:t>
            </w:r>
          </w:p>
        </w:tc>
        <w:tc>
          <w:tcPr>
            <w:tcW w:w="176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64"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4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1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BATS (BXE)</w:t>
            </w:r>
          </w:p>
        </w:tc>
        <w:tc>
          <w:tcPr>
            <w:tcW w:w="103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GBP</w:t>
            </w:r>
          </w:p>
        </w:tc>
      </w:tr>
    </w:tbl>
    <w:p>
      <w:pPr>
        <w:pStyle w:val="TextBody"/>
        <w:bidi w:val="0"/>
        <w:spacing w:before="0" w:after="0"/>
        <w:jc w:val="left"/>
        <w:rPr/>
      </w:pPr>
      <w:r>
        <w:rPr/>
        <w:t> </w:t>
      </w:r>
    </w:p>
    <w:p>
      <w:pPr>
        <w:pStyle w:val="TextBody"/>
        <w:bidi w:val="0"/>
        <w:spacing w:before="0" w:after="0"/>
        <w:jc w:val="left"/>
        <w:rPr/>
      </w:pPr>
      <w:r>
        <w:rPr/>
        <w:t>These share purchases form part of the Company's share buy-back programme previously announced on 7 May 2026. </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7 May 2026 up to and including 24 July 2026.</w:t>
      </w:r>
    </w:p>
    <w:p>
      <w:pPr>
        <w:pStyle w:val="TextBody"/>
        <w:bidi w:val="0"/>
        <w:spacing w:before="0" w:after="0"/>
        <w:jc w:val="left"/>
        <w:rPr/>
      </w:pPr>
      <w:r>
        <w:rPr/>
        <w:t> </w:t>
      </w:r>
    </w:p>
    <w:p>
      <w:pPr>
        <w:pStyle w:val="TextBody"/>
        <w:bidi w:val="0"/>
        <w:spacing w:before="0" w:after="0"/>
        <w:jc w:val="left"/>
        <w:rPr/>
      </w:pPr>
      <w:r>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7"/>
        </w:numPr>
        <w:tabs>
          <w:tab w:val="clear" w:pos="1134"/>
          <w:tab w:val="left" w:pos="709" w:leader="none"/>
        </w:tabs>
        <w:bidi w:val="0"/>
        <w:ind w:left="709" w:hanging="283"/>
        <w:jc w:val="left"/>
        <w:rPr/>
      </w:pPr>
      <w:r>
        <w:rPr/>
        <w:t xml:space="preserve">20260722_Shell RNS - full version (https://ml-eu.globenewswire.com/Resource/Download/213414c3-a208-4341-b7c2-89c603d3718f)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23 July,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23 July,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74"/>
        <w:gridCol w:w="1761"/>
        <w:gridCol w:w="1364"/>
        <w:gridCol w:w="1352"/>
        <w:gridCol w:w="2405"/>
        <w:gridCol w:w="1010"/>
        <w:gridCol w:w="1039"/>
      </w:tblGrid>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23/07/2026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75,000</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£ 33.5850</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£ 33.3150</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£ 33.4325</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23/07/2026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23/07/2026</w:t>
            </w:r>
          </w:p>
        </w:tc>
        <w:tc>
          <w:tcPr>
            <w:tcW w:w="176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64"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4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1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BATS (BXE)</w:t>
            </w:r>
          </w:p>
        </w:tc>
        <w:tc>
          <w:tcPr>
            <w:tcW w:w="103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GBP</w:t>
            </w:r>
          </w:p>
        </w:tc>
      </w:tr>
    </w:tbl>
    <w:p>
      <w:pPr>
        <w:pStyle w:val="TextBody"/>
        <w:bidi w:val="0"/>
        <w:spacing w:before="0" w:after="0"/>
        <w:jc w:val="left"/>
        <w:rPr/>
      </w:pPr>
      <w:r>
        <w:rPr/>
        <w:t> </w:t>
      </w:r>
    </w:p>
    <w:p>
      <w:pPr>
        <w:pStyle w:val="TextBody"/>
        <w:bidi w:val="0"/>
        <w:spacing w:before="0" w:after="0"/>
        <w:jc w:val="left"/>
        <w:rPr/>
      </w:pPr>
      <w:r>
        <w:rPr/>
        <w:t>These share purchases form part of the Company's share buy-back programme previously announced on 7 May 2026. </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7 May 2026 up to and including 24 July 2026.</w:t>
      </w:r>
    </w:p>
    <w:p>
      <w:pPr>
        <w:pStyle w:val="TextBody"/>
        <w:bidi w:val="0"/>
        <w:spacing w:before="0" w:after="0"/>
        <w:jc w:val="left"/>
        <w:rPr/>
      </w:pPr>
      <w:r>
        <w:rPr/>
        <w:t> </w:t>
      </w:r>
    </w:p>
    <w:p>
      <w:pPr>
        <w:pStyle w:val="TextBody"/>
        <w:bidi w:val="0"/>
        <w:spacing w:before="0" w:after="0"/>
        <w:jc w:val="left"/>
        <w:rPr/>
      </w:pPr>
      <w:r>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8"/>
        </w:numPr>
        <w:tabs>
          <w:tab w:val="clear" w:pos="1134"/>
          <w:tab w:val="left" w:pos="709" w:leader="none"/>
        </w:tabs>
        <w:bidi w:val="0"/>
        <w:ind w:left="709" w:hanging="283"/>
        <w:jc w:val="left"/>
        <w:rPr/>
      </w:pPr>
      <w:r>
        <w:rPr/>
        <w:t xml:space="preserve">20260723_Shell RNS - full version (https://ml-eu.globenewswire.com/Resource/Download/71472336-1b5c-4fd6-a251-727e7ff908a9)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24 July,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24 July,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74"/>
        <w:gridCol w:w="1761"/>
        <w:gridCol w:w="1364"/>
        <w:gridCol w:w="1352"/>
        <w:gridCol w:w="2405"/>
        <w:gridCol w:w="1010"/>
        <w:gridCol w:w="1039"/>
      </w:tblGrid>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24/07/2026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70,010</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£ 33.2650</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£ 32.9050</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£ 33.0823</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24/07/2026</w:t>
            </w:r>
          </w:p>
        </w:tc>
        <w:tc>
          <w:tcPr>
            <w:tcW w:w="176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6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2"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1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3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74"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24/07/2026</w:t>
            </w:r>
          </w:p>
        </w:tc>
        <w:tc>
          <w:tcPr>
            <w:tcW w:w="176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64"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4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1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BATS (BXE)</w:t>
            </w:r>
          </w:p>
        </w:tc>
        <w:tc>
          <w:tcPr>
            <w:tcW w:w="103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GBP</w:t>
            </w:r>
          </w:p>
        </w:tc>
      </w:tr>
    </w:tbl>
    <w:p>
      <w:pPr>
        <w:pStyle w:val="TextBody"/>
        <w:bidi w:val="0"/>
        <w:spacing w:before="0" w:after="0"/>
        <w:jc w:val="left"/>
        <w:rPr/>
      </w:pPr>
      <w:r>
        <w:rPr/>
        <w:t> </w:t>
      </w:r>
    </w:p>
    <w:p>
      <w:pPr>
        <w:pStyle w:val="TextBody"/>
        <w:bidi w:val="0"/>
        <w:spacing w:before="0" w:after="0"/>
        <w:jc w:val="left"/>
        <w:rPr/>
      </w:pPr>
      <w:r>
        <w:rPr/>
        <w:t>These share purchases form part of the Company's share buy-back programme previously announced on 7 May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7 May 2026 up to and including 24 July 2026.</w:t>
      </w:r>
    </w:p>
    <w:p>
      <w:pPr>
        <w:pStyle w:val="TextBody"/>
        <w:bidi w:val="0"/>
        <w:spacing w:before="0" w:after="0"/>
        <w:jc w:val="left"/>
        <w:rPr/>
      </w:pPr>
      <w:r>
        <w:rPr/>
        <w:t> </w:t>
      </w:r>
    </w:p>
    <w:p>
      <w:pPr>
        <w:pStyle w:val="TextBody"/>
        <w:bidi w:val="0"/>
        <w:spacing w:before="0" w:after="0"/>
        <w:jc w:val="left"/>
        <w:rPr/>
      </w:pPr>
      <w:r>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t> </w:t>
      </w:r>
    </w:p>
    <w:p>
      <w:pPr>
        <w:pStyle w:val="TextBody"/>
        <w:bidi w:val="0"/>
        <w:spacing w:before="0" w:after="0"/>
        <w:jc w:val="left"/>
        <w:rPr>
          <w:b/>
        </w:rPr>
      </w:pPr>
      <w:r>
        <w:rPr>
          <w:b/>
        </w:rPr>
        <w:t>Attachment</w:t>
      </w:r>
    </w:p>
    <w:p>
      <w:pPr>
        <w:pStyle w:val="TextBody"/>
        <w:numPr>
          <w:ilvl w:val="0"/>
          <w:numId w:val="9"/>
        </w:numPr>
        <w:tabs>
          <w:tab w:val="clear" w:pos="1134"/>
          <w:tab w:val="left" w:pos="709" w:leader="none"/>
        </w:tabs>
        <w:bidi w:val="0"/>
        <w:ind w:left="709" w:hanging="283"/>
        <w:jc w:val="left"/>
        <w:rPr/>
      </w:pPr>
      <w:r>
        <w:rPr/>
        <w:t xml:space="preserve">20260724_Shell RNS - full version (https://ml-eu.globenewswire.com/Resource/Download/61971f69-bac3-41d8-ae6e-8af534f902f2)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      </w:t>
      </w:r>
    </w:p>
    <w:p>
      <w:pPr>
        <w:pStyle w:val="TextBody"/>
        <w:bidi w:val="0"/>
        <w:spacing w:before="0" w:after="0"/>
        <w:jc w:val="left"/>
        <w:rPr/>
      </w:pPr>
      <w:r>
        <w:rPr/>
        <w:t> </w:t>
      </w:r>
    </w:p>
    <w:p>
      <w:pPr>
        <w:pStyle w:val="TextBody"/>
        <w:bidi w:val="0"/>
        <w:spacing w:before="0" w:after="0"/>
        <w:jc w:val="left"/>
        <w:rPr/>
      </w:pPr>
      <w:r>
        <w:rPr/>
        <w:t>30 July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both"/>
        <w:rPr/>
      </w:pPr>
      <w:r>
        <w:rPr/>
        <w:t>Shell plc (the ‘Company’) announces that on 30 July 2026 it purchased the following number of Shares for cancellation.</w:t>
      </w:r>
    </w:p>
    <w:p>
      <w:pPr>
        <w:pStyle w:val="TextBody"/>
        <w:bidi w:val="0"/>
        <w:spacing w:before="0" w:after="0"/>
        <w:jc w:val="both"/>
        <w:rPr/>
      </w:pPr>
      <w:r>
        <w:rPr/>
        <w:t> </w:t>
      </w:r>
    </w:p>
    <w:p>
      <w:pPr>
        <w:pStyle w:val="TextBody"/>
        <w:bidi w:val="0"/>
        <w:spacing w:before="0" w:after="0"/>
        <w:jc w:val="both"/>
        <w:rPr>
          <w:b/>
        </w:rPr>
      </w:pPr>
      <w:r>
        <w:rPr>
          <w:b/>
        </w:rPr>
        <w:t>Aggregated information on Shares purchased according to trading venue:</w:t>
      </w:r>
    </w:p>
    <w:p>
      <w:pPr>
        <w:pStyle w:val="TextBody"/>
        <w:bidi w:val="0"/>
        <w:spacing w:before="0" w:after="0"/>
        <w:jc w:val="both"/>
        <w:rPr/>
      </w:pPr>
      <w:r>
        <w:rPr/>
        <w:t> </w:t>
      </w:r>
    </w:p>
    <w:tbl>
      <w:tblPr>
        <w:tblW w:w="10205" w:type="dxa"/>
        <w:jc w:val="left"/>
        <w:tblInd w:w="-10" w:type="dxa"/>
        <w:tblLayout w:type="fixed"/>
        <w:tblCellMar>
          <w:top w:w="28" w:type="dxa"/>
          <w:left w:w="28" w:type="dxa"/>
          <w:bottom w:w="28" w:type="dxa"/>
          <w:right w:w="28" w:type="dxa"/>
        </w:tblCellMar>
      </w:tblPr>
      <w:tblGrid>
        <w:gridCol w:w="1254"/>
        <w:gridCol w:w="1750"/>
        <w:gridCol w:w="1359"/>
        <w:gridCol w:w="1370"/>
        <w:gridCol w:w="2382"/>
        <w:gridCol w:w="1052"/>
        <w:gridCol w:w="1038"/>
      </w:tblGrid>
      <w:tr>
        <w:trPr/>
        <w:tc>
          <w:tcPr>
            <w:tcW w:w="125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7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Number of Shares purchased</w:t>
            </w:r>
          </w:p>
        </w:tc>
        <w:tc>
          <w:tcPr>
            <w:tcW w:w="135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Highest price paid</w:t>
              <w:br/>
              <w:br/>
              <w:t> </w:t>
            </w:r>
          </w:p>
        </w:tc>
        <w:tc>
          <w:tcPr>
            <w:tcW w:w="13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xml:space="preserve">Lowest price paid </w:t>
              <w:br/>
              <w:br/>
              <w:t> </w:t>
            </w:r>
          </w:p>
        </w:tc>
        <w:tc>
          <w:tcPr>
            <w:tcW w:w="238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Volume weighted average price paid per share</w:t>
            </w:r>
          </w:p>
        </w:tc>
        <w:tc>
          <w:tcPr>
            <w:tcW w:w="10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Venue</w:t>
            </w:r>
          </w:p>
        </w:tc>
        <w:tc>
          <w:tcPr>
            <w:tcW w:w="103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Currency</w:t>
            </w:r>
          </w:p>
        </w:tc>
      </w:tr>
      <w:tr>
        <w:trPr/>
        <w:tc>
          <w:tcPr>
            <w:tcW w:w="12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30/07/2026</w:t>
            </w:r>
          </w:p>
        </w:tc>
        <w:tc>
          <w:tcPr>
            <w:tcW w:w="17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1,000,000</w:t>
            </w:r>
          </w:p>
        </w:tc>
        <w:tc>
          <w:tcPr>
            <w:tcW w:w="135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£ 33.8400</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£ 33.1150</w:t>
            </w:r>
          </w:p>
        </w:tc>
        <w:tc>
          <w:tcPr>
            <w:tcW w:w="23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£ 33.4619</w:t>
            </w:r>
          </w:p>
        </w:tc>
        <w:tc>
          <w:tcPr>
            <w:tcW w:w="10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LSE</w:t>
            </w:r>
          </w:p>
        </w:tc>
        <w:tc>
          <w:tcPr>
            <w:tcW w:w="10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GBP</w:t>
            </w:r>
          </w:p>
        </w:tc>
      </w:tr>
      <w:tr>
        <w:trPr/>
        <w:tc>
          <w:tcPr>
            <w:tcW w:w="12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30/07/2026</w:t>
            </w:r>
          </w:p>
        </w:tc>
        <w:tc>
          <w:tcPr>
            <w:tcW w:w="17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135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10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Chi-X (CXE)</w:t>
            </w:r>
          </w:p>
        </w:tc>
        <w:tc>
          <w:tcPr>
            <w:tcW w:w="10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GBP</w:t>
            </w:r>
          </w:p>
        </w:tc>
      </w:tr>
      <w:tr>
        <w:trPr/>
        <w:tc>
          <w:tcPr>
            <w:tcW w:w="12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30/07/2026</w:t>
            </w:r>
          </w:p>
        </w:tc>
        <w:tc>
          <w:tcPr>
            <w:tcW w:w="17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135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10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BATS (BXE)</w:t>
            </w:r>
          </w:p>
        </w:tc>
        <w:tc>
          <w:tcPr>
            <w:tcW w:w="10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GBP</w:t>
            </w:r>
          </w:p>
        </w:tc>
      </w:tr>
      <w:tr>
        <w:trPr/>
        <w:tc>
          <w:tcPr>
            <w:tcW w:w="12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30/07/2026</w:t>
            </w:r>
          </w:p>
        </w:tc>
        <w:tc>
          <w:tcPr>
            <w:tcW w:w="17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500,000</w:t>
            </w:r>
          </w:p>
        </w:tc>
        <w:tc>
          <w:tcPr>
            <w:tcW w:w="135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t>39.5100</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t>38.7500</w:t>
            </w:r>
          </w:p>
        </w:tc>
        <w:tc>
          <w:tcPr>
            <w:tcW w:w="23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t>39.1638</w:t>
            </w:r>
          </w:p>
        </w:tc>
        <w:tc>
          <w:tcPr>
            <w:tcW w:w="10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XAMS</w:t>
            </w:r>
          </w:p>
        </w:tc>
        <w:tc>
          <w:tcPr>
            <w:tcW w:w="10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EUR</w:t>
            </w:r>
          </w:p>
        </w:tc>
      </w:tr>
      <w:tr>
        <w:trPr/>
        <w:tc>
          <w:tcPr>
            <w:tcW w:w="12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30/07/2026</w:t>
            </w:r>
          </w:p>
        </w:tc>
        <w:tc>
          <w:tcPr>
            <w:tcW w:w="17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135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10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CBOE DXE</w:t>
            </w:r>
          </w:p>
        </w:tc>
        <w:tc>
          <w:tcPr>
            <w:tcW w:w="10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EUR</w:t>
            </w:r>
          </w:p>
        </w:tc>
      </w:tr>
      <w:tr>
        <w:trPr/>
        <w:tc>
          <w:tcPr>
            <w:tcW w:w="12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30/07/2026</w:t>
            </w:r>
          </w:p>
        </w:tc>
        <w:tc>
          <w:tcPr>
            <w:tcW w:w="17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135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10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TQEX</w:t>
            </w:r>
          </w:p>
        </w:tc>
        <w:tc>
          <w:tcPr>
            <w:tcW w:w="10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EUR</w:t>
            </w:r>
          </w:p>
        </w:tc>
      </w:tr>
    </w:tbl>
    <w:p>
      <w:pPr>
        <w:pStyle w:val="TextBody"/>
        <w:bidi w:val="0"/>
        <w:spacing w:before="0" w:after="0"/>
        <w:jc w:val="both"/>
        <w:rPr/>
      </w:pPr>
      <w:r>
        <w:rPr/>
        <w:t> </w:t>
      </w:r>
    </w:p>
    <w:p>
      <w:pPr>
        <w:pStyle w:val="TextBody"/>
        <w:bidi w:val="0"/>
        <w:spacing w:before="0" w:after="0"/>
        <w:jc w:val="both"/>
        <w:rPr/>
      </w:pPr>
      <w:r>
        <w:rPr/>
        <w:t>These share purchases form part of the on- and off-market limbs of the Company's existing share buy-back programme previously announced on 30 July 2026.</w:t>
      </w:r>
    </w:p>
    <w:p>
      <w:pPr>
        <w:pStyle w:val="TextBody"/>
        <w:bidi w:val="0"/>
        <w:spacing w:before="0" w:after="0"/>
        <w:jc w:val="both"/>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  </w:t>
      </w:r>
    </w:p>
    <w:p>
      <w:pPr>
        <w:pStyle w:val="TextBody"/>
        <w:bidi w:val="0"/>
        <w:spacing w:before="0" w:after="0"/>
        <w:jc w:val="left"/>
        <w:rPr/>
      </w:pPr>
      <w:r>
        <w:rPr/>
        <w:t> </w:t>
      </w:r>
    </w:p>
    <w:p>
      <w:pPr>
        <w:pStyle w:val="TextBody"/>
        <w:bidi w:val="0"/>
        <w:spacing w:before="0" w:after="0"/>
        <w:jc w:val="both"/>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both"/>
        <w:rPr/>
      </w:pPr>
      <w:r>
        <w:rPr/>
        <w:t> </w:t>
      </w:r>
    </w:p>
    <w:p>
      <w:pPr>
        <w:pStyle w:val="TextBody"/>
        <w:bidi w:val="0"/>
        <w:spacing w:before="0" w:after="0"/>
        <w:jc w:val="both"/>
        <w:rPr/>
      </w:pPr>
      <w:r>
        <w:rPr/>
        <w:t>In accordance with EU MAR and UK MAR, a breakdown of the individual trades made by Goldman Sachs International on behalf of the Company as a part of the buy-back programme is detailed below.  </w:t>
      </w:r>
    </w:p>
    <w:p>
      <w:pPr>
        <w:pStyle w:val="TextBody"/>
        <w:bidi w:val="0"/>
        <w:spacing w:before="0" w:after="0"/>
        <w:jc w:val="both"/>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t> </w:t>
      </w:r>
    </w:p>
    <w:p>
      <w:pPr>
        <w:pStyle w:val="TextBody"/>
        <w:bidi w:val="0"/>
        <w:spacing w:before="0" w:after="0"/>
        <w:jc w:val="left"/>
        <w:rPr>
          <w:b/>
        </w:rPr>
      </w:pPr>
      <w:r>
        <w:rPr>
          <w:b/>
        </w:rPr>
        <w:t>Attachment</w:t>
      </w:r>
    </w:p>
    <w:p>
      <w:pPr>
        <w:pStyle w:val="TextBody"/>
        <w:numPr>
          <w:ilvl w:val="0"/>
          <w:numId w:val="10"/>
        </w:numPr>
        <w:tabs>
          <w:tab w:val="clear" w:pos="1134"/>
          <w:tab w:val="left" w:pos="709" w:leader="none"/>
        </w:tabs>
        <w:bidi w:val="0"/>
        <w:ind w:left="709" w:hanging="283"/>
        <w:jc w:val="left"/>
        <w:rPr/>
      </w:pPr>
      <w:r>
        <w:rPr/>
        <w:t xml:space="preserve">20260730_Shell RNS - full version (https://ml-eu.globenewswire.com/Resource/Download/89f44f79-e429-462e-a8ad-6dd51c925a41)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July 31,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31 July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31/07/2026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1,030,000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£ 34.0950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£ 33.3650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£ 33.7866</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31/07/2026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31/07/2026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31/07/2026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500,000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39.9700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39.1350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39.5819</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31/07/2026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31/07/2026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both"/>
        <w:rPr/>
      </w:pPr>
      <w:r>
        <w:rPr/>
        <w:t> </w:t>
      </w:r>
    </w:p>
    <w:p>
      <w:pPr>
        <w:pStyle w:val="TextBody"/>
        <w:bidi w:val="0"/>
        <w:spacing w:before="0" w:after="0"/>
        <w:jc w:val="both"/>
        <w:rPr/>
      </w:pPr>
      <w:r>
        <w:rPr/>
        <w:t>These share purchases form part of the on- and off-market limbs of the Company's existing share buy-back programme previously announced on 30 July 2026. </w:t>
      </w:r>
    </w:p>
    <w:p>
      <w:pPr>
        <w:pStyle w:val="TextBody"/>
        <w:bidi w:val="0"/>
        <w:spacing w:before="0" w:after="0"/>
        <w:jc w:val="both"/>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 </w:t>
      </w:r>
    </w:p>
    <w:p>
      <w:pPr>
        <w:pStyle w:val="TextBody"/>
        <w:bidi w:val="0"/>
        <w:spacing w:before="0" w:after="0"/>
        <w:jc w:val="left"/>
        <w:rPr/>
      </w:pPr>
      <w:r>
        <w:rPr/>
        <w:t> </w:t>
      </w:r>
    </w:p>
    <w:p>
      <w:pPr>
        <w:pStyle w:val="TextBody"/>
        <w:bidi w:val="0"/>
        <w:spacing w:before="0" w:after="0"/>
        <w:jc w:val="both"/>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both"/>
        <w:rPr/>
      </w:pPr>
      <w:r>
        <w:rPr/>
        <w:t> </w:t>
      </w:r>
    </w:p>
    <w:p>
      <w:pPr>
        <w:pStyle w:val="TextBody"/>
        <w:bidi w:val="0"/>
        <w:spacing w:before="0" w:after="0"/>
        <w:jc w:val="both"/>
        <w:rPr/>
      </w:pPr>
      <w:r>
        <w:rPr/>
        <w:t>In accordance with EU MAR and UK MAR, a breakdown of the individual trades made by Goldman Sachs International on behalf of the Company as a part of the buy-back programme is detailed below. </w:t>
      </w:r>
    </w:p>
    <w:p>
      <w:pPr>
        <w:pStyle w:val="TextBody"/>
        <w:bidi w:val="0"/>
        <w:spacing w:before="0" w:after="0"/>
        <w:jc w:val="both"/>
        <w:rPr/>
      </w:pPr>
      <w:r>
        <w:rPr/>
        <w:t> </w:t>
      </w:r>
    </w:p>
    <w:p>
      <w:pPr>
        <w:pStyle w:val="TextBody"/>
        <w:bidi w:val="0"/>
        <w:spacing w:before="0" w:after="0"/>
        <w:jc w:val="left"/>
        <w:rPr/>
      </w:pPr>
      <w:r>
        <w:rPr/>
        <w:t>Enquiries</w:t>
      </w:r>
    </w:p>
    <w:p>
      <w:pPr>
        <w:pStyle w:val="TextBody"/>
        <w:bidi w:val="0"/>
        <w:spacing w:before="0" w:after="0"/>
        <w:jc w:val="left"/>
        <w:rPr/>
      </w:pPr>
      <w:r>
        <w:rPr/>
        <w:b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11"/>
        </w:numPr>
        <w:tabs>
          <w:tab w:val="clear" w:pos="1134"/>
          <w:tab w:val="left" w:pos="709" w:leader="none"/>
        </w:tabs>
        <w:bidi w:val="0"/>
        <w:ind w:left="709" w:hanging="283"/>
        <w:jc w:val="left"/>
        <w:rPr/>
      </w:pPr>
      <w:r>
        <w:rPr/>
        <w:t xml:space="preserve">20260731_Shell RNS - full version (https://ml-eu.globenewswire.com/Resource/Download/e6da3602-5e04-48b3-9740-e42c0c09aa02)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8"/>
        <w:gridCol w:w="9893"/>
      </w:tblGrid>
      <w:tr>
        <w:trPr/>
        <w:tc>
          <w:tcPr>
            <w:tcW w:w="7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left"/>
              <w:rPr/>
            </w:pPr>
            <w:r>
              <w:rPr/>
              <w:t>the Registration Statement on Form F-3 of Shell plc, Shell Finance US Inc. and Shell International Finance B.V. (Registration Numbers 333-276068, 333-276068-01 and 333-276068-02);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78"/>
        <w:gridCol w:w="9853"/>
      </w:tblGrid>
      <w:tr>
        <w:trPr/>
        <w:tc>
          <w:tcPr>
            <w:tcW w:w="74"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283"/>
              <w:jc w:val="left"/>
              <w:rPr/>
            </w:pPr>
            <w:r>
              <w:rPr/>
              <w:t>the Registration Statements on Form S-8 of Shell plc (Registration Numbers 333-262396, 333-272192 and 333-292109).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0" w:right="0" w:hanging="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Shell plc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3,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Karen Heslop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Karen Heslop</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Deputy Company Secretary</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4551</Words>
  <Characters>25158</Characters>
  <CharactersWithSpaces>29473</CharactersWithSpaces>
  <Paragraphs>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