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For the month of March 2025</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s>
        <w:rPr>
          <w:sz w:val="20"/>
          <w:szCs w:val="20"/>
          <w:color w:val="auto"/>
        </w:rPr>
      </w:pPr>
      <w:r>
        <w:rPr>
          <w:rFonts w:ascii="Times New Roman" w:cs="Times New Roman" w:eastAsia="Times New Roman" w:hAnsi="Times New Roman"/>
          <w:sz w:val="22"/>
          <w:szCs w:val="22"/>
          <w:color w:val="auto"/>
        </w:rPr>
        <w:t>Form 20-F [ X ]</w:t>
        <w:tab/>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spacing w:after="0" w:line="6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NOTIFICATION AND PUBLIC DISCLOSURE OF TRANSACTIONS BY PERSONS DISCHARGING MANAGERIAL RESPONSIBILITIES IN ACCORDANCE WITH THE REQUIREMENTS OF THE EU AND UK MARKET ABUSE REGIMES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Shell plc (the "Company") has been notified that following the payment of the interim dividend on March 24, 2025 in respect of the fourth quarter of 2024, the following Persons Discharging Managerial Responsibilities ("PDMRs") acquired dividend shares in respect of shares previously delivered to them under the annual bonus and/or shares previously vested under employee share plans and held in a Share Plan Account. Further information can be found in the Shell plc Annual Report and Form 20-F for the year ended December 31, 2024 (www.shell.com/annualreport).</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500" w:type="dxa"/>
            <w:vAlign w:val="bottom"/>
            <w:tcBorders>
              <w:top w:val="single" w:sz="8" w:color="auto"/>
              <w:left w:val="single" w:sz="8" w:color="auto"/>
              <w:right w:val="single" w:sz="8" w:color="auto"/>
            </w:tcBorders>
          </w:tcPr>
          <w:p>
            <w:pPr>
              <w:spacing w:after="0"/>
              <w:rPr>
                <w:sz w:val="18"/>
                <w:szCs w:val="18"/>
                <w:color w:val="auto"/>
              </w:rPr>
            </w:pPr>
          </w:p>
        </w:tc>
        <w:tc>
          <w:tcPr>
            <w:tcW w:w="2920" w:type="dxa"/>
            <w:vAlign w:val="bottom"/>
            <w:tcBorders>
              <w:top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dividend shares</w:t>
            </w:r>
          </w:p>
        </w:tc>
        <w:tc>
          <w:tcPr>
            <w:tcW w:w="17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Purchase price per</w:t>
            </w:r>
          </w:p>
        </w:tc>
      </w:tr>
      <w:tr>
        <w:trPr>
          <w:trHeight w:val="234"/>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PDMR</w:t>
            </w:r>
          </w:p>
        </w:tc>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Acquired</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 Type</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acquired</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Share</w:t>
            </w:r>
          </w:p>
        </w:tc>
      </w:tr>
      <w:tr>
        <w:trPr>
          <w:trHeight w:val="191"/>
        </w:trPr>
        <w:tc>
          <w:tcPr>
            <w:tcW w:w="2500" w:type="dxa"/>
            <w:vAlign w:val="bottom"/>
            <w:tcBorders>
              <w:left w:val="single" w:sz="8" w:color="auto"/>
              <w:right w:val="single" w:sz="8" w:color="auto"/>
            </w:tcBorders>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GBP</w:t>
            </w:r>
          </w:p>
        </w:tc>
      </w:tr>
      <w:tr>
        <w:trPr>
          <w:trHeight w:val="234"/>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Sinead Gorman</w:t>
            </w:r>
          </w:p>
        </w:tc>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 March 2025</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 (LSE)</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1,046.03927</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28.051639</w:t>
            </w:r>
          </w:p>
        </w:tc>
      </w:tr>
      <w:tr>
        <w:trPr>
          <w:trHeight w:val="191"/>
        </w:trPr>
        <w:tc>
          <w:tcPr>
            <w:tcW w:w="2500" w:type="dxa"/>
            <w:vAlign w:val="bottom"/>
            <w:tcBorders>
              <w:left w:val="single" w:sz="8" w:color="auto"/>
              <w:right w:val="single" w:sz="8" w:color="auto"/>
            </w:tcBorders>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EUR</w:t>
            </w:r>
          </w:p>
        </w:tc>
      </w:tr>
      <w:tr>
        <w:trPr>
          <w:trHeight w:val="234"/>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Philippa Bounds</w:t>
            </w:r>
          </w:p>
        </w:tc>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 March 2025</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(AMS)</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0.00569</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33.8917</w:t>
            </w:r>
          </w:p>
        </w:tc>
      </w:tr>
      <w:tr>
        <w:trPr>
          <w:trHeight w:val="191"/>
        </w:trPr>
        <w:tc>
          <w:tcPr>
            <w:tcW w:w="2500" w:type="dxa"/>
            <w:vAlign w:val="bottom"/>
            <w:tcBorders>
              <w:left w:val="single" w:sz="8" w:color="auto"/>
              <w:right w:val="single" w:sz="8" w:color="auto"/>
            </w:tcBorders>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GBP</w:t>
            </w:r>
          </w:p>
        </w:tc>
      </w:tr>
      <w:tr>
        <w:trPr>
          <w:trHeight w:val="234"/>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Philippa Bounds</w:t>
            </w:r>
          </w:p>
        </w:tc>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 March 2025</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 (LSE)</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89.26932</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28.051639</w:t>
            </w:r>
          </w:p>
        </w:tc>
      </w:tr>
      <w:tr>
        <w:trPr>
          <w:trHeight w:val="191"/>
        </w:trPr>
        <w:tc>
          <w:tcPr>
            <w:tcW w:w="2500" w:type="dxa"/>
            <w:vAlign w:val="bottom"/>
            <w:tcBorders>
              <w:left w:val="single" w:sz="8" w:color="auto"/>
              <w:right w:val="single" w:sz="8" w:color="auto"/>
            </w:tcBorders>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EUR</w:t>
            </w:r>
          </w:p>
        </w:tc>
      </w:tr>
      <w:tr>
        <w:trPr>
          <w:trHeight w:val="234"/>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Robin Mooldijk</w:t>
            </w:r>
          </w:p>
        </w:tc>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 March 2025</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(AMS)</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725.54619</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33.8917</w:t>
            </w:r>
          </w:p>
        </w:tc>
      </w:tr>
      <w:tr>
        <w:trPr>
          <w:trHeight w:val="191"/>
        </w:trPr>
        <w:tc>
          <w:tcPr>
            <w:tcW w:w="2500" w:type="dxa"/>
            <w:vAlign w:val="bottom"/>
            <w:tcBorders>
              <w:left w:val="single" w:sz="8" w:color="auto"/>
              <w:right w:val="single" w:sz="8" w:color="auto"/>
            </w:tcBorders>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GBP</w:t>
            </w:r>
          </w:p>
        </w:tc>
      </w:tr>
      <w:tr>
        <w:trPr>
          <w:trHeight w:val="234"/>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Rachel Solway</w:t>
            </w:r>
          </w:p>
        </w:tc>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 March 2025</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 (LSE)</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5.00148</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28.051639</w:t>
            </w:r>
          </w:p>
        </w:tc>
      </w:tr>
      <w:tr>
        <w:trPr>
          <w:trHeight w:val="191"/>
        </w:trPr>
        <w:tc>
          <w:tcPr>
            <w:tcW w:w="2500" w:type="dxa"/>
            <w:vAlign w:val="bottom"/>
            <w:tcBorders>
              <w:left w:val="single" w:sz="8" w:color="auto"/>
              <w:right w:val="single" w:sz="8" w:color="auto"/>
            </w:tcBorders>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EUR</w:t>
            </w:r>
          </w:p>
        </w:tc>
      </w:tr>
      <w:tr>
        <w:trPr>
          <w:trHeight w:val="234"/>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Huibert Vigeveno</w:t>
            </w:r>
          </w:p>
        </w:tc>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 March 2025</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(AMS)</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1,124.75351</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33.8917</w:t>
            </w:r>
          </w:p>
        </w:tc>
      </w:tr>
      <w:tr>
        <w:trPr>
          <w:trHeight w:val="191"/>
        </w:trPr>
        <w:tc>
          <w:tcPr>
            <w:tcW w:w="2500" w:type="dxa"/>
            <w:vAlign w:val="bottom"/>
            <w:tcBorders>
              <w:left w:val="single" w:sz="8" w:color="auto"/>
              <w:right w:val="single" w:sz="8" w:color="auto"/>
            </w:tcBorders>
          </w:tcPr>
          <w:p>
            <w:pPr>
              <w:spacing w:after="0"/>
              <w:rPr>
                <w:sz w:val="16"/>
                <w:szCs w:val="16"/>
                <w:color w:val="auto"/>
              </w:rPr>
            </w:pPr>
          </w:p>
        </w:tc>
        <w:tc>
          <w:tcPr>
            <w:tcW w:w="29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EUR</w:t>
            </w:r>
          </w:p>
        </w:tc>
      </w:tr>
      <w:tr>
        <w:trPr>
          <w:trHeight w:val="234"/>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Zoe Yujnovich</w:t>
            </w:r>
          </w:p>
        </w:tc>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 March 2025</w:t>
            </w:r>
          </w:p>
        </w:tc>
        <w:tc>
          <w:tcPr>
            <w:tcW w:w="1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(AMS)</w:t>
            </w:r>
          </w:p>
        </w:tc>
        <w:tc>
          <w:tcPr>
            <w:tcW w:w="2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1,110.95</w:t>
            </w:r>
          </w:p>
        </w:tc>
        <w:tc>
          <w:tcPr>
            <w:tcW w:w="1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33.8917</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Notification of Dealing Form for each PDMR can be found below.</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Keefe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Deputy Company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Shell 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UK, European Press: +44 20 7934 5550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 number of Shell plc: 21380068P1DRHMJ8KU70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Additional regulated information required to be disclosed under the laws of the United Kingdom.</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w:t>
            </w:r>
          </w:p>
        </w:tc>
        <w:tc>
          <w:tcPr>
            <w:tcW w:w="1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Details of the person discharging managerial responsibilities/person closely associated</w:t>
            </w:r>
          </w:p>
        </w:tc>
      </w:tr>
      <w:tr>
        <w:trPr>
          <w:trHeight w:val="209"/>
        </w:trPr>
        <w:tc>
          <w:tcPr>
            <w:tcW w:w="3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Sinead</w:t>
            </w:r>
          </w:p>
        </w:tc>
      </w:tr>
      <w:tr>
        <w:trPr>
          <w:trHeight w:val="210"/>
        </w:trPr>
        <w:tc>
          <w:tcPr>
            <w:tcW w:w="3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Gorman</w:t>
            </w:r>
          </w:p>
        </w:tc>
      </w:tr>
      <w:tr>
        <w:trPr>
          <w:trHeight w:val="210"/>
        </w:trPr>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w:t>
            </w:r>
          </w:p>
        </w:tc>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Reason for the notification</w:t>
            </w:r>
          </w:p>
        </w:tc>
        <w:tc>
          <w:tcPr>
            <w:tcW w:w="7280" w:type="dxa"/>
            <w:vAlign w:val="bottom"/>
            <w:tcBorders>
              <w:bottom w:val="single" w:sz="8" w:color="auto"/>
            </w:tcBorders>
          </w:tcPr>
          <w:p>
            <w:pPr>
              <w:spacing w:after="0"/>
              <w:rPr>
                <w:sz w:val="18"/>
                <w:szCs w:val="18"/>
                <w:color w:val="auto"/>
              </w:rPr>
            </w:pPr>
          </w:p>
        </w:tc>
      </w:tr>
      <w:tr>
        <w:trPr>
          <w:trHeight w:val="210"/>
        </w:trPr>
        <w:tc>
          <w:tcPr>
            <w:tcW w:w="3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09"/>
        </w:trPr>
        <w:tc>
          <w:tcPr>
            <w:tcW w:w="3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r>
      <w:tr>
        <w:trPr>
          <w:trHeight w:val="209"/>
        </w:trPr>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3.</w:t>
            </w:r>
          </w:p>
        </w:tc>
        <w:tc>
          <w:tcPr>
            <w:tcW w:w="1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Details of the issuer, emission allowance market participant, auction platform, auctioneer or auction monitor</w:t>
            </w:r>
          </w:p>
        </w:tc>
      </w:tr>
      <w:tr>
        <w:trPr>
          <w:trHeight w:val="210"/>
        </w:trPr>
        <w:tc>
          <w:tcPr>
            <w:tcW w:w="3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r>
      <w:tr>
        <w:trPr>
          <w:trHeight w:val="210"/>
        </w:trPr>
        <w:tc>
          <w:tcPr>
            <w:tcW w:w="3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3634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634740"/>
                    </a:xfrm>
                    <a:prstGeom prst="rect">
                      <a:avLst/>
                    </a:prstGeom>
                    <a:noFill/>
                  </pic:spPr>
                </pic:pic>
              </a:graphicData>
            </a:graphic>
          </wp:anchor>
        </w:drawing>
      </w:r>
    </w:p>
    <w:p>
      <w:pPr>
        <w:ind w:left="20" w:right="260" w:firstLine="1"/>
        <w:spacing w:after="0" w:line="260" w:lineRule="auto"/>
        <w:tabs>
          <w:tab w:leader="none" w:pos="2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10" w:type="dxa"/>
        <w:tblCellMar>
          <w:top w:w="0" w:type="dxa"/>
          <w:left w:w="0" w:type="dxa"/>
          <w:bottom w:w="0" w:type="dxa"/>
          <w:right w:w="0" w:type="dxa"/>
        </w:tblCellMar>
      </w:tblPr>
      <w:tr>
        <w:trPr>
          <w:trHeight w:val="193"/>
        </w:trPr>
        <w:tc>
          <w:tcPr>
            <w:tcW w:w="3960" w:type="dxa"/>
            <w:vAlign w:val="bottom"/>
            <w:tcBorders>
              <w:top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Description of the financial instrument</w:t>
            </w:r>
          </w:p>
        </w:tc>
        <w:tc>
          <w:tcPr>
            <w:tcW w:w="7280" w:type="dxa"/>
            <w:vAlign w:val="bottom"/>
            <w:tcBorders>
              <w:top w:val="single" w:sz="8" w:color="auto"/>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Ordinary shares of €0.07 each</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0" w:type="dxa"/>
            <w:vAlign w:val="bottom"/>
          </w:tcPr>
          <w:p>
            <w:pPr>
              <w:spacing w:after="0"/>
              <w:rPr>
                <w:sz w:val="1"/>
                <w:szCs w:val="1"/>
                <w:color w:val="auto"/>
              </w:rPr>
            </w:pPr>
          </w:p>
        </w:tc>
      </w:tr>
      <w:tr>
        <w:trPr>
          <w:trHeight w:val="191"/>
        </w:trPr>
        <w:tc>
          <w:tcPr>
            <w:tcW w:w="3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7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Dividend shares in respect of shares previously delivered under the annual bonus and/or shares</w:t>
            </w:r>
          </w:p>
        </w:tc>
        <w:tc>
          <w:tcPr>
            <w:tcW w:w="0" w:type="dxa"/>
            <w:vAlign w:val="bottom"/>
          </w:tcPr>
          <w:p>
            <w:pPr>
              <w:spacing w:after="0"/>
              <w:rPr>
                <w:sz w:val="1"/>
                <w:szCs w:val="1"/>
                <w:color w:val="auto"/>
              </w:rPr>
            </w:pPr>
          </w:p>
        </w:tc>
      </w:tr>
      <w:tr>
        <w:trPr>
          <w:trHeight w:val="126"/>
        </w:trPr>
        <w:tc>
          <w:tcPr>
            <w:tcW w:w="3960" w:type="dxa"/>
            <w:vAlign w:val="bottom"/>
            <w:tcBorders>
              <w:right w:val="single" w:sz="8" w:color="auto"/>
            </w:tcBorders>
            <w:vMerge w:val="continue"/>
          </w:tcPr>
          <w:p>
            <w:pPr>
              <w:spacing w:after="0"/>
              <w:rPr>
                <w:sz w:val="10"/>
                <w:szCs w:val="10"/>
                <w:color w:val="auto"/>
              </w:rPr>
            </w:pPr>
          </w:p>
        </w:tc>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previously vested under employee share plans and held in a Share Plan Account.</w:t>
            </w:r>
          </w:p>
        </w:tc>
        <w:tc>
          <w:tcPr>
            <w:tcW w:w="0" w:type="dxa"/>
            <w:vAlign w:val="bottom"/>
          </w:tcPr>
          <w:p>
            <w:pPr>
              <w:spacing w:after="0"/>
              <w:rPr>
                <w:sz w:val="1"/>
                <w:szCs w:val="1"/>
                <w:color w:val="auto"/>
              </w:rPr>
            </w:pPr>
          </w:p>
        </w:tc>
      </w:tr>
      <w:tr>
        <w:trPr>
          <w:trHeight w:val="108"/>
        </w:trPr>
        <w:tc>
          <w:tcPr>
            <w:tcW w:w="3960" w:type="dxa"/>
            <w:vAlign w:val="bottom"/>
            <w:tcBorders>
              <w:bottom w:val="single" w:sz="8" w:color="auto"/>
              <w:right w:val="single" w:sz="8" w:color="auto"/>
            </w:tcBorders>
          </w:tcPr>
          <w:p>
            <w:pPr>
              <w:spacing w:after="0"/>
              <w:rPr>
                <w:sz w:val="9"/>
                <w:szCs w:val="9"/>
                <w:color w:val="auto"/>
              </w:rPr>
            </w:pPr>
          </w:p>
        </w:tc>
        <w:tc>
          <w:tcPr>
            <w:tcW w:w="72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28.051639</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1,046.03927</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29,343.116</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7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28.051639</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1,046.03927</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29,343.116</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27/03/2025</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c>
          <w:tcPr>
            <w:tcW w:w="0" w:type="dxa"/>
            <w:vAlign w:val="bottom"/>
          </w:tcPr>
          <w:p>
            <w:pPr>
              <w:spacing w:after="0"/>
              <w:rPr>
                <w:sz w:val="1"/>
                <w:szCs w:val="1"/>
                <w:color w:val="auto"/>
              </w:rPr>
            </w:pPr>
          </w:p>
        </w:tc>
      </w:tr>
      <w:tr>
        <w:trPr>
          <w:trHeight w:val="209"/>
        </w:trPr>
        <w:tc>
          <w:tcPr>
            <w:tcW w:w="1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 Details of the person discharging managerial responsibilities/person closely associated</w:t>
            </w:r>
          </w:p>
        </w:tc>
        <w:tc>
          <w:tcPr>
            <w:tcW w:w="0" w:type="dxa"/>
            <w:vAlign w:val="bottom"/>
          </w:tcPr>
          <w:p>
            <w:pPr>
              <w:spacing w:after="0"/>
              <w:rPr>
                <w:sz w:val="1"/>
                <w:szCs w:val="1"/>
                <w:color w:val="auto"/>
              </w:rPr>
            </w:pPr>
          </w:p>
        </w:tc>
      </w:tr>
      <w:tr>
        <w:trPr>
          <w:trHeight w:val="209"/>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7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Philippa</w:t>
            </w:r>
          </w:p>
        </w:tc>
        <w:tc>
          <w:tcPr>
            <w:tcW w:w="0" w:type="dxa"/>
            <w:vAlign w:val="bottom"/>
          </w:tcPr>
          <w:p>
            <w:pPr>
              <w:spacing w:after="0"/>
              <w:rPr>
                <w:sz w:val="1"/>
                <w:szCs w:val="1"/>
                <w:color w:val="auto"/>
              </w:rPr>
            </w:pPr>
          </w:p>
        </w:tc>
      </w:tr>
      <w:tr>
        <w:trPr>
          <w:trHeight w:val="209"/>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7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Bounds</w:t>
            </w:r>
          </w:p>
        </w:tc>
        <w:tc>
          <w:tcPr>
            <w:tcW w:w="0" w:type="dxa"/>
            <w:vAlign w:val="bottom"/>
          </w:tcPr>
          <w:p>
            <w:pPr>
              <w:spacing w:after="0"/>
              <w:rPr>
                <w:sz w:val="1"/>
                <w:szCs w:val="1"/>
                <w:color w:val="auto"/>
              </w:rPr>
            </w:pPr>
          </w:p>
        </w:tc>
      </w:tr>
      <w:tr>
        <w:trPr>
          <w:trHeight w:val="210"/>
        </w:trPr>
        <w:tc>
          <w:tcPr>
            <w:tcW w:w="39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7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7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Legal Director</w:t>
            </w:r>
          </w:p>
        </w:tc>
        <w:tc>
          <w:tcPr>
            <w:tcW w:w="0" w:type="dxa"/>
            <w:vAlign w:val="bottom"/>
          </w:tcPr>
          <w:p>
            <w:pPr>
              <w:spacing w:after="0"/>
              <w:rPr>
                <w:sz w:val="1"/>
                <w:szCs w:val="1"/>
                <w:color w:val="auto"/>
              </w:rPr>
            </w:pPr>
          </w:p>
        </w:tc>
      </w:tr>
      <w:tr>
        <w:trPr>
          <w:trHeight w:val="178"/>
        </w:trPr>
        <w:tc>
          <w:tcPr>
            <w:tcW w:w="3960" w:type="dxa"/>
            <w:vAlign w:val="bottom"/>
            <w:tcBorders>
              <w:left w:val="single" w:sz="8" w:color="auto"/>
              <w:right w:val="single" w:sz="8" w:color="auto"/>
            </w:tcBorders>
          </w:tcPr>
          <w:p>
            <w:pPr>
              <w:spacing w:after="0"/>
              <w:rPr>
                <w:sz w:val="15"/>
                <w:szCs w:val="15"/>
                <w:color w:val="auto"/>
              </w:rPr>
            </w:pPr>
          </w:p>
        </w:tc>
        <w:tc>
          <w:tcPr>
            <w:tcW w:w="7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60" w:right="339" w:bottom="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7331710</wp:posOffset>
            </wp:positionH>
            <wp:positionV relativeFrom="page">
              <wp:posOffset>88900</wp:posOffset>
            </wp:positionV>
            <wp:extent cx="8890" cy="2897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289750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8890" cy="2897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2897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r>
    </w:tbl>
    <w:p>
      <w:pPr>
        <w:ind w:left="20"/>
        <w:spacing w:after="0"/>
        <w:rPr>
          <w:sz w:val="20"/>
          <w:szCs w:val="20"/>
          <w:color w:val="auto"/>
        </w:rPr>
      </w:pPr>
      <w:r>
        <w:rPr>
          <w:rFonts w:ascii="Times New Roman" w:cs="Times New Roman" w:eastAsia="Times New Roman" w:hAnsi="Times New Roman"/>
          <w:sz w:val="18"/>
          <w:szCs w:val="18"/>
          <w:b w:val="1"/>
          <w:bCs w:val="1"/>
          <w:color w:val="auto"/>
        </w:rPr>
        <w:t>3. Details of the issuer, emission allowance market participant, auction platform, auctioneer or auction monitor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7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r>
    </w:tbl>
    <w:p>
      <w:pPr>
        <w:ind w:left="20" w:right="260" w:firstLine="1"/>
        <w:spacing w:after="0" w:line="260" w:lineRule="auto"/>
        <w:tabs>
          <w:tab w:leader="none" w:pos="2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3"/>
        </w:trPr>
        <w:tc>
          <w:tcPr>
            <w:tcW w:w="3960" w:type="dxa"/>
            <w:vAlign w:val="bottom"/>
            <w:tcBorders>
              <w:top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Description of the financial instrument</w:t>
            </w:r>
          </w:p>
        </w:tc>
        <w:tc>
          <w:tcPr>
            <w:tcW w:w="7280" w:type="dxa"/>
            <w:vAlign w:val="bottom"/>
            <w:tcBorders>
              <w:top w:val="single" w:sz="8" w:color="auto"/>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Ordinary shares of €0.07 each</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0" w:type="dxa"/>
            <w:vAlign w:val="bottom"/>
          </w:tcPr>
          <w:p>
            <w:pPr>
              <w:spacing w:after="0"/>
              <w:rPr>
                <w:sz w:val="1"/>
                <w:szCs w:val="1"/>
                <w:color w:val="auto"/>
              </w:rPr>
            </w:pPr>
          </w:p>
        </w:tc>
      </w:tr>
      <w:tr>
        <w:trPr>
          <w:trHeight w:val="191"/>
        </w:trPr>
        <w:tc>
          <w:tcPr>
            <w:tcW w:w="3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7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Dividend shares in respect of shares previously delivered under the annual bonus and/or shares</w:t>
            </w:r>
          </w:p>
        </w:tc>
        <w:tc>
          <w:tcPr>
            <w:tcW w:w="0" w:type="dxa"/>
            <w:vAlign w:val="bottom"/>
          </w:tcPr>
          <w:p>
            <w:pPr>
              <w:spacing w:after="0"/>
              <w:rPr>
                <w:sz w:val="1"/>
                <w:szCs w:val="1"/>
                <w:color w:val="auto"/>
              </w:rPr>
            </w:pPr>
          </w:p>
        </w:tc>
      </w:tr>
      <w:tr>
        <w:trPr>
          <w:trHeight w:val="126"/>
        </w:trPr>
        <w:tc>
          <w:tcPr>
            <w:tcW w:w="3960" w:type="dxa"/>
            <w:vAlign w:val="bottom"/>
            <w:tcBorders>
              <w:right w:val="single" w:sz="8" w:color="auto"/>
            </w:tcBorders>
            <w:vMerge w:val="continue"/>
          </w:tcPr>
          <w:p>
            <w:pPr>
              <w:spacing w:after="0"/>
              <w:rPr>
                <w:sz w:val="10"/>
                <w:szCs w:val="10"/>
                <w:color w:val="auto"/>
              </w:rPr>
            </w:pPr>
          </w:p>
        </w:tc>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previously vested under employee share plans and held in a Share Plan Account.</w:t>
            </w:r>
          </w:p>
        </w:tc>
        <w:tc>
          <w:tcPr>
            <w:tcW w:w="0" w:type="dxa"/>
            <w:vAlign w:val="bottom"/>
          </w:tcPr>
          <w:p>
            <w:pPr>
              <w:spacing w:after="0"/>
              <w:rPr>
                <w:sz w:val="1"/>
                <w:szCs w:val="1"/>
                <w:color w:val="auto"/>
              </w:rPr>
            </w:pPr>
          </w:p>
        </w:tc>
      </w:tr>
      <w:tr>
        <w:trPr>
          <w:trHeight w:val="108"/>
        </w:trPr>
        <w:tc>
          <w:tcPr>
            <w:tcW w:w="3960" w:type="dxa"/>
            <w:vAlign w:val="bottom"/>
            <w:tcBorders>
              <w:bottom w:val="single" w:sz="8" w:color="auto"/>
              <w:right w:val="single" w:sz="8" w:color="auto"/>
            </w:tcBorders>
          </w:tcPr>
          <w:p>
            <w:pPr>
              <w:spacing w:after="0"/>
              <w:rPr>
                <w:sz w:val="9"/>
                <w:szCs w:val="9"/>
                <w:color w:val="auto"/>
              </w:rPr>
            </w:pPr>
          </w:p>
        </w:tc>
        <w:tc>
          <w:tcPr>
            <w:tcW w:w="72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EUR</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33.8917</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0.00569</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0.193</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7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33.8917</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0.00569</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0.193</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27/03/2025</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Amsterdam</w:t>
            </w:r>
          </w:p>
        </w:tc>
        <w:tc>
          <w:tcPr>
            <w:tcW w:w="0" w:type="dxa"/>
            <w:vAlign w:val="bottom"/>
          </w:tcPr>
          <w:p>
            <w:pPr>
              <w:spacing w:after="0"/>
              <w:rPr>
                <w:sz w:val="1"/>
                <w:szCs w:val="1"/>
                <w:color w:val="auto"/>
              </w:rPr>
            </w:pPr>
          </w:p>
        </w:tc>
      </w:tr>
      <w:tr>
        <w:trPr>
          <w:trHeight w:val="210"/>
        </w:trPr>
        <w:tc>
          <w:tcPr>
            <w:tcW w:w="1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 Details of the person discharging managerial responsibilities/person closely associated</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Philippa</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Bounds</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7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Legal Director</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c>
          <w:tcPr>
            <w:tcW w:w="0" w:type="dxa"/>
            <w:vAlign w:val="bottom"/>
          </w:tcPr>
          <w:p>
            <w:pPr>
              <w:spacing w:after="0"/>
              <w:rPr>
                <w:sz w:val="1"/>
                <w:szCs w:val="1"/>
                <w:color w:val="auto"/>
              </w:rPr>
            </w:pPr>
          </w:p>
        </w:tc>
      </w:tr>
      <w:tr>
        <w:trPr>
          <w:trHeight w:val="210"/>
        </w:trPr>
        <w:tc>
          <w:tcPr>
            <w:tcW w:w="1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 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-1319530</wp:posOffset>
            </wp:positionV>
            <wp:extent cx="8890" cy="3634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363474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-1319530</wp:posOffset>
            </wp:positionV>
            <wp:extent cx="8890" cy="3634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3634740"/>
                    </a:xfrm>
                    <a:prstGeom prst="rect">
                      <a:avLst/>
                    </a:prstGeom>
                    <a:noFill/>
                  </pic:spPr>
                </pic:pic>
              </a:graphicData>
            </a:graphic>
          </wp:anchor>
        </w:drawing>
      </w:r>
    </w:p>
    <w:p>
      <w:pPr>
        <w:ind w:left="20" w:right="260" w:firstLine="1"/>
        <w:spacing w:after="0" w:line="260" w:lineRule="auto"/>
        <w:tabs>
          <w:tab w:leader="none" w:pos="2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3"/>
        </w:trPr>
        <w:tc>
          <w:tcPr>
            <w:tcW w:w="3960" w:type="dxa"/>
            <w:vAlign w:val="bottom"/>
            <w:tcBorders>
              <w:top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Description of the financial instrument</w:t>
            </w:r>
          </w:p>
        </w:tc>
        <w:tc>
          <w:tcPr>
            <w:tcW w:w="7280" w:type="dxa"/>
            <w:vAlign w:val="bottom"/>
            <w:tcBorders>
              <w:top w:val="single" w:sz="8" w:color="auto"/>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Ordinary shares of €0.07 each</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0" w:type="dxa"/>
            <w:vAlign w:val="bottom"/>
          </w:tcPr>
          <w:p>
            <w:pPr>
              <w:spacing w:after="0"/>
              <w:rPr>
                <w:sz w:val="1"/>
                <w:szCs w:val="1"/>
                <w:color w:val="auto"/>
              </w:rPr>
            </w:pPr>
          </w:p>
        </w:tc>
      </w:tr>
      <w:tr>
        <w:trPr>
          <w:trHeight w:val="191"/>
        </w:trPr>
        <w:tc>
          <w:tcPr>
            <w:tcW w:w="3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7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Dividend shares in respect of shares previously delivered under the annual bonus and/or shares</w:t>
            </w:r>
          </w:p>
        </w:tc>
        <w:tc>
          <w:tcPr>
            <w:tcW w:w="0" w:type="dxa"/>
            <w:vAlign w:val="bottom"/>
          </w:tcPr>
          <w:p>
            <w:pPr>
              <w:spacing w:after="0"/>
              <w:rPr>
                <w:sz w:val="1"/>
                <w:szCs w:val="1"/>
                <w:color w:val="auto"/>
              </w:rPr>
            </w:pPr>
          </w:p>
        </w:tc>
      </w:tr>
      <w:tr>
        <w:trPr>
          <w:trHeight w:val="126"/>
        </w:trPr>
        <w:tc>
          <w:tcPr>
            <w:tcW w:w="3960" w:type="dxa"/>
            <w:vAlign w:val="bottom"/>
            <w:tcBorders>
              <w:right w:val="single" w:sz="8" w:color="auto"/>
            </w:tcBorders>
            <w:vMerge w:val="continue"/>
          </w:tcPr>
          <w:p>
            <w:pPr>
              <w:spacing w:after="0"/>
              <w:rPr>
                <w:sz w:val="10"/>
                <w:szCs w:val="10"/>
                <w:color w:val="auto"/>
              </w:rPr>
            </w:pPr>
          </w:p>
        </w:tc>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previously vested under employee share plans and held in a Share Plan Account.</w:t>
            </w:r>
          </w:p>
        </w:tc>
        <w:tc>
          <w:tcPr>
            <w:tcW w:w="0" w:type="dxa"/>
            <w:vAlign w:val="bottom"/>
          </w:tcPr>
          <w:p>
            <w:pPr>
              <w:spacing w:after="0"/>
              <w:rPr>
                <w:sz w:val="1"/>
                <w:szCs w:val="1"/>
                <w:color w:val="auto"/>
              </w:rPr>
            </w:pPr>
          </w:p>
        </w:tc>
      </w:tr>
      <w:tr>
        <w:trPr>
          <w:trHeight w:val="108"/>
        </w:trPr>
        <w:tc>
          <w:tcPr>
            <w:tcW w:w="3960" w:type="dxa"/>
            <w:vAlign w:val="bottom"/>
            <w:tcBorders>
              <w:bottom w:val="single" w:sz="8" w:color="auto"/>
              <w:right w:val="single" w:sz="8" w:color="auto"/>
            </w:tcBorders>
          </w:tcPr>
          <w:p>
            <w:pPr>
              <w:spacing w:after="0"/>
              <w:rPr>
                <w:sz w:val="9"/>
                <w:szCs w:val="9"/>
                <w:color w:val="auto"/>
              </w:rPr>
            </w:pPr>
          </w:p>
        </w:tc>
        <w:tc>
          <w:tcPr>
            <w:tcW w:w="72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28.051639</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89.26932</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2,504.151</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7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28.051639</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89.26932</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2,504.151</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27/03/2025</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c>
          <w:tcPr>
            <w:tcW w:w="0" w:type="dxa"/>
            <w:vAlign w:val="bottom"/>
          </w:tcPr>
          <w:p>
            <w:pPr>
              <w:spacing w:after="0"/>
              <w:rPr>
                <w:sz w:val="1"/>
                <w:szCs w:val="1"/>
                <w:color w:val="auto"/>
              </w:rPr>
            </w:pPr>
          </w:p>
        </w:tc>
      </w:tr>
      <w:tr>
        <w:trPr>
          <w:trHeight w:val="209"/>
        </w:trPr>
        <w:tc>
          <w:tcPr>
            <w:tcW w:w="1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 Details of the person discharging managerial responsibilities/person closely associated</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Robin</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Mooldijk</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7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Projects &amp; Technology Director</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c>
          <w:tcPr>
            <w:tcW w:w="0" w:type="dxa"/>
            <w:vAlign w:val="bottom"/>
          </w:tcPr>
          <w:p>
            <w:pPr>
              <w:spacing w:after="0"/>
              <w:rPr>
                <w:sz w:val="1"/>
                <w:szCs w:val="1"/>
                <w:color w:val="auto"/>
              </w:rPr>
            </w:pPr>
          </w:p>
        </w:tc>
      </w:tr>
      <w:tr>
        <w:trPr>
          <w:trHeight w:val="210"/>
        </w:trPr>
        <w:tc>
          <w:tcPr>
            <w:tcW w:w="1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 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-1319530</wp:posOffset>
            </wp:positionV>
            <wp:extent cx="8890" cy="3634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363474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-1319530</wp:posOffset>
            </wp:positionV>
            <wp:extent cx="8890" cy="3634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3634740"/>
                    </a:xfrm>
                    <a:prstGeom prst="rect">
                      <a:avLst/>
                    </a:prstGeom>
                    <a:noFill/>
                  </pic:spPr>
                </pic:pic>
              </a:graphicData>
            </a:graphic>
          </wp:anchor>
        </w:drawing>
      </w:r>
    </w:p>
    <w:p>
      <w:pPr>
        <w:ind w:left="20" w:right="260" w:firstLine="1"/>
        <w:spacing w:after="0" w:line="260" w:lineRule="auto"/>
        <w:tabs>
          <w:tab w:leader="none" w:pos="2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3"/>
        </w:trPr>
        <w:tc>
          <w:tcPr>
            <w:tcW w:w="3960" w:type="dxa"/>
            <w:vAlign w:val="bottom"/>
            <w:tcBorders>
              <w:top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Description of the financial instrument</w:t>
            </w:r>
          </w:p>
        </w:tc>
        <w:tc>
          <w:tcPr>
            <w:tcW w:w="7280" w:type="dxa"/>
            <w:vAlign w:val="bottom"/>
            <w:tcBorders>
              <w:top w:val="single" w:sz="8" w:color="auto"/>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Ordinary shares of €0.07 each</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0" w:type="dxa"/>
            <w:vAlign w:val="bottom"/>
          </w:tcPr>
          <w:p>
            <w:pPr>
              <w:spacing w:after="0"/>
              <w:rPr>
                <w:sz w:val="1"/>
                <w:szCs w:val="1"/>
                <w:color w:val="auto"/>
              </w:rPr>
            </w:pPr>
          </w:p>
        </w:tc>
      </w:tr>
      <w:tr>
        <w:trPr>
          <w:trHeight w:val="191"/>
        </w:trPr>
        <w:tc>
          <w:tcPr>
            <w:tcW w:w="3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7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Dividend shares in respect of shares previously delivered under the annual bonus and/or shares</w:t>
            </w:r>
          </w:p>
        </w:tc>
        <w:tc>
          <w:tcPr>
            <w:tcW w:w="0" w:type="dxa"/>
            <w:vAlign w:val="bottom"/>
          </w:tcPr>
          <w:p>
            <w:pPr>
              <w:spacing w:after="0"/>
              <w:rPr>
                <w:sz w:val="1"/>
                <w:szCs w:val="1"/>
                <w:color w:val="auto"/>
              </w:rPr>
            </w:pPr>
          </w:p>
        </w:tc>
      </w:tr>
      <w:tr>
        <w:trPr>
          <w:trHeight w:val="126"/>
        </w:trPr>
        <w:tc>
          <w:tcPr>
            <w:tcW w:w="3960" w:type="dxa"/>
            <w:vAlign w:val="bottom"/>
            <w:tcBorders>
              <w:right w:val="single" w:sz="8" w:color="auto"/>
            </w:tcBorders>
            <w:vMerge w:val="continue"/>
          </w:tcPr>
          <w:p>
            <w:pPr>
              <w:spacing w:after="0"/>
              <w:rPr>
                <w:sz w:val="10"/>
                <w:szCs w:val="10"/>
                <w:color w:val="auto"/>
              </w:rPr>
            </w:pPr>
          </w:p>
        </w:tc>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previously vested under employee share plans and held in a Share Plan Account.</w:t>
            </w:r>
          </w:p>
        </w:tc>
        <w:tc>
          <w:tcPr>
            <w:tcW w:w="0" w:type="dxa"/>
            <w:vAlign w:val="bottom"/>
          </w:tcPr>
          <w:p>
            <w:pPr>
              <w:spacing w:after="0"/>
              <w:rPr>
                <w:sz w:val="1"/>
                <w:szCs w:val="1"/>
                <w:color w:val="auto"/>
              </w:rPr>
            </w:pPr>
          </w:p>
        </w:tc>
      </w:tr>
      <w:tr>
        <w:trPr>
          <w:trHeight w:val="108"/>
        </w:trPr>
        <w:tc>
          <w:tcPr>
            <w:tcW w:w="3960" w:type="dxa"/>
            <w:vAlign w:val="bottom"/>
            <w:tcBorders>
              <w:bottom w:val="single" w:sz="8" w:color="auto"/>
              <w:right w:val="single" w:sz="8" w:color="auto"/>
            </w:tcBorders>
          </w:tcPr>
          <w:p>
            <w:pPr>
              <w:spacing w:after="0"/>
              <w:rPr>
                <w:sz w:val="9"/>
                <w:szCs w:val="9"/>
                <w:color w:val="auto"/>
              </w:rPr>
            </w:pPr>
          </w:p>
        </w:tc>
        <w:tc>
          <w:tcPr>
            <w:tcW w:w="72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EUR</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33.8917</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725.54619</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24,589.994</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7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33.8917</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725.54619</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24,589.994</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27/03/2025</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Amsterdam</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w:t>
            </w:r>
          </w:p>
        </w:tc>
        <w:tc>
          <w:tcPr>
            <w:tcW w:w="1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Details of the person discharging managerial responsibilities/person closely associated</w:t>
            </w:r>
          </w:p>
        </w:tc>
      </w:tr>
      <w:tr>
        <w:trPr>
          <w:trHeight w:val="210"/>
        </w:trPr>
        <w:tc>
          <w:tcPr>
            <w:tcW w:w="3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Rachel</w:t>
            </w:r>
          </w:p>
        </w:tc>
      </w:tr>
      <w:tr>
        <w:trPr>
          <w:trHeight w:val="210"/>
        </w:trPr>
        <w:tc>
          <w:tcPr>
            <w:tcW w:w="3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Solway</w:t>
            </w:r>
          </w:p>
        </w:tc>
      </w:tr>
      <w:tr>
        <w:trPr>
          <w:trHeight w:val="209"/>
        </w:trPr>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w:t>
            </w:r>
          </w:p>
        </w:tc>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Reason for the notification</w:t>
            </w:r>
          </w:p>
        </w:tc>
        <w:tc>
          <w:tcPr>
            <w:tcW w:w="7280" w:type="dxa"/>
            <w:vAlign w:val="bottom"/>
            <w:tcBorders>
              <w:bottom w:val="single" w:sz="8" w:color="auto"/>
            </w:tcBorders>
          </w:tcPr>
          <w:p>
            <w:pPr>
              <w:spacing w:after="0"/>
              <w:rPr>
                <w:sz w:val="18"/>
                <w:szCs w:val="18"/>
                <w:color w:val="auto"/>
              </w:rPr>
            </w:pPr>
          </w:p>
        </w:tc>
      </w:tr>
      <w:tr>
        <w:trPr>
          <w:trHeight w:val="209"/>
        </w:trPr>
        <w:tc>
          <w:tcPr>
            <w:tcW w:w="3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Human Resources &amp; Corporate Officer</w:t>
            </w:r>
          </w:p>
        </w:tc>
      </w:tr>
      <w:tr>
        <w:trPr>
          <w:trHeight w:val="209"/>
        </w:trPr>
        <w:tc>
          <w:tcPr>
            <w:tcW w:w="3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r>
      <w:tr>
        <w:trPr>
          <w:trHeight w:val="209"/>
        </w:trPr>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3.</w:t>
            </w:r>
          </w:p>
        </w:tc>
        <w:tc>
          <w:tcPr>
            <w:tcW w:w="1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Details of the issuer, emission allowance market participant, auction platform, auctioneer or auction monitor</w:t>
            </w:r>
          </w:p>
        </w:tc>
      </w:tr>
      <w:tr>
        <w:trPr>
          <w:trHeight w:val="210"/>
        </w:trPr>
        <w:tc>
          <w:tcPr>
            <w:tcW w:w="3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r>
      <w:tr>
        <w:trPr>
          <w:trHeight w:val="209"/>
        </w:trPr>
        <w:tc>
          <w:tcPr>
            <w:tcW w:w="396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3634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634740"/>
                    </a:xfrm>
                    <a:prstGeom prst="rect">
                      <a:avLst/>
                    </a:prstGeom>
                    <a:noFill/>
                  </pic:spPr>
                </pic:pic>
              </a:graphicData>
            </a:graphic>
          </wp:anchor>
        </w:drawing>
      </w:r>
    </w:p>
    <w:p>
      <w:pPr>
        <w:ind w:left="20" w:right="260" w:firstLine="1"/>
        <w:spacing w:after="0" w:line="260" w:lineRule="auto"/>
        <w:tabs>
          <w:tab w:leader="none" w:pos="2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3"/>
        </w:trPr>
        <w:tc>
          <w:tcPr>
            <w:tcW w:w="3960" w:type="dxa"/>
            <w:vAlign w:val="bottom"/>
            <w:tcBorders>
              <w:top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Description of the financial instrument</w:t>
            </w:r>
          </w:p>
        </w:tc>
        <w:tc>
          <w:tcPr>
            <w:tcW w:w="7280" w:type="dxa"/>
            <w:vAlign w:val="bottom"/>
            <w:tcBorders>
              <w:top w:val="single" w:sz="8" w:color="auto"/>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Ordinary shares of €0.07 each</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0" w:type="dxa"/>
            <w:vAlign w:val="bottom"/>
          </w:tcPr>
          <w:p>
            <w:pPr>
              <w:spacing w:after="0"/>
              <w:rPr>
                <w:sz w:val="1"/>
                <w:szCs w:val="1"/>
                <w:color w:val="auto"/>
              </w:rPr>
            </w:pPr>
          </w:p>
        </w:tc>
      </w:tr>
      <w:tr>
        <w:trPr>
          <w:trHeight w:val="191"/>
        </w:trPr>
        <w:tc>
          <w:tcPr>
            <w:tcW w:w="3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7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Dividend shares in respect of shares previously delivered under the annual bonus and/or shares</w:t>
            </w:r>
          </w:p>
        </w:tc>
        <w:tc>
          <w:tcPr>
            <w:tcW w:w="0" w:type="dxa"/>
            <w:vAlign w:val="bottom"/>
          </w:tcPr>
          <w:p>
            <w:pPr>
              <w:spacing w:after="0"/>
              <w:rPr>
                <w:sz w:val="1"/>
                <w:szCs w:val="1"/>
                <w:color w:val="auto"/>
              </w:rPr>
            </w:pPr>
          </w:p>
        </w:tc>
      </w:tr>
      <w:tr>
        <w:trPr>
          <w:trHeight w:val="126"/>
        </w:trPr>
        <w:tc>
          <w:tcPr>
            <w:tcW w:w="3960" w:type="dxa"/>
            <w:vAlign w:val="bottom"/>
            <w:tcBorders>
              <w:right w:val="single" w:sz="8" w:color="auto"/>
            </w:tcBorders>
            <w:vMerge w:val="continue"/>
          </w:tcPr>
          <w:p>
            <w:pPr>
              <w:spacing w:after="0"/>
              <w:rPr>
                <w:sz w:val="10"/>
                <w:szCs w:val="10"/>
                <w:color w:val="auto"/>
              </w:rPr>
            </w:pPr>
          </w:p>
        </w:tc>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previously vested under employee share plans and held in a Share Plan Account.</w:t>
            </w:r>
          </w:p>
        </w:tc>
        <w:tc>
          <w:tcPr>
            <w:tcW w:w="0" w:type="dxa"/>
            <w:vAlign w:val="bottom"/>
          </w:tcPr>
          <w:p>
            <w:pPr>
              <w:spacing w:after="0"/>
              <w:rPr>
                <w:sz w:val="1"/>
                <w:szCs w:val="1"/>
                <w:color w:val="auto"/>
              </w:rPr>
            </w:pPr>
          </w:p>
        </w:tc>
      </w:tr>
      <w:tr>
        <w:trPr>
          <w:trHeight w:val="108"/>
        </w:trPr>
        <w:tc>
          <w:tcPr>
            <w:tcW w:w="3960" w:type="dxa"/>
            <w:vAlign w:val="bottom"/>
            <w:tcBorders>
              <w:bottom w:val="single" w:sz="8" w:color="auto"/>
              <w:right w:val="single" w:sz="8" w:color="auto"/>
            </w:tcBorders>
          </w:tcPr>
          <w:p>
            <w:pPr>
              <w:spacing w:after="0"/>
              <w:rPr>
                <w:sz w:val="9"/>
                <w:szCs w:val="9"/>
                <w:color w:val="auto"/>
              </w:rPr>
            </w:pPr>
          </w:p>
        </w:tc>
        <w:tc>
          <w:tcPr>
            <w:tcW w:w="72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GBP</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28.051639</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5.00148</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140.300</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7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28.051639</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5.00148</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140.300</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27/03/2025</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London</w:t>
            </w:r>
          </w:p>
        </w:tc>
        <w:tc>
          <w:tcPr>
            <w:tcW w:w="0" w:type="dxa"/>
            <w:vAlign w:val="bottom"/>
          </w:tcPr>
          <w:p>
            <w:pPr>
              <w:spacing w:after="0"/>
              <w:rPr>
                <w:sz w:val="1"/>
                <w:szCs w:val="1"/>
                <w:color w:val="auto"/>
              </w:rPr>
            </w:pPr>
          </w:p>
        </w:tc>
      </w:tr>
      <w:tr>
        <w:trPr>
          <w:trHeight w:val="209"/>
        </w:trPr>
        <w:tc>
          <w:tcPr>
            <w:tcW w:w="1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 Details of the person discharging managerial responsibilities/person closely associated</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Huibert</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Vigeveno</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7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Downstream, Renewables &amp; Energy Solutions Director</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c>
          <w:tcPr>
            <w:tcW w:w="0" w:type="dxa"/>
            <w:vAlign w:val="bottom"/>
          </w:tcPr>
          <w:p>
            <w:pPr>
              <w:spacing w:after="0"/>
              <w:rPr>
                <w:sz w:val="1"/>
                <w:szCs w:val="1"/>
                <w:color w:val="auto"/>
              </w:rPr>
            </w:pPr>
          </w:p>
        </w:tc>
      </w:tr>
      <w:tr>
        <w:trPr>
          <w:trHeight w:val="209"/>
        </w:trPr>
        <w:tc>
          <w:tcPr>
            <w:tcW w:w="1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 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-1319530</wp:posOffset>
            </wp:positionV>
            <wp:extent cx="8890" cy="3634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363474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-1319530</wp:posOffset>
            </wp:positionV>
            <wp:extent cx="8890" cy="3634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3634740"/>
                    </a:xfrm>
                    <a:prstGeom prst="rect">
                      <a:avLst/>
                    </a:prstGeom>
                    <a:noFill/>
                  </pic:spPr>
                </pic:pic>
              </a:graphicData>
            </a:graphic>
          </wp:anchor>
        </w:drawing>
      </w:r>
    </w:p>
    <w:p>
      <w:pPr>
        <w:ind w:left="20" w:right="260" w:firstLine="1"/>
        <w:spacing w:after="0" w:line="260" w:lineRule="auto"/>
        <w:tabs>
          <w:tab w:leader="none" w:pos="2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3"/>
        </w:trPr>
        <w:tc>
          <w:tcPr>
            <w:tcW w:w="3960" w:type="dxa"/>
            <w:vAlign w:val="bottom"/>
            <w:tcBorders>
              <w:top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Description of the financial instrument</w:t>
            </w:r>
          </w:p>
        </w:tc>
        <w:tc>
          <w:tcPr>
            <w:tcW w:w="7280" w:type="dxa"/>
            <w:vAlign w:val="bottom"/>
            <w:tcBorders>
              <w:top w:val="single" w:sz="8" w:color="auto"/>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Ordinary shares of €0.07 each</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0" w:type="dxa"/>
            <w:vAlign w:val="bottom"/>
          </w:tcPr>
          <w:p>
            <w:pPr>
              <w:spacing w:after="0"/>
              <w:rPr>
                <w:sz w:val="1"/>
                <w:szCs w:val="1"/>
                <w:color w:val="auto"/>
              </w:rPr>
            </w:pPr>
          </w:p>
        </w:tc>
      </w:tr>
      <w:tr>
        <w:trPr>
          <w:trHeight w:val="191"/>
        </w:trPr>
        <w:tc>
          <w:tcPr>
            <w:tcW w:w="3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7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Dividend shares in respect of shares previously delivered under the annual bonus and/or shares</w:t>
            </w:r>
          </w:p>
        </w:tc>
        <w:tc>
          <w:tcPr>
            <w:tcW w:w="0" w:type="dxa"/>
            <w:vAlign w:val="bottom"/>
          </w:tcPr>
          <w:p>
            <w:pPr>
              <w:spacing w:after="0"/>
              <w:rPr>
                <w:sz w:val="1"/>
                <w:szCs w:val="1"/>
                <w:color w:val="auto"/>
              </w:rPr>
            </w:pPr>
          </w:p>
        </w:tc>
      </w:tr>
      <w:tr>
        <w:trPr>
          <w:trHeight w:val="126"/>
        </w:trPr>
        <w:tc>
          <w:tcPr>
            <w:tcW w:w="3960" w:type="dxa"/>
            <w:vAlign w:val="bottom"/>
            <w:tcBorders>
              <w:right w:val="single" w:sz="8" w:color="auto"/>
            </w:tcBorders>
            <w:vMerge w:val="continue"/>
          </w:tcPr>
          <w:p>
            <w:pPr>
              <w:spacing w:after="0"/>
              <w:rPr>
                <w:sz w:val="10"/>
                <w:szCs w:val="10"/>
                <w:color w:val="auto"/>
              </w:rPr>
            </w:pPr>
          </w:p>
        </w:tc>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previously vested under employee share plans and held in a Share Plan Account.</w:t>
            </w:r>
          </w:p>
        </w:tc>
        <w:tc>
          <w:tcPr>
            <w:tcW w:w="0" w:type="dxa"/>
            <w:vAlign w:val="bottom"/>
          </w:tcPr>
          <w:p>
            <w:pPr>
              <w:spacing w:after="0"/>
              <w:rPr>
                <w:sz w:val="1"/>
                <w:szCs w:val="1"/>
                <w:color w:val="auto"/>
              </w:rPr>
            </w:pPr>
          </w:p>
        </w:tc>
      </w:tr>
      <w:tr>
        <w:trPr>
          <w:trHeight w:val="108"/>
        </w:trPr>
        <w:tc>
          <w:tcPr>
            <w:tcW w:w="3960" w:type="dxa"/>
            <w:vAlign w:val="bottom"/>
            <w:tcBorders>
              <w:bottom w:val="single" w:sz="8" w:color="auto"/>
              <w:right w:val="single" w:sz="8" w:color="auto"/>
            </w:tcBorders>
          </w:tcPr>
          <w:p>
            <w:pPr>
              <w:spacing w:after="0"/>
              <w:rPr>
                <w:sz w:val="9"/>
                <w:szCs w:val="9"/>
                <w:color w:val="auto"/>
              </w:rPr>
            </w:pPr>
          </w:p>
        </w:tc>
        <w:tc>
          <w:tcPr>
            <w:tcW w:w="72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EUR</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33.8917</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1,124.75351</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38,119.809</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7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33.8917</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1,124.75351</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38,119.809</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27/03/2025</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Amsterdam</w:t>
            </w:r>
          </w:p>
        </w:tc>
        <w:tc>
          <w:tcPr>
            <w:tcW w:w="0" w:type="dxa"/>
            <w:vAlign w:val="bottom"/>
          </w:tcPr>
          <w:p>
            <w:pPr>
              <w:spacing w:after="0"/>
              <w:rPr>
                <w:sz w:val="1"/>
                <w:szCs w:val="1"/>
                <w:color w:val="auto"/>
              </w:rPr>
            </w:pPr>
          </w:p>
        </w:tc>
      </w:tr>
      <w:tr>
        <w:trPr>
          <w:trHeight w:val="210"/>
        </w:trPr>
        <w:tc>
          <w:tcPr>
            <w:tcW w:w="1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 Details of the person discharging managerial responsibilities/person closely associated</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First Name(s)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Zoe</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Last Name(s)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Yujnovich</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 Reason for the notification</w:t>
            </w:r>
          </w:p>
        </w:tc>
        <w:tc>
          <w:tcPr>
            <w:tcW w:w="7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Position/status</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Integrated Gas and Upstream Director</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Initial notification/ amendment</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notification</w:t>
            </w:r>
          </w:p>
        </w:tc>
        <w:tc>
          <w:tcPr>
            <w:tcW w:w="0" w:type="dxa"/>
            <w:vAlign w:val="bottom"/>
          </w:tcPr>
          <w:p>
            <w:pPr>
              <w:spacing w:after="0"/>
              <w:rPr>
                <w:sz w:val="1"/>
                <w:szCs w:val="1"/>
                <w:color w:val="auto"/>
              </w:rPr>
            </w:pPr>
          </w:p>
        </w:tc>
      </w:tr>
      <w:tr>
        <w:trPr>
          <w:trHeight w:val="209"/>
        </w:trPr>
        <w:tc>
          <w:tcPr>
            <w:tcW w:w="1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 Details of the issuer, emission allowance market participant, auction platform, auctioneer or auction monitor</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Full name of the entity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Shell plc</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Legal Entity Identifier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21380068P1DRHMJ8KU70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-1319530</wp:posOffset>
            </wp:positionV>
            <wp:extent cx="8890" cy="2834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283464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-1319530</wp:posOffset>
            </wp:positionV>
            <wp:extent cx="8890" cy="2834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2834640"/>
                    </a:xfrm>
                    <a:prstGeom prst="rect">
                      <a:avLst/>
                    </a:prstGeom>
                    <a:noFill/>
                  </pic:spPr>
                </pic:pic>
              </a:graphicData>
            </a:graphic>
          </wp:anchor>
        </w:drawing>
      </w:r>
    </w:p>
    <w:p>
      <w:pPr>
        <w:ind w:left="20" w:right="260" w:firstLine="1"/>
        <w:spacing w:after="0" w:line="260" w:lineRule="auto"/>
        <w:tabs>
          <w:tab w:leader="none" w:pos="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transaction(s): section to be repeated for (i) each type of instrument; (ii) each type of transaction; (iii) each date; (iv) each place where transactions have been conducted</w:t>
      </w:r>
    </w:p>
    <w:tbl>
      <w:tblPr>
        <w:tblLayout w:type="fixed"/>
        <w:tblInd w:w="0" w:type="dxa"/>
        <w:tblCellMar>
          <w:top w:w="0" w:type="dxa"/>
          <w:left w:w="0" w:type="dxa"/>
          <w:bottom w:w="0" w:type="dxa"/>
          <w:right w:w="0" w:type="dxa"/>
        </w:tblCellMar>
      </w:tblPr>
      <w:tr>
        <w:trPr>
          <w:trHeight w:val="193"/>
        </w:trPr>
        <w:tc>
          <w:tcPr>
            <w:tcW w:w="3960" w:type="dxa"/>
            <w:vAlign w:val="bottom"/>
            <w:tcBorders>
              <w:top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Description of the financial instrument</w:t>
            </w:r>
          </w:p>
        </w:tc>
        <w:tc>
          <w:tcPr>
            <w:tcW w:w="7280" w:type="dxa"/>
            <w:vAlign w:val="bottom"/>
            <w:tcBorders>
              <w:top w:val="single" w:sz="8" w:color="auto"/>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Ordinary shares of €0.07 each</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Identification Code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GB00BP6MXD84</w:t>
            </w:r>
          </w:p>
        </w:tc>
        <w:tc>
          <w:tcPr>
            <w:tcW w:w="0" w:type="dxa"/>
            <w:vAlign w:val="bottom"/>
          </w:tcPr>
          <w:p>
            <w:pPr>
              <w:spacing w:after="0"/>
              <w:rPr>
                <w:sz w:val="1"/>
                <w:szCs w:val="1"/>
                <w:color w:val="auto"/>
              </w:rPr>
            </w:pPr>
          </w:p>
        </w:tc>
      </w:tr>
      <w:tr>
        <w:trPr>
          <w:trHeight w:val="191"/>
        </w:trPr>
        <w:tc>
          <w:tcPr>
            <w:tcW w:w="3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Nature of the transaction</w:t>
            </w:r>
          </w:p>
        </w:tc>
        <w:tc>
          <w:tcPr>
            <w:tcW w:w="7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Dividend shares in respect of shares previously delivered under the annual bonus and/or shares</w:t>
            </w:r>
          </w:p>
        </w:tc>
        <w:tc>
          <w:tcPr>
            <w:tcW w:w="0" w:type="dxa"/>
            <w:vAlign w:val="bottom"/>
          </w:tcPr>
          <w:p>
            <w:pPr>
              <w:spacing w:after="0"/>
              <w:rPr>
                <w:sz w:val="1"/>
                <w:szCs w:val="1"/>
                <w:color w:val="auto"/>
              </w:rPr>
            </w:pPr>
          </w:p>
        </w:tc>
      </w:tr>
      <w:tr>
        <w:trPr>
          <w:trHeight w:val="126"/>
        </w:trPr>
        <w:tc>
          <w:tcPr>
            <w:tcW w:w="3960" w:type="dxa"/>
            <w:vAlign w:val="bottom"/>
            <w:tcBorders>
              <w:right w:val="single" w:sz="8" w:color="auto"/>
            </w:tcBorders>
            <w:vMerge w:val="continue"/>
          </w:tcPr>
          <w:p>
            <w:pPr>
              <w:spacing w:after="0"/>
              <w:rPr>
                <w:sz w:val="10"/>
                <w:szCs w:val="10"/>
                <w:color w:val="auto"/>
              </w:rPr>
            </w:pPr>
          </w:p>
        </w:tc>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previously vested under employee share plans and held in a Share Plan Account.</w:t>
            </w:r>
          </w:p>
        </w:tc>
        <w:tc>
          <w:tcPr>
            <w:tcW w:w="0" w:type="dxa"/>
            <w:vAlign w:val="bottom"/>
          </w:tcPr>
          <w:p>
            <w:pPr>
              <w:spacing w:after="0"/>
              <w:rPr>
                <w:sz w:val="1"/>
                <w:szCs w:val="1"/>
                <w:color w:val="auto"/>
              </w:rPr>
            </w:pPr>
          </w:p>
        </w:tc>
      </w:tr>
      <w:tr>
        <w:trPr>
          <w:trHeight w:val="108"/>
        </w:trPr>
        <w:tc>
          <w:tcPr>
            <w:tcW w:w="3960" w:type="dxa"/>
            <w:vAlign w:val="bottom"/>
            <w:tcBorders>
              <w:bottom w:val="single" w:sz="8" w:color="auto"/>
              <w:right w:val="single" w:sz="8" w:color="auto"/>
            </w:tcBorders>
          </w:tcPr>
          <w:p>
            <w:pPr>
              <w:spacing w:after="0"/>
              <w:rPr>
                <w:sz w:val="9"/>
                <w:szCs w:val="9"/>
                <w:color w:val="auto"/>
              </w:rPr>
            </w:pPr>
          </w:p>
        </w:tc>
        <w:tc>
          <w:tcPr>
            <w:tcW w:w="72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EUR</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33.8917</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1,110.95</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37,651.984</w:t>
            </w:r>
          </w:p>
        </w:tc>
        <w:tc>
          <w:tcPr>
            <w:tcW w:w="0" w:type="dxa"/>
            <w:vAlign w:val="bottom"/>
          </w:tcPr>
          <w:p>
            <w:pPr>
              <w:spacing w:after="0"/>
              <w:rPr>
                <w:sz w:val="1"/>
                <w:szCs w:val="1"/>
                <w:color w:val="auto"/>
              </w:rPr>
            </w:pPr>
          </w:p>
        </w:tc>
      </w:tr>
      <w:tr>
        <w:trPr>
          <w:trHeight w:val="110"/>
        </w:trPr>
        <w:tc>
          <w:tcPr>
            <w:tcW w:w="3960" w:type="dxa"/>
            <w:vAlign w:val="bottom"/>
            <w:tcBorders>
              <w:right w:val="single" w:sz="8" w:color="auto"/>
            </w:tcBorders>
          </w:tcPr>
          <w:p>
            <w:pPr>
              <w:spacing w:after="0"/>
              <w:rPr>
                <w:sz w:val="9"/>
                <w:szCs w:val="9"/>
                <w:color w:val="auto"/>
              </w:rPr>
            </w:pPr>
          </w:p>
        </w:tc>
        <w:tc>
          <w:tcPr>
            <w:tcW w:w="7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47" w:right="339" w:bottom="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Aggregated information</w:t>
            </w:r>
          </w:p>
        </w:tc>
        <w:tc>
          <w:tcPr>
            <w:tcW w:w="7280" w:type="dxa"/>
            <w:vAlign w:val="bottom"/>
            <w:tcBorders>
              <w:bottom w:val="single" w:sz="8" w:color="auto"/>
              <w:right w:val="single" w:sz="8" w:color="auto"/>
            </w:tcBorders>
          </w:tcPr>
          <w:p>
            <w:pPr>
              <w:spacing w:after="0"/>
              <w:rPr>
                <w:sz w:val="18"/>
                <w:szCs w:val="18"/>
                <w:color w:val="auto"/>
              </w:rPr>
            </w:pPr>
          </w:p>
        </w:tc>
      </w:tr>
      <w:tr>
        <w:trPr>
          <w:trHeight w:val="209"/>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7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33.8917</w:t>
            </w:r>
          </w:p>
        </w:tc>
      </w:tr>
      <w:tr>
        <w:trPr>
          <w:trHeight w:val="209"/>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7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1,110.95</w:t>
            </w:r>
          </w:p>
        </w:tc>
      </w:tr>
      <w:tr>
        <w:trPr>
          <w:trHeight w:val="210"/>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37,651.984</w:t>
            </w:r>
          </w:p>
        </w:tc>
      </w:tr>
      <w:tr>
        <w:trPr>
          <w:trHeight w:val="209"/>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7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27/03/2025</w:t>
            </w:r>
          </w:p>
        </w:tc>
      </w:tr>
      <w:tr>
        <w:trPr>
          <w:trHeight w:val="209"/>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Place of transaction</w:t>
            </w:r>
          </w:p>
        </w:tc>
        <w:tc>
          <w:tcPr>
            <w:tcW w:w="7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Amsterdam</w:t>
            </w:r>
          </w:p>
        </w:tc>
      </w:tr>
      <w:tr>
        <w:trPr>
          <w:trHeight w:val="436"/>
        </w:trPr>
        <w:tc>
          <w:tcPr>
            <w:tcW w:w="3960" w:type="dxa"/>
            <w:vAlign w:val="bottom"/>
            <w:tcBorders>
              <w:bottom w:val="single" w:sz="8" w:color="808080"/>
            </w:tcBorders>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80" w:hanging="505"/>
        <w:spacing w:after="0"/>
        <w:tabs>
          <w:tab w:leader="none" w:pos="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and 333-272192).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3613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400" w:type="dxa"/>
            <w:vAlign w:val="bottom"/>
          </w:tcPr>
          <w:p>
            <w:pPr>
              <w:spacing w:after="0"/>
              <w:rPr>
                <w:sz w:val="17"/>
                <w:szCs w:val="17"/>
                <w:color w:val="auto"/>
              </w:rPr>
            </w:pPr>
          </w:p>
        </w:tc>
      </w:tr>
      <w:tr>
        <w:trPr>
          <w:trHeight w:val="237"/>
        </w:trPr>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SEAN ASHLEY</w:t>
            </w:r>
          </w:p>
        </w:tc>
      </w:tr>
      <w:tr>
        <w:trPr>
          <w:trHeight w:val="218"/>
        </w:trPr>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Sean Ashley</w:t>
            </w:r>
          </w:p>
        </w:tc>
      </w:tr>
      <w:tr>
        <w:trPr>
          <w:trHeight w:val="234"/>
        </w:trPr>
        <w:tc>
          <w:tcPr>
            <w:tcW w:w="770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Company Secretary</w:t>
            </w:r>
          </w:p>
        </w:tc>
      </w:tr>
    </w:tbl>
    <w:p>
      <w:pPr>
        <w:spacing w:after="0" w:line="1" w:lineRule="exact"/>
        <w:rPr>
          <w:sz w:val="20"/>
          <w:szCs w:val="20"/>
          <w:color w:val="auto"/>
        </w:rPr>
      </w:pPr>
    </w:p>
    <w:sectPr>
      <w:pgSz w:w="11900" w:h="16838" w:orient="portrait"/>
      <w:cols w:equalWidth="0" w:num="1">
        <w:col w:w="11160"/>
      </w:cols>
      <w:pgMar w:left="320" w:top="32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lowerLetter"/>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2025-04-01T05:14:44Z</dcterms:created>
  <dcterms:modified xsi:type="dcterms:W3CDTF">2025-04-01T05:14:44Z</dcterms:modified>
</cp:coreProperties>
</file>