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001-32575</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552" w:type="dxa"/>
                    <w:jc w:val="center"/>
                    <w:tblInd w:w="0" w:type="dxa"/>
                    <w:tblLayout w:type="fixed"/>
                    <w:tblCellMar>
                      <w:top w:w="28" w:type="dxa"/>
                      <w:left w:w="28" w:type="dxa"/>
                      <w:bottom w:w="28" w:type="dxa"/>
                      <w:right w:w="28" w:type="dxa"/>
                    </w:tblCellMar>
                  </w:tblPr>
                  <w:tblGrid>
                    <w:gridCol w:w="1261"/>
                    <w:gridCol w:w="429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291" w:type="dxa"/>
                        <w:tcBorders/>
                        <w:vAlign w:val="center"/>
                      </w:tcPr>
                      <w:p>
                        <w:pPr>
                          <w:pStyle w:val="TableContents"/>
                          <w:bidi w:val="0"/>
                          <w:spacing w:before="0" w:after="283"/>
                          <w:jc w:val="left"/>
                          <w:rPr/>
                        </w:pPr>
                        <w:hyperlink r:id="rId3">
                          <w:r>
                            <w:rPr>
                              <w:rStyle w:val="InternetLink"/>
                            </w:rPr>
                            <w:t>Shell plc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2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STOCK EXCHANGE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6947" w:type="dxa"/>
                    <w:jc w:val="center"/>
                    <w:tblInd w:w="0" w:type="dxa"/>
                    <w:tblLayout w:type="fixed"/>
                    <w:tblCellMar>
                      <w:top w:w="28" w:type="dxa"/>
                      <w:left w:w="28" w:type="dxa"/>
                      <w:bottom w:w="28" w:type="dxa"/>
                      <w:right w:w="28" w:type="dxa"/>
                    </w:tblCellMar>
                  </w:tblPr>
                  <w:tblGrid>
                    <w:gridCol w:w="2206"/>
                    <w:gridCol w:w="2052"/>
                    <w:gridCol w:w="261"/>
                    <w:gridCol w:w="261"/>
                    <w:gridCol w:w="261"/>
                    <w:gridCol w:w="190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2835"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Shell Centre, 2-4 York Road</w:t>
                        </w:r>
                      </w:p>
                    </w:tc>
                    <w:tc>
                      <w:tcPr>
                        <w:tcW w:w="190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tcPr>
                      <w:p>
                        <w:pPr>
                          <w:pStyle w:val="TableContents"/>
                          <w:bidi w:val="0"/>
                          <w:spacing w:before="0" w:after="283"/>
                          <w:jc w:val="left"/>
                          <w:rPr>
                            <w:sz w:val="4"/>
                            <w:szCs w:val="4"/>
                          </w:rPr>
                        </w:pPr>
                        <w:r>
                          <w:rPr>
                            <w:sz w:val="4"/>
                            <w:szCs w:val="4"/>
                          </w:rPr>
                        </w:r>
                      </w:p>
                    </w:tc>
                    <w:tc>
                      <w:tcPr>
                        <w:tcW w:w="190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2835" w:type="dxa"/>
                        <w:gridSpan w:val="4"/>
                        <w:tcBorders/>
                        <w:vAlign w:val="center"/>
                      </w:tcPr>
                      <w:p>
                        <w:pPr>
                          <w:pStyle w:val="TableContents"/>
                          <w:bidi w:val="0"/>
                          <w:spacing w:before="0" w:after="283"/>
                          <w:jc w:val="left"/>
                          <w:rPr>
                            <w:sz w:val="4"/>
                            <w:szCs w:val="4"/>
                          </w:rPr>
                        </w:pPr>
                        <w:r>
                          <w:rPr>
                            <w:sz w:val="4"/>
                            <w:szCs w:val="4"/>
                          </w:rPr>
                        </w:r>
                      </w:p>
                    </w:tc>
                    <w:tc>
                      <w:tcPr>
                        <w:tcW w:w="19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+44 20 7934 1234</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Guarantor of 2.500% Guaranteed Notes due 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NEW YORK STOCK EXCHANGE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2026-09-14</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Anthony Sozzi</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Analyst, Market Watch</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TextBody"/>
        <w:bidi w:val="0"/>
        <w:spacing w:before="0" w:after="283"/>
        <w:jc w:val="left"/>
        <w:rPr/>
      </w:pPr>
      <w:bookmarkStart w:id="5" w:name="ruleprovisionnotice.htm"/>
      <w:bookmarkStart w:id="6" w:name="ksruleprovisionnotice"/>
      <w:bookmarkEnd w:id="5"/>
      <w:bookmarkEnd w:id="6"/>
      <w:r>
        <w:rPr/>
        <w:t>NOTIFICATION OF THE REMOVAL FROM LISTING AND REGISTRATION OF THE STATED SECURITIES The New York Stock Exchange hereby notifies the SEC of its intention to remove the guarantor of the stated securities from listing and registration on the Exchange at the opening of business on September 25, 2026, pursuant to the provisions of Rule 12d2-2 (a). [ X ] 17 CFR 240.12d2-2(a)(2) That the entire class of this security was redeemed or paid at maturity or retirement on September 12, 2026. The Exchange also notifies the Securities and Exchange Commission that as a result of the above indicated conditions this security was suspended from trading on September 14, 2026.</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2575" TargetMode="External"/><Relationship Id="rId3" Type="http://schemas.openxmlformats.org/officeDocument/2006/relationships/hyperlink" Target="http://www.sec.gov/cgi-bin/browse-edgar?action=getcompany&amp;CIK=0001306965"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437</Words>
  <Characters>2338</Characters>
  <CharactersWithSpaces>2739</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