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For the month of July 2026</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s>
        <w:rPr>
          <w:sz w:val="20"/>
          <w:szCs w:val="20"/>
          <w:color w:val="auto"/>
        </w:rPr>
      </w:pPr>
      <w:r>
        <w:rPr>
          <w:rFonts w:ascii="Times New Roman" w:cs="Times New Roman" w:eastAsia="Times New Roman" w:hAnsi="Times New Roman"/>
          <w:sz w:val="22"/>
          <w:szCs w:val="22"/>
          <w:color w:val="auto"/>
        </w:rPr>
        <w:t>Form 20-F [ X ]</w:t>
        <w:tab/>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June,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01 June,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80" w:type="dxa"/>
            <w:vAlign w:val="bottom"/>
            <w:tcBorders>
              <w:top w:val="single" w:sz="8" w:color="auto"/>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Number of Shares</w:t>
            </w:r>
          </w:p>
        </w:tc>
        <w:tc>
          <w:tcPr>
            <w:tcW w:w="15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Highest price paid</w:t>
            </w:r>
          </w:p>
        </w:tc>
        <w:tc>
          <w:tcPr>
            <w:tcW w:w="158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purchased</w:t>
            </w: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average price paid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41"/>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per share</w:t>
            </w:r>
          </w:p>
        </w:tc>
        <w:tc>
          <w:tcPr>
            <w:tcW w:w="16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r>
      <w:tr>
        <w:trPr>
          <w:trHeight w:val="239"/>
        </w:trPr>
        <w:tc>
          <w:tcPr>
            <w:tcW w:w="16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01/06/2026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900,000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£ 32.0900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£ 31.3900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£ 31.8075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01/06/2026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£ 32.0900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£ 31.4000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£ 31.8018</w:t>
            </w:r>
          </w:p>
        </w:tc>
        <w:tc>
          <w:tcPr>
            <w:tcW w:w="16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Chi-X (CXE)</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01/06/2026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share purchases form part of the Company's share buy-back programme previously announced on 7 May 2026.</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7 May 2026 up to and including 24 July 2026.</w:t>
      </w:r>
    </w:p>
    <w:p>
      <w:pPr>
        <w:spacing w:after="0" w:line="158"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1"/>
          <w:szCs w:val="21"/>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74"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00"/>
        <w:spacing w:after="0" w:line="258" w:lineRule="auto"/>
        <w:rPr>
          <w:sz w:val="20"/>
          <w:szCs w:val="20"/>
          <w:color w:val="auto"/>
        </w:rPr>
      </w:pPr>
      <w:r>
        <w:rPr>
          <w:rFonts w:ascii="Times New Roman" w:cs="Times New Roman" w:eastAsia="Times New Roman" w:hAnsi="Times New Roman"/>
          <w:sz w:val="22"/>
          <w:szCs w:val="22"/>
          <w:color w:val="auto"/>
        </w:rPr>
        <w:t>20260601_Shell RNS - full version (https://ml-eu.globenewswire.com/Resource/Download/01664745-7add-4db1-9923-217f907965d4)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June,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02 June,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02/06/2026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750,542</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£ 32.1200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£ 31.6150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£ 31.9460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02/06/2026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200,000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£ 32.1200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£ 31.6100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£ 31.9019</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02/06/2026</w:t>
            </w:r>
          </w:p>
        </w:tc>
        <w:tc>
          <w:tcPr>
            <w:tcW w:w="15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share purchases form part of the Company's share buy-back programme previously announced on 7 May 2026.</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7 May 2026 up to and including 24 July 2026.</w:t>
      </w:r>
    </w:p>
    <w:p>
      <w:pPr>
        <w:spacing w:after="0" w:line="158"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1"/>
          <w:szCs w:val="21"/>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74"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20260602_Shell RNS - full version (https://ml-eu.globenewswire.com/Resource/Download/32a1afd6-c148-4d5b-a348-6d0c917dd3d9)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June,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03 June,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56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03/06/2026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1,100,000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£ 32.7800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£ 32.3450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£ 32.6418</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03/06/2026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200,000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£ 32.7750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£ 32.3400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£ 32.6376</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03/06/2026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100,000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£ 32.7650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£ 32.4050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£ 32.6462</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share purchases form part of the Company's share buy-back programme previously announced on 7 May 2026.</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7 May 2026 up to and including 24 July 2026.</w:t>
      </w:r>
    </w:p>
    <w:p>
      <w:pPr>
        <w:spacing w:after="0" w:line="158"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1"/>
          <w:szCs w:val="21"/>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74"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40"/>
        <w:spacing w:after="0" w:line="258" w:lineRule="auto"/>
        <w:rPr>
          <w:sz w:val="20"/>
          <w:szCs w:val="20"/>
          <w:color w:val="auto"/>
        </w:rPr>
      </w:pPr>
      <w:r>
        <w:rPr>
          <w:rFonts w:ascii="Times New Roman" w:cs="Times New Roman" w:eastAsia="Times New Roman" w:hAnsi="Times New Roman"/>
          <w:sz w:val="22"/>
          <w:szCs w:val="22"/>
          <w:color w:val="auto"/>
        </w:rPr>
        <w:t>20260603_Shell RNS - full version (https://ml-eu.globenewswire.com/Resource/Download/745ab13f-010c-4d62-96bd-dbf9aaaab554)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June,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04 June,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04/06/2026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1,020,000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£ 32.4100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£ 31.8600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£ 32.1362</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04/06/2026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200,000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£ 32.4150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£ 31.8600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£ 32.1419</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04/06/2026</w:t>
            </w:r>
          </w:p>
        </w:tc>
        <w:tc>
          <w:tcPr>
            <w:tcW w:w="15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share purchases form part of the Company's share buy-back programme previously announced on 7 May 2026.</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7 May 2026 up to and including 24 July 2026.</w:t>
      </w:r>
    </w:p>
    <w:p>
      <w:pPr>
        <w:spacing w:after="0" w:line="158"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1"/>
          <w:szCs w:val="21"/>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74"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00"/>
        <w:spacing w:after="0" w:line="258" w:lineRule="auto"/>
        <w:rPr>
          <w:sz w:val="20"/>
          <w:szCs w:val="20"/>
          <w:color w:val="auto"/>
        </w:rPr>
      </w:pPr>
      <w:r>
        <w:rPr>
          <w:rFonts w:ascii="Times New Roman" w:cs="Times New Roman" w:eastAsia="Times New Roman" w:hAnsi="Times New Roman"/>
          <w:sz w:val="22"/>
          <w:szCs w:val="22"/>
          <w:color w:val="auto"/>
        </w:rPr>
        <w:t>20260604_Shell RNS - full version (https://ml-eu.globenewswire.com/Resource/Download/b0b523ed-8d76-4610-88cb-0cf0f5319a6f)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June,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05 June,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05/06/2026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1,000,000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£ 32.4200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£ 32.0950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£ 32.3157</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05/06/2026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250,000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£ 32.4200</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£ 32.1100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£ 32.3127</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05/06/2026</w:t>
            </w:r>
          </w:p>
        </w:tc>
        <w:tc>
          <w:tcPr>
            <w:tcW w:w="15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share purchases form part of the Company's share buy-back programme previously announced on 7 May 2026.</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7 May 2026 up to and including 24 July 2026.</w:t>
      </w:r>
    </w:p>
    <w:p>
      <w:pPr>
        <w:spacing w:after="0" w:line="158"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1"/>
          <w:szCs w:val="21"/>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74"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20260605_Shell RNS - full version (https://ml-eu.globenewswire.com/Resource/Download/a3428aa3-e686-4ca8-b308-502b926c71fa)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June,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08 June,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56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08/06/2026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950,000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£ 32.6550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£ 32.2650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£ 32.4716</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08/06/2026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200,000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£ 32.6250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£ 32.2850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£ 32.4728</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08/06/2026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50,000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£ 32.6150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£ 32.2900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£ 32.4766</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share purchases form part of the Company's share buy-back programme previously announced on 7 May 2026.</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7 May 2026 up to and including 24 July 2026.</w:t>
      </w:r>
    </w:p>
    <w:p>
      <w:pPr>
        <w:spacing w:after="0" w:line="158"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1"/>
          <w:szCs w:val="21"/>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74"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20260608_Shell RNS - full version (https://ml-eu.globenewswire.com/Resource/Download/9751213f-c60c-4d9e-93e6-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95547e162689)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June,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09 June,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09/06/2026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1,050,000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£ 32.3000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£ 31.6950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£ 31.9980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09/06/2026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200,000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£ 32.2950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£ 31.6950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£ 32.0021</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09/06/2026</w:t>
            </w:r>
          </w:p>
        </w:tc>
        <w:tc>
          <w:tcPr>
            <w:tcW w:w="15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share purchases form part of the Company's share buy-back programme previously announced on 7 May 2026.</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7 May 2026 up to and including 24 July 2026.</w:t>
      </w:r>
    </w:p>
    <w:p>
      <w:pPr>
        <w:spacing w:after="0" w:line="158"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1"/>
          <w:szCs w:val="21"/>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74"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420"/>
        <w:spacing w:after="0" w:line="258" w:lineRule="auto"/>
        <w:rPr>
          <w:sz w:val="20"/>
          <w:szCs w:val="20"/>
          <w:color w:val="auto"/>
        </w:rPr>
      </w:pPr>
      <w:r>
        <w:rPr>
          <w:rFonts w:ascii="Times New Roman" w:cs="Times New Roman" w:eastAsia="Times New Roman" w:hAnsi="Times New Roman"/>
          <w:sz w:val="22"/>
          <w:szCs w:val="22"/>
          <w:color w:val="auto"/>
        </w:rPr>
        <w:t>20260609_Shell RNS - full version (https://ml-eu.globenewswire.com/Resource/Download/a00fa4d1-def6-4e08-8e6a-41987f7580fa)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June,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10 June,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56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10/06/2026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1,376,000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£ 32.4250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£ 31.7400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£ 32.1597</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10/06/2026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291,000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£ 32.4250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£ 31.7450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£ 32.1560</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10/06/2026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234,813</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£ 32.4200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£ 31.7600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£ 32.1375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share purchases form part of the Company's share buy-back programme previously announced on 7 May 2026.</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7 May 2026 up to and including 24 July 2026.</w:t>
      </w:r>
    </w:p>
    <w:p>
      <w:pPr>
        <w:spacing w:after="0" w:line="158"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1"/>
          <w:szCs w:val="21"/>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74"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400"/>
        <w:spacing w:after="0" w:line="258" w:lineRule="auto"/>
        <w:rPr>
          <w:sz w:val="20"/>
          <w:szCs w:val="20"/>
          <w:color w:val="auto"/>
        </w:rPr>
      </w:pPr>
      <w:r>
        <w:rPr>
          <w:rFonts w:ascii="Times New Roman" w:cs="Times New Roman" w:eastAsia="Times New Roman" w:hAnsi="Times New Roman"/>
          <w:sz w:val="22"/>
          <w:szCs w:val="22"/>
          <w:color w:val="auto"/>
        </w:rPr>
        <w:t>20260610_Shell RNS - full version (https://ml-eu.globenewswire.com/Resource/Download/f4001bbe-f145-4b2f-9452-6b39816837cf)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June,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11 June,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56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11/06/2026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1,395,700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£ 32.9950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£ 32.4700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£ 32.8174</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11/06/2026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299,500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£ 32.9950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£ 32.4700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£ 32.8147</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11/06/2026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290,823</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£ 32.9950</w:t>
            </w:r>
          </w:p>
        </w:tc>
        <w:tc>
          <w:tcPr>
            <w:tcW w:w="156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£ 32.4850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£ 32.8175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GBP</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share purchases form part of the Company's share buy-back programme previously announced on 7 May 2026.</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7 May 2026 up to and including 24 July 2026.</w:t>
      </w:r>
    </w:p>
    <w:p>
      <w:pPr>
        <w:spacing w:after="0" w:line="158"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1"/>
          <w:szCs w:val="21"/>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74"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80"/>
        <w:spacing w:after="0" w:line="258" w:lineRule="auto"/>
        <w:rPr>
          <w:sz w:val="20"/>
          <w:szCs w:val="20"/>
          <w:color w:val="auto"/>
        </w:rPr>
      </w:pPr>
      <w:r>
        <w:rPr>
          <w:rFonts w:ascii="Times New Roman" w:cs="Times New Roman" w:eastAsia="Times New Roman" w:hAnsi="Times New Roman"/>
          <w:sz w:val="22"/>
          <w:szCs w:val="22"/>
          <w:color w:val="auto"/>
        </w:rPr>
        <w:t>20260611_Shell RNS - full version (https://ml-eu.globenewswire.com/Resource/Download/f14e7c9d-3d6e-45ba-875a-60180ce8d304)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w:t>
      </w:r>
    </w:p>
    <w:p>
      <w:pPr>
        <w:spacing w:after="0" w:line="161" w:lineRule="exact"/>
        <w:rPr>
          <w:rFonts w:ascii="Times New Roman" w:cs="Times New Roman" w:eastAsia="Times New Roman" w:hAnsi="Times New Roman"/>
          <w:sz w:val="18"/>
          <w:szCs w:val="18"/>
          <w:color w:val="auto"/>
        </w:rPr>
      </w:pPr>
    </w:p>
    <w:p>
      <w:pPr>
        <w:ind w:left="560" w:hanging="498"/>
        <w:spacing w:after="0"/>
        <w:tabs>
          <w:tab w:leader="none" w:pos="5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on Form F-4 of Shell Finance US Inc. and Shell plc (Registration Numbers 333-296155 and 333-296155-01); and</w:t>
      </w:r>
    </w:p>
    <w:p>
      <w:pPr>
        <w:spacing w:after="0" w:line="236" w:lineRule="exact"/>
        <w:rPr>
          <w:rFonts w:ascii="Times New Roman" w:cs="Times New Roman" w:eastAsia="Times New Roman" w:hAnsi="Times New Roman"/>
          <w:sz w:val="17"/>
          <w:szCs w:val="17"/>
          <w:color w:val="auto"/>
        </w:rPr>
      </w:pPr>
    </w:p>
    <w:p>
      <w:pPr>
        <w:ind w:left="560" w:hanging="498"/>
        <w:spacing w:after="0"/>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333-272192 and 333-292109).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908685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320" w:top="688" w:right="879" w:bottom="1440" w:gutter="0" w:footer="0" w:header="0"/>
        </w:sectPr>
      </w:pPr>
    </w:p>
    <w:bookmarkStart w:id="11" w:name="page12"/>
    <w:bookmarkEnd w:id="1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500" w:type="dxa"/>
            <w:vAlign w:val="bottom"/>
            <w:gridSpan w:val="2"/>
          </w:tcPr>
          <w:p>
            <w:pPr>
              <w:spacing w:after="0"/>
              <w:rPr>
                <w:sz w:val="17"/>
                <w:szCs w:val="17"/>
                <w:color w:val="auto"/>
              </w:rPr>
            </w:pPr>
          </w:p>
        </w:tc>
      </w:tr>
      <w:tr>
        <w:trPr>
          <w:trHeight w:val="237"/>
        </w:trPr>
        <w:tc>
          <w:tcPr>
            <w:tcW w:w="44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3360" w:type="dxa"/>
            <w:vAlign w:val="bottom"/>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Karen Heslop</w:t>
            </w:r>
          </w:p>
        </w:tc>
        <w:tc>
          <w:tcPr>
            <w:tcW w:w="220" w:type="dxa"/>
            <w:vAlign w:val="bottom"/>
          </w:tcPr>
          <w:p>
            <w:pPr>
              <w:spacing w:after="0"/>
              <w:rPr>
                <w:sz w:val="24"/>
                <w:szCs w:val="24"/>
                <w:color w:val="auto"/>
              </w:rPr>
            </w:pPr>
          </w:p>
        </w:tc>
      </w:tr>
      <w:tr>
        <w:trPr>
          <w:trHeight w:val="218"/>
        </w:trPr>
        <w:tc>
          <w:tcPr>
            <w:tcW w:w="44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Karen Heslop</w:t>
            </w:r>
          </w:p>
        </w:tc>
      </w:tr>
      <w:tr>
        <w:trPr>
          <w:trHeight w:val="234"/>
        </w:trPr>
        <w:tc>
          <w:tcPr>
            <w:tcW w:w="4460" w:type="dxa"/>
            <w:vAlign w:val="bottom"/>
          </w:tcPr>
          <w:p>
            <w:pPr>
              <w:spacing w:after="0"/>
              <w:rPr>
                <w:sz w:val="20"/>
                <w:szCs w:val="20"/>
                <w:color w:val="auto"/>
              </w:rPr>
            </w:pPr>
          </w:p>
        </w:tc>
        <w:tc>
          <w:tcPr>
            <w:tcW w:w="5140" w:type="dxa"/>
            <w:vAlign w:val="bottom"/>
            <w:gridSpan w:val="5"/>
          </w:tcPr>
          <w:p>
            <w:pPr>
              <w:jc w:val="center"/>
              <w:ind w:left="3050"/>
              <w:spacing w:after="0"/>
              <w:rPr>
                <w:sz w:val="20"/>
                <w:szCs w:val="20"/>
                <w:color w:val="auto"/>
              </w:rPr>
            </w:pPr>
            <w:r>
              <w:rPr>
                <w:rFonts w:ascii="Times New Roman" w:cs="Times New Roman" w:eastAsia="Times New Roman" w:hAnsi="Times New Roman"/>
                <w:sz w:val="18"/>
                <w:szCs w:val="18"/>
                <w:color w:val="auto"/>
                <w:w w:val="99"/>
              </w:rPr>
              <w:t>Deputy Company Secretary</w:t>
            </w:r>
          </w:p>
        </w:tc>
      </w:tr>
    </w:tbl>
    <w:p>
      <w:pPr>
        <w:spacing w:after="0" w:line="1" w:lineRule="exact"/>
        <w:rPr>
          <w:sz w:val="20"/>
          <w:szCs w:val="20"/>
          <w:color w:val="auto"/>
        </w:rPr>
      </w:pPr>
    </w:p>
    <w:sectPr>
      <w:pgSz w:w="11900" w:h="16838" w:orient="portrait"/>
      <w:cols w:equalWidth="0" w:num="1">
        <w:col w:w="11160"/>
      </w:cols>
      <w:pgMar w:left="320" w:top="67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2026-07-01T09:55:31Z</dcterms:created>
  <dcterms:modified xsi:type="dcterms:W3CDTF">2026-07-01T09:55:31Z</dcterms:modified>
</cp:coreProperties>
</file>