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United States</w:t>
      </w:r>
    </w:p>
    <w:p>
      <w:pPr>
        <w:spacing w:after="0" w:line="33" w:lineRule="exact"/>
        <w:rPr>
          <w:sz w:val="20"/>
          <w:szCs w:val="20"/>
          <w:color w:val="auto"/>
        </w:rPr>
      </w:pPr>
    </w:p>
    <w:p>
      <w:pPr>
        <w:jc w:val="center"/>
        <w:ind w:right="3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32"/>
          <w:szCs w:val="32"/>
          <w:b w:val="1"/>
          <w:bCs w:val="1"/>
          <w:color w:val="auto"/>
        </w:rPr>
        <w:t>FORM 20-F</w:t>
      </w:r>
    </w:p>
    <w:p>
      <w:pPr>
        <w:spacing w:after="0" w:line="57"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Annual Report Pursuant to Section 13 or 15(d)</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For the fiscal year ended December 31, 2007</w:t>
      </w:r>
    </w:p>
    <w:p>
      <w:pPr>
        <w:spacing w:after="0" w:line="131" w:lineRule="exact"/>
        <w:rPr>
          <w:sz w:val="20"/>
          <w:szCs w:val="20"/>
          <w:color w:val="auto"/>
        </w:rPr>
      </w:pPr>
    </w:p>
    <w:p>
      <w:pPr>
        <w:jc w:val="center"/>
        <w:ind w:right="359"/>
        <w:spacing w:after="0"/>
        <w:rPr>
          <w:sz w:val="20"/>
          <w:szCs w:val="20"/>
          <w:color w:val="auto"/>
        </w:rPr>
      </w:pPr>
      <w:r>
        <w:rPr>
          <w:rFonts w:ascii="Arial" w:cs="Arial" w:eastAsia="Arial" w:hAnsi="Arial"/>
          <w:sz w:val="21"/>
          <w:szCs w:val="21"/>
          <w:color w:val="auto"/>
        </w:rPr>
        <w:t>Commission file number 1-32575</w:t>
      </w:r>
    </w:p>
    <w:p>
      <w:pPr>
        <w:spacing w:after="0" w:line="18" w:lineRule="exact"/>
        <w:rPr>
          <w:sz w:val="20"/>
          <w:szCs w:val="20"/>
          <w:color w:val="auto"/>
        </w:rPr>
      </w:pPr>
    </w:p>
    <w:p>
      <w:pPr>
        <w:ind w:left="2760"/>
        <w:spacing w:after="0"/>
        <w:rPr>
          <w:sz w:val="20"/>
          <w:szCs w:val="20"/>
          <w:color w:val="auto"/>
        </w:rPr>
      </w:pPr>
      <w:r>
        <w:rPr>
          <w:rFonts w:ascii="Arial" w:cs="Arial" w:eastAsia="Arial" w:hAnsi="Arial"/>
          <w:sz w:val="43"/>
          <w:szCs w:val="43"/>
          <w:b w:val="1"/>
          <w:bCs w:val="1"/>
          <w:color w:val="auto"/>
        </w:rPr>
        <w:t>Royal Dutch Shell plc</w:t>
      </w:r>
    </w:p>
    <w:p>
      <w:pPr>
        <w:spacing w:after="0" w:line="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(Exact name of registrant as specified in its charter)</w:t>
      </w:r>
    </w:p>
    <w:p>
      <w:pPr>
        <w:spacing w:after="0" w:line="13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England and Wales</w:t>
      </w:r>
    </w:p>
    <w:p>
      <w:pPr>
        <w:spacing w:after="0" w:line="33"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(Jurisdiction of incorporation or organisation)</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Carel van Bylandtlaan 30, 2596 HR, The Hague, The Netherlands</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Tel. no: 011 31 70 377 9111</w:t>
      </w:r>
    </w:p>
    <w:p>
      <w:pPr>
        <w:spacing w:after="0" w:line="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(Address of principal executive offices)</w:t>
      </w:r>
    </w:p>
    <w:p>
      <w:pPr>
        <w:spacing w:after="0" w:line="75" w:lineRule="exact"/>
        <w:rPr>
          <w:sz w:val="20"/>
          <w:szCs w:val="20"/>
          <w:color w:val="auto"/>
        </w:rPr>
      </w:pPr>
    </w:p>
    <w:p>
      <w:pPr>
        <w:ind w:left="2040"/>
        <w:spacing w:after="0"/>
        <w:rPr>
          <w:sz w:val="20"/>
          <w:szCs w:val="20"/>
          <w:color w:val="auto"/>
        </w:rPr>
      </w:pPr>
      <w:r>
        <w:rPr>
          <w:rFonts w:ascii="Arial" w:cs="Arial" w:eastAsia="Arial" w:hAnsi="Arial"/>
          <w:sz w:val="21"/>
          <w:szCs w:val="21"/>
          <w:b w:val="1"/>
          <w:bCs w:val="1"/>
          <w:color w:val="auto"/>
        </w:rPr>
        <w:t>Securities registered pursuant to Section 12(b) of the Act</w:t>
      </w:r>
    </w:p>
    <w:p>
      <w:pPr>
        <w:spacing w:after="0" w:line="132"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b w:val="1"/>
          <w:bCs w:val="1"/>
          <w:color w:val="auto"/>
        </w:rPr>
        <w:t>Title of each class</w:t>
      </w:r>
      <w:r>
        <w:rPr>
          <w:sz w:val="20"/>
          <w:szCs w:val="20"/>
          <w:color w:val="auto"/>
        </w:rPr>
        <w:tab/>
      </w:r>
      <w:r>
        <w:rPr>
          <w:rFonts w:ascii="Arial" w:cs="Arial" w:eastAsia="Arial" w:hAnsi="Arial"/>
          <w:sz w:val="16"/>
          <w:szCs w:val="16"/>
          <w:b w:val="1"/>
          <w:bCs w:val="1"/>
          <w:color w:val="auto"/>
        </w:rPr>
        <w:t>Name of each exchange on which registered</w:t>
      </w:r>
    </w:p>
    <w:p>
      <w:pPr>
        <w:spacing w:after="0" w:line="76"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color w:val="auto"/>
        </w:rPr>
        <w:t>American Depositary Receipts representing Class A ordinary shares</w:t>
      </w:r>
      <w:r>
        <w:rPr>
          <w:sz w:val="20"/>
          <w:szCs w:val="20"/>
          <w:color w:val="auto"/>
        </w:rPr>
        <w:tab/>
      </w:r>
      <w:r>
        <w:rPr>
          <w:rFonts w:ascii="Arial" w:cs="Arial" w:eastAsia="Arial" w:hAnsi="Arial"/>
          <w:sz w:val="15"/>
          <w:szCs w:val="15"/>
          <w:color w:val="auto"/>
        </w:rPr>
        <w:t>New York Stock Exchange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of the issuer of an aggregate nominal value €0.07 each</w:t>
      </w:r>
    </w:p>
    <w:p>
      <w:pPr>
        <w:spacing w:after="0" w:line="176"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color w:val="auto"/>
        </w:rPr>
        <w:t>American Depositary Receipts representing Class B ordinary</w:t>
      </w:r>
      <w:r>
        <w:rPr>
          <w:sz w:val="20"/>
          <w:szCs w:val="20"/>
          <w:color w:val="auto"/>
        </w:rPr>
        <w:tab/>
      </w:r>
      <w:r>
        <w:rPr>
          <w:rFonts w:ascii="Arial" w:cs="Arial" w:eastAsia="Arial" w:hAnsi="Arial"/>
          <w:sz w:val="15"/>
          <w:szCs w:val="15"/>
          <w:color w:val="auto"/>
        </w:rPr>
        <w:t>New York Stock Exchange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shares of the issuer of an aggregate nominal value of €0.07 each</w:t>
      </w:r>
    </w:p>
    <w:p>
      <w:pPr>
        <w:spacing w:after="0" w:line="176"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color w:val="auto"/>
        </w:rPr>
        <w:t>5.625% Guaranteed Notes due 2011</w:t>
      </w:r>
      <w:r>
        <w:rPr>
          <w:sz w:val="20"/>
          <w:szCs w:val="20"/>
          <w:color w:val="auto"/>
        </w:rPr>
        <w:tab/>
      </w:r>
      <w:r>
        <w:rPr>
          <w:rFonts w:ascii="Arial" w:cs="Arial" w:eastAsia="Arial" w:hAnsi="Arial"/>
          <w:sz w:val="15"/>
          <w:szCs w:val="15"/>
          <w:color w:val="auto"/>
        </w:rPr>
        <w:t>New York Stock Exchange</w:t>
      </w:r>
    </w:p>
    <w:p>
      <w:pPr>
        <w:spacing w:after="0" w:line="2"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color w:val="auto"/>
        </w:rPr>
        <w:t>4.95% Guaranteed Notes due 2012</w:t>
      </w:r>
      <w:r>
        <w:rPr>
          <w:sz w:val="20"/>
          <w:szCs w:val="20"/>
          <w:color w:val="auto"/>
        </w:rPr>
        <w:tab/>
      </w:r>
      <w:r>
        <w:rPr>
          <w:rFonts w:ascii="Arial" w:cs="Arial" w:eastAsia="Arial" w:hAnsi="Arial"/>
          <w:sz w:val="15"/>
          <w:szCs w:val="15"/>
          <w:color w:val="auto"/>
        </w:rPr>
        <w:t>New York Stock Exchange</w:t>
      </w:r>
    </w:p>
    <w:p>
      <w:pPr>
        <w:spacing w:after="0" w:line="2" w:lineRule="exact"/>
        <w:rPr>
          <w:sz w:val="20"/>
          <w:szCs w:val="20"/>
          <w:color w:val="auto"/>
        </w:rPr>
      </w:pPr>
    </w:p>
    <w:p>
      <w:pPr>
        <w:ind w:left="360"/>
        <w:spacing w:after="0"/>
        <w:tabs>
          <w:tab w:leader="none" w:pos="5660" w:val="left"/>
        </w:tabs>
        <w:rPr>
          <w:sz w:val="20"/>
          <w:szCs w:val="20"/>
          <w:color w:val="auto"/>
        </w:rPr>
      </w:pPr>
      <w:r>
        <w:rPr>
          <w:rFonts w:ascii="Arial" w:cs="Arial" w:eastAsia="Arial" w:hAnsi="Arial"/>
          <w:sz w:val="16"/>
          <w:szCs w:val="16"/>
          <w:color w:val="auto"/>
        </w:rPr>
        <w:t>5.2% Guaranteed Notes due 2017</w:t>
      </w:r>
      <w:r>
        <w:rPr>
          <w:sz w:val="20"/>
          <w:szCs w:val="20"/>
          <w:color w:val="auto"/>
        </w:rPr>
        <w:tab/>
      </w:r>
      <w:r>
        <w:rPr>
          <w:rFonts w:ascii="Arial" w:cs="Arial" w:eastAsia="Arial" w:hAnsi="Arial"/>
          <w:sz w:val="15"/>
          <w:szCs w:val="15"/>
          <w:color w:val="auto"/>
        </w:rPr>
        <w:t>New York Stock Exchange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None</w:t>
      </w:r>
    </w:p>
    <w:p>
      <w:pPr>
        <w:spacing w:after="0" w:line="196"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None</w:t>
      </w:r>
    </w:p>
    <w:p>
      <w:pPr>
        <w:spacing w:after="0" w:line="142" w:lineRule="exact"/>
        <w:rPr>
          <w:sz w:val="20"/>
          <w:szCs w:val="20"/>
          <w:color w:val="auto"/>
        </w:rPr>
      </w:pPr>
    </w:p>
    <w:p>
      <w:pPr>
        <w:ind w:left="320" w:right="839"/>
        <w:spacing w:after="0" w:line="280" w:lineRule="auto"/>
        <w:rPr>
          <w:sz w:val="20"/>
          <w:szCs w:val="20"/>
          <w:color w:val="auto"/>
        </w:rPr>
      </w:pPr>
      <w:r>
        <w:rPr>
          <w:rFonts w:ascii="Arial" w:cs="Arial" w:eastAsia="Arial" w:hAnsi="Arial"/>
          <w:sz w:val="16"/>
          <w:szCs w:val="16"/>
          <w:b w:val="1"/>
          <w:bCs w:val="1"/>
          <w:color w:val="auto"/>
        </w:rPr>
        <w:t>Indicate the number of outstanding shares of each of the issuer’s classes of capital or common stock as of the close of the period covered by the annual report.</w:t>
      </w:r>
    </w:p>
    <w:p>
      <w:pPr>
        <w:sectPr>
          <w:pgSz w:w="11900" w:h="16838" w:orient="portrait"/>
          <w:cols w:equalWidth="0" w:num="1">
            <w:col w:w="10219"/>
          </w:cols>
          <w:pgMar w:left="240" w:top="122" w:right="1440" w:bottom="1440" w:gutter="0" w:footer="0" w:header="0"/>
        </w:sectPr>
      </w:pP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Outstanding as of December 31, 2007:</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3,486,221,746 RDS Class A ordinary shares of the nominal value of €0.07 each.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2,724,135,015 RDS Class B ordinary shares of the nominal value of €0.07 each.</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Indicate by check mark if the registrant is a well-known seasoned issuer, as defined in Rule 405 of the Securities Act.</w:t>
      </w:r>
    </w:p>
    <w:p>
      <w:pPr>
        <w:spacing w:after="0" w:line="239" w:lineRule="exact"/>
        <w:rPr>
          <w:sz w:val="20"/>
          <w:szCs w:val="20"/>
          <w:color w:val="auto"/>
        </w:rPr>
      </w:pPr>
    </w:p>
    <w:p>
      <w:pPr>
        <w:ind w:left="320" w:right="180"/>
        <w:spacing w:after="0" w:line="279" w:lineRule="auto"/>
        <w:rPr>
          <w:sz w:val="20"/>
          <w:szCs w:val="20"/>
          <w:color w:val="auto"/>
        </w:rPr>
      </w:pPr>
      <w:r>
        <w:rPr>
          <w:rFonts w:ascii="Arial" w:cs="Arial" w:eastAsia="Arial" w:hAnsi="Arial"/>
          <w:sz w:val="14"/>
          <w:szCs w:val="14"/>
          <w:b w:val="1"/>
          <w:bCs w:val="1"/>
          <w:color w:val="auto"/>
        </w:rPr>
        <w:t>If this report is an annual or transition report, indicate by check mark if the registrant is not required to file reports pursuant to Section 13 or 15(d) of the Securities Exchange Act of 1934.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99" w:lineRule="exact"/>
        <w:tabs>
          <w:tab w:leader="none" w:pos="900" w:val="left"/>
        </w:tabs>
        <w:rPr>
          <w:sz w:val="20"/>
          <w:szCs w:val="20"/>
          <w:color w:val="auto"/>
        </w:rPr>
      </w:pPr>
      <w:r>
        <w:rPr>
          <w:rFonts w:ascii="MS PGothic" w:cs="MS PGothic" w:eastAsia="MS PGothic" w:hAnsi="MS PGothic"/>
          <w:sz w:val="26"/>
          <w:szCs w:val="26"/>
          <w:color w:val="auto"/>
        </w:rPr>
        <w:t>☑</w:t>
      </w:r>
      <w:r>
        <w:rPr>
          <w:rFonts w:ascii="Arial" w:cs="Arial" w:eastAsia="Arial" w:hAnsi="Arial"/>
          <w:sz w:val="14"/>
          <w:szCs w:val="14"/>
          <w:color w:val="auto"/>
        </w:rPr>
        <w:t xml:space="preserve"> Yes</w:t>
      </w:r>
      <w:r>
        <w:rPr>
          <w:sz w:val="20"/>
          <w:szCs w:val="20"/>
          <w:color w:val="auto"/>
        </w:rPr>
        <w:tab/>
      </w:r>
      <w:r>
        <w:rPr>
          <w:rFonts w:ascii="Arial" w:cs="Arial" w:eastAsia="Arial" w:hAnsi="Arial"/>
          <w:sz w:val="23"/>
          <w:szCs w:val="23"/>
          <w:color w:val="auto"/>
        </w:rPr>
        <w:t xml:space="preserve">o </w:t>
      </w:r>
      <w:r>
        <w:rPr>
          <w:rFonts w:ascii="Arial" w:cs="Arial" w:eastAsia="Arial" w:hAnsi="Arial"/>
          <w:sz w:val="12"/>
          <w:szCs w:val="12"/>
          <w:color w:val="auto"/>
        </w:rPr>
        <w:t>No</w:t>
      </w:r>
    </w:p>
    <w:p>
      <w:pPr>
        <w:spacing w:after="0" w:line="120" w:lineRule="exact"/>
        <w:rPr>
          <w:sz w:val="20"/>
          <w:szCs w:val="20"/>
          <w:color w:val="auto"/>
        </w:rPr>
      </w:pPr>
    </w:p>
    <w:p>
      <w:pPr>
        <w:ind w:left="100"/>
        <w:spacing w:after="0" w:line="311" w:lineRule="exact"/>
        <w:tabs>
          <w:tab w:leader="none" w:pos="800" w:val="left"/>
        </w:tabs>
        <w:rPr>
          <w:sz w:val="20"/>
          <w:szCs w:val="20"/>
          <w:color w:val="auto"/>
        </w:rPr>
      </w:pPr>
      <w:r>
        <w:rPr>
          <w:rFonts w:ascii="Arial" w:cs="Arial" w:eastAsia="Arial" w:hAnsi="Arial"/>
          <w:sz w:val="27"/>
          <w:szCs w:val="27"/>
          <w:color w:val="auto"/>
        </w:rPr>
        <w:t xml:space="preserve">o </w:t>
      </w:r>
      <w:r>
        <w:rPr>
          <w:rFonts w:ascii="Arial" w:cs="Arial" w:eastAsia="Arial" w:hAnsi="Arial"/>
          <w:sz w:val="14"/>
          <w:szCs w:val="14"/>
          <w:color w:val="auto"/>
        </w:rPr>
        <w:t>Yes</w:t>
      </w:r>
      <w:r>
        <w:rPr>
          <w:sz w:val="20"/>
          <w:szCs w:val="20"/>
          <w:color w:val="auto"/>
        </w:rPr>
        <w:tab/>
      </w:r>
      <w:r>
        <w:rPr>
          <w:rFonts w:ascii="MS PGothic" w:cs="MS PGothic" w:eastAsia="MS PGothic" w:hAnsi="MS PGothic"/>
          <w:sz w:val="23"/>
          <w:szCs w:val="23"/>
          <w:color w:val="auto"/>
        </w:rPr>
        <w:t xml:space="preserve">☑ </w:t>
      </w:r>
      <w:r>
        <w:rPr>
          <w:rFonts w:ascii="Arial" w:cs="Arial" w:eastAsia="Arial" w:hAnsi="Arial"/>
          <w:sz w:val="12"/>
          <w:szCs w:val="12"/>
          <w:color w:val="auto"/>
        </w:rPr>
        <w:t>No</w:t>
      </w:r>
    </w:p>
    <w:p>
      <w:pPr>
        <w:spacing w:after="0" w:line="130" w:lineRule="exact"/>
        <w:rPr>
          <w:sz w:val="20"/>
          <w:szCs w:val="20"/>
          <w:color w:val="auto"/>
        </w:rPr>
      </w:pPr>
    </w:p>
    <w:p>
      <w:pPr>
        <w:sectPr>
          <w:pgSz w:w="11900" w:h="16838" w:orient="portrait"/>
          <w:cols w:equalWidth="0" w:num="2">
            <w:col w:w="8200" w:space="100"/>
            <w:col w:w="1919"/>
          </w:cols>
          <w:pgMar w:left="240" w:top="122" w:right="1440" w:bottom="1440" w:gutter="0" w:footer="0" w:header="0"/>
          <w:type w:val="continuous"/>
        </w:sectPr>
      </w:pPr>
    </w:p>
    <w:p>
      <w:pPr>
        <w:ind w:left="320" w:right="699"/>
        <w:spacing w:after="0" w:line="252" w:lineRule="auto"/>
        <w:rPr>
          <w:sz w:val="20"/>
          <w:szCs w:val="20"/>
          <w:color w:val="auto"/>
        </w:rPr>
      </w:pPr>
      <w:r>
        <w:rPr>
          <w:rFonts w:ascii="Arial" w:cs="Arial" w:eastAsia="Arial" w:hAnsi="Arial"/>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4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840" w:type="dxa"/>
            <w:vAlign w:val="bottom"/>
          </w:tcPr>
          <w:p>
            <w:pPr>
              <w:spacing w:after="0"/>
              <w:rPr>
                <w:sz w:val="20"/>
                <w:szCs w:val="20"/>
                <w:color w:val="auto"/>
              </w:rPr>
            </w:pPr>
            <w:r>
              <w:rPr>
                <w:rFonts w:ascii="Arial" w:cs="Arial" w:eastAsia="Arial" w:hAnsi="Arial"/>
                <w:sz w:val="14"/>
                <w:szCs w:val="14"/>
                <w:b w:val="1"/>
                <w:bCs w:val="1"/>
                <w:color w:val="auto"/>
              </w:rPr>
              <w:t>Indicate by check mark whether the registrant (1) has filed all reports required to be filed by Section 13 or 15(d) of</w:t>
            </w:r>
          </w:p>
        </w:tc>
        <w:tc>
          <w:tcPr>
            <w:tcW w:w="860" w:type="dxa"/>
            <w:vAlign w:val="bottom"/>
            <w:vMerge w:val="restart"/>
          </w:tcPr>
          <w:p>
            <w:pPr>
              <w:ind w:left="140"/>
              <w:spacing w:after="0" w:line="299" w:lineRule="exact"/>
              <w:rPr>
                <w:sz w:val="20"/>
                <w:szCs w:val="20"/>
                <w:color w:val="auto"/>
              </w:rPr>
            </w:pPr>
            <w:r>
              <w:rPr>
                <w:rFonts w:ascii="MS PGothic" w:cs="MS PGothic" w:eastAsia="MS PGothic" w:hAnsi="MS PGothic"/>
                <w:sz w:val="26"/>
                <w:szCs w:val="26"/>
                <w:color w:val="auto"/>
              </w:rPr>
              <w:t>☑</w:t>
            </w:r>
            <w:r>
              <w:rPr>
                <w:rFonts w:ascii="Arial" w:cs="Arial" w:eastAsia="Arial" w:hAnsi="Arial"/>
                <w:sz w:val="14"/>
                <w:szCs w:val="14"/>
                <w:color w:val="auto"/>
              </w:rPr>
              <w:t xml:space="preserve"> Yes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7840" w:type="dxa"/>
            <w:vAlign w:val="bottom"/>
          </w:tcPr>
          <w:p>
            <w:pPr>
              <w:spacing w:after="0" w:line="160" w:lineRule="exact"/>
              <w:rPr>
                <w:sz w:val="20"/>
                <w:szCs w:val="20"/>
                <w:color w:val="auto"/>
              </w:rPr>
            </w:pPr>
            <w:r>
              <w:rPr>
                <w:rFonts w:ascii="Arial" w:cs="Arial" w:eastAsia="Arial" w:hAnsi="Arial"/>
                <w:sz w:val="14"/>
                <w:szCs w:val="14"/>
                <w:b w:val="1"/>
                <w:bCs w:val="1"/>
                <w:color w:val="auto"/>
              </w:rPr>
              <w:t>the Securities Exchange Act of 1934 during the preceding 12 months (or for such shorter period that the registrant</w:t>
            </w:r>
          </w:p>
        </w:tc>
        <w:tc>
          <w:tcPr>
            <w:tcW w:w="860" w:type="dxa"/>
            <w:vAlign w:val="bottom"/>
            <w:vMerge w:val="continue"/>
          </w:tcPr>
          <w:p>
            <w:pPr>
              <w:spacing w:after="0"/>
              <w:rPr>
                <w:sz w:val="13"/>
                <w:szCs w:val="13"/>
                <w:color w:val="auto"/>
              </w:rPr>
            </w:pPr>
          </w:p>
        </w:tc>
        <w:tc>
          <w:tcPr>
            <w:tcW w:w="560" w:type="dxa"/>
            <w:vAlign w:val="bottom"/>
            <w:vMerge w:val="restart"/>
          </w:tcPr>
          <w:p>
            <w:pPr>
              <w:ind w:left="200"/>
              <w:spacing w:after="0"/>
              <w:rPr>
                <w:sz w:val="20"/>
                <w:szCs w:val="20"/>
                <w:color w:val="auto"/>
              </w:rPr>
            </w:pPr>
            <w:r>
              <w:rPr>
                <w:rFonts w:ascii="Arial" w:cs="Arial" w:eastAsia="Arial" w:hAnsi="Arial"/>
                <w:sz w:val="27"/>
                <w:szCs w:val="27"/>
                <w:color w:val="auto"/>
                <w:w w:val="84"/>
              </w:rPr>
              <w:t xml:space="preserve">o </w:t>
            </w:r>
            <w:r>
              <w:rPr>
                <w:rFonts w:ascii="Arial" w:cs="Arial" w:eastAsia="Arial" w:hAnsi="Arial"/>
                <w:sz w:val="14"/>
                <w:szCs w:val="14"/>
                <w:color w:val="auto"/>
                <w:w w:val="84"/>
              </w:rPr>
              <w:t>No</w:t>
            </w:r>
          </w:p>
        </w:tc>
        <w:tc>
          <w:tcPr>
            <w:tcW w:w="0" w:type="dxa"/>
            <w:vAlign w:val="bottom"/>
          </w:tcPr>
          <w:p>
            <w:pPr>
              <w:spacing w:after="0"/>
              <w:rPr>
                <w:sz w:val="1"/>
                <w:szCs w:val="1"/>
                <w:color w:val="auto"/>
              </w:rPr>
            </w:pPr>
          </w:p>
        </w:tc>
      </w:tr>
      <w:tr>
        <w:trPr>
          <w:trHeight w:val="217"/>
        </w:trPr>
        <w:tc>
          <w:tcPr>
            <w:tcW w:w="7840" w:type="dxa"/>
            <w:vAlign w:val="bottom"/>
          </w:tcPr>
          <w:p>
            <w:pPr>
              <w:spacing w:after="0"/>
              <w:rPr>
                <w:sz w:val="20"/>
                <w:szCs w:val="20"/>
                <w:color w:val="auto"/>
              </w:rPr>
            </w:pPr>
            <w:r>
              <w:rPr>
                <w:rFonts w:ascii="Arial" w:cs="Arial" w:eastAsia="Arial" w:hAnsi="Arial"/>
                <w:sz w:val="14"/>
                <w:szCs w:val="14"/>
                <w:b w:val="1"/>
                <w:bCs w:val="1"/>
                <w:color w:val="auto"/>
              </w:rPr>
              <w:t>was required to file such reports), and (2) has been subject to such filing requirements for the past 90 days.</w:t>
            </w:r>
          </w:p>
        </w:tc>
        <w:tc>
          <w:tcPr>
            <w:tcW w:w="8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Indicate by check mark whether the registrant is a large accelerated filer, an accelerated filer, or a non-accelerated filer.</w:t>
      </w:r>
    </w:p>
    <w:p>
      <w:pPr>
        <w:spacing w:after="0" w:line="1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See definition of “accelerated filer and large accelerated filer” in Rule 12b-2 of the Exchange Act. (Check one):</w:t>
      </w:r>
    </w:p>
    <w:p>
      <w:pPr>
        <w:ind w:left="4520"/>
        <w:spacing w:after="0" w:line="299" w:lineRule="exact"/>
        <w:tabs>
          <w:tab w:leader="none" w:pos="6420" w:val="left"/>
          <w:tab w:leader="none" w:pos="788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26"/>
          <w:szCs w:val="26"/>
          <w:color w:val="auto"/>
        </w:rPr>
        <w:t>☑</w:t>
      </w:r>
      <w:r>
        <w:rPr>
          <w:sz w:val="20"/>
          <w:szCs w:val="20"/>
          <w:color w:val="auto"/>
        </w:rPr>
        <w:tab/>
      </w:r>
      <w:r>
        <w:rPr>
          <w:rFonts w:ascii="Arial" w:cs="Arial" w:eastAsia="Arial" w:hAnsi="Arial"/>
          <w:sz w:val="14"/>
          <w:szCs w:val="14"/>
          <w:color w:val="auto"/>
        </w:rPr>
        <w:t xml:space="preserve">Accelerated filer </w:t>
      </w:r>
      <w:r>
        <w:rPr>
          <w:rFonts w:ascii="Arial" w:cs="Arial" w:eastAsia="Arial" w:hAnsi="Arial"/>
          <w:sz w:val="26"/>
          <w:szCs w:val="26"/>
          <w:color w:val="auto"/>
        </w:rPr>
        <w:t>o</w:t>
      </w:r>
      <w:r>
        <w:rPr>
          <w:sz w:val="20"/>
          <w:szCs w:val="20"/>
          <w:color w:val="auto"/>
        </w:rPr>
        <w:tab/>
      </w:r>
      <w:r>
        <w:rPr>
          <w:rFonts w:ascii="Arial" w:cs="Arial" w:eastAsia="Arial" w:hAnsi="Arial"/>
          <w:sz w:val="14"/>
          <w:szCs w:val="14"/>
          <w:color w:val="auto"/>
        </w:rPr>
        <w:t xml:space="preserve">Non-accelerated filer </w:t>
      </w:r>
      <w:r>
        <w:rPr>
          <w:rFonts w:ascii="Arial" w:cs="Arial" w:eastAsia="Arial" w:hAnsi="Arial"/>
          <w:sz w:val="26"/>
          <w:szCs w:val="26"/>
          <w:color w:val="auto"/>
        </w:rPr>
        <w:t>o</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Indicate by check mark which basis of accounting the registrant has used to prepare the financial statements included in this filing:</w:t>
      </w:r>
    </w:p>
    <w:p>
      <w:pPr>
        <w:spacing w:after="0" w:line="15" w:lineRule="exact"/>
        <w:rPr>
          <w:sz w:val="20"/>
          <w:szCs w:val="20"/>
          <w:color w:val="auto"/>
        </w:rPr>
      </w:pPr>
    </w:p>
    <w:tbl>
      <w:tblPr>
        <w:tblLayout w:type="fixed"/>
        <w:tblInd w:w="320" w:type="dxa"/>
        <w:tblCellMar>
          <w:top w:w="0" w:type="dxa"/>
          <w:left w:w="0" w:type="dxa"/>
          <w:bottom w:w="0" w:type="dxa"/>
          <w:right w:w="0" w:type="dxa"/>
        </w:tblCellMar>
      </w:tblPr>
      <w:tr>
        <w:trPr>
          <w:trHeight w:val="384"/>
        </w:trPr>
        <w:tc>
          <w:tcPr>
            <w:tcW w:w="1240" w:type="dxa"/>
            <w:vAlign w:val="bottom"/>
          </w:tcPr>
          <w:p>
            <w:pPr>
              <w:ind w:left="160"/>
              <w:spacing w:after="0"/>
              <w:rPr>
                <w:sz w:val="20"/>
                <w:szCs w:val="20"/>
                <w:color w:val="auto"/>
              </w:rPr>
            </w:pPr>
            <w:r>
              <w:rPr>
                <w:rFonts w:ascii="Arial" w:cs="Arial" w:eastAsia="Arial" w:hAnsi="Arial"/>
                <w:sz w:val="14"/>
                <w:szCs w:val="14"/>
                <w:color w:val="auto"/>
              </w:rPr>
              <w:t xml:space="preserve">U.S. GAAP </w:t>
            </w:r>
            <w:r>
              <w:rPr>
                <w:rFonts w:ascii="Arial" w:cs="Arial" w:eastAsia="Arial" w:hAnsi="Arial"/>
                <w:sz w:val="26"/>
                <w:szCs w:val="26"/>
                <w:color w:val="auto"/>
              </w:rPr>
              <w:t>o</w:t>
            </w:r>
          </w:p>
        </w:tc>
        <w:tc>
          <w:tcPr>
            <w:tcW w:w="7280" w:type="dxa"/>
            <w:vAlign w:val="bottom"/>
            <w:gridSpan w:val="2"/>
          </w:tcPr>
          <w:p>
            <w:pPr>
              <w:jc w:val="right"/>
              <w:ind w:right="243"/>
              <w:spacing w:after="0" w:line="299" w:lineRule="exact"/>
              <w:rPr>
                <w:sz w:val="20"/>
                <w:szCs w:val="20"/>
                <w:color w:val="auto"/>
              </w:rPr>
            </w:pPr>
            <w:r>
              <w:rPr>
                <w:rFonts w:ascii="Arial" w:cs="Arial" w:eastAsia="Arial" w:hAnsi="Arial"/>
                <w:sz w:val="14"/>
                <w:szCs w:val="14"/>
                <w:color w:val="auto"/>
              </w:rPr>
              <w:t xml:space="preserve">International Financial Reporting Standards as issued by the International Accounting Standards Board </w:t>
            </w:r>
            <w:r>
              <w:rPr>
                <w:rFonts w:ascii="MS PGothic" w:cs="MS PGothic" w:eastAsia="MS PGothic" w:hAnsi="MS PGothic"/>
                <w:sz w:val="26"/>
                <w:szCs w:val="26"/>
                <w:color w:val="auto"/>
              </w:rPr>
              <w:t>☑</w:t>
            </w:r>
          </w:p>
        </w:tc>
        <w:tc>
          <w:tcPr>
            <w:tcW w:w="740" w:type="dxa"/>
            <w:vAlign w:val="bottom"/>
          </w:tcPr>
          <w:p>
            <w:pPr>
              <w:jc w:val="right"/>
              <w:ind w:right="125"/>
              <w:spacing w:after="0"/>
              <w:rPr>
                <w:sz w:val="20"/>
                <w:szCs w:val="20"/>
                <w:color w:val="auto"/>
              </w:rPr>
            </w:pPr>
            <w:r>
              <w:rPr>
                <w:rFonts w:ascii="Arial" w:cs="Arial" w:eastAsia="Arial" w:hAnsi="Arial"/>
                <w:sz w:val="14"/>
                <w:szCs w:val="14"/>
                <w:color w:val="auto"/>
                <w:w w:val="97"/>
              </w:rPr>
              <w:t xml:space="preserve">Other </w:t>
            </w:r>
            <w:r>
              <w:rPr>
                <w:rFonts w:ascii="Arial" w:cs="Arial" w:eastAsia="Arial" w:hAnsi="Arial"/>
                <w:sz w:val="26"/>
                <w:szCs w:val="26"/>
                <w:color w:val="auto"/>
                <w:w w:val="97"/>
              </w:rPr>
              <w:t>o</w:t>
            </w:r>
          </w:p>
        </w:tc>
        <w:tc>
          <w:tcPr>
            <w:tcW w:w="0" w:type="dxa"/>
            <w:vAlign w:val="bottom"/>
          </w:tcPr>
          <w:p>
            <w:pPr>
              <w:spacing w:after="0"/>
              <w:rPr>
                <w:sz w:val="1"/>
                <w:szCs w:val="1"/>
                <w:color w:val="auto"/>
              </w:rPr>
            </w:pPr>
          </w:p>
        </w:tc>
      </w:tr>
      <w:tr>
        <w:trPr>
          <w:trHeight w:val="154"/>
        </w:trPr>
        <w:tc>
          <w:tcPr>
            <w:tcW w:w="75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If “Other” has been checked in response to the previous question, indicate by check mark which</w:t>
            </w:r>
          </w:p>
        </w:tc>
        <w:tc>
          <w:tcPr>
            <w:tcW w:w="960" w:type="dxa"/>
            <w:vAlign w:val="bottom"/>
          </w:tcPr>
          <w:p>
            <w:pPr>
              <w:jc w:val="right"/>
              <w:spacing w:after="0" w:line="153" w:lineRule="exact"/>
              <w:rPr>
                <w:sz w:val="20"/>
                <w:szCs w:val="20"/>
                <w:color w:val="auto"/>
              </w:rPr>
            </w:pPr>
            <w:r>
              <w:rPr>
                <w:rFonts w:ascii="Arial" w:cs="Arial" w:eastAsia="Arial" w:hAnsi="Arial"/>
                <w:sz w:val="14"/>
                <w:szCs w:val="14"/>
                <w:color w:val="auto"/>
              </w:rPr>
              <w:t>Item 17</w:t>
            </w:r>
          </w:p>
        </w:tc>
        <w:tc>
          <w:tcPr>
            <w:tcW w:w="740" w:type="dxa"/>
            <w:vAlign w:val="bottom"/>
          </w:tcPr>
          <w:p>
            <w:pPr>
              <w:jc w:val="right"/>
              <w:spacing w:after="0" w:line="153" w:lineRule="exact"/>
              <w:rPr>
                <w:sz w:val="20"/>
                <w:szCs w:val="20"/>
                <w:color w:val="auto"/>
              </w:rPr>
            </w:pPr>
            <w:r>
              <w:rPr>
                <w:rFonts w:ascii="Arial" w:cs="Arial" w:eastAsia="Arial" w:hAnsi="Arial"/>
                <w:sz w:val="14"/>
                <w:szCs w:val="14"/>
                <w:color w:val="auto"/>
              </w:rPr>
              <w:t>Item 18</w:t>
            </w:r>
          </w:p>
        </w:tc>
        <w:tc>
          <w:tcPr>
            <w:tcW w:w="0" w:type="dxa"/>
            <w:vAlign w:val="bottom"/>
          </w:tcPr>
          <w:p>
            <w:pPr>
              <w:spacing w:after="0"/>
              <w:rPr>
                <w:sz w:val="1"/>
                <w:szCs w:val="1"/>
                <w:color w:val="auto"/>
              </w:rPr>
            </w:pPr>
          </w:p>
        </w:tc>
      </w:tr>
      <w:tr>
        <w:trPr>
          <w:trHeight w:val="153"/>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statement item the registrant has elected to follow.</w:t>
            </w:r>
          </w:p>
        </w:tc>
        <w:tc>
          <w:tcPr>
            <w:tcW w:w="960" w:type="dxa"/>
            <w:vAlign w:val="bottom"/>
          </w:tcPr>
          <w:p>
            <w:pPr>
              <w:jc w:val="right"/>
              <w:ind w:right="243"/>
              <w:spacing w:after="0" w:line="153" w:lineRule="exact"/>
              <w:rPr>
                <w:sz w:val="20"/>
                <w:szCs w:val="20"/>
                <w:color w:val="auto"/>
              </w:rPr>
            </w:pPr>
            <w:r>
              <w:rPr>
                <w:rFonts w:ascii="Arial" w:cs="Arial" w:eastAsia="Arial" w:hAnsi="Arial"/>
                <w:sz w:val="17"/>
                <w:szCs w:val="17"/>
                <w:color w:val="auto"/>
              </w:rPr>
              <w:t>o</w:t>
            </w:r>
          </w:p>
        </w:tc>
        <w:tc>
          <w:tcPr>
            <w:tcW w:w="740" w:type="dxa"/>
            <w:vAlign w:val="bottom"/>
          </w:tcPr>
          <w:p>
            <w:pPr>
              <w:jc w:val="right"/>
              <w:ind w:right="125"/>
              <w:spacing w:after="0" w:line="153" w:lineRule="exact"/>
              <w:rPr>
                <w:sz w:val="20"/>
                <w:szCs w:val="20"/>
                <w:color w:val="auto"/>
              </w:rPr>
            </w:pPr>
            <w:r>
              <w:rPr>
                <w:rFonts w:ascii="Arial" w:cs="Arial" w:eastAsia="Arial" w:hAnsi="Arial"/>
                <w:sz w:val="17"/>
                <w:szCs w:val="17"/>
                <w:color w:val="auto"/>
              </w:rPr>
              <w:t>o</w:t>
            </w:r>
          </w:p>
        </w:tc>
        <w:tc>
          <w:tcPr>
            <w:tcW w:w="0" w:type="dxa"/>
            <w:vAlign w:val="bottom"/>
          </w:tcPr>
          <w:p>
            <w:pPr>
              <w:spacing w:after="0"/>
              <w:rPr>
                <w:sz w:val="1"/>
                <w:szCs w:val="1"/>
                <w:color w:val="auto"/>
              </w:rPr>
            </w:pPr>
          </w:p>
        </w:tc>
      </w:tr>
      <w:tr>
        <w:trPr>
          <w:trHeight w:val="42"/>
        </w:trPr>
        <w:tc>
          <w:tcPr>
            <w:tcW w:w="75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If this is an annual report, indicate by check mark whether the registrant is a shell company (as defined in</w:t>
            </w:r>
          </w:p>
        </w:tc>
        <w:tc>
          <w:tcPr>
            <w:tcW w:w="960" w:type="dxa"/>
            <w:vAlign w:val="bottom"/>
            <w:vMerge w:val="restart"/>
          </w:tcPr>
          <w:p>
            <w:pPr>
              <w:jc w:val="right"/>
              <w:spacing w:after="0"/>
              <w:rPr>
                <w:sz w:val="20"/>
                <w:szCs w:val="20"/>
                <w:color w:val="auto"/>
              </w:rPr>
            </w:pPr>
            <w:r>
              <w:rPr>
                <w:rFonts w:ascii="Arial" w:cs="Arial" w:eastAsia="Arial" w:hAnsi="Arial"/>
                <w:sz w:val="27"/>
                <w:szCs w:val="27"/>
                <w:color w:val="auto"/>
              </w:rPr>
              <w:t xml:space="preserve">o </w:t>
            </w:r>
            <w:r>
              <w:rPr>
                <w:rFonts w:ascii="Arial" w:cs="Arial" w:eastAsia="Arial" w:hAnsi="Arial"/>
                <w:sz w:val="14"/>
                <w:szCs w:val="14"/>
                <w:color w:val="auto"/>
              </w:rPr>
              <w:t>Yes</w:t>
            </w:r>
          </w:p>
        </w:tc>
        <w:tc>
          <w:tcPr>
            <w:tcW w:w="740" w:type="dxa"/>
            <w:vAlign w:val="bottom"/>
            <w:vMerge w:val="restart"/>
          </w:tcPr>
          <w:p>
            <w:pPr>
              <w:jc w:val="right"/>
              <w:spacing w:after="0" w:line="299" w:lineRule="exact"/>
              <w:rPr>
                <w:sz w:val="20"/>
                <w:szCs w:val="20"/>
                <w:color w:val="auto"/>
              </w:rPr>
            </w:pPr>
            <w:r>
              <w:rPr>
                <w:rFonts w:ascii="MS PGothic" w:cs="MS PGothic" w:eastAsia="MS PGothic" w:hAnsi="MS PGothic"/>
                <w:sz w:val="26"/>
                <w:szCs w:val="26"/>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217"/>
        </w:trPr>
        <w:tc>
          <w:tcPr>
            <w:tcW w:w="7560" w:type="dxa"/>
            <w:vAlign w:val="bottom"/>
            <w:gridSpan w:val="2"/>
          </w:tcPr>
          <w:p>
            <w:pPr>
              <w:spacing w:after="0"/>
              <w:rPr>
                <w:sz w:val="20"/>
                <w:szCs w:val="20"/>
                <w:color w:val="auto"/>
              </w:rPr>
            </w:pPr>
            <w:r>
              <w:rPr>
                <w:rFonts w:ascii="Arial" w:cs="Arial" w:eastAsia="Arial" w:hAnsi="Arial"/>
                <w:sz w:val="14"/>
                <w:szCs w:val="14"/>
                <w:b w:val="1"/>
                <w:bCs w:val="1"/>
                <w:color w:val="auto"/>
              </w:rPr>
              <w:t>Rule 12b-2 of the Exchange Act).</w:t>
            </w:r>
          </w:p>
        </w:tc>
        <w:tc>
          <w:tcPr>
            <w:tcW w:w="9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Copies of notices and communications from the Securities and Exchange Commission should be sent to:</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4"/>
          <w:szCs w:val="14"/>
          <w:color w:val="auto"/>
        </w:rPr>
        <w:t>Royal Dutch Shell plc</w:t>
      </w:r>
    </w:p>
    <w:p>
      <w:pPr>
        <w:ind w:left="320"/>
        <w:spacing w:after="0" w:line="238" w:lineRule="auto"/>
        <w:rPr>
          <w:sz w:val="20"/>
          <w:szCs w:val="20"/>
          <w:color w:val="auto"/>
        </w:rPr>
      </w:pPr>
      <w:r>
        <w:rPr>
          <w:rFonts w:ascii="Arial" w:cs="Arial" w:eastAsia="Arial" w:hAnsi="Arial"/>
          <w:sz w:val="14"/>
          <w:szCs w:val="14"/>
          <w:color w:val="auto"/>
        </w:rPr>
        <w:t>Carel van Bylandtlaan 30</w:t>
      </w:r>
    </w:p>
    <w:p>
      <w:pPr>
        <w:ind w:left="320"/>
        <w:spacing w:after="0"/>
        <w:rPr>
          <w:sz w:val="20"/>
          <w:szCs w:val="20"/>
          <w:color w:val="auto"/>
        </w:rPr>
      </w:pPr>
      <w:r>
        <w:rPr>
          <w:rFonts w:ascii="Arial" w:cs="Arial" w:eastAsia="Arial" w:hAnsi="Arial"/>
          <w:sz w:val="14"/>
          <w:szCs w:val="14"/>
          <w:color w:val="auto"/>
        </w:rPr>
        <w:t>2596 HR, The Hague, The Netherlands</w:t>
      </w:r>
    </w:p>
    <w:p>
      <w:pPr>
        <w:ind w:left="320"/>
        <w:spacing w:after="0"/>
        <w:rPr>
          <w:sz w:val="20"/>
          <w:szCs w:val="20"/>
          <w:color w:val="auto"/>
        </w:rPr>
      </w:pPr>
      <w:r>
        <w:rPr>
          <w:rFonts w:ascii="Arial" w:cs="Arial" w:eastAsia="Arial" w:hAnsi="Arial"/>
          <w:sz w:val="14"/>
          <w:szCs w:val="14"/>
          <w:color w:val="auto"/>
        </w:rPr>
        <w:t>Attn: Mr. M. Brandjes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366395</wp:posOffset>
            </wp:positionV>
            <wp:extent cx="725297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201295</wp:posOffset>
            </wp:positionV>
            <wp:extent cx="6343650" cy="63855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43650" cy="6385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0"/>
        <w:spacing w:after="0"/>
        <w:rPr>
          <w:sz w:val="20"/>
          <w:szCs w:val="20"/>
          <w:color w:val="auto"/>
        </w:rPr>
      </w:pPr>
      <w:r>
        <w:rPr>
          <w:rFonts w:ascii="Arial" w:cs="Arial" w:eastAsia="Arial" w:hAnsi="Arial"/>
          <w:sz w:val="53"/>
          <w:szCs w:val="53"/>
          <w:color w:val="CECAC6"/>
        </w:rPr>
        <w:t>Delivery and growth</w:t>
      </w:r>
    </w:p>
    <w:p>
      <w:pPr>
        <w:spacing w:after="0" w:line="39" w:lineRule="exact"/>
        <w:rPr>
          <w:sz w:val="20"/>
          <w:szCs w:val="20"/>
          <w:color w:val="auto"/>
        </w:rPr>
      </w:pPr>
    </w:p>
    <w:p>
      <w:pPr>
        <w:ind w:left="580"/>
        <w:spacing w:after="0"/>
        <w:rPr>
          <w:sz w:val="20"/>
          <w:szCs w:val="20"/>
          <w:color w:val="auto"/>
        </w:rPr>
      </w:pPr>
      <w:r>
        <w:rPr>
          <w:rFonts w:ascii="Arial" w:cs="Arial" w:eastAsia="Arial" w:hAnsi="Arial"/>
          <w:sz w:val="27"/>
          <w:szCs w:val="27"/>
          <w:color w:val="auto"/>
        </w:rPr>
        <w:t>Royal Dutch Shell plc</w:t>
      </w:r>
    </w:p>
    <w:p>
      <w:pPr>
        <w:ind w:left="580"/>
        <w:spacing w:after="0"/>
        <w:rPr>
          <w:sz w:val="20"/>
          <w:szCs w:val="20"/>
          <w:color w:val="auto"/>
        </w:rPr>
      </w:pPr>
      <w:r>
        <w:rPr>
          <w:rFonts w:ascii="Arial" w:cs="Arial" w:eastAsia="Arial" w:hAnsi="Arial"/>
          <w:sz w:val="26"/>
          <w:szCs w:val="26"/>
          <w:color w:val="auto"/>
        </w:rPr>
        <w:t>Annual Report and Form 20-F for the year ended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899795</wp:posOffset>
            </wp:positionV>
            <wp:extent cx="725297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208280</wp:posOffset>
            </wp:positionV>
            <wp:extent cx="338455" cy="313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8455" cy="3130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222885</wp:posOffset>
            </wp:positionV>
            <wp:extent cx="7310755" cy="8441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0755" cy="8441055"/>
                    </a:xfrm>
                    <a:prstGeom prst="rect">
                      <a:avLst/>
                    </a:prstGeom>
                    <a:noFill/>
                  </pic:spPr>
                </pic:pic>
              </a:graphicData>
            </a:graphic>
          </wp:anchor>
        </w:drawing>
      </w:r>
    </w:p>
    <w:p>
      <w:pPr>
        <w:sectPr>
          <w:pgSz w:w="11900" w:h="16838" w:orient="portrait"/>
          <w:cols w:equalWidth="0" w:num="1">
            <w:col w:w="11160"/>
          </w:cols>
          <w:pgMar w:left="240" w:top="41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
        <w:spacing w:after="0"/>
        <w:rPr>
          <w:sz w:val="20"/>
          <w:szCs w:val="20"/>
          <w:color w:val="auto"/>
        </w:rPr>
      </w:pPr>
      <w:r>
        <w:rPr>
          <w:rFonts w:ascii="Arial" w:cs="Arial" w:eastAsia="Arial" w:hAnsi="Arial"/>
          <w:sz w:val="36"/>
          <w:szCs w:val="36"/>
          <w:color w:val="auto"/>
        </w:rPr>
        <w:t>Royal Dutch Shell</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36"/>
          <w:szCs w:val="36"/>
          <w:color w:val="auto"/>
        </w:rPr>
        <w:t>Our Business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right="100"/>
        <w:spacing w:after="0" w:line="253" w:lineRule="auto"/>
        <w:rPr>
          <w:sz w:val="20"/>
          <w:szCs w:val="20"/>
          <w:color w:val="auto"/>
        </w:rPr>
      </w:pPr>
      <w:r>
        <w:rPr>
          <w:rFonts w:ascii="Arial" w:cs="Arial" w:eastAsia="Arial" w:hAnsi="Arial"/>
          <w:sz w:val="18"/>
          <w:szCs w:val="18"/>
          <w:color w:val="auto"/>
        </w:rPr>
        <w:t>With 104,000 employees in more than 110 countries and territories, Shell plays a key role in helping to meet the world’s growing demand for energy in economically, environmentally and socially responsible ways.</w:t>
      </w:r>
    </w:p>
    <w:p>
      <w:pPr>
        <w:spacing w:after="0" w:line="187" w:lineRule="exact"/>
        <w:rPr>
          <w:sz w:val="20"/>
          <w:szCs w:val="20"/>
          <w:color w:val="auto"/>
        </w:rPr>
      </w:pPr>
    </w:p>
    <w:p>
      <w:pPr>
        <w:ind w:left="520"/>
        <w:spacing w:after="0" w:line="30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0065A4"/>
        </w:rPr>
        <w:t>Exploration &amp; Production</w:t>
      </w:r>
      <w:r>
        <w:rPr>
          <w:rFonts w:ascii="Arial" w:cs="Arial" w:eastAsia="Arial" w:hAnsi="Arial"/>
          <w:sz w:val="16"/>
          <w:szCs w:val="16"/>
          <w:color w:val="auto"/>
        </w:rPr>
        <w:t xml:space="preserve"> business searches for and recovers oil and natural gas around the world. Many of these activities are carried out as joint venture partnerships, often with national oil companies.</w:t>
      </w:r>
    </w:p>
    <w:p>
      <w:pPr>
        <w:spacing w:after="0" w:line="144" w:lineRule="exact"/>
        <w:rPr>
          <w:sz w:val="20"/>
          <w:szCs w:val="20"/>
          <w:color w:val="auto"/>
        </w:rPr>
      </w:pPr>
    </w:p>
    <w:p>
      <w:pPr>
        <w:ind w:left="520" w:right="40"/>
        <w:spacing w:after="0" w:line="290"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6DB43F"/>
        </w:rPr>
        <w:t>Gas &amp; Power</w:t>
      </w:r>
      <w:r>
        <w:rPr>
          <w:rFonts w:ascii="Arial" w:cs="Arial" w:eastAsia="Arial" w:hAnsi="Arial"/>
          <w:sz w:val="16"/>
          <w:szCs w:val="16"/>
          <w:color w:val="auto"/>
        </w:rPr>
        <w:t xml:space="preserve"> business liquefies natural gas and transports it to customers across the world. Its gas to liquids (GTL) process turns natural gas into cleaner-burning synthetic fuel and other products. It develops wind power to generate electricity and invests in solar power technology. It also licenses our coal gasification technology, a cleaner way of turning coal into chemical feedstocks and energy.</w:t>
      </w:r>
    </w:p>
    <w:p>
      <w:pPr>
        <w:spacing w:after="0" w:line="158" w:lineRule="exact"/>
        <w:rPr>
          <w:sz w:val="20"/>
          <w:szCs w:val="20"/>
          <w:color w:val="auto"/>
        </w:rPr>
      </w:pPr>
    </w:p>
    <w:p>
      <w:pPr>
        <w:ind w:left="520" w:right="140"/>
        <w:spacing w:after="0" w:line="260"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00AEC5"/>
        </w:rPr>
        <w:t>Oil Sands</w:t>
      </w:r>
      <w:r>
        <w:rPr>
          <w:rFonts w:ascii="Arial" w:cs="Arial" w:eastAsia="Arial" w:hAnsi="Arial"/>
          <w:sz w:val="18"/>
          <w:szCs w:val="18"/>
          <w:color w:val="auto"/>
        </w:rPr>
        <w:t xml:space="preserve"> business, the Athabasca Oil Sands Project, extracts bitumen from oil sands in Alberta, western Canada and converts it to synthetic crude oils.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4860290</wp:posOffset>
            </wp:positionV>
            <wp:extent cx="725297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EE2E24"/>
        </w:rPr>
        <w:t>Oil Products</w:t>
      </w:r>
      <w:r>
        <w:rPr>
          <w:rFonts w:ascii="Arial" w:cs="Arial" w:eastAsia="Arial" w:hAnsi="Arial"/>
          <w:sz w:val="16"/>
          <w:szCs w:val="16"/>
          <w:color w:val="auto"/>
        </w:rPr>
        <w:t xml:space="preserve"> business makes, moves and sells a range of petroleum-based products around the world for domestic, industrial and transport use. Its Future Fuels and CO</w:t>
      </w:r>
      <w:r>
        <w:rPr>
          <w:rFonts w:ascii="Arial" w:cs="Arial" w:eastAsia="Arial" w:hAnsi="Arial"/>
          <w:sz w:val="13"/>
          <w:szCs w:val="13"/>
          <w:color w:val="auto"/>
        </w:rPr>
        <w:t>2</w:t>
      </w:r>
      <w:r>
        <w:rPr>
          <w:rFonts w:ascii="Arial" w:cs="Arial" w:eastAsia="Arial" w:hAnsi="Arial"/>
          <w:sz w:val="16"/>
          <w:szCs w:val="16"/>
          <w:color w:val="auto"/>
        </w:rPr>
        <w:t xml:space="preserve"> business unit develops fuels such as biofuels and hydrogen and synthetic fuels made from natural gas (GTL Fuel) and potentially from biomass; and leads company-wide activities on CO</w:t>
      </w:r>
      <w:r>
        <w:rPr>
          <w:rFonts w:ascii="Arial" w:cs="Arial" w:eastAsia="Arial" w:hAnsi="Arial"/>
          <w:sz w:val="13"/>
          <w:szCs w:val="13"/>
          <w:color w:val="auto"/>
        </w:rPr>
        <w:t>2</w:t>
      </w:r>
      <w:r>
        <w:rPr>
          <w:rFonts w:ascii="Arial" w:cs="Arial" w:eastAsia="Arial" w:hAnsi="Arial"/>
          <w:sz w:val="16"/>
          <w:szCs w:val="16"/>
          <w:color w:val="auto"/>
        </w:rPr>
        <w:t xml:space="preserve"> management. With 46,000 service stations, ours is the world’s largest single-branded fuel retail network.</w:t>
      </w:r>
    </w:p>
    <w:p>
      <w:pPr>
        <w:spacing w:after="0" w:line="15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F8981D"/>
        </w:rPr>
        <w:t>Chemicals</w:t>
      </w:r>
      <w:r>
        <w:rPr>
          <w:rFonts w:ascii="Arial" w:cs="Arial" w:eastAsia="Arial" w:hAnsi="Arial"/>
          <w:sz w:val="18"/>
          <w:szCs w:val="18"/>
          <w:color w:val="auto"/>
        </w:rPr>
        <w:t xml:space="preserve"> business produces petrochemicals for industrial customers. They include the raw materials for plastics, coatings and detergents used in the manufacture of textiles, medical supplies and computers.</w:t>
      </w:r>
    </w:p>
    <w:p>
      <w:pPr>
        <w:sectPr>
          <w:pgSz w:w="11900" w:h="16838" w:orient="portrait"/>
          <w:cols w:equalWidth="0" w:num="2">
            <w:col w:w="5560" w:space="520"/>
            <w:col w:w="5080"/>
          </w:cols>
          <w:pgMar w:left="240" w:top="415" w:right="4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About this Report</w:t>
      </w:r>
    </w:p>
    <w:p>
      <w:pPr>
        <w:spacing w:after="0" w:line="200" w:lineRule="exact"/>
        <w:rPr>
          <w:sz w:val="20"/>
          <w:szCs w:val="20"/>
          <w:color w:val="auto"/>
        </w:rPr>
      </w:pPr>
    </w:p>
    <w:p>
      <w:pPr>
        <w:spacing w:after="0" w:line="233" w:lineRule="exact"/>
        <w:rPr>
          <w:sz w:val="20"/>
          <w:szCs w:val="20"/>
          <w:color w:val="auto"/>
        </w:rPr>
      </w:pPr>
    </w:p>
    <w:p>
      <w:pPr>
        <w:ind w:right="120"/>
        <w:spacing w:after="0" w:line="265" w:lineRule="auto"/>
        <w:rPr>
          <w:sz w:val="20"/>
          <w:szCs w:val="20"/>
          <w:color w:val="auto"/>
        </w:rPr>
      </w:pPr>
      <w:r>
        <w:rPr>
          <w:rFonts w:ascii="Arial" w:cs="Arial" w:eastAsia="Arial" w:hAnsi="Arial"/>
          <w:sz w:val="12"/>
          <w:szCs w:val="12"/>
          <w:color w:val="auto"/>
        </w:rPr>
        <w:t>This Report combines the Annual Report and Accounts and the Annual Report on Form 20-F (“Report”) for the year ended December 31, 2007, for Royal Dutch Shell plc (“Royal Dutch Shell”, “the Company”) and its subsidiaries. It presents the Consolidated Financial Statements of Royal Dutch Shell (pages 112-161) and the Parent Company Financial Statements of Royal Dutch Shell (pages 182-194). This Report complies with all applicable UK regulations. This Report also includes the disclosure included in the Annual Report on Form 20-F for the year ended December 31, 2007, as filed with the U.S. Securities and Exchange Commission (“SEC”). Cross references to Form 20-F are set out on page 2 of this Report.</w:t>
      </w:r>
    </w:p>
    <w:p>
      <w:pPr>
        <w:spacing w:after="0" w:line="16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In this Report “Shell”, “Shell group” and “Royal Dutch Shell” are sometimes used for convenience where references are made to Royal Dutch Shell and its subsidiaries in general. Likewise, the words “we”, “us” and “our” are also used to refer to subsidiaries in general or to those who work for them. These expressions are also used where no useful purpose is served by identifying the particular company or companies. “Subsidiaries’’, “Shell subsidiaries” and “Shell companies” as used in this Report refer to companies in which Royal Dutch Shell either directly or indirectly has control, by having either a majority of the voting rights or the right to exercise a controlling influence. The companies in which Shell has significant influence but not control are referred to as “associated companies” or “associates” and companies in which Shell has joint control are referred to as “jointly controlled entities”. In this Report, associates and jointly controlled entities are also referred to as “equity-accounted investments”.</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term “Shell interest” is used for convenience to indicate the direct and/or indirect equity interest held by Shell in a venture, partnership or company (i.e., after exclusion of all third-party interests).</w:t>
      </w:r>
    </w:p>
    <w:p>
      <w:pPr>
        <w:spacing w:after="0" w:line="180"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Except as otherwise specified, the figures shown in the tables in this Report represent those in respect of subsidiaries only, without deduction of minority interests. However, where figures are given specifically for oil production (net of royalties in kind), natural gas production available for sale, and both the refinery processing intake and total oil product sales volumes, the term “Shell share” is used for convenience to indicate not only the volumes to which subsidiaries are entitled (without deduction in respect of minority interests in subsidiaries) but also the portion of the volumes of equity-accounted investments to which Shell is entitled or which is proportionate to the Shell interest in those companies.</w:t>
      </w:r>
    </w:p>
    <w:p>
      <w:pPr>
        <w:spacing w:after="0" w:line="179"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Financial Statements contained in this Report have been prepared in accordance with the provisions of the Companies Act 1985, Article 4 of the International Accounting Standards (IAS) Regulation and with both International Financial Reporting Standards (“IFRS”) as issued by the International Accounting Standards Board (“IASB”) and IFRS as adopted by the European Union. IFRS as defined above includes International Financial Reporting Interpretations Committee (“IFRIC”) interpretations.</w:t>
      </w:r>
    </w:p>
    <w:p>
      <w:pPr>
        <w:spacing w:after="0" w:line="183"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Prior to the Shell’s date of transition to IFRS of January 1, 2004 it prepared Consolidated Financial Statements in accordance with US Generally Accepted Accounting Principles (“US GAAP”). Tables and disclosure that provide data over a five-year period show 2003 on a US GAAP basis.</w:t>
      </w:r>
    </w:p>
    <w:p>
      <w:pPr>
        <w:spacing w:after="0" w:line="179"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The Consolidated Financial Statements of Royal Dutch Shell and its subsidiaries have been prepared using the carry-over basis to account for the Unification (see page 3) and on the basis that the resulting structure was in place throughout the periods presented.</w:t>
      </w:r>
    </w:p>
    <w:p>
      <w:pPr>
        <w:spacing w:after="0" w:line="167"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Except as otherwise noted, the figures shown in this Report are stated in US dollars. As used herein all references to “dollars” or “$” are to the US currency.</w:t>
      </w:r>
    </w:p>
    <w:p>
      <w:pPr>
        <w:spacing w:after="0" w:line="321" w:lineRule="exact"/>
        <w:rPr>
          <w:sz w:val="20"/>
          <w:szCs w:val="20"/>
          <w:color w:val="auto"/>
        </w:rPr>
      </w:pPr>
    </w:p>
    <w:p>
      <w:pPr>
        <w:ind w:left="240" w:hanging="233"/>
        <w:spacing w:after="0"/>
        <w:tabs>
          <w:tab w:leader="none" w:pos="240" w:val="left"/>
        </w:tabs>
        <w:numPr>
          <w:ilvl w:val="0"/>
          <w:numId w:val="1"/>
        </w:numPr>
        <w:rPr>
          <w:rFonts w:ascii="Arial" w:cs="Arial" w:eastAsia="Arial" w:hAnsi="Arial"/>
          <w:sz w:val="14"/>
          <w:szCs w:val="14"/>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The Operating and Financial Review (“OFR”) and other sections of this Report contain forward-looking statements concerning the financial condition, results of operations and businesses of Royal Dutch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Royal Dutch Shell to market risks and statements expressing management’s expectations, beliefs, estimates, forecasts, projections and assumptions. These forward-looking statements are identified by their use of terms and phrases such as “anticipate”, “believe”, “could”, “estimate”, “expect”, “intend”, “may”, “plan”, “objectives”, “outlook”, “probably”, “project”, “will”, “seek”, “target”, “risks”, “goals”, “should” and similar terms and phrases. There are a number of factors that could affect the future operations of Royal Dutch Shell and could cause those results to differ materially from those expressed in the forward-looking statements included in this Report, including (without limitation): (a) price fluctuations in crude oil and natural gas; (b) changes in demand for Shell’s products; (c) currency fluctuations;</w:t>
      </w:r>
    </w:p>
    <w:p>
      <w:pPr>
        <w:spacing w:after="0" w:line="139" w:lineRule="exact"/>
        <w:rPr>
          <w:sz w:val="20"/>
          <w:szCs w:val="20"/>
          <w:color w:val="auto"/>
        </w:rPr>
      </w:pPr>
    </w:p>
    <w:p>
      <w:pPr>
        <w:ind w:firstLine="2"/>
        <w:spacing w:after="0" w:line="237" w:lineRule="auto"/>
        <w:tabs>
          <w:tab w:leader="none" w:pos="201" w:val="left"/>
        </w:tabs>
        <w:numPr>
          <w:ilvl w:val="0"/>
          <w:numId w:val="2"/>
        </w:numPr>
        <w:rPr>
          <w:rFonts w:ascii="Arial" w:cs="Arial" w:eastAsia="Arial" w:hAnsi="Arial"/>
          <w:sz w:val="13"/>
          <w:szCs w:val="13"/>
          <w:color w:val="auto"/>
        </w:rPr>
      </w:pPr>
      <w:r>
        <w:rPr>
          <w:rFonts w:ascii="Arial" w:cs="Arial" w:eastAsia="Arial" w:hAnsi="Arial"/>
          <w:sz w:val="13"/>
          <w:szCs w:val="13"/>
          <w:color w:val="auto"/>
        </w:rPr>
        <w:t>drilling and production results; (e) reserve estimates; (f) loss of market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fiscal and regulatory developments including potential litigation and regulatory effects arising from recategorisation of reserves;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and (m) changes in trading conditions. All forward-looking statements contained in this Report are expressly qualified in their entirety by the cautionary statements contained or referred to in this section. Readers should not place undue reliance on forward-looking statements. Each forward-looking statement speaks only as of the date of this Report. Neither Royal Dutch Shell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Report.</w:t>
      </w:r>
    </w:p>
    <w:p>
      <w:pPr>
        <w:spacing w:after="0" w:line="182" w:lineRule="exact"/>
        <w:rPr>
          <w:sz w:val="20"/>
          <w:szCs w:val="20"/>
          <w:color w:val="auto"/>
        </w:rPr>
      </w:pPr>
    </w:p>
    <w:p>
      <w:pPr>
        <w:ind w:right="460"/>
        <w:spacing w:after="0" w:line="235" w:lineRule="auto"/>
        <w:rPr>
          <w:sz w:val="20"/>
          <w:szCs w:val="20"/>
          <w:color w:val="auto"/>
        </w:rPr>
      </w:pPr>
      <w:r>
        <w:rPr>
          <w:rFonts w:ascii="Arial" w:cs="Arial" w:eastAsia="Arial" w:hAnsi="Arial"/>
          <w:sz w:val="14"/>
          <w:szCs w:val="14"/>
          <w:color w:val="auto"/>
        </w:rPr>
        <w:t>This Report contains references to Shell’s website. These references are for the readers’ convenience only. Shell is not incorporating by reference any information posted on www.shell.com.</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DOCUMENTS ON DISPLAY</w:t>
      </w:r>
    </w:p>
    <w:p>
      <w:pPr>
        <w:spacing w:after="0" w:line="47"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Documents concerning Royal Dutch Shell, or its predecessors for reporting purposes, which are referred to in this Report have been filed with the SEC and may be examined and copied at the public reference facility maintained by the SEC at 100 F Street, N.E., Room 1580, Washington, D.C. 20549. For further information on the operation of the public reference room and the copy charges, please call the SEC at (800) SEC-0330. All of the SEC filings made electronically by Shell are available to the public at the SEC website at www.sec.gov (commission file number 001-32575). This Report, as well as the Annual Review, is also available, free of charge, at www.shell.com/annualreport or at the offices of Royal Dutch Shell in The Hague, the Netherlands and London, UK. You may also obtain copies of this Report, free of charge,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1038860</wp:posOffset>
            </wp:positionV>
            <wp:extent cx="725297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40"/>
          </w:cols>
          <w:pgMar w:left="240" w:top="415" w:right="2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0"/>
        </w:trPr>
        <w:tc>
          <w:tcPr>
            <w:tcW w:w="2940" w:type="dxa"/>
            <w:vAlign w:val="bottom"/>
            <w:vMerge w:val="restart"/>
            <w:shd w:val="clear" w:color="auto" w:fill="E4E3E1"/>
          </w:tcPr>
          <w:p>
            <w:pPr>
              <w:ind w:left="200"/>
              <w:spacing w:after="0"/>
              <w:rPr>
                <w:sz w:val="20"/>
                <w:szCs w:val="20"/>
                <w:color w:val="auto"/>
              </w:rPr>
            </w:pPr>
            <w:r>
              <w:rPr>
                <w:rFonts w:ascii="Arial" w:cs="Arial" w:eastAsia="Arial" w:hAnsi="Arial"/>
                <w:sz w:val="16"/>
                <w:szCs w:val="16"/>
                <w:b w:val="1"/>
                <w:bCs w:val="1"/>
                <w:color w:val="auto"/>
              </w:rPr>
              <w:t>REVIEW OF THE YEAR</w:t>
            </w:r>
          </w:p>
        </w:tc>
        <w:tc>
          <w:tcPr>
            <w:tcW w:w="420" w:type="dxa"/>
            <w:vAlign w:val="bottom"/>
            <w:shd w:val="clear" w:color="auto" w:fill="E4E3E1"/>
          </w:tcPr>
          <w:p>
            <w:pPr>
              <w:spacing w:after="0"/>
              <w:rPr>
                <w:sz w:val="13"/>
                <w:szCs w:val="13"/>
                <w:color w:val="auto"/>
              </w:rPr>
            </w:pPr>
          </w:p>
        </w:tc>
        <w:tc>
          <w:tcPr>
            <w:tcW w:w="80" w:type="dxa"/>
            <w:vAlign w:val="bottom"/>
            <w:tcBorders>
              <w:left w:val="single" w:sz="8" w:color="E4E3E1"/>
            </w:tcBorders>
            <w:vMerge w:val="restart"/>
            <w:shd w:val="clear" w:color="auto" w:fill="E4E3E1"/>
          </w:tcPr>
          <w:p>
            <w:pPr>
              <w:spacing w:after="0"/>
              <w:rPr>
                <w:rFonts w:ascii="Arial" w:cs="Arial" w:eastAsia="Arial" w:hAnsi="Arial"/>
                <w:sz w:val="14"/>
                <w:szCs w:val="14"/>
                <w:b w:val="1"/>
                <w:bCs w:val="1"/>
                <w:color w:val="0000EE"/>
                <w:w w:val="76"/>
              </w:rPr>
            </w:pPr>
            <w:hyperlink w:anchor="page8">
              <w:r>
                <w:rPr>
                  <w:rFonts w:ascii="Arial" w:cs="Arial" w:eastAsia="Arial" w:hAnsi="Arial"/>
                  <w:sz w:val="14"/>
                  <w:szCs w:val="14"/>
                  <w:b w:val="1"/>
                  <w:bCs w:val="1"/>
                  <w:color w:val="0000EE"/>
                  <w:w w:val="76"/>
                </w:rPr>
                <w:t>3</w:t>
              </w:r>
            </w:hyperlink>
          </w:p>
        </w:tc>
        <w:tc>
          <w:tcPr>
            <w:tcW w:w="80" w:type="dxa"/>
            <w:vAlign w:val="bottom"/>
            <w:shd w:val="clear" w:color="auto" w:fill="E4E3E1"/>
          </w:tcPr>
          <w:p>
            <w:pPr>
              <w:spacing w:after="0"/>
              <w:rPr>
                <w:sz w:val="13"/>
                <w:szCs w:val="13"/>
                <w:color w:val="auto"/>
              </w:rPr>
            </w:pPr>
          </w:p>
        </w:tc>
        <w:tc>
          <w:tcPr>
            <w:tcW w:w="80" w:type="dxa"/>
            <w:vAlign w:val="bottom"/>
            <w:shd w:val="clear" w:color="auto" w:fill="E4E3E1"/>
          </w:tcPr>
          <w:p>
            <w:pPr>
              <w:spacing w:after="0"/>
              <w:rPr>
                <w:sz w:val="13"/>
                <w:szCs w:val="13"/>
                <w:color w:val="auto"/>
              </w:rPr>
            </w:pPr>
          </w:p>
        </w:tc>
        <w:tc>
          <w:tcPr>
            <w:tcW w:w="100" w:type="dxa"/>
            <w:vAlign w:val="bottom"/>
            <w:shd w:val="clear" w:color="auto" w:fill="E4E3E1"/>
          </w:tcPr>
          <w:p>
            <w:pPr>
              <w:spacing w:after="0"/>
              <w:rPr>
                <w:sz w:val="13"/>
                <w:szCs w:val="13"/>
                <w:color w:val="auto"/>
              </w:rPr>
            </w:pPr>
          </w:p>
        </w:tc>
        <w:tc>
          <w:tcPr>
            <w:tcW w:w="3980" w:type="dxa"/>
            <w:vAlign w:val="bottom"/>
            <w:gridSpan w:val="15"/>
            <w:vMerge w:val="restart"/>
            <w:shd w:val="clear" w:color="auto" w:fill="E4E3E1"/>
          </w:tcPr>
          <w:p>
            <w:pPr>
              <w:ind w:left="240"/>
              <w:spacing w:after="0"/>
              <w:rPr>
                <w:rFonts w:ascii="Arial" w:cs="Arial" w:eastAsia="Arial" w:hAnsi="Arial"/>
                <w:sz w:val="14"/>
                <w:szCs w:val="14"/>
                <w:color w:val="0000EE"/>
              </w:rPr>
            </w:pPr>
            <w:hyperlink w:anchor="page8">
              <w:r>
                <w:rPr>
                  <w:rFonts w:ascii="Arial" w:cs="Arial" w:eastAsia="Arial" w:hAnsi="Arial"/>
                  <w:sz w:val="14"/>
                  <w:szCs w:val="14"/>
                  <w:color w:val="0000EE"/>
                </w:rPr>
                <w:t>Unification of Royal Dutch and Shell Transport</w:t>
              </w:r>
            </w:hyperlink>
          </w:p>
        </w:tc>
        <w:tc>
          <w:tcPr>
            <w:tcW w:w="100" w:type="dxa"/>
            <w:vAlign w:val="bottom"/>
            <w:shd w:val="clear" w:color="auto" w:fill="E4E3E1"/>
          </w:tcPr>
          <w:p>
            <w:pPr>
              <w:spacing w:after="0"/>
              <w:rPr>
                <w:sz w:val="13"/>
                <w:szCs w:val="13"/>
                <w:color w:val="auto"/>
              </w:rPr>
            </w:pPr>
          </w:p>
        </w:tc>
        <w:tc>
          <w:tcPr>
            <w:tcW w:w="160" w:type="dxa"/>
            <w:vAlign w:val="bottom"/>
            <w:shd w:val="clear" w:color="auto" w:fill="E4E3E1"/>
          </w:tcPr>
          <w:p>
            <w:pPr>
              <w:spacing w:after="0"/>
              <w:rPr>
                <w:sz w:val="13"/>
                <w:szCs w:val="13"/>
                <w:color w:val="auto"/>
              </w:rPr>
            </w:pPr>
          </w:p>
        </w:tc>
        <w:tc>
          <w:tcPr>
            <w:tcW w:w="180" w:type="dxa"/>
            <w:vAlign w:val="bottom"/>
            <w:shd w:val="clear" w:color="auto" w:fill="E4E3E1"/>
          </w:tcPr>
          <w:p>
            <w:pPr>
              <w:spacing w:after="0"/>
              <w:rPr>
                <w:sz w:val="13"/>
                <w:szCs w:val="13"/>
                <w:color w:val="auto"/>
              </w:rPr>
            </w:pPr>
          </w:p>
        </w:tc>
        <w:tc>
          <w:tcPr>
            <w:tcW w:w="160" w:type="dxa"/>
            <w:vAlign w:val="bottom"/>
            <w:shd w:val="clear" w:color="auto" w:fill="E4E3E1"/>
          </w:tcPr>
          <w:p>
            <w:pPr>
              <w:spacing w:after="0"/>
              <w:rPr>
                <w:sz w:val="13"/>
                <w:szCs w:val="13"/>
                <w:color w:val="auto"/>
              </w:rPr>
            </w:pPr>
          </w:p>
        </w:tc>
        <w:tc>
          <w:tcPr>
            <w:tcW w:w="700" w:type="dxa"/>
            <w:vAlign w:val="bottom"/>
            <w:shd w:val="clear" w:color="auto" w:fill="E4E3E1"/>
          </w:tcPr>
          <w:p>
            <w:pPr>
              <w:spacing w:after="0"/>
              <w:rPr>
                <w:sz w:val="13"/>
                <w:szCs w:val="13"/>
                <w:color w:val="auto"/>
              </w:rPr>
            </w:pPr>
          </w:p>
        </w:tc>
        <w:tc>
          <w:tcPr>
            <w:tcW w:w="520" w:type="dxa"/>
            <w:vAlign w:val="bottom"/>
            <w:shd w:val="clear" w:color="auto" w:fill="E4E3E1"/>
          </w:tcPr>
          <w:p>
            <w:pPr>
              <w:spacing w:after="0"/>
              <w:rPr>
                <w:sz w:val="13"/>
                <w:szCs w:val="13"/>
                <w:color w:val="auto"/>
              </w:rPr>
            </w:pPr>
          </w:p>
        </w:tc>
        <w:tc>
          <w:tcPr>
            <w:tcW w:w="340" w:type="dxa"/>
            <w:vAlign w:val="bottom"/>
            <w:shd w:val="clear" w:color="auto" w:fill="E4E3E1"/>
          </w:tcPr>
          <w:p>
            <w:pPr>
              <w:spacing w:after="0"/>
              <w:rPr>
                <w:sz w:val="13"/>
                <w:szCs w:val="13"/>
                <w:color w:val="auto"/>
              </w:rPr>
            </w:pPr>
          </w:p>
        </w:tc>
        <w:tc>
          <w:tcPr>
            <w:tcW w:w="180" w:type="dxa"/>
            <w:vAlign w:val="bottom"/>
            <w:tcBorders>
              <w:right w:val="single" w:sz="8" w:color="E4E3E1"/>
            </w:tcBorders>
            <w:shd w:val="clear" w:color="auto" w:fill="E4E3E1"/>
          </w:tcPr>
          <w:p>
            <w:pPr>
              <w:spacing w:after="0"/>
              <w:rPr>
                <w:sz w:val="13"/>
                <w:szCs w:val="13"/>
                <w:color w:val="auto"/>
              </w:rPr>
            </w:pPr>
          </w:p>
        </w:tc>
        <w:tc>
          <w:tcPr>
            <w:tcW w:w="160" w:type="dxa"/>
            <w:vAlign w:val="bottom"/>
            <w:shd w:val="clear" w:color="auto" w:fill="E4E3E1"/>
          </w:tcPr>
          <w:p>
            <w:pPr>
              <w:spacing w:after="0"/>
              <w:rPr>
                <w:sz w:val="13"/>
                <w:szCs w:val="13"/>
                <w:color w:val="auto"/>
              </w:rPr>
            </w:pPr>
          </w:p>
        </w:tc>
        <w:tc>
          <w:tcPr>
            <w:tcW w:w="780" w:type="dxa"/>
            <w:vAlign w:val="bottom"/>
            <w:shd w:val="clear" w:color="auto" w:fill="E4E3E1"/>
          </w:tcPr>
          <w:p>
            <w:pPr>
              <w:spacing w:after="0"/>
              <w:rPr>
                <w:sz w:val="13"/>
                <w:szCs w:val="13"/>
                <w:color w:val="auto"/>
              </w:rPr>
            </w:pPr>
          </w:p>
        </w:tc>
        <w:tc>
          <w:tcPr>
            <w:tcW w:w="460" w:type="dxa"/>
            <w:vAlign w:val="bottom"/>
            <w:shd w:val="clear" w:color="auto" w:fill="E4E3E1"/>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940" w:type="dxa"/>
            <w:vAlign w:val="bottom"/>
            <w:vMerge w:val="continue"/>
            <w:shd w:val="clear" w:color="auto" w:fill="E4E3E1"/>
          </w:tcPr>
          <w:p>
            <w:pPr>
              <w:spacing w:after="0"/>
              <w:rPr>
                <w:sz w:val="24"/>
                <w:szCs w:val="24"/>
                <w:color w:val="auto"/>
              </w:rPr>
            </w:pPr>
          </w:p>
        </w:tc>
        <w:tc>
          <w:tcPr>
            <w:tcW w:w="420" w:type="dxa"/>
            <w:vAlign w:val="bottom"/>
            <w:shd w:val="clear" w:color="auto" w:fill="E4E3E1"/>
          </w:tcPr>
          <w:p>
            <w:pPr>
              <w:spacing w:after="0"/>
              <w:rPr>
                <w:sz w:val="24"/>
                <w:szCs w:val="24"/>
                <w:color w:val="auto"/>
              </w:rPr>
            </w:pPr>
          </w:p>
        </w:tc>
        <w:tc>
          <w:tcPr>
            <w:tcW w:w="80" w:type="dxa"/>
            <w:vAlign w:val="bottom"/>
            <w:tcBorders>
              <w:left w:val="single" w:sz="8" w:color="E4E3E1"/>
            </w:tcBorders>
            <w:vMerge w:val="continue"/>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3980" w:type="dxa"/>
            <w:vAlign w:val="bottom"/>
            <w:gridSpan w:val="15"/>
            <w:vMerge w:val="continue"/>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18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00" w:type="dxa"/>
            <w:vAlign w:val="bottom"/>
            <w:shd w:val="clear" w:color="auto" w:fill="E4E3E1"/>
          </w:tcPr>
          <w:p>
            <w:pPr>
              <w:spacing w:after="0"/>
              <w:rPr>
                <w:sz w:val="24"/>
                <w:szCs w:val="24"/>
                <w:color w:val="auto"/>
              </w:rPr>
            </w:pPr>
          </w:p>
        </w:tc>
        <w:tc>
          <w:tcPr>
            <w:tcW w:w="520" w:type="dxa"/>
            <w:vAlign w:val="bottom"/>
            <w:shd w:val="clear" w:color="auto" w:fill="E4E3E1"/>
          </w:tcPr>
          <w:p>
            <w:pPr>
              <w:spacing w:after="0"/>
              <w:rPr>
                <w:sz w:val="24"/>
                <w:szCs w:val="24"/>
                <w:color w:val="auto"/>
              </w:rPr>
            </w:pPr>
          </w:p>
        </w:tc>
        <w:tc>
          <w:tcPr>
            <w:tcW w:w="340" w:type="dxa"/>
            <w:vAlign w:val="bottom"/>
            <w:shd w:val="clear" w:color="auto" w:fill="E4E3E1"/>
          </w:tcPr>
          <w:p>
            <w:pPr>
              <w:spacing w:after="0"/>
              <w:rPr>
                <w:sz w:val="24"/>
                <w:szCs w:val="24"/>
                <w:color w:val="auto"/>
              </w:rPr>
            </w:pPr>
          </w:p>
        </w:tc>
        <w:tc>
          <w:tcPr>
            <w:tcW w:w="180" w:type="dxa"/>
            <w:vAlign w:val="bottom"/>
            <w:tcBorders>
              <w:right w:val="single" w:sz="8" w:color="E4E3E1"/>
            </w:tcBorders>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80" w:type="dxa"/>
            <w:vAlign w:val="bottom"/>
            <w:shd w:val="clear" w:color="auto" w:fill="E4E3E1"/>
          </w:tcPr>
          <w:p>
            <w:pPr>
              <w:spacing w:after="0"/>
              <w:rPr>
                <w:sz w:val="24"/>
                <w:szCs w:val="24"/>
                <w:color w:val="auto"/>
              </w:rPr>
            </w:pPr>
          </w:p>
        </w:tc>
        <w:tc>
          <w:tcPr>
            <w:tcW w:w="460" w:type="dxa"/>
            <w:vAlign w:val="bottom"/>
            <w:shd w:val="clear" w:color="auto" w:fill="FFD20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FD20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80" w:type="dxa"/>
            <w:vAlign w:val="bottom"/>
            <w:tcBorders>
              <w:left w:val="single" w:sz="8" w:color="E4E3E1"/>
            </w:tcBorders>
            <w:shd w:val="clear" w:color="auto" w:fill="E4E3E1"/>
          </w:tcPr>
          <w:p>
            <w:pPr>
              <w:spacing w:after="0"/>
              <w:rPr>
                <w:rFonts w:ascii="Arial" w:cs="Arial" w:eastAsia="Arial" w:hAnsi="Arial"/>
                <w:sz w:val="14"/>
                <w:szCs w:val="14"/>
                <w:b w:val="1"/>
                <w:bCs w:val="1"/>
                <w:color w:val="0000EE"/>
                <w:w w:val="76"/>
              </w:rPr>
            </w:pPr>
            <w:hyperlink w:anchor="page9">
              <w:r>
                <w:rPr>
                  <w:rFonts w:ascii="Arial" w:cs="Arial" w:eastAsia="Arial" w:hAnsi="Arial"/>
                  <w:sz w:val="14"/>
                  <w:szCs w:val="14"/>
                  <w:b w:val="1"/>
                  <w:bCs w:val="1"/>
                  <w:color w:val="0000EE"/>
                  <w:w w:val="76"/>
                </w:rPr>
                <w:t>4</w:t>
              </w:r>
            </w:hyperlink>
          </w:p>
        </w:tc>
        <w:tc>
          <w:tcPr>
            <w:tcW w:w="80" w:type="dxa"/>
            <w:vAlign w:val="bottom"/>
            <w:shd w:val="clear" w:color="auto" w:fill="E4E3E1"/>
          </w:tcPr>
          <w:p>
            <w:pPr>
              <w:spacing w:after="0"/>
              <w:rPr>
                <w:sz w:val="14"/>
                <w:szCs w:val="14"/>
                <w:color w:val="auto"/>
              </w:rPr>
            </w:pPr>
          </w:p>
        </w:tc>
        <w:tc>
          <w:tcPr>
            <w:tcW w:w="80" w:type="dxa"/>
            <w:vAlign w:val="bottom"/>
            <w:shd w:val="clear" w:color="auto" w:fill="E4E3E1"/>
          </w:tcPr>
          <w:p>
            <w:pPr>
              <w:spacing w:after="0"/>
              <w:rPr>
                <w:sz w:val="14"/>
                <w:szCs w:val="14"/>
                <w:color w:val="auto"/>
              </w:rPr>
            </w:pPr>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9">
              <w:r>
                <w:rPr>
                  <w:rFonts w:ascii="Arial" w:cs="Arial" w:eastAsia="Arial" w:hAnsi="Arial"/>
                  <w:sz w:val="14"/>
                  <w:szCs w:val="14"/>
                  <w:color w:val="0000EE"/>
                </w:rPr>
                <w:t>Selected financial data</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FFD20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FD20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80" w:type="dxa"/>
            <w:vAlign w:val="bottom"/>
            <w:tcBorders>
              <w:left w:val="single" w:sz="8" w:color="E4E3E1"/>
            </w:tcBorders>
            <w:shd w:val="clear" w:color="auto" w:fill="E4E3E1"/>
          </w:tcPr>
          <w:p>
            <w:pPr>
              <w:spacing w:after="0" w:line="140" w:lineRule="exact"/>
              <w:rPr>
                <w:rFonts w:ascii="Arial" w:cs="Arial" w:eastAsia="Arial" w:hAnsi="Arial"/>
                <w:sz w:val="14"/>
                <w:szCs w:val="14"/>
                <w:b w:val="1"/>
                <w:bCs w:val="1"/>
                <w:color w:val="0000EE"/>
                <w:w w:val="76"/>
              </w:rPr>
            </w:pPr>
            <w:hyperlink w:anchor="page11">
              <w:r>
                <w:rPr>
                  <w:rFonts w:ascii="Arial" w:cs="Arial" w:eastAsia="Arial" w:hAnsi="Arial"/>
                  <w:sz w:val="14"/>
                  <w:szCs w:val="14"/>
                  <w:b w:val="1"/>
                  <w:bCs w:val="1"/>
                  <w:color w:val="0000EE"/>
                  <w:w w:val="76"/>
                </w:rPr>
                <w:t>6</w:t>
              </w:r>
            </w:hyperlink>
          </w:p>
        </w:tc>
        <w:tc>
          <w:tcPr>
            <w:tcW w:w="80" w:type="dxa"/>
            <w:vAlign w:val="bottom"/>
            <w:shd w:val="clear" w:color="auto" w:fill="E4E3E1"/>
          </w:tcPr>
          <w:p>
            <w:pPr>
              <w:spacing w:after="0"/>
              <w:rPr>
                <w:sz w:val="12"/>
                <w:szCs w:val="12"/>
                <w:color w:val="auto"/>
              </w:rPr>
            </w:pPr>
          </w:p>
        </w:tc>
        <w:tc>
          <w:tcPr>
            <w:tcW w:w="80" w:type="dxa"/>
            <w:vAlign w:val="bottom"/>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980" w:type="dxa"/>
            <w:vAlign w:val="bottom"/>
            <w:gridSpan w:val="15"/>
            <w:shd w:val="clear" w:color="auto" w:fill="E4E3E1"/>
          </w:tcPr>
          <w:p>
            <w:pPr>
              <w:ind w:left="240"/>
              <w:spacing w:after="0" w:line="140" w:lineRule="exact"/>
              <w:rPr>
                <w:rFonts w:ascii="Arial" w:cs="Arial" w:eastAsia="Arial" w:hAnsi="Arial"/>
                <w:sz w:val="14"/>
                <w:szCs w:val="14"/>
                <w:color w:val="0000EE"/>
              </w:rPr>
            </w:pPr>
            <w:hyperlink w:anchor="page11">
              <w:r>
                <w:rPr>
                  <w:rFonts w:ascii="Arial" w:cs="Arial" w:eastAsia="Arial" w:hAnsi="Arial"/>
                  <w:sz w:val="14"/>
                  <w:szCs w:val="14"/>
                  <w:color w:val="0000EE"/>
                </w:rPr>
                <w:t>Chairman’s message</w:t>
              </w:r>
            </w:hyperlink>
          </w:p>
        </w:tc>
        <w:tc>
          <w:tcPr>
            <w:tcW w:w="10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18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00" w:type="dxa"/>
            <w:vAlign w:val="bottom"/>
            <w:shd w:val="clear" w:color="auto" w:fill="E4E3E1"/>
          </w:tcPr>
          <w:p>
            <w:pPr>
              <w:spacing w:after="0"/>
              <w:rPr>
                <w:sz w:val="12"/>
                <w:szCs w:val="12"/>
                <w:color w:val="auto"/>
              </w:rPr>
            </w:pPr>
          </w:p>
        </w:tc>
        <w:tc>
          <w:tcPr>
            <w:tcW w:w="520" w:type="dxa"/>
            <w:vAlign w:val="bottom"/>
            <w:shd w:val="clear" w:color="auto" w:fill="E4E3E1"/>
          </w:tcPr>
          <w:p>
            <w:pPr>
              <w:spacing w:after="0"/>
              <w:rPr>
                <w:sz w:val="12"/>
                <w:szCs w:val="12"/>
                <w:color w:val="auto"/>
              </w:rPr>
            </w:pPr>
          </w:p>
        </w:tc>
        <w:tc>
          <w:tcPr>
            <w:tcW w:w="340" w:type="dxa"/>
            <w:vAlign w:val="bottom"/>
            <w:shd w:val="clear" w:color="auto" w:fill="E4E3E1"/>
          </w:tcPr>
          <w:p>
            <w:pPr>
              <w:spacing w:after="0"/>
              <w:rPr>
                <w:sz w:val="12"/>
                <w:szCs w:val="12"/>
                <w:color w:val="auto"/>
              </w:rPr>
            </w:pPr>
          </w:p>
        </w:tc>
        <w:tc>
          <w:tcPr>
            <w:tcW w:w="180" w:type="dxa"/>
            <w:vAlign w:val="bottom"/>
            <w:tcBorders>
              <w:right w:val="single" w:sz="8" w:color="E4E3E1"/>
            </w:tcBorders>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80" w:type="dxa"/>
            <w:vAlign w:val="bottom"/>
            <w:shd w:val="clear" w:color="auto" w:fill="E4E3E1"/>
          </w:tcPr>
          <w:p>
            <w:pPr>
              <w:spacing w:after="0"/>
              <w:rPr>
                <w:sz w:val="12"/>
                <w:szCs w:val="12"/>
                <w:color w:val="auto"/>
              </w:rPr>
            </w:pPr>
          </w:p>
        </w:tc>
        <w:tc>
          <w:tcPr>
            <w:tcW w:w="460" w:type="dxa"/>
            <w:vAlign w:val="bottom"/>
            <w:shd w:val="clear" w:color="auto" w:fill="FFD204"/>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E4E3E1"/>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FD20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80" w:type="dxa"/>
            <w:vAlign w:val="bottom"/>
            <w:tcBorders>
              <w:left w:val="single" w:sz="8" w:color="E4E3E1"/>
            </w:tcBorders>
            <w:shd w:val="clear" w:color="auto" w:fill="E4E3E1"/>
          </w:tcPr>
          <w:p>
            <w:pPr>
              <w:spacing w:after="0" w:line="140" w:lineRule="exact"/>
              <w:rPr>
                <w:rFonts w:ascii="Arial" w:cs="Arial" w:eastAsia="Arial" w:hAnsi="Arial"/>
                <w:sz w:val="14"/>
                <w:szCs w:val="14"/>
                <w:b w:val="1"/>
                <w:bCs w:val="1"/>
                <w:color w:val="0000EE"/>
                <w:w w:val="76"/>
              </w:rPr>
            </w:pPr>
            <w:hyperlink w:anchor="page12">
              <w:r>
                <w:rPr>
                  <w:rFonts w:ascii="Arial" w:cs="Arial" w:eastAsia="Arial" w:hAnsi="Arial"/>
                  <w:sz w:val="14"/>
                  <w:szCs w:val="14"/>
                  <w:b w:val="1"/>
                  <w:bCs w:val="1"/>
                  <w:color w:val="0000EE"/>
                  <w:w w:val="76"/>
                </w:rPr>
                <w:t>7</w:t>
              </w:r>
            </w:hyperlink>
          </w:p>
        </w:tc>
        <w:tc>
          <w:tcPr>
            <w:tcW w:w="80" w:type="dxa"/>
            <w:vAlign w:val="bottom"/>
            <w:vMerge w:val="continue"/>
            <w:shd w:val="clear" w:color="auto" w:fill="E4E3E1"/>
          </w:tcPr>
          <w:p>
            <w:pPr>
              <w:spacing w:after="0"/>
              <w:rPr>
                <w:sz w:val="12"/>
                <w:szCs w:val="12"/>
                <w:color w:val="auto"/>
              </w:rPr>
            </w:pPr>
          </w:p>
        </w:tc>
        <w:tc>
          <w:tcPr>
            <w:tcW w:w="80" w:type="dxa"/>
            <w:vAlign w:val="bottom"/>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240" w:type="dxa"/>
            <w:vAlign w:val="bottom"/>
            <w:shd w:val="clear" w:color="auto" w:fill="E4E3E1"/>
          </w:tcPr>
          <w:p>
            <w:pPr>
              <w:spacing w:after="0"/>
              <w:rPr>
                <w:sz w:val="12"/>
                <w:szCs w:val="12"/>
                <w:color w:val="auto"/>
              </w:rPr>
            </w:pPr>
          </w:p>
        </w:tc>
        <w:tc>
          <w:tcPr>
            <w:tcW w:w="3740" w:type="dxa"/>
            <w:vAlign w:val="bottom"/>
            <w:gridSpan w:val="14"/>
            <w:shd w:val="clear" w:color="auto" w:fill="E4E3E1"/>
          </w:tcPr>
          <w:p>
            <w:pPr>
              <w:spacing w:after="0" w:line="140" w:lineRule="exact"/>
              <w:rPr>
                <w:rFonts w:ascii="Arial" w:cs="Arial" w:eastAsia="Arial" w:hAnsi="Arial"/>
                <w:sz w:val="14"/>
                <w:szCs w:val="14"/>
                <w:color w:val="0000EE"/>
              </w:rPr>
            </w:pPr>
            <w:hyperlink w:anchor="page12">
              <w:r>
                <w:rPr>
                  <w:rFonts w:ascii="Arial" w:cs="Arial" w:eastAsia="Arial" w:hAnsi="Arial"/>
                  <w:sz w:val="14"/>
                  <w:szCs w:val="14"/>
                  <w:color w:val="0000EE"/>
                </w:rPr>
                <w:t>Chief Executive’s review</w:t>
              </w:r>
            </w:hyperlink>
          </w:p>
        </w:tc>
        <w:tc>
          <w:tcPr>
            <w:tcW w:w="10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18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00" w:type="dxa"/>
            <w:vAlign w:val="bottom"/>
            <w:shd w:val="clear" w:color="auto" w:fill="E4E3E1"/>
          </w:tcPr>
          <w:p>
            <w:pPr>
              <w:spacing w:after="0"/>
              <w:rPr>
                <w:sz w:val="12"/>
                <w:szCs w:val="12"/>
                <w:color w:val="auto"/>
              </w:rPr>
            </w:pPr>
          </w:p>
        </w:tc>
        <w:tc>
          <w:tcPr>
            <w:tcW w:w="520" w:type="dxa"/>
            <w:vAlign w:val="bottom"/>
            <w:shd w:val="clear" w:color="auto" w:fill="E4E3E1"/>
          </w:tcPr>
          <w:p>
            <w:pPr>
              <w:spacing w:after="0"/>
              <w:rPr>
                <w:sz w:val="12"/>
                <w:szCs w:val="12"/>
                <w:color w:val="auto"/>
              </w:rPr>
            </w:pPr>
          </w:p>
        </w:tc>
        <w:tc>
          <w:tcPr>
            <w:tcW w:w="340" w:type="dxa"/>
            <w:vAlign w:val="bottom"/>
            <w:shd w:val="clear" w:color="auto" w:fill="E4E3E1"/>
          </w:tcPr>
          <w:p>
            <w:pPr>
              <w:spacing w:after="0"/>
              <w:rPr>
                <w:sz w:val="12"/>
                <w:szCs w:val="12"/>
                <w:color w:val="auto"/>
              </w:rPr>
            </w:pPr>
          </w:p>
        </w:tc>
        <w:tc>
          <w:tcPr>
            <w:tcW w:w="180" w:type="dxa"/>
            <w:vAlign w:val="bottom"/>
            <w:tcBorders>
              <w:right w:val="single" w:sz="8" w:color="E4E3E1"/>
            </w:tcBorders>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80" w:type="dxa"/>
            <w:vAlign w:val="bottom"/>
            <w:shd w:val="clear" w:color="auto" w:fill="E4E3E1"/>
          </w:tcPr>
          <w:p>
            <w:pPr>
              <w:spacing w:after="0"/>
              <w:rPr>
                <w:sz w:val="12"/>
                <w:szCs w:val="12"/>
                <w:color w:val="auto"/>
              </w:rPr>
            </w:pPr>
          </w:p>
        </w:tc>
        <w:tc>
          <w:tcPr>
            <w:tcW w:w="460" w:type="dxa"/>
            <w:vAlign w:val="bottom"/>
            <w:shd w:val="clear" w:color="auto" w:fill="FFD204"/>
          </w:tcPr>
          <w:p>
            <w:pPr>
              <w:spacing w:after="0"/>
              <w:rPr>
                <w:sz w:val="12"/>
                <w:szCs w:val="12"/>
                <w:color w:val="auto"/>
              </w:rPr>
            </w:pPr>
          </w:p>
        </w:tc>
        <w:tc>
          <w:tcPr>
            <w:tcW w:w="0" w:type="dxa"/>
            <w:vAlign w:val="bottom"/>
          </w:tcPr>
          <w:p>
            <w:pPr>
              <w:spacing w:after="0"/>
              <w:rPr>
                <w:sz w:val="1"/>
                <w:szCs w:val="1"/>
                <w:color w:val="auto"/>
              </w:rPr>
            </w:pPr>
          </w:p>
        </w:tc>
      </w:tr>
      <w:tr>
        <w:trPr>
          <w:trHeight w:val="320"/>
        </w:trPr>
        <w:tc>
          <w:tcPr>
            <w:tcW w:w="2940" w:type="dxa"/>
            <w:vAlign w:val="bottom"/>
            <w:tcBorders>
              <w:top w:val="single" w:sz="8" w:color="E4E3E1"/>
            </w:tcBorders>
            <w:shd w:val="clear" w:color="auto" w:fill="E4E3E1"/>
          </w:tcPr>
          <w:p>
            <w:pPr>
              <w:spacing w:after="0"/>
              <w:rPr>
                <w:sz w:val="24"/>
                <w:szCs w:val="24"/>
                <w:color w:val="auto"/>
              </w:rPr>
            </w:pPr>
          </w:p>
        </w:tc>
        <w:tc>
          <w:tcPr>
            <w:tcW w:w="42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0000EE"/>
              <w:left w:val="single" w:sz="8" w:color="E4E3E1"/>
            </w:tcBorders>
            <w:shd w:val="clear" w:color="auto" w:fill="E4E3E1"/>
          </w:tcPr>
          <w:p>
            <w:pPr>
              <w:spacing w:after="0"/>
              <w:rPr>
                <w:sz w:val="24"/>
                <w:szCs w:val="24"/>
                <w:color w:val="auto"/>
              </w:rPr>
            </w:pPr>
          </w:p>
        </w:tc>
        <w:tc>
          <w:tcPr>
            <w:tcW w:w="8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660" w:type="dxa"/>
            <w:vAlign w:val="bottom"/>
            <w:tcBorders>
              <w:top w:val="single" w:sz="8" w:color="0000EE"/>
              <w:right w:val="single" w:sz="8" w:color="E4E3E1"/>
            </w:tcBorders>
            <w:shd w:val="clear" w:color="auto" w:fill="E4E3E1"/>
          </w:tcPr>
          <w:p>
            <w:pPr>
              <w:spacing w:after="0"/>
              <w:rPr>
                <w:sz w:val="24"/>
                <w:szCs w:val="24"/>
                <w:color w:val="auto"/>
              </w:rPr>
            </w:pPr>
          </w:p>
        </w:tc>
        <w:tc>
          <w:tcPr>
            <w:tcW w:w="100" w:type="dxa"/>
            <w:vAlign w:val="bottom"/>
            <w:tcBorders>
              <w:top w:val="single" w:sz="8" w:color="0000EE"/>
              <w:righ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380" w:type="dxa"/>
            <w:vAlign w:val="bottom"/>
            <w:tcBorders>
              <w:top w:val="single" w:sz="8" w:color="0000EE"/>
            </w:tcBorders>
            <w:shd w:val="clear" w:color="auto" w:fill="E4E3E1"/>
          </w:tcPr>
          <w:p>
            <w:pPr>
              <w:spacing w:after="0"/>
              <w:rPr>
                <w:sz w:val="24"/>
                <w:szCs w:val="24"/>
                <w:color w:val="auto"/>
              </w:rPr>
            </w:pPr>
          </w:p>
        </w:tc>
        <w:tc>
          <w:tcPr>
            <w:tcW w:w="340" w:type="dxa"/>
            <w:vAlign w:val="bottom"/>
            <w:tcBorders>
              <w:top w:val="single" w:sz="8" w:color="0000EE"/>
              <w:right w:val="single" w:sz="8" w:color="E4E3E1"/>
            </w:tcBorders>
            <w:shd w:val="clear" w:color="auto" w:fill="E4E3E1"/>
          </w:tcPr>
          <w:p>
            <w:pPr>
              <w:spacing w:after="0"/>
              <w:rPr>
                <w:sz w:val="24"/>
                <w:szCs w:val="24"/>
                <w:color w:val="auto"/>
              </w:rPr>
            </w:pPr>
          </w:p>
        </w:tc>
        <w:tc>
          <w:tcPr>
            <w:tcW w:w="36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E4E3E1"/>
            </w:tcBorders>
            <w:shd w:val="clear" w:color="auto" w:fill="E4E3E1"/>
          </w:tcPr>
          <w:p>
            <w:pPr>
              <w:spacing w:after="0"/>
              <w:rPr>
                <w:sz w:val="24"/>
                <w:szCs w:val="24"/>
                <w:color w:val="auto"/>
              </w:rPr>
            </w:pPr>
          </w:p>
        </w:tc>
        <w:tc>
          <w:tcPr>
            <w:tcW w:w="280" w:type="dxa"/>
            <w:vAlign w:val="bottom"/>
            <w:tcBorders>
              <w:top w:val="single" w:sz="8" w:color="E4E3E1"/>
              <w:right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48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360" w:type="dxa"/>
            <w:vAlign w:val="bottom"/>
            <w:tcBorders>
              <w:top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00" w:type="dxa"/>
            <w:vAlign w:val="bottom"/>
            <w:tcBorders>
              <w:top w:val="single" w:sz="8" w:color="E4E3E1"/>
            </w:tcBorders>
            <w:shd w:val="clear" w:color="auto" w:fill="E4E3E1"/>
          </w:tcPr>
          <w:p>
            <w:pPr>
              <w:spacing w:after="0"/>
              <w:rPr>
                <w:sz w:val="24"/>
                <w:szCs w:val="24"/>
                <w:color w:val="auto"/>
              </w:rPr>
            </w:pPr>
          </w:p>
        </w:tc>
        <w:tc>
          <w:tcPr>
            <w:tcW w:w="520" w:type="dxa"/>
            <w:vAlign w:val="bottom"/>
            <w:tcBorders>
              <w:top w:val="single" w:sz="8" w:color="E4E3E1"/>
            </w:tcBorders>
            <w:shd w:val="clear" w:color="auto" w:fill="E4E3E1"/>
          </w:tcPr>
          <w:p>
            <w:pPr>
              <w:spacing w:after="0"/>
              <w:rPr>
                <w:sz w:val="24"/>
                <w:szCs w:val="24"/>
                <w:color w:val="auto"/>
              </w:rPr>
            </w:pPr>
          </w:p>
        </w:tc>
        <w:tc>
          <w:tcPr>
            <w:tcW w:w="34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right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80" w:type="dxa"/>
            <w:vAlign w:val="bottom"/>
            <w:tcBorders>
              <w:top w:val="single" w:sz="8" w:color="E4E3E1"/>
            </w:tcBorders>
            <w:shd w:val="clear" w:color="auto" w:fill="E4E3E1"/>
          </w:tcPr>
          <w:p>
            <w:pPr>
              <w:spacing w:after="0"/>
              <w:rPr>
                <w:sz w:val="24"/>
                <w:szCs w:val="24"/>
                <w:color w:val="auto"/>
              </w:rPr>
            </w:pPr>
          </w:p>
        </w:tc>
        <w:tc>
          <w:tcPr>
            <w:tcW w:w="460" w:type="dxa"/>
            <w:vAlign w:val="bottom"/>
            <w:tcBorders>
              <w:top w:val="single" w:sz="8" w:color="FFD204"/>
            </w:tcBorders>
            <w:shd w:val="clear" w:color="auto" w:fill="FFD204"/>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E4E3E1"/>
          </w:tcPr>
          <w:p>
            <w:pPr>
              <w:ind w:left="200"/>
              <w:spacing w:after="0"/>
              <w:rPr>
                <w:sz w:val="20"/>
                <w:szCs w:val="20"/>
                <w:color w:val="auto"/>
              </w:rPr>
            </w:pPr>
            <w:r>
              <w:rPr>
                <w:rFonts w:ascii="Arial" w:cs="Arial" w:eastAsia="Arial" w:hAnsi="Arial"/>
                <w:sz w:val="16"/>
                <w:szCs w:val="16"/>
                <w:b w:val="1"/>
                <w:bCs w:val="1"/>
                <w:color w:val="auto"/>
              </w:rPr>
              <w:t>OPERATING AND</w:t>
            </w:r>
          </w:p>
        </w:tc>
        <w:tc>
          <w:tcPr>
            <w:tcW w:w="580" w:type="dxa"/>
            <w:vAlign w:val="bottom"/>
            <w:gridSpan w:val="3"/>
            <w:shd w:val="clear" w:color="auto" w:fill="E4E3E1"/>
          </w:tcPr>
          <w:p>
            <w:pPr>
              <w:ind w:left="420"/>
              <w:spacing w:after="0"/>
              <w:rPr>
                <w:rFonts w:ascii="Arial" w:cs="Arial" w:eastAsia="Arial" w:hAnsi="Arial"/>
                <w:sz w:val="14"/>
                <w:szCs w:val="14"/>
                <w:b w:val="1"/>
                <w:bCs w:val="1"/>
                <w:color w:val="0000EE"/>
                <w:w w:val="89"/>
              </w:rPr>
            </w:pPr>
            <w:hyperlink w:anchor="page15">
              <w:r>
                <w:rPr>
                  <w:rFonts w:ascii="Arial" w:cs="Arial" w:eastAsia="Arial" w:hAnsi="Arial"/>
                  <w:sz w:val="14"/>
                  <w:szCs w:val="14"/>
                  <w:b w:val="1"/>
                  <w:bCs w:val="1"/>
                  <w:color w:val="0000EE"/>
                  <w:w w:val="89"/>
                </w:rPr>
                <w:t>10</w:t>
              </w:r>
            </w:hyperlink>
          </w:p>
        </w:tc>
        <w:tc>
          <w:tcPr>
            <w:tcW w:w="80" w:type="dxa"/>
            <w:vAlign w:val="bottom"/>
            <w:shd w:val="clear" w:color="auto" w:fill="E4E3E1"/>
          </w:tcPr>
          <w:p>
            <w:pPr>
              <w:spacing w:after="0"/>
              <w:rPr>
                <w:sz w:val="17"/>
                <w:szCs w:val="17"/>
                <w:color w:val="auto"/>
              </w:rPr>
            </w:pPr>
          </w:p>
        </w:tc>
        <w:tc>
          <w:tcPr>
            <w:tcW w:w="100" w:type="dxa"/>
            <w:vAlign w:val="bottom"/>
            <w:shd w:val="clear" w:color="auto" w:fill="E4E3E1"/>
          </w:tcPr>
          <w:p>
            <w:pPr>
              <w:spacing w:after="0"/>
              <w:rPr>
                <w:sz w:val="17"/>
                <w:szCs w:val="17"/>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5">
              <w:r>
                <w:rPr>
                  <w:rFonts w:ascii="Arial" w:cs="Arial" w:eastAsia="Arial" w:hAnsi="Arial"/>
                  <w:sz w:val="14"/>
                  <w:szCs w:val="14"/>
                  <w:color w:val="0000EE"/>
                </w:rPr>
                <w:t>Business and market overview</w:t>
              </w:r>
            </w:hyperlink>
          </w:p>
        </w:tc>
        <w:tc>
          <w:tcPr>
            <w:tcW w:w="440" w:type="dxa"/>
            <w:vAlign w:val="bottom"/>
            <w:gridSpan w:val="3"/>
            <w:shd w:val="clear" w:color="auto" w:fill="E4E3E1"/>
          </w:tcPr>
          <w:p>
            <w:pPr>
              <w:jc w:val="right"/>
              <w:ind w:right="180"/>
              <w:spacing w:after="0"/>
              <w:rPr>
                <w:rFonts w:ascii="Arial" w:cs="Arial" w:eastAsia="Arial" w:hAnsi="Arial"/>
                <w:sz w:val="14"/>
                <w:szCs w:val="14"/>
                <w:b w:val="1"/>
                <w:bCs w:val="1"/>
                <w:color w:val="0000EE"/>
              </w:rPr>
            </w:pPr>
            <w:hyperlink w:anchor="page64">
              <w:r>
                <w:rPr>
                  <w:rFonts w:ascii="Arial" w:cs="Arial" w:eastAsia="Arial" w:hAnsi="Arial"/>
                  <w:sz w:val="14"/>
                  <w:szCs w:val="14"/>
                  <w:b w:val="1"/>
                  <w:bCs w:val="1"/>
                  <w:color w:val="0000EE"/>
                </w:rPr>
                <w:t>59</w:t>
              </w:r>
            </w:hyperlink>
          </w:p>
        </w:tc>
        <w:tc>
          <w:tcPr>
            <w:tcW w:w="2840" w:type="dxa"/>
            <w:vAlign w:val="bottom"/>
            <w:gridSpan w:val="7"/>
            <w:shd w:val="clear" w:color="auto" w:fill="E4E3E1"/>
          </w:tcPr>
          <w:p>
            <w:pPr>
              <w:ind w:left="160"/>
              <w:spacing w:after="0"/>
              <w:rPr>
                <w:rFonts w:ascii="Arial" w:cs="Arial" w:eastAsia="Arial" w:hAnsi="Arial"/>
                <w:sz w:val="14"/>
                <w:szCs w:val="14"/>
                <w:color w:val="0000EE"/>
              </w:rPr>
            </w:pPr>
            <w:hyperlink w:anchor="page64">
              <w:r>
                <w:rPr>
                  <w:rFonts w:ascii="Arial" w:cs="Arial" w:eastAsia="Arial" w:hAnsi="Arial"/>
                  <w:sz w:val="14"/>
                  <w:szCs w:val="14"/>
                  <w:color w:val="0000EE"/>
                </w:rPr>
                <w:t>Research and development</w:t>
              </w:r>
            </w:hyperlink>
          </w:p>
        </w:tc>
        <w:tc>
          <w:tcPr>
            <w:tcW w:w="460" w:type="dxa"/>
            <w:vAlign w:val="bottom"/>
            <w:shd w:val="clear" w:color="auto" w:fill="F6893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line="167" w:lineRule="exact"/>
              <w:rPr>
                <w:sz w:val="20"/>
                <w:szCs w:val="20"/>
                <w:color w:val="auto"/>
              </w:rPr>
            </w:pPr>
            <w:r>
              <w:rPr>
                <w:rFonts w:ascii="Arial" w:cs="Arial" w:eastAsia="Arial" w:hAnsi="Arial"/>
                <w:sz w:val="16"/>
                <w:szCs w:val="16"/>
                <w:b w:val="1"/>
                <w:bCs w:val="1"/>
                <w:color w:val="auto"/>
              </w:rPr>
              <w:t>FINANCIAL REVIEW</w:t>
            </w: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vMerge w:val="continue"/>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160" w:type="dxa"/>
            <w:vAlign w:val="bottom"/>
            <w:tcBorders>
              <w:left w:val="single" w:sz="8" w:color="E4E3E1"/>
            </w:tcBorders>
            <w:gridSpan w:val="2"/>
            <w:shd w:val="clear" w:color="auto" w:fill="E4E3E1"/>
          </w:tcPr>
          <w:p>
            <w:pPr>
              <w:spacing w:after="0" w:line="153" w:lineRule="exact"/>
              <w:rPr>
                <w:rFonts w:ascii="Arial" w:cs="Arial" w:eastAsia="Arial" w:hAnsi="Arial"/>
                <w:sz w:val="14"/>
                <w:szCs w:val="14"/>
                <w:b w:val="1"/>
                <w:bCs w:val="1"/>
                <w:color w:val="0000EE"/>
                <w:w w:val="89"/>
              </w:rPr>
            </w:pPr>
            <w:hyperlink w:anchor="page18">
              <w:r>
                <w:rPr>
                  <w:rFonts w:ascii="Arial" w:cs="Arial" w:eastAsia="Arial" w:hAnsi="Arial"/>
                  <w:sz w:val="14"/>
                  <w:szCs w:val="14"/>
                  <w:b w:val="1"/>
                  <w:bCs w:val="1"/>
                  <w:color w:val="0000EE"/>
                  <w:w w:val="89"/>
                </w:rPr>
                <w:t>13</w:t>
              </w:r>
            </w:hyperlink>
          </w:p>
        </w:tc>
        <w:tc>
          <w:tcPr>
            <w:tcW w:w="80" w:type="dxa"/>
            <w:vAlign w:val="bottom"/>
            <w:shd w:val="clear" w:color="auto" w:fill="E4E3E1"/>
          </w:tcPr>
          <w:p>
            <w:pPr>
              <w:spacing w:after="0"/>
              <w:rPr>
                <w:sz w:val="14"/>
                <w:szCs w:val="14"/>
                <w:color w:val="auto"/>
              </w:rPr>
            </w:pPr>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line="153" w:lineRule="exact"/>
              <w:rPr>
                <w:rFonts w:ascii="Arial" w:cs="Arial" w:eastAsia="Arial" w:hAnsi="Arial"/>
                <w:sz w:val="14"/>
                <w:szCs w:val="14"/>
                <w:color w:val="0000EE"/>
              </w:rPr>
            </w:pPr>
            <w:hyperlink w:anchor="page18">
              <w:r>
                <w:rPr>
                  <w:rFonts w:ascii="Arial" w:cs="Arial" w:eastAsia="Arial" w:hAnsi="Arial"/>
                  <w:sz w:val="14"/>
                  <w:szCs w:val="14"/>
                  <w:color w:val="0000EE"/>
                </w:rPr>
                <w:t>Risk factors</w:t>
              </w:r>
            </w:hyperlink>
          </w:p>
        </w:tc>
        <w:tc>
          <w:tcPr>
            <w:tcW w:w="440" w:type="dxa"/>
            <w:vAlign w:val="bottom"/>
            <w:gridSpan w:val="3"/>
            <w:shd w:val="clear" w:color="auto" w:fill="E4E3E1"/>
          </w:tcPr>
          <w:p>
            <w:pPr>
              <w:jc w:val="right"/>
              <w:ind w:right="180"/>
              <w:spacing w:after="0" w:line="153" w:lineRule="exact"/>
              <w:rPr>
                <w:rFonts w:ascii="Arial" w:cs="Arial" w:eastAsia="Arial" w:hAnsi="Arial"/>
                <w:sz w:val="14"/>
                <w:szCs w:val="14"/>
                <w:b w:val="1"/>
                <w:bCs w:val="1"/>
                <w:color w:val="0000EE"/>
              </w:rPr>
            </w:pPr>
            <w:hyperlink w:anchor="page65">
              <w:r>
                <w:rPr>
                  <w:rFonts w:ascii="Arial" w:cs="Arial" w:eastAsia="Arial" w:hAnsi="Arial"/>
                  <w:sz w:val="14"/>
                  <w:szCs w:val="14"/>
                  <w:b w:val="1"/>
                  <w:bCs w:val="1"/>
                  <w:color w:val="0000EE"/>
                </w:rPr>
                <w:t>60</w:t>
              </w:r>
            </w:hyperlink>
          </w:p>
        </w:tc>
        <w:tc>
          <w:tcPr>
            <w:tcW w:w="2840" w:type="dxa"/>
            <w:vAlign w:val="bottom"/>
            <w:gridSpan w:val="7"/>
            <w:shd w:val="clear" w:color="auto" w:fill="E4E3E1"/>
          </w:tcPr>
          <w:p>
            <w:pPr>
              <w:ind w:left="160"/>
              <w:spacing w:after="0" w:line="153" w:lineRule="exact"/>
              <w:rPr>
                <w:rFonts w:ascii="Arial" w:cs="Arial" w:eastAsia="Arial" w:hAnsi="Arial"/>
                <w:sz w:val="14"/>
                <w:szCs w:val="14"/>
                <w:color w:val="0000EE"/>
              </w:rPr>
            </w:pPr>
            <w:hyperlink w:anchor="page65">
              <w:r>
                <w:rPr>
                  <w:rFonts w:ascii="Arial" w:cs="Arial" w:eastAsia="Arial" w:hAnsi="Arial"/>
                  <w:sz w:val="14"/>
                  <w:szCs w:val="14"/>
                  <w:color w:val="0000EE"/>
                </w:rPr>
                <w:t>Key performance indicators</w:t>
              </w:r>
            </w:hyperlink>
          </w:p>
        </w:tc>
        <w:tc>
          <w:tcPr>
            <w:tcW w:w="460" w:type="dxa"/>
            <w:vAlign w:val="bottom"/>
            <w:shd w:val="clear" w:color="auto" w:fill="F6893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E4E3E1"/>
            </w:tcBorders>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380" w:type="dxa"/>
            <w:vAlign w:val="bottom"/>
            <w:shd w:val="clear" w:color="auto" w:fill="E4E3E1"/>
          </w:tcPr>
          <w:p>
            <w:pPr>
              <w:spacing w:after="0" w:line="20" w:lineRule="exact"/>
              <w:rPr>
                <w:sz w:val="1"/>
                <w:szCs w:val="1"/>
                <w:color w:val="auto"/>
              </w:rPr>
            </w:pPr>
          </w:p>
        </w:tc>
        <w:tc>
          <w:tcPr>
            <w:tcW w:w="340" w:type="dxa"/>
            <w:vAlign w:val="bottom"/>
            <w:tcBorders>
              <w:right w:val="single" w:sz="8" w:color="E4E3E1"/>
            </w:tcBorders>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E4E3E1"/>
            </w:tcBorders>
            <w:shd w:val="clear" w:color="auto" w:fill="0000EE"/>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160" w:type="dxa"/>
            <w:vAlign w:val="bottom"/>
            <w:tcBorders>
              <w:left w:val="single" w:sz="8" w:color="E4E3E1"/>
            </w:tcBorders>
            <w:gridSpan w:val="2"/>
            <w:shd w:val="clear" w:color="auto" w:fill="E4E3E1"/>
          </w:tcPr>
          <w:p>
            <w:pPr>
              <w:spacing w:after="0"/>
              <w:rPr>
                <w:rFonts w:ascii="Arial" w:cs="Arial" w:eastAsia="Arial" w:hAnsi="Arial"/>
                <w:sz w:val="14"/>
                <w:szCs w:val="14"/>
                <w:b w:val="1"/>
                <w:bCs w:val="1"/>
                <w:color w:val="0000EE"/>
                <w:w w:val="89"/>
              </w:rPr>
            </w:pPr>
            <w:hyperlink w:anchor="page21">
              <w:r>
                <w:rPr>
                  <w:rFonts w:ascii="Arial" w:cs="Arial" w:eastAsia="Arial" w:hAnsi="Arial"/>
                  <w:sz w:val="14"/>
                  <w:szCs w:val="14"/>
                  <w:b w:val="1"/>
                  <w:bCs w:val="1"/>
                  <w:color w:val="0000EE"/>
                  <w:w w:val="89"/>
                </w:rPr>
                <w:t>16</w:t>
              </w:r>
            </w:hyperlink>
          </w:p>
        </w:tc>
        <w:tc>
          <w:tcPr>
            <w:tcW w:w="80" w:type="dxa"/>
            <w:vAlign w:val="bottom"/>
            <w:shd w:val="clear" w:color="auto" w:fill="E4E3E1"/>
          </w:tcPr>
          <w:p>
            <w:pPr>
              <w:spacing w:after="0"/>
              <w:rPr>
                <w:sz w:val="14"/>
                <w:szCs w:val="14"/>
                <w:color w:val="auto"/>
              </w:rPr>
            </w:pPr>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21">
              <w:r>
                <w:rPr>
                  <w:rFonts w:ascii="Arial" w:cs="Arial" w:eastAsia="Arial" w:hAnsi="Arial"/>
                  <w:sz w:val="14"/>
                  <w:szCs w:val="14"/>
                  <w:color w:val="0000EE"/>
                </w:rPr>
                <w:t>Summary of results</w:t>
              </w:r>
            </w:hyperlink>
          </w:p>
        </w:tc>
        <w:tc>
          <w:tcPr>
            <w:tcW w:w="440" w:type="dxa"/>
            <w:vAlign w:val="bottom"/>
            <w:gridSpan w:val="3"/>
            <w:shd w:val="clear" w:color="auto" w:fill="E4E3E1"/>
          </w:tcPr>
          <w:p>
            <w:pPr>
              <w:jc w:val="right"/>
              <w:ind w:right="180"/>
              <w:spacing w:after="0"/>
              <w:rPr>
                <w:rFonts w:ascii="Arial" w:cs="Arial" w:eastAsia="Arial" w:hAnsi="Arial"/>
                <w:sz w:val="14"/>
                <w:szCs w:val="14"/>
                <w:b w:val="1"/>
                <w:bCs w:val="1"/>
                <w:color w:val="0000EE"/>
              </w:rPr>
            </w:pPr>
            <w:hyperlink w:anchor="page67">
              <w:r>
                <w:rPr>
                  <w:rFonts w:ascii="Arial" w:cs="Arial" w:eastAsia="Arial" w:hAnsi="Arial"/>
                  <w:sz w:val="14"/>
                  <w:szCs w:val="14"/>
                  <w:b w:val="1"/>
                  <w:bCs w:val="1"/>
                  <w:color w:val="0000EE"/>
                </w:rPr>
                <w:t>62</w:t>
              </w:r>
            </w:hyperlink>
          </w:p>
        </w:tc>
        <w:tc>
          <w:tcPr>
            <w:tcW w:w="2840" w:type="dxa"/>
            <w:vAlign w:val="bottom"/>
            <w:gridSpan w:val="7"/>
            <w:shd w:val="clear" w:color="auto" w:fill="E4E3E1"/>
          </w:tcPr>
          <w:p>
            <w:pPr>
              <w:ind w:left="160"/>
              <w:spacing w:after="0"/>
              <w:rPr>
                <w:rFonts w:ascii="Arial" w:cs="Arial" w:eastAsia="Arial" w:hAnsi="Arial"/>
                <w:sz w:val="14"/>
                <w:szCs w:val="14"/>
                <w:color w:val="0000EE"/>
              </w:rPr>
            </w:pPr>
            <w:hyperlink w:anchor="page67">
              <w:r>
                <w:rPr>
                  <w:rFonts w:ascii="Arial" w:cs="Arial" w:eastAsia="Arial" w:hAnsi="Arial"/>
                  <w:sz w:val="14"/>
                  <w:szCs w:val="14"/>
                  <w:color w:val="0000EE"/>
                </w:rPr>
                <w:t>Liquidity and capital resources</w:t>
              </w:r>
            </w:hyperlink>
          </w:p>
        </w:tc>
        <w:tc>
          <w:tcPr>
            <w:tcW w:w="460" w:type="dxa"/>
            <w:vAlign w:val="bottom"/>
            <w:shd w:val="clear" w:color="auto" w:fill="F6893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E4E3E1"/>
            </w:tcBorders>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160" w:type="dxa"/>
            <w:vAlign w:val="bottom"/>
            <w:tcBorders>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24">
              <w:r>
                <w:rPr>
                  <w:rFonts w:ascii="Arial" w:cs="Arial" w:eastAsia="Arial" w:hAnsi="Arial"/>
                  <w:sz w:val="14"/>
                  <w:szCs w:val="14"/>
                  <w:b w:val="1"/>
                  <w:bCs w:val="1"/>
                  <w:color w:val="0000EE"/>
                  <w:w w:val="89"/>
                </w:rPr>
                <w:t>19</w:t>
              </w:r>
            </w:hyperlink>
          </w:p>
        </w:tc>
        <w:tc>
          <w:tcPr>
            <w:tcW w:w="80" w:type="dxa"/>
            <w:vAlign w:val="bottom"/>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980" w:type="dxa"/>
            <w:vAlign w:val="bottom"/>
            <w:gridSpan w:val="15"/>
            <w:shd w:val="clear" w:color="auto" w:fill="E4E3E1"/>
          </w:tcPr>
          <w:p>
            <w:pPr>
              <w:ind w:left="240"/>
              <w:spacing w:after="0" w:line="140" w:lineRule="exact"/>
              <w:rPr>
                <w:rFonts w:ascii="Arial" w:cs="Arial" w:eastAsia="Arial" w:hAnsi="Arial"/>
                <w:sz w:val="14"/>
                <w:szCs w:val="14"/>
                <w:color w:val="0000EE"/>
              </w:rPr>
            </w:pPr>
            <w:hyperlink w:anchor="page24">
              <w:r>
                <w:rPr>
                  <w:rFonts w:ascii="Arial" w:cs="Arial" w:eastAsia="Arial" w:hAnsi="Arial"/>
                  <w:sz w:val="14"/>
                  <w:szCs w:val="14"/>
                  <w:color w:val="0000EE"/>
                </w:rPr>
                <w:t>Exploration &amp; Production</w:t>
              </w:r>
            </w:hyperlink>
          </w:p>
        </w:tc>
        <w:tc>
          <w:tcPr>
            <w:tcW w:w="440" w:type="dxa"/>
            <w:vAlign w:val="bottom"/>
            <w:gridSpan w:val="3"/>
            <w:shd w:val="clear" w:color="auto" w:fill="E4E3E1"/>
          </w:tcPr>
          <w:p>
            <w:pPr>
              <w:jc w:val="right"/>
              <w:ind w:right="180"/>
              <w:spacing w:after="0" w:line="140" w:lineRule="exact"/>
              <w:rPr>
                <w:rFonts w:ascii="Arial" w:cs="Arial" w:eastAsia="Arial" w:hAnsi="Arial"/>
                <w:sz w:val="14"/>
                <w:szCs w:val="14"/>
                <w:b w:val="1"/>
                <w:bCs w:val="1"/>
                <w:color w:val="0000EE"/>
              </w:rPr>
            </w:pPr>
            <w:hyperlink w:anchor="page71">
              <w:r>
                <w:rPr>
                  <w:rFonts w:ascii="Arial" w:cs="Arial" w:eastAsia="Arial" w:hAnsi="Arial"/>
                  <w:sz w:val="14"/>
                  <w:szCs w:val="14"/>
                  <w:b w:val="1"/>
                  <w:bCs w:val="1"/>
                  <w:color w:val="0000EE"/>
                </w:rPr>
                <w:t>66</w:t>
              </w:r>
            </w:hyperlink>
          </w:p>
        </w:tc>
        <w:tc>
          <w:tcPr>
            <w:tcW w:w="2840" w:type="dxa"/>
            <w:vAlign w:val="bottom"/>
            <w:gridSpan w:val="7"/>
            <w:shd w:val="clear" w:color="auto" w:fill="E4E3E1"/>
          </w:tcPr>
          <w:p>
            <w:pPr>
              <w:ind w:left="160"/>
              <w:spacing w:after="0" w:line="140" w:lineRule="exact"/>
              <w:rPr>
                <w:rFonts w:ascii="Arial" w:cs="Arial" w:eastAsia="Arial" w:hAnsi="Arial"/>
                <w:sz w:val="14"/>
                <w:szCs w:val="14"/>
                <w:color w:val="0000EE"/>
              </w:rPr>
            </w:pPr>
            <w:hyperlink w:anchor="page71">
              <w:r>
                <w:rPr>
                  <w:rFonts w:ascii="Arial" w:cs="Arial" w:eastAsia="Arial" w:hAnsi="Arial"/>
                  <w:sz w:val="14"/>
                  <w:szCs w:val="14"/>
                  <w:color w:val="0000EE"/>
                </w:rPr>
                <w:t>Our people</w:t>
              </w:r>
            </w:hyperlink>
          </w:p>
        </w:tc>
        <w:tc>
          <w:tcPr>
            <w:tcW w:w="460" w:type="dxa"/>
            <w:vAlign w:val="bottom"/>
            <w:shd w:val="clear" w:color="auto" w:fill="F6893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160" w:type="dxa"/>
            <w:vAlign w:val="bottom"/>
            <w:tcBorders>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39">
              <w:r>
                <w:rPr>
                  <w:rFonts w:ascii="Arial" w:cs="Arial" w:eastAsia="Arial" w:hAnsi="Arial"/>
                  <w:sz w:val="14"/>
                  <w:szCs w:val="14"/>
                  <w:b w:val="1"/>
                  <w:bCs w:val="1"/>
                  <w:color w:val="0000EE"/>
                  <w:w w:val="89"/>
                </w:rPr>
                <w:t>34</w:t>
              </w:r>
            </w:hyperlink>
          </w:p>
        </w:tc>
        <w:tc>
          <w:tcPr>
            <w:tcW w:w="80" w:type="dxa"/>
            <w:vAlign w:val="bottom"/>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240" w:type="dxa"/>
            <w:vAlign w:val="bottom"/>
            <w:shd w:val="clear" w:color="auto" w:fill="E4E3E1"/>
          </w:tcPr>
          <w:p>
            <w:pPr>
              <w:spacing w:after="0"/>
              <w:rPr>
                <w:sz w:val="12"/>
                <w:szCs w:val="12"/>
                <w:color w:val="auto"/>
              </w:rPr>
            </w:pPr>
          </w:p>
        </w:tc>
        <w:tc>
          <w:tcPr>
            <w:tcW w:w="840" w:type="dxa"/>
            <w:vAlign w:val="bottom"/>
            <w:gridSpan w:val="3"/>
            <w:shd w:val="clear" w:color="auto" w:fill="E4E3E1"/>
          </w:tcPr>
          <w:p>
            <w:pPr>
              <w:spacing w:after="0" w:line="140" w:lineRule="exact"/>
              <w:rPr>
                <w:rFonts w:ascii="Arial" w:cs="Arial" w:eastAsia="Arial" w:hAnsi="Arial"/>
                <w:sz w:val="14"/>
                <w:szCs w:val="14"/>
                <w:color w:val="0000EE"/>
                <w:w w:val="99"/>
              </w:rPr>
            </w:pPr>
            <w:hyperlink w:anchor="page39">
              <w:r>
                <w:rPr>
                  <w:rFonts w:ascii="Arial" w:cs="Arial" w:eastAsia="Arial" w:hAnsi="Arial"/>
                  <w:sz w:val="14"/>
                  <w:szCs w:val="14"/>
                  <w:color w:val="0000EE"/>
                  <w:w w:val="99"/>
                </w:rPr>
                <w:t>Gas &amp; Power</w:t>
              </w:r>
            </w:hyperlink>
          </w:p>
        </w:tc>
        <w:tc>
          <w:tcPr>
            <w:tcW w:w="720" w:type="dxa"/>
            <w:vAlign w:val="bottom"/>
            <w:tcBorders>
              <w:right w:val="single" w:sz="8" w:color="E4E3E1"/>
            </w:tcBorders>
            <w:gridSpan w:val="2"/>
            <w:shd w:val="clear" w:color="auto" w:fill="E4E3E1"/>
          </w:tcPr>
          <w:p>
            <w:pPr>
              <w:spacing w:after="0"/>
              <w:rPr>
                <w:sz w:val="12"/>
                <w:szCs w:val="12"/>
                <w:color w:val="auto"/>
              </w:rPr>
            </w:pPr>
          </w:p>
        </w:tc>
        <w:tc>
          <w:tcPr>
            <w:tcW w:w="2180" w:type="dxa"/>
            <w:vAlign w:val="bottom"/>
            <w:gridSpan w:val="9"/>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40" w:type="dxa"/>
            <w:vAlign w:val="bottom"/>
            <w:gridSpan w:val="2"/>
            <w:shd w:val="clear" w:color="auto" w:fill="E4E3E1"/>
          </w:tcPr>
          <w:p>
            <w:pPr>
              <w:jc w:val="right"/>
              <w:ind w:right="180"/>
              <w:spacing w:after="0" w:line="140" w:lineRule="exact"/>
              <w:rPr>
                <w:rFonts w:ascii="Arial" w:cs="Arial" w:eastAsia="Arial" w:hAnsi="Arial"/>
                <w:sz w:val="14"/>
                <w:szCs w:val="14"/>
                <w:b w:val="1"/>
                <w:bCs w:val="1"/>
                <w:color w:val="0000EE"/>
                <w:w w:val="89"/>
              </w:rPr>
            </w:pPr>
            <w:hyperlink w:anchor="page73">
              <w:r>
                <w:rPr>
                  <w:rFonts w:ascii="Arial" w:cs="Arial" w:eastAsia="Arial" w:hAnsi="Arial"/>
                  <w:sz w:val="14"/>
                  <w:szCs w:val="14"/>
                  <w:b w:val="1"/>
                  <w:bCs w:val="1"/>
                  <w:color w:val="0000EE"/>
                  <w:w w:val="89"/>
                </w:rPr>
                <w:t>68</w:t>
              </w:r>
            </w:hyperlink>
          </w:p>
        </w:tc>
        <w:tc>
          <w:tcPr>
            <w:tcW w:w="2840" w:type="dxa"/>
            <w:vAlign w:val="bottom"/>
            <w:gridSpan w:val="7"/>
            <w:shd w:val="clear" w:color="auto" w:fill="E4E3E1"/>
          </w:tcPr>
          <w:p>
            <w:pPr>
              <w:ind w:left="160"/>
              <w:spacing w:after="0" w:line="140" w:lineRule="exact"/>
              <w:rPr>
                <w:rFonts w:ascii="Arial" w:cs="Arial" w:eastAsia="Arial" w:hAnsi="Arial"/>
                <w:sz w:val="14"/>
                <w:szCs w:val="14"/>
                <w:color w:val="0000EE"/>
              </w:rPr>
            </w:pPr>
            <w:hyperlink w:anchor="page73">
              <w:r>
                <w:rPr>
                  <w:rFonts w:ascii="Arial" w:cs="Arial" w:eastAsia="Arial" w:hAnsi="Arial"/>
                  <w:sz w:val="14"/>
                  <w:szCs w:val="14"/>
                  <w:color w:val="0000EE"/>
                </w:rPr>
                <w:t>Environment and society</w:t>
              </w:r>
            </w:hyperlink>
          </w:p>
        </w:tc>
        <w:tc>
          <w:tcPr>
            <w:tcW w:w="460" w:type="dxa"/>
            <w:vAlign w:val="bottom"/>
            <w:shd w:val="clear" w:color="auto" w:fill="F6893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E4E3E1"/>
          </w:tcPr>
          <w:p>
            <w:pPr>
              <w:spacing w:after="0" w:line="20" w:lineRule="exact"/>
              <w:rPr>
                <w:sz w:val="1"/>
                <w:szCs w:val="1"/>
                <w:color w:val="auto"/>
              </w:rPr>
            </w:pPr>
          </w:p>
        </w:tc>
        <w:tc>
          <w:tcPr>
            <w:tcW w:w="340" w:type="dxa"/>
            <w:vAlign w:val="bottom"/>
            <w:tcBorders>
              <w:right w:val="single" w:sz="8" w:color="E4E3E1"/>
            </w:tcBorders>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160" w:type="dxa"/>
            <w:vAlign w:val="bottom"/>
            <w:tcBorders>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46">
              <w:r>
                <w:rPr>
                  <w:rFonts w:ascii="Arial" w:cs="Arial" w:eastAsia="Arial" w:hAnsi="Arial"/>
                  <w:sz w:val="14"/>
                  <w:szCs w:val="14"/>
                  <w:b w:val="1"/>
                  <w:bCs w:val="1"/>
                  <w:color w:val="0000EE"/>
                  <w:w w:val="89"/>
                </w:rPr>
                <w:t>41</w:t>
              </w:r>
            </w:hyperlink>
          </w:p>
        </w:tc>
        <w:tc>
          <w:tcPr>
            <w:tcW w:w="80" w:type="dxa"/>
            <w:vAlign w:val="bottom"/>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240" w:type="dxa"/>
            <w:vAlign w:val="bottom"/>
            <w:shd w:val="clear" w:color="auto" w:fill="E4E3E1"/>
          </w:tcPr>
          <w:p>
            <w:pPr>
              <w:spacing w:after="0"/>
              <w:rPr>
                <w:sz w:val="12"/>
                <w:szCs w:val="12"/>
                <w:color w:val="auto"/>
              </w:rPr>
            </w:pPr>
          </w:p>
        </w:tc>
        <w:tc>
          <w:tcPr>
            <w:tcW w:w="660" w:type="dxa"/>
            <w:vAlign w:val="bottom"/>
            <w:tcBorders>
              <w:right w:val="single" w:sz="8" w:color="E4E3E1"/>
            </w:tcBorders>
            <w:shd w:val="clear" w:color="auto" w:fill="E4E3E1"/>
          </w:tcPr>
          <w:p>
            <w:pPr>
              <w:spacing w:after="0" w:line="140" w:lineRule="exact"/>
              <w:rPr>
                <w:rFonts w:ascii="Arial" w:cs="Arial" w:eastAsia="Arial" w:hAnsi="Arial"/>
                <w:sz w:val="14"/>
                <w:szCs w:val="14"/>
                <w:color w:val="0000EE"/>
              </w:rPr>
            </w:pPr>
            <w:hyperlink w:anchor="page46">
              <w:r>
                <w:rPr>
                  <w:rFonts w:ascii="Arial" w:cs="Arial" w:eastAsia="Arial" w:hAnsi="Arial"/>
                  <w:sz w:val="14"/>
                  <w:szCs w:val="14"/>
                  <w:color w:val="0000EE"/>
                </w:rPr>
                <w:t>Oil Sands</w:t>
              </w:r>
            </w:hyperlink>
          </w:p>
        </w:tc>
        <w:tc>
          <w:tcPr>
            <w:tcW w:w="180" w:type="dxa"/>
            <w:vAlign w:val="bottom"/>
            <w:gridSpan w:val="2"/>
            <w:shd w:val="clear" w:color="auto" w:fill="E4E3E1"/>
          </w:tcPr>
          <w:p>
            <w:pPr>
              <w:spacing w:after="0"/>
              <w:rPr>
                <w:sz w:val="12"/>
                <w:szCs w:val="12"/>
                <w:color w:val="auto"/>
              </w:rPr>
            </w:pPr>
          </w:p>
        </w:tc>
        <w:tc>
          <w:tcPr>
            <w:tcW w:w="2760" w:type="dxa"/>
            <w:vAlign w:val="bottom"/>
            <w:gridSpan w:val="10"/>
            <w:shd w:val="clear" w:color="auto" w:fill="E4E3E1"/>
          </w:tcPr>
          <w:p>
            <w:pPr>
              <w:spacing w:after="0"/>
              <w:rPr>
                <w:sz w:val="12"/>
                <w:szCs w:val="12"/>
                <w:color w:val="auto"/>
              </w:rPr>
            </w:pPr>
          </w:p>
        </w:tc>
        <w:tc>
          <w:tcPr>
            <w:tcW w:w="140" w:type="dxa"/>
            <w:vAlign w:val="bottom"/>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40" w:type="dxa"/>
            <w:vAlign w:val="bottom"/>
            <w:gridSpan w:val="2"/>
            <w:shd w:val="clear" w:color="auto" w:fill="E4E3E1"/>
          </w:tcPr>
          <w:p>
            <w:pPr>
              <w:jc w:val="right"/>
              <w:ind w:right="180"/>
              <w:spacing w:after="0" w:line="140" w:lineRule="exact"/>
              <w:rPr>
                <w:rFonts w:ascii="Arial" w:cs="Arial" w:eastAsia="Arial" w:hAnsi="Arial"/>
                <w:sz w:val="14"/>
                <w:szCs w:val="14"/>
                <w:b w:val="1"/>
                <w:bCs w:val="1"/>
                <w:color w:val="0000EE"/>
                <w:w w:val="89"/>
              </w:rPr>
            </w:pPr>
            <w:hyperlink w:anchor="page77">
              <w:r>
                <w:rPr>
                  <w:rFonts w:ascii="Arial" w:cs="Arial" w:eastAsia="Arial" w:hAnsi="Arial"/>
                  <w:sz w:val="14"/>
                  <w:szCs w:val="14"/>
                  <w:b w:val="1"/>
                  <w:bCs w:val="1"/>
                  <w:color w:val="0000EE"/>
                  <w:w w:val="89"/>
                </w:rPr>
                <w:t>72</w:t>
              </w:r>
            </w:hyperlink>
          </w:p>
        </w:tc>
        <w:tc>
          <w:tcPr>
            <w:tcW w:w="2840" w:type="dxa"/>
            <w:vAlign w:val="bottom"/>
            <w:gridSpan w:val="7"/>
            <w:shd w:val="clear" w:color="auto" w:fill="E4E3E1"/>
          </w:tcPr>
          <w:p>
            <w:pPr>
              <w:ind w:left="160"/>
              <w:spacing w:after="0" w:line="140" w:lineRule="exact"/>
              <w:rPr>
                <w:rFonts w:ascii="Arial" w:cs="Arial" w:eastAsia="Arial" w:hAnsi="Arial"/>
                <w:sz w:val="14"/>
                <w:szCs w:val="14"/>
                <w:color w:val="0000EE"/>
              </w:rPr>
            </w:pPr>
            <w:hyperlink w:anchor="page77">
              <w:r>
                <w:rPr>
                  <w:rFonts w:ascii="Arial" w:cs="Arial" w:eastAsia="Arial" w:hAnsi="Arial"/>
                  <w:sz w:val="14"/>
                  <w:szCs w:val="14"/>
                  <w:color w:val="0000EE"/>
                </w:rPr>
                <w:t>Environmental data</w:t>
              </w:r>
            </w:hyperlink>
          </w:p>
        </w:tc>
        <w:tc>
          <w:tcPr>
            <w:tcW w:w="460" w:type="dxa"/>
            <w:vAlign w:val="bottom"/>
            <w:shd w:val="clear" w:color="auto" w:fill="F6893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E4E3E1"/>
            </w:tcBorders>
            <w:shd w:val="clear" w:color="auto" w:fill="0000EE"/>
          </w:tcPr>
          <w:p>
            <w:pPr>
              <w:spacing w:after="0" w:line="20" w:lineRule="exact"/>
              <w:rPr>
                <w:sz w:val="1"/>
                <w:szCs w:val="1"/>
                <w:color w:val="auto"/>
              </w:rPr>
            </w:pPr>
          </w:p>
        </w:tc>
        <w:tc>
          <w:tcPr>
            <w:tcW w:w="100" w:type="dxa"/>
            <w:vAlign w:val="bottom"/>
            <w:tcBorders>
              <w:right w:val="single" w:sz="8" w:color="E4E3E1"/>
            </w:tcBorders>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380" w:type="dxa"/>
            <w:vAlign w:val="bottom"/>
            <w:shd w:val="clear" w:color="auto" w:fill="E4E3E1"/>
          </w:tcPr>
          <w:p>
            <w:pPr>
              <w:spacing w:after="0" w:line="20" w:lineRule="exact"/>
              <w:rPr>
                <w:sz w:val="1"/>
                <w:szCs w:val="1"/>
                <w:color w:val="auto"/>
              </w:rPr>
            </w:pPr>
          </w:p>
        </w:tc>
        <w:tc>
          <w:tcPr>
            <w:tcW w:w="340" w:type="dxa"/>
            <w:vAlign w:val="bottom"/>
            <w:tcBorders>
              <w:right w:val="single" w:sz="8" w:color="E4E3E1"/>
            </w:tcBorders>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160" w:type="dxa"/>
            <w:vAlign w:val="bottom"/>
            <w:tcBorders>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49">
              <w:r>
                <w:rPr>
                  <w:rFonts w:ascii="Arial" w:cs="Arial" w:eastAsia="Arial" w:hAnsi="Arial"/>
                  <w:sz w:val="14"/>
                  <w:szCs w:val="14"/>
                  <w:b w:val="1"/>
                  <w:bCs w:val="1"/>
                  <w:color w:val="0000EE"/>
                  <w:w w:val="89"/>
                </w:rPr>
                <w:t>44</w:t>
              </w:r>
            </w:hyperlink>
          </w:p>
        </w:tc>
        <w:tc>
          <w:tcPr>
            <w:tcW w:w="80" w:type="dxa"/>
            <w:vAlign w:val="bottom"/>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240" w:type="dxa"/>
            <w:vAlign w:val="bottom"/>
            <w:shd w:val="clear" w:color="auto" w:fill="E4E3E1"/>
          </w:tcPr>
          <w:p>
            <w:pPr>
              <w:spacing w:after="0"/>
              <w:rPr>
                <w:sz w:val="12"/>
                <w:szCs w:val="12"/>
                <w:color w:val="auto"/>
              </w:rPr>
            </w:pPr>
          </w:p>
        </w:tc>
        <w:tc>
          <w:tcPr>
            <w:tcW w:w="3600" w:type="dxa"/>
            <w:vAlign w:val="bottom"/>
            <w:gridSpan w:val="13"/>
            <w:shd w:val="clear" w:color="auto" w:fill="E4E3E1"/>
          </w:tcPr>
          <w:p>
            <w:pPr>
              <w:spacing w:after="0" w:line="140" w:lineRule="exact"/>
              <w:rPr>
                <w:rFonts w:ascii="Arial" w:cs="Arial" w:eastAsia="Arial" w:hAnsi="Arial"/>
                <w:sz w:val="14"/>
                <w:szCs w:val="14"/>
                <w:color w:val="0000EE"/>
              </w:rPr>
            </w:pPr>
            <w:hyperlink w:anchor="page49">
              <w:r>
                <w:rPr>
                  <w:rFonts w:ascii="Arial" w:cs="Arial" w:eastAsia="Arial" w:hAnsi="Arial"/>
                  <w:sz w:val="14"/>
                  <w:szCs w:val="14"/>
                  <w:color w:val="0000EE"/>
                </w:rPr>
                <w:t>Oil Products</w:t>
              </w:r>
            </w:hyperlink>
          </w:p>
        </w:tc>
        <w:tc>
          <w:tcPr>
            <w:tcW w:w="140" w:type="dxa"/>
            <w:vAlign w:val="bottom"/>
            <w:shd w:val="clear" w:color="auto" w:fill="E4E3E1"/>
          </w:tcPr>
          <w:p>
            <w:pPr>
              <w:spacing w:after="0"/>
              <w:rPr>
                <w:sz w:val="12"/>
                <w:szCs w:val="12"/>
                <w:color w:val="auto"/>
              </w:rPr>
            </w:pPr>
          </w:p>
        </w:tc>
        <w:tc>
          <w:tcPr>
            <w:tcW w:w="440" w:type="dxa"/>
            <w:vAlign w:val="bottom"/>
            <w:gridSpan w:val="3"/>
            <w:shd w:val="clear" w:color="auto" w:fill="E4E3E1"/>
          </w:tcPr>
          <w:p>
            <w:pPr>
              <w:jc w:val="right"/>
              <w:ind w:right="180"/>
              <w:spacing w:after="0" w:line="140" w:lineRule="exact"/>
              <w:rPr>
                <w:rFonts w:ascii="Arial" w:cs="Arial" w:eastAsia="Arial" w:hAnsi="Arial"/>
                <w:sz w:val="14"/>
                <w:szCs w:val="14"/>
                <w:b w:val="1"/>
                <w:bCs w:val="1"/>
                <w:color w:val="0000EE"/>
              </w:rPr>
            </w:pPr>
            <w:hyperlink w:anchor="page80">
              <w:r>
                <w:rPr>
                  <w:rFonts w:ascii="Arial" w:cs="Arial" w:eastAsia="Arial" w:hAnsi="Arial"/>
                  <w:sz w:val="14"/>
                  <w:szCs w:val="14"/>
                  <w:b w:val="1"/>
                  <w:bCs w:val="1"/>
                  <w:color w:val="0000EE"/>
                </w:rPr>
                <w:t>75</w:t>
              </w:r>
            </w:hyperlink>
          </w:p>
        </w:tc>
        <w:tc>
          <w:tcPr>
            <w:tcW w:w="2840" w:type="dxa"/>
            <w:vAlign w:val="bottom"/>
            <w:gridSpan w:val="7"/>
            <w:shd w:val="clear" w:color="auto" w:fill="E4E3E1"/>
          </w:tcPr>
          <w:p>
            <w:pPr>
              <w:ind w:left="160"/>
              <w:spacing w:after="0" w:line="140" w:lineRule="exact"/>
              <w:rPr>
                <w:rFonts w:ascii="Arial" w:cs="Arial" w:eastAsia="Arial" w:hAnsi="Arial"/>
                <w:sz w:val="14"/>
                <w:szCs w:val="14"/>
                <w:color w:val="0000EE"/>
              </w:rPr>
            </w:pPr>
            <w:hyperlink w:anchor="page80">
              <w:r>
                <w:rPr>
                  <w:rFonts w:ascii="Arial" w:cs="Arial" w:eastAsia="Arial" w:hAnsi="Arial"/>
                  <w:sz w:val="14"/>
                  <w:szCs w:val="14"/>
                  <w:color w:val="0000EE"/>
                </w:rPr>
                <w:t>Social data</w:t>
              </w:r>
            </w:hyperlink>
          </w:p>
        </w:tc>
        <w:tc>
          <w:tcPr>
            <w:tcW w:w="460" w:type="dxa"/>
            <w:vAlign w:val="bottom"/>
            <w:shd w:val="clear" w:color="auto" w:fill="F6893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vMerge w:val="restart"/>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380" w:type="dxa"/>
            <w:vAlign w:val="bottom"/>
            <w:shd w:val="clear" w:color="auto" w:fill="E4E3E1"/>
          </w:tcPr>
          <w:p>
            <w:pPr>
              <w:spacing w:after="0" w:line="20" w:lineRule="exact"/>
              <w:rPr>
                <w:sz w:val="1"/>
                <w:szCs w:val="1"/>
                <w:color w:val="auto"/>
              </w:rPr>
            </w:pPr>
          </w:p>
        </w:tc>
        <w:tc>
          <w:tcPr>
            <w:tcW w:w="340" w:type="dxa"/>
            <w:vAlign w:val="bottom"/>
            <w:tcBorders>
              <w:right w:val="single" w:sz="8" w:color="E4E3E1"/>
            </w:tcBorders>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F6893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160" w:type="dxa"/>
            <w:vAlign w:val="bottom"/>
            <w:tcBorders>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59">
              <w:r>
                <w:rPr>
                  <w:rFonts w:ascii="Arial" w:cs="Arial" w:eastAsia="Arial" w:hAnsi="Arial"/>
                  <w:sz w:val="14"/>
                  <w:szCs w:val="14"/>
                  <w:b w:val="1"/>
                  <w:bCs w:val="1"/>
                  <w:color w:val="0000EE"/>
                  <w:w w:val="89"/>
                </w:rPr>
                <w:t>54</w:t>
              </w:r>
            </w:hyperlink>
          </w:p>
        </w:tc>
        <w:tc>
          <w:tcPr>
            <w:tcW w:w="80" w:type="dxa"/>
            <w:vAlign w:val="bottom"/>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240" w:type="dxa"/>
            <w:vAlign w:val="bottom"/>
            <w:shd w:val="clear" w:color="auto" w:fill="E4E3E1"/>
          </w:tcPr>
          <w:p>
            <w:pPr>
              <w:spacing w:after="0"/>
              <w:rPr>
                <w:sz w:val="12"/>
                <w:szCs w:val="12"/>
                <w:color w:val="auto"/>
              </w:rPr>
            </w:pPr>
          </w:p>
        </w:tc>
        <w:tc>
          <w:tcPr>
            <w:tcW w:w="660" w:type="dxa"/>
            <w:vAlign w:val="bottom"/>
            <w:tcBorders>
              <w:right w:val="single" w:sz="8" w:color="E4E3E1"/>
            </w:tcBorders>
            <w:shd w:val="clear" w:color="auto" w:fill="E4E3E1"/>
          </w:tcPr>
          <w:p>
            <w:pPr>
              <w:spacing w:after="0" w:line="140" w:lineRule="exact"/>
              <w:rPr>
                <w:rFonts w:ascii="Arial" w:cs="Arial" w:eastAsia="Arial" w:hAnsi="Arial"/>
                <w:sz w:val="14"/>
                <w:szCs w:val="14"/>
                <w:color w:val="0000EE"/>
                <w:w w:val="94"/>
              </w:rPr>
            </w:pPr>
            <w:hyperlink w:anchor="page59">
              <w:r>
                <w:rPr>
                  <w:rFonts w:ascii="Arial" w:cs="Arial" w:eastAsia="Arial" w:hAnsi="Arial"/>
                  <w:sz w:val="14"/>
                  <w:szCs w:val="14"/>
                  <w:color w:val="0000EE"/>
                  <w:w w:val="94"/>
                </w:rPr>
                <w:t>Chemicals</w:t>
              </w:r>
            </w:hyperlink>
          </w:p>
        </w:tc>
        <w:tc>
          <w:tcPr>
            <w:tcW w:w="100" w:type="dxa"/>
            <w:vAlign w:val="bottom"/>
            <w:tcBorders>
              <w:right w:val="single" w:sz="8" w:color="E4E3E1"/>
            </w:tcBorders>
            <w:shd w:val="clear" w:color="auto" w:fill="E4E3E1"/>
          </w:tcPr>
          <w:p>
            <w:pPr>
              <w:spacing w:after="0"/>
              <w:rPr>
                <w:sz w:val="12"/>
                <w:szCs w:val="12"/>
                <w:color w:val="auto"/>
              </w:rPr>
            </w:pPr>
          </w:p>
        </w:tc>
        <w:tc>
          <w:tcPr>
            <w:tcW w:w="2840" w:type="dxa"/>
            <w:vAlign w:val="bottom"/>
            <w:gridSpan w:val="11"/>
            <w:shd w:val="clear" w:color="auto" w:fill="E4E3E1"/>
          </w:tcPr>
          <w:p>
            <w:pPr>
              <w:spacing w:after="0"/>
              <w:rPr>
                <w:sz w:val="12"/>
                <w:szCs w:val="12"/>
                <w:color w:val="auto"/>
              </w:rPr>
            </w:pPr>
          </w:p>
        </w:tc>
        <w:tc>
          <w:tcPr>
            <w:tcW w:w="140" w:type="dxa"/>
            <w:vAlign w:val="bottom"/>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40" w:type="dxa"/>
            <w:vAlign w:val="bottom"/>
            <w:gridSpan w:val="2"/>
            <w:shd w:val="clear" w:color="auto" w:fill="E4E3E1"/>
          </w:tcPr>
          <w:p>
            <w:pPr>
              <w:jc w:val="right"/>
              <w:ind w:right="180"/>
              <w:spacing w:after="0" w:line="140" w:lineRule="exact"/>
              <w:rPr>
                <w:rFonts w:ascii="Arial" w:cs="Arial" w:eastAsia="Arial" w:hAnsi="Arial"/>
                <w:sz w:val="14"/>
                <w:szCs w:val="14"/>
                <w:b w:val="1"/>
                <w:bCs w:val="1"/>
                <w:color w:val="0000EE"/>
                <w:w w:val="89"/>
              </w:rPr>
            </w:pPr>
            <w:hyperlink w:anchor="page81">
              <w:r>
                <w:rPr>
                  <w:rFonts w:ascii="Arial" w:cs="Arial" w:eastAsia="Arial" w:hAnsi="Arial"/>
                  <w:sz w:val="14"/>
                  <w:szCs w:val="14"/>
                  <w:b w:val="1"/>
                  <w:bCs w:val="1"/>
                  <w:color w:val="0000EE"/>
                  <w:w w:val="89"/>
                </w:rPr>
                <w:t>76</w:t>
              </w:r>
            </w:hyperlink>
          </w:p>
        </w:tc>
        <w:tc>
          <w:tcPr>
            <w:tcW w:w="2840" w:type="dxa"/>
            <w:vAlign w:val="bottom"/>
            <w:gridSpan w:val="7"/>
            <w:shd w:val="clear" w:color="auto" w:fill="E4E3E1"/>
          </w:tcPr>
          <w:p>
            <w:pPr>
              <w:ind w:left="160"/>
              <w:spacing w:after="0" w:line="140" w:lineRule="exact"/>
              <w:rPr>
                <w:rFonts w:ascii="Arial" w:cs="Arial" w:eastAsia="Arial" w:hAnsi="Arial"/>
                <w:sz w:val="14"/>
                <w:szCs w:val="14"/>
                <w:color w:val="0000EE"/>
              </w:rPr>
            </w:pPr>
            <w:hyperlink w:anchor="page81">
              <w:r>
                <w:rPr>
                  <w:rFonts w:ascii="Arial" w:cs="Arial" w:eastAsia="Arial" w:hAnsi="Arial"/>
                  <w:sz w:val="14"/>
                  <w:szCs w:val="14"/>
                  <w:color w:val="0000EE"/>
                </w:rPr>
                <w:t>Share plans and other matters</w:t>
              </w:r>
            </w:hyperlink>
          </w:p>
        </w:tc>
        <w:tc>
          <w:tcPr>
            <w:tcW w:w="460" w:type="dxa"/>
            <w:vAlign w:val="bottom"/>
            <w:shd w:val="clear" w:color="auto" w:fill="F68932"/>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940" w:type="dxa"/>
            <w:vAlign w:val="bottom"/>
            <w:tcBorders>
              <w:top w:val="single" w:sz="8" w:color="E4E3E1"/>
            </w:tcBorders>
            <w:shd w:val="clear" w:color="auto" w:fill="E4E3E1"/>
          </w:tcPr>
          <w:p>
            <w:pPr>
              <w:spacing w:after="0"/>
              <w:rPr>
                <w:sz w:val="16"/>
                <w:szCs w:val="16"/>
                <w:color w:val="auto"/>
              </w:rPr>
            </w:pPr>
          </w:p>
        </w:tc>
        <w:tc>
          <w:tcPr>
            <w:tcW w:w="420" w:type="dxa"/>
            <w:vAlign w:val="bottom"/>
            <w:tcBorders>
              <w:top w:val="single" w:sz="8" w:color="E4E3E1"/>
            </w:tcBorders>
            <w:shd w:val="clear" w:color="auto" w:fill="E4E3E1"/>
          </w:tcPr>
          <w:p>
            <w:pPr>
              <w:spacing w:after="0"/>
              <w:rPr>
                <w:sz w:val="16"/>
                <w:szCs w:val="16"/>
                <w:color w:val="auto"/>
              </w:rPr>
            </w:pPr>
          </w:p>
        </w:tc>
        <w:tc>
          <w:tcPr>
            <w:tcW w:w="160" w:type="dxa"/>
            <w:vAlign w:val="bottom"/>
            <w:tcBorders>
              <w:top w:val="single" w:sz="8" w:color="0000EE"/>
              <w:left w:val="single" w:sz="8" w:color="E4E3E1"/>
            </w:tcBorders>
            <w:gridSpan w:val="2"/>
            <w:shd w:val="clear" w:color="auto" w:fill="E4E3E1"/>
          </w:tcPr>
          <w:p>
            <w:pPr>
              <w:spacing w:after="0" w:line="140" w:lineRule="exact"/>
              <w:rPr>
                <w:rFonts w:ascii="Arial" w:cs="Arial" w:eastAsia="Arial" w:hAnsi="Arial"/>
                <w:sz w:val="14"/>
                <w:szCs w:val="14"/>
                <w:b w:val="1"/>
                <w:bCs w:val="1"/>
                <w:color w:val="0000EE"/>
                <w:w w:val="89"/>
              </w:rPr>
            </w:pPr>
            <w:hyperlink w:anchor="page63">
              <w:r>
                <w:rPr>
                  <w:rFonts w:ascii="Arial" w:cs="Arial" w:eastAsia="Arial" w:hAnsi="Arial"/>
                  <w:sz w:val="14"/>
                  <w:szCs w:val="14"/>
                  <w:b w:val="1"/>
                  <w:bCs w:val="1"/>
                  <w:color w:val="0000EE"/>
                  <w:w w:val="89"/>
                </w:rPr>
                <w:t>58</w:t>
              </w:r>
            </w:hyperlink>
          </w:p>
        </w:tc>
        <w:tc>
          <w:tcPr>
            <w:tcW w:w="80" w:type="dxa"/>
            <w:vAlign w:val="bottom"/>
            <w:tcBorders>
              <w:top w:val="single" w:sz="8" w:color="E4E3E1"/>
            </w:tcBorders>
            <w:shd w:val="clear" w:color="auto" w:fill="E4E3E1"/>
          </w:tcPr>
          <w:p>
            <w:pPr>
              <w:spacing w:after="0"/>
              <w:rPr>
                <w:sz w:val="16"/>
                <w:szCs w:val="16"/>
                <w:color w:val="auto"/>
              </w:rPr>
            </w:pPr>
          </w:p>
        </w:tc>
        <w:tc>
          <w:tcPr>
            <w:tcW w:w="100" w:type="dxa"/>
            <w:vAlign w:val="bottom"/>
            <w:tcBorders>
              <w:top w:val="single" w:sz="8" w:color="E4E3E1"/>
            </w:tcBorders>
            <w:shd w:val="clear" w:color="auto" w:fill="E4E3E1"/>
          </w:tcPr>
          <w:p>
            <w:pPr>
              <w:spacing w:after="0"/>
              <w:rPr>
                <w:sz w:val="16"/>
                <w:szCs w:val="16"/>
                <w:color w:val="auto"/>
              </w:rPr>
            </w:pPr>
          </w:p>
        </w:tc>
        <w:tc>
          <w:tcPr>
            <w:tcW w:w="240" w:type="dxa"/>
            <w:vAlign w:val="bottom"/>
            <w:tcBorders>
              <w:top w:val="single" w:sz="8" w:color="E4E3E1"/>
            </w:tcBorders>
            <w:shd w:val="clear" w:color="auto" w:fill="E4E3E1"/>
          </w:tcPr>
          <w:p>
            <w:pPr>
              <w:spacing w:after="0"/>
              <w:rPr>
                <w:sz w:val="16"/>
                <w:szCs w:val="16"/>
                <w:color w:val="auto"/>
              </w:rPr>
            </w:pPr>
          </w:p>
        </w:tc>
        <w:tc>
          <w:tcPr>
            <w:tcW w:w="660" w:type="dxa"/>
            <w:vAlign w:val="bottom"/>
            <w:tcBorders>
              <w:top w:val="single" w:sz="8" w:color="0000EE"/>
              <w:right w:val="single" w:sz="8" w:color="E4E3E1"/>
            </w:tcBorders>
            <w:shd w:val="clear" w:color="auto" w:fill="E4E3E1"/>
          </w:tcPr>
          <w:p>
            <w:pPr>
              <w:spacing w:after="0" w:line="140" w:lineRule="exact"/>
              <w:rPr>
                <w:rFonts w:ascii="Arial" w:cs="Arial" w:eastAsia="Arial" w:hAnsi="Arial"/>
                <w:sz w:val="14"/>
                <w:szCs w:val="14"/>
                <w:color w:val="0000EE"/>
                <w:w w:val="99"/>
              </w:rPr>
            </w:pPr>
            <w:hyperlink w:anchor="page63">
              <w:r>
                <w:rPr>
                  <w:rFonts w:ascii="Arial" w:cs="Arial" w:eastAsia="Arial" w:hAnsi="Arial"/>
                  <w:sz w:val="14"/>
                  <w:szCs w:val="14"/>
                  <w:color w:val="0000EE"/>
                  <w:w w:val="99"/>
                </w:rPr>
                <w:t>Corporate</w:t>
              </w:r>
            </w:hyperlink>
          </w:p>
        </w:tc>
        <w:tc>
          <w:tcPr>
            <w:tcW w:w="2940" w:type="dxa"/>
            <w:vAlign w:val="bottom"/>
            <w:tcBorders>
              <w:top w:val="single" w:sz="8" w:color="E4E3E1"/>
            </w:tcBorders>
            <w:gridSpan w:val="12"/>
            <w:shd w:val="clear" w:color="auto" w:fill="E4E3E1"/>
          </w:tcPr>
          <w:p>
            <w:pPr>
              <w:spacing w:after="0"/>
              <w:rPr>
                <w:sz w:val="16"/>
                <w:szCs w:val="16"/>
                <w:color w:val="auto"/>
              </w:rPr>
            </w:pPr>
          </w:p>
        </w:tc>
        <w:tc>
          <w:tcPr>
            <w:tcW w:w="140" w:type="dxa"/>
            <w:vAlign w:val="bottom"/>
            <w:tcBorders>
              <w:top w:val="single" w:sz="8" w:color="E4E3E1"/>
            </w:tcBorders>
            <w:shd w:val="clear" w:color="auto" w:fill="E4E3E1"/>
          </w:tcPr>
          <w:p>
            <w:pPr>
              <w:spacing w:after="0"/>
              <w:rPr>
                <w:sz w:val="16"/>
                <w:szCs w:val="16"/>
                <w:color w:val="auto"/>
              </w:rPr>
            </w:pPr>
          </w:p>
        </w:tc>
        <w:tc>
          <w:tcPr>
            <w:tcW w:w="100" w:type="dxa"/>
            <w:vAlign w:val="bottom"/>
            <w:tcBorders>
              <w:top w:val="single" w:sz="8" w:color="E4E3E1"/>
            </w:tcBorders>
            <w:shd w:val="clear" w:color="auto" w:fill="E4E3E1"/>
          </w:tcPr>
          <w:p>
            <w:pPr>
              <w:spacing w:after="0"/>
              <w:rPr>
                <w:sz w:val="16"/>
                <w:szCs w:val="16"/>
                <w:color w:val="auto"/>
              </w:rPr>
            </w:pPr>
          </w:p>
        </w:tc>
        <w:tc>
          <w:tcPr>
            <w:tcW w:w="160" w:type="dxa"/>
            <w:vAlign w:val="bottom"/>
            <w:tcBorders>
              <w:top w:val="single" w:sz="8" w:color="0000EE"/>
            </w:tcBorders>
            <w:shd w:val="clear" w:color="auto" w:fill="E4E3E1"/>
          </w:tcPr>
          <w:p>
            <w:pPr>
              <w:spacing w:after="0"/>
              <w:rPr>
                <w:sz w:val="16"/>
                <w:szCs w:val="16"/>
                <w:color w:val="auto"/>
              </w:rPr>
            </w:pPr>
          </w:p>
        </w:tc>
        <w:tc>
          <w:tcPr>
            <w:tcW w:w="180" w:type="dxa"/>
            <w:vAlign w:val="bottom"/>
            <w:tcBorders>
              <w:top w:val="single" w:sz="8" w:color="E4E3E1"/>
            </w:tcBorders>
            <w:shd w:val="clear" w:color="auto" w:fill="E4E3E1"/>
          </w:tcPr>
          <w:p>
            <w:pPr>
              <w:spacing w:after="0"/>
              <w:rPr>
                <w:sz w:val="16"/>
                <w:szCs w:val="16"/>
                <w:color w:val="auto"/>
              </w:rPr>
            </w:pPr>
          </w:p>
        </w:tc>
        <w:tc>
          <w:tcPr>
            <w:tcW w:w="160" w:type="dxa"/>
            <w:vAlign w:val="bottom"/>
            <w:tcBorders>
              <w:top w:val="single" w:sz="8" w:color="E4E3E1"/>
            </w:tcBorders>
            <w:shd w:val="clear" w:color="auto" w:fill="E4E3E1"/>
          </w:tcPr>
          <w:p>
            <w:pPr>
              <w:spacing w:after="0"/>
              <w:rPr>
                <w:sz w:val="16"/>
                <w:szCs w:val="16"/>
                <w:color w:val="auto"/>
              </w:rPr>
            </w:pPr>
          </w:p>
        </w:tc>
        <w:tc>
          <w:tcPr>
            <w:tcW w:w="700" w:type="dxa"/>
            <w:vAlign w:val="bottom"/>
            <w:tcBorders>
              <w:top w:val="single" w:sz="8" w:color="0000EE"/>
            </w:tcBorders>
            <w:shd w:val="clear" w:color="auto" w:fill="E4E3E1"/>
          </w:tcPr>
          <w:p>
            <w:pPr>
              <w:spacing w:after="0"/>
              <w:rPr>
                <w:sz w:val="16"/>
                <w:szCs w:val="16"/>
                <w:color w:val="auto"/>
              </w:rPr>
            </w:pPr>
          </w:p>
        </w:tc>
        <w:tc>
          <w:tcPr>
            <w:tcW w:w="520" w:type="dxa"/>
            <w:vAlign w:val="bottom"/>
            <w:tcBorders>
              <w:top w:val="single" w:sz="8" w:color="0000EE"/>
            </w:tcBorders>
            <w:shd w:val="clear" w:color="auto" w:fill="E4E3E1"/>
          </w:tcPr>
          <w:p>
            <w:pPr>
              <w:spacing w:after="0"/>
              <w:rPr>
                <w:sz w:val="16"/>
                <w:szCs w:val="16"/>
                <w:color w:val="auto"/>
              </w:rPr>
            </w:pPr>
          </w:p>
        </w:tc>
        <w:tc>
          <w:tcPr>
            <w:tcW w:w="340" w:type="dxa"/>
            <w:vAlign w:val="bottom"/>
            <w:tcBorders>
              <w:top w:val="single" w:sz="8" w:color="0000EE"/>
            </w:tcBorders>
            <w:shd w:val="clear" w:color="auto" w:fill="E4E3E1"/>
          </w:tcPr>
          <w:p>
            <w:pPr>
              <w:spacing w:after="0"/>
              <w:rPr>
                <w:sz w:val="16"/>
                <w:szCs w:val="16"/>
                <w:color w:val="auto"/>
              </w:rPr>
            </w:pPr>
          </w:p>
        </w:tc>
        <w:tc>
          <w:tcPr>
            <w:tcW w:w="180" w:type="dxa"/>
            <w:vAlign w:val="bottom"/>
            <w:tcBorders>
              <w:top w:val="single" w:sz="8" w:color="0000EE"/>
              <w:right w:val="single" w:sz="8" w:color="E4E3E1"/>
            </w:tcBorders>
            <w:shd w:val="clear" w:color="auto" w:fill="E4E3E1"/>
          </w:tcPr>
          <w:p>
            <w:pPr>
              <w:spacing w:after="0"/>
              <w:rPr>
                <w:sz w:val="16"/>
                <w:szCs w:val="16"/>
                <w:color w:val="auto"/>
              </w:rPr>
            </w:pPr>
          </w:p>
        </w:tc>
        <w:tc>
          <w:tcPr>
            <w:tcW w:w="160" w:type="dxa"/>
            <w:vAlign w:val="bottom"/>
            <w:tcBorders>
              <w:top w:val="single" w:sz="8" w:color="0000EE"/>
            </w:tcBorders>
            <w:shd w:val="clear" w:color="auto" w:fill="E4E3E1"/>
          </w:tcPr>
          <w:p>
            <w:pPr>
              <w:spacing w:after="0"/>
              <w:rPr>
                <w:sz w:val="16"/>
                <w:szCs w:val="16"/>
                <w:color w:val="auto"/>
              </w:rPr>
            </w:pPr>
          </w:p>
        </w:tc>
        <w:tc>
          <w:tcPr>
            <w:tcW w:w="780" w:type="dxa"/>
            <w:vAlign w:val="bottom"/>
            <w:tcBorders>
              <w:top w:val="single" w:sz="8" w:color="E4E3E1"/>
            </w:tcBorders>
            <w:shd w:val="clear" w:color="auto" w:fill="E4E3E1"/>
          </w:tcPr>
          <w:p>
            <w:pPr>
              <w:spacing w:after="0"/>
              <w:rPr>
                <w:sz w:val="16"/>
                <w:szCs w:val="16"/>
                <w:color w:val="auto"/>
              </w:rPr>
            </w:pPr>
          </w:p>
        </w:tc>
        <w:tc>
          <w:tcPr>
            <w:tcW w:w="460" w:type="dxa"/>
            <w:vAlign w:val="bottom"/>
            <w:tcBorders>
              <w:top w:val="single" w:sz="8" w:color="F68932"/>
            </w:tcBorders>
            <w:shd w:val="clear" w:color="auto" w:fill="F6893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E4E3E1"/>
            </w:tcBorders>
          </w:tcPr>
          <w:p>
            <w:pPr>
              <w:spacing w:after="0" w:line="20" w:lineRule="exact"/>
              <w:rPr>
                <w:sz w:val="1"/>
                <w:szCs w:val="1"/>
                <w:color w:val="auto"/>
              </w:rPr>
            </w:pPr>
          </w:p>
        </w:tc>
        <w:tc>
          <w:tcPr>
            <w:tcW w:w="420" w:type="dxa"/>
            <w:vAlign w:val="bottom"/>
            <w:tcBorders>
              <w:top w:val="single" w:sz="8" w:color="E4E3E1"/>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E4E3E1"/>
            </w:tcBorders>
          </w:tcPr>
          <w:p>
            <w:pPr>
              <w:spacing w:after="0" w:line="20" w:lineRule="exact"/>
              <w:rPr>
                <w:sz w:val="1"/>
                <w:szCs w:val="1"/>
                <w:color w:val="auto"/>
              </w:rPr>
            </w:pPr>
          </w:p>
        </w:tc>
        <w:tc>
          <w:tcPr>
            <w:tcW w:w="100" w:type="dxa"/>
            <w:vAlign w:val="bottom"/>
            <w:tcBorders>
              <w:top w:val="single" w:sz="8" w:color="E4E3E1"/>
            </w:tcBorders>
          </w:tcPr>
          <w:p>
            <w:pPr>
              <w:spacing w:after="0" w:line="20" w:lineRule="exact"/>
              <w:rPr>
                <w:sz w:val="1"/>
                <w:szCs w:val="1"/>
                <w:color w:val="auto"/>
              </w:rPr>
            </w:pPr>
          </w:p>
        </w:tc>
        <w:tc>
          <w:tcPr>
            <w:tcW w:w="240" w:type="dxa"/>
            <w:vAlign w:val="bottom"/>
            <w:tcBorders>
              <w:top w:val="single" w:sz="8" w:color="E4E3E1"/>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E4E3E1"/>
            </w:tcBorders>
          </w:tcPr>
          <w:p>
            <w:pPr>
              <w:spacing w:after="0" w:line="20" w:lineRule="exact"/>
              <w:rPr>
                <w:sz w:val="1"/>
                <w:szCs w:val="1"/>
                <w:color w:val="auto"/>
              </w:rPr>
            </w:pPr>
          </w:p>
        </w:tc>
        <w:tc>
          <w:tcPr>
            <w:tcW w:w="80" w:type="dxa"/>
            <w:vAlign w:val="bottom"/>
            <w:tcBorders>
              <w:top w:val="single" w:sz="8" w:color="E4E3E1"/>
            </w:tcBorders>
          </w:tcPr>
          <w:p>
            <w:pPr>
              <w:spacing w:after="0" w:line="20" w:lineRule="exact"/>
              <w:rPr>
                <w:sz w:val="1"/>
                <w:szCs w:val="1"/>
                <w:color w:val="auto"/>
              </w:rPr>
            </w:pPr>
          </w:p>
        </w:tc>
        <w:tc>
          <w:tcPr>
            <w:tcW w:w="380" w:type="dxa"/>
            <w:vAlign w:val="bottom"/>
            <w:tcBorders>
              <w:top w:val="single" w:sz="8" w:color="E4E3E1"/>
            </w:tcBorders>
          </w:tcPr>
          <w:p>
            <w:pPr>
              <w:spacing w:after="0" w:line="20" w:lineRule="exact"/>
              <w:rPr>
                <w:sz w:val="1"/>
                <w:szCs w:val="1"/>
                <w:color w:val="auto"/>
              </w:rPr>
            </w:pPr>
          </w:p>
        </w:tc>
        <w:tc>
          <w:tcPr>
            <w:tcW w:w="340" w:type="dxa"/>
            <w:vAlign w:val="bottom"/>
            <w:tcBorders>
              <w:top w:val="single" w:sz="8" w:color="E4E3E1"/>
            </w:tcBorders>
          </w:tcPr>
          <w:p>
            <w:pPr>
              <w:spacing w:after="0" w:line="20" w:lineRule="exact"/>
              <w:rPr>
                <w:sz w:val="1"/>
                <w:szCs w:val="1"/>
                <w:color w:val="auto"/>
              </w:rPr>
            </w:pPr>
          </w:p>
        </w:tc>
        <w:tc>
          <w:tcPr>
            <w:tcW w:w="360" w:type="dxa"/>
            <w:vAlign w:val="bottom"/>
            <w:tcBorders>
              <w:top w:val="single" w:sz="8" w:color="E4E3E1"/>
            </w:tcBorders>
          </w:tcPr>
          <w:p>
            <w:pPr>
              <w:spacing w:after="0" w:line="20" w:lineRule="exact"/>
              <w:rPr>
                <w:sz w:val="1"/>
                <w:szCs w:val="1"/>
                <w:color w:val="auto"/>
              </w:rPr>
            </w:pPr>
          </w:p>
        </w:tc>
        <w:tc>
          <w:tcPr>
            <w:tcW w:w="80" w:type="dxa"/>
            <w:vAlign w:val="bottom"/>
            <w:tcBorders>
              <w:top w:val="single" w:sz="8" w:color="E4E3E1"/>
            </w:tcBorders>
          </w:tcPr>
          <w:p>
            <w:pPr>
              <w:spacing w:after="0" w:line="20" w:lineRule="exact"/>
              <w:rPr>
                <w:sz w:val="1"/>
                <w:szCs w:val="1"/>
                <w:color w:val="auto"/>
              </w:rPr>
            </w:pPr>
          </w:p>
        </w:tc>
        <w:tc>
          <w:tcPr>
            <w:tcW w:w="280" w:type="dxa"/>
            <w:vAlign w:val="bottom"/>
            <w:tcBorders>
              <w:top w:val="single" w:sz="8" w:color="E4E3E1"/>
            </w:tcBorders>
          </w:tcPr>
          <w:p>
            <w:pPr>
              <w:spacing w:after="0" w:line="20" w:lineRule="exact"/>
              <w:rPr>
                <w:sz w:val="1"/>
                <w:szCs w:val="1"/>
                <w:color w:val="auto"/>
              </w:rPr>
            </w:pPr>
          </w:p>
        </w:tc>
        <w:tc>
          <w:tcPr>
            <w:tcW w:w="140" w:type="dxa"/>
            <w:vAlign w:val="bottom"/>
            <w:tcBorders>
              <w:top w:val="single" w:sz="8" w:color="E4E3E1"/>
            </w:tcBorders>
          </w:tcPr>
          <w:p>
            <w:pPr>
              <w:spacing w:after="0" w:line="20" w:lineRule="exact"/>
              <w:rPr>
                <w:sz w:val="1"/>
                <w:szCs w:val="1"/>
                <w:color w:val="auto"/>
              </w:rPr>
            </w:pPr>
          </w:p>
        </w:tc>
        <w:tc>
          <w:tcPr>
            <w:tcW w:w="480" w:type="dxa"/>
            <w:vAlign w:val="bottom"/>
            <w:tcBorders>
              <w:top w:val="single" w:sz="8" w:color="E4E3E1"/>
            </w:tcBorders>
          </w:tcPr>
          <w:p>
            <w:pPr>
              <w:spacing w:after="0" w:line="20" w:lineRule="exact"/>
              <w:rPr>
                <w:sz w:val="1"/>
                <w:szCs w:val="1"/>
                <w:color w:val="auto"/>
              </w:rPr>
            </w:pPr>
          </w:p>
        </w:tc>
        <w:tc>
          <w:tcPr>
            <w:tcW w:w="100" w:type="dxa"/>
            <w:vAlign w:val="bottom"/>
            <w:tcBorders>
              <w:top w:val="single" w:sz="8" w:color="E4E3E1"/>
            </w:tcBorders>
          </w:tcPr>
          <w:p>
            <w:pPr>
              <w:spacing w:after="0" w:line="20" w:lineRule="exact"/>
              <w:rPr>
                <w:sz w:val="1"/>
                <w:szCs w:val="1"/>
                <w:color w:val="auto"/>
              </w:rPr>
            </w:pPr>
          </w:p>
        </w:tc>
        <w:tc>
          <w:tcPr>
            <w:tcW w:w="240" w:type="dxa"/>
            <w:vAlign w:val="bottom"/>
            <w:tcBorders>
              <w:top w:val="single" w:sz="8" w:color="E4E3E1"/>
            </w:tcBorders>
          </w:tcPr>
          <w:p>
            <w:pPr>
              <w:spacing w:after="0" w:line="20" w:lineRule="exact"/>
              <w:rPr>
                <w:sz w:val="1"/>
                <w:szCs w:val="1"/>
                <w:color w:val="auto"/>
              </w:rPr>
            </w:pPr>
          </w:p>
        </w:tc>
        <w:tc>
          <w:tcPr>
            <w:tcW w:w="360" w:type="dxa"/>
            <w:vAlign w:val="bottom"/>
            <w:tcBorders>
              <w:top w:val="single" w:sz="8" w:color="E4E3E1"/>
            </w:tcBorders>
          </w:tcPr>
          <w:p>
            <w:pPr>
              <w:spacing w:after="0" w:line="20" w:lineRule="exact"/>
              <w:rPr>
                <w:sz w:val="1"/>
                <w:szCs w:val="1"/>
                <w:color w:val="auto"/>
              </w:rPr>
            </w:pPr>
          </w:p>
        </w:tc>
        <w:tc>
          <w:tcPr>
            <w:tcW w:w="140" w:type="dxa"/>
            <w:vAlign w:val="bottom"/>
            <w:tcBorders>
              <w:top w:val="single" w:sz="8" w:color="E4E3E1"/>
            </w:tcBorders>
          </w:tcPr>
          <w:p>
            <w:pPr>
              <w:spacing w:after="0" w:line="20" w:lineRule="exact"/>
              <w:rPr>
                <w:sz w:val="1"/>
                <w:szCs w:val="1"/>
                <w:color w:val="auto"/>
              </w:rPr>
            </w:pPr>
          </w:p>
        </w:tc>
        <w:tc>
          <w:tcPr>
            <w:tcW w:w="100" w:type="dxa"/>
            <w:vAlign w:val="bottom"/>
            <w:tcBorders>
              <w:top w:val="single" w:sz="8" w:color="E4E3E1"/>
            </w:tcBorders>
          </w:tcPr>
          <w:p>
            <w:pPr>
              <w:spacing w:after="0" w:line="20" w:lineRule="exact"/>
              <w:rPr>
                <w:sz w:val="1"/>
                <w:szCs w:val="1"/>
                <w:color w:val="auto"/>
              </w:rPr>
            </w:pPr>
          </w:p>
        </w:tc>
        <w:tc>
          <w:tcPr>
            <w:tcW w:w="160" w:type="dxa"/>
            <w:vAlign w:val="bottom"/>
            <w:tcBorders>
              <w:top w:val="single" w:sz="8" w:color="E4E3E1"/>
            </w:tcBorders>
          </w:tcPr>
          <w:p>
            <w:pPr>
              <w:spacing w:after="0" w:line="20" w:lineRule="exact"/>
              <w:rPr>
                <w:sz w:val="1"/>
                <w:szCs w:val="1"/>
                <w:color w:val="auto"/>
              </w:rPr>
            </w:pPr>
          </w:p>
        </w:tc>
        <w:tc>
          <w:tcPr>
            <w:tcW w:w="180" w:type="dxa"/>
            <w:vAlign w:val="bottom"/>
            <w:tcBorders>
              <w:top w:val="single" w:sz="8" w:color="E4E3E1"/>
            </w:tcBorders>
          </w:tcPr>
          <w:p>
            <w:pPr>
              <w:spacing w:after="0" w:line="20" w:lineRule="exact"/>
              <w:rPr>
                <w:sz w:val="1"/>
                <w:szCs w:val="1"/>
                <w:color w:val="auto"/>
              </w:rPr>
            </w:pPr>
          </w:p>
        </w:tc>
        <w:tc>
          <w:tcPr>
            <w:tcW w:w="160" w:type="dxa"/>
            <w:vAlign w:val="bottom"/>
            <w:tcBorders>
              <w:top w:val="single" w:sz="8" w:color="E4E3E1"/>
            </w:tcBorders>
          </w:tcPr>
          <w:p>
            <w:pPr>
              <w:spacing w:after="0" w:line="20" w:lineRule="exact"/>
              <w:rPr>
                <w:sz w:val="1"/>
                <w:szCs w:val="1"/>
                <w:color w:val="auto"/>
              </w:rPr>
            </w:pPr>
          </w:p>
        </w:tc>
        <w:tc>
          <w:tcPr>
            <w:tcW w:w="700" w:type="dxa"/>
            <w:vAlign w:val="bottom"/>
            <w:tcBorders>
              <w:top w:val="single" w:sz="8" w:color="E4E3E1"/>
            </w:tcBorders>
          </w:tcPr>
          <w:p>
            <w:pPr>
              <w:spacing w:after="0" w:line="20" w:lineRule="exact"/>
              <w:rPr>
                <w:sz w:val="1"/>
                <w:szCs w:val="1"/>
                <w:color w:val="auto"/>
              </w:rPr>
            </w:pPr>
          </w:p>
        </w:tc>
        <w:tc>
          <w:tcPr>
            <w:tcW w:w="520" w:type="dxa"/>
            <w:vAlign w:val="bottom"/>
            <w:tcBorders>
              <w:top w:val="single" w:sz="8" w:color="E4E3E1"/>
            </w:tcBorders>
          </w:tcPr>
          <w:p>
            <w:pPr>
              <w:spacing w:after="0" w:line="20" w:lineRule="exact"/>
              <w:rPr>
                <w:sz w:val="1"/>
                <w:szCs w:val="1"/>
                <w:color w:val="auto"/>
              </w:rPr>
            </w:pPr>
          </w:p>
        </w:tc>
        <w:tc>
          <w:tcPr>
            <w:tcW w:w="340" w:type="dxa"/>
            <w:vAlign w:val="bottom"/>
            <w:tcBorders>
              <w:top w:val="single" w:sz="8" w:color="E4E3E1"/>
            </w:tcBorders>
          </w:tcPr>
          <w:p>
            <w:pPr>
              <w:spacing w:after="0" w:line="20" w:lineRule="exact"/>
              <w:rPr>
                <w:sz w:val="1"/>
                <w:szCs w:val="1"/>
                <w:color w:val="auto"/>
              </w:rPr>
            </w:pPr>
          </w:p>
        </w:tc>
        <w:tc>
          <w:tcPr>
            <w:tcW w:w="180" w:type="dxa"/>
            <w:vAlign w:val="bottom"/>
            <w:tcBorders>
              <w:top w:val="single" w:sz="8" w:color="E4E3E1"/>
            </w:tcBorders>
          </w:tcPr>
          <w:p>
            <w:pPr>
              <w:spacing w:after="0" w:line="20" w:lineRule="exact"/>
              <w:rPr>
                <w:sz w:val="1"/>
                <w:szCs w:val="1"/>
                <w:color w:val="auto"/>
              </w:rPr>
            </w:pPr>
          </w:p>
        </w:tc>
        <w:tc>
          <w:tcPr>
            <w:tcW w:w="160" w:type="dxa"/>
            <w:vAlign w:val="bottom"/>
            <w:tcBorders>
              <w:top w:val="single" w:sz="8" w:color="E4E3E1"/>
            </w:tcBorders>
          </w:tcPr>
          <w:p>
            <w:pPr>
              <w:spacing w:after="0" w:line="20" w:lineRule="exact"/>
              <w:rPr>
                <w:sz w:val="1"/>
                <w:szCs w:val="1"/>
                <w:color w:val="auto"/>
              </w:rPr>
            </w:pPr>
          </w:p>
        </w:tc>
        <w:tc>
          <w:tcPr>
            <w:tcW w:w="780" w:type="dxa"/>
            <w:vAlign w:val="bottom"/>
            <w:tcBorders>
              <w:top w:val="single" w:sz="8" w:color="E4E3E1"/>
            </w:tcBorders>
          </w:tcPr>
          <w:p>
            <w:pPr>
              <w:spacing w:after="0" w:line="20" w:lineRule="exact"/>
              <w:rPr>
                <w:sz w:val="1"/>
                <w:szCs w:val="1"/>
                <w:color w:val="auto"/>
              </w:rPr>
            </w:pPr>
          </w:p>
        </w:tc>
        <w:tc>
          <w:tcPr>
            <w:tcW w:w="460" w:type="dxa"/>
            <w:vAlign w:val="bottom"/>
            <w:tcBorders>
              <w:top w:val="single" w:sz="8" w:color="F68932"/>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940" w:type="dxa"/>
            <w:vAlign w:val="bottom"/>
            <w:shd w:val="clear" w:color="auto" w:fill="E4E3E1"/>
          </w:tcPr>
          <w:p>
            <w:pPr>
              <w:ind w:left="200"/>
              <w:spacing w:after="0" w:line="180" w:lineRule="exact"/>
              <w:rPr>
                <w:sz w:val="20"/>
                <w:szCs w:val="20"/>
                <w:color w:val="auto"/>
              </w:rPr>
            </w:pPr>
            <w:r>
              <w:rPr>
                <w:rFonts w:ascii="Arial" w:cs="Arial" w:eastAsia="Arial" w:hAnsi="Arial"/>
                <w:sz w:val="16"/>
                <w:szCs w:val="16"/>
                <w:b w:val="1"/>
                <w:bCs w:val="1"/>
                <w:color w:val="auto"/>
              </w:rPr>
              <w:t>REPORT OF THE DIRECTORS</w:t>
            </w:r>
          </w:p>
        </w:tc>
        <w:tc>
          <w:tcPr>
            <w:tcW w:w="580" w:type="dxa"/>
            <w:vAlign w:val="bottom"/>
            <w:gridSpan w:val="3"/>
            <w:shd w:val="clear" w:color="auto" w:fill="E4E3E1"/>
          </w:tcPr>
          <w:p>
            <w:pPr>
              <w:ind w:left="420"/>
              <w:spacing w:after="0"/>
              <w:rPr>
                <w:rFonts w:ascii="Arial" w:cs="Arial" w:eastAsia="Arial" w:hAnsi="Arial"/>
                <w:sz w:val="14"/>
                <w:szCs w:val="14"/>
                <w:b w:val="1"/>
                <w:bCs w:val="1"/>
                <w:color w:val="0000EE"/>
                <w:w w:val="89"/>
              </w:rPr>
            </w:pPr>
            <w:hyperlink w:anchor="page85">
              <w:r>
                <w:rPr>
                  <w:rFonts w:ascii="Arial" w:cs="Arial" w:eastAsia="Arial" w:hAnsi="Arial"/>
                  <w:sz w:val="14"/>
                  <w:szCs w:val="14"/>
                  <w:b w:val="1"/>
                  <w:bCs w:val="1"/>
                  <w:color w:val="0000EE"/>
                  <w:w w:val="89"/>
                </w:rPr>
                <w:t>80</w:t>
              </w:r>
            </w:hyperlink>
          </w:p>
        </w:tc>
        <w:tc>
          <w:tcPr>
            <w:tcW w:w="80" w:type="dxa"/>
            <w:vAlign w:val="bottom"/>
            <w:shd w:val="clear" w:color="auto" w:fill="E4E3E1"/>
          </w:tcPr>
          <w:p>
            <w:pPr>
              <w:spacing w:after="0"/>
              <w:rPr>
                <w:sz w:val="16"/>
                <w:szCs w:val="16"/>
                <w:color w:val="auto"/>
              </w:rPr>
            </w:pPr>
          </w:p>
        </w:tc>
        <w:tc>
          <w:tcPr>
            <w:tcW w:w="100" w:type="dxa"/>
            <w:vAlign w:val="bottom"/>
            <w:shd w:val="clear" w:color="auto" w:fill="E4E3E1"/>
          </w:tcPr>
          <w:p>
            <w:pPr>
              <w:spacing w:after="0"/>
              <w:rPr>
                <w:sz w:val="16"/>
                <w:szCs w:val="16"/>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85">
              <w:r>
                <w:rPr>
                  <w:rFonts w:ascii="Arial" w:cs="Arial" w:eastAsia="Arial" w:hAnsi="Arial"/>
                  <w:sz w:val="14"/>
                  <w:szCs w:val="14"/>
                  <w:color w:val="0000EE"/>
                </w:rPr>
                <w:t>The Board of Royal Dutch Shell plc</w:t>
              </w:r>
            </w:hyperlink>
          </w:p>
        </w:tc>
        <w:tc>
          <w:tcPr>
            <w:tcW w:w="100" w:type="dxa"/>
            <w:vAlign w:val="bottom"/>
            <w:shd w:val="clear" w:color="auto" w:fill="E4E3E1"/>
          </w:tcPr>
          <w:p>
            <w:pPr>
              <w:spacing w:after="0"/>
              <w:rPr>
                <w:sz w:val="16"/>
                <w:szCs w:val="16"/>
                <w:color w:val="auto"/>
              </w:rPr>
            </w:pPr>
          </w:p>
        </w:tc>
        <w:tc>
          <w:tcPr>
            <w:tcW w:w="160" w:type="dxa"/>
            <w:vAlign w:val="bottom"/>
            <w:shd w:val="clear" w:color="auto" w:fill="E4E3E1"/>
          </w:tcPr>
          <w:p>
            <w:pPr>
              <w:spacing w:after="0"/>
              <w:rPr>
                <w:sz w:val="16"/>
                <w:szCs w:val="16"/>
                <w:color w:val="auto"/>
              </w:rPr>
            </w:pPr>
          </w:p>
        </w:tc>
        <w:tc>
          <w:tcPr>
            <w:tcW w:w="180" w:type="dxa"/>
            <w:vAlign w:val="bottom"/>
            <w:shd w:val="clear" w:color="auto" w:fill="E4E3E1"/>
          </w:tcPr>
          <w:p>
            <w:pPr>
              <w:spacing w:after="0"/>
              <w:rPr>
                <w:sz w:val="16"/>
                <w:szCs w:val="16"/>
                <w:color w:val="auto"/>
              </w:rPr>
            </w:pPr>
          </w:p>
        </w:tc>
        <w:tc>
          <w:tcPr>
            <w:tcW w:w="160" w:type="dxa"/>
            <w:vAlign w:val="bottom"/>
            <w:shd w:val="clear" w:color="auto" w:fill="E4E3E1"/>
          </w:tcPr>
          <w:p>
            <w:pPr>
              <w:spacing w:after="0"/>
              <w:rPr>
                <w:sz w:val="16"/>
                <w:szCs w:val="16"/>
                <w:color w:val="auto"/>
              </w:rPr>
            </w:pPr>
          </w:p>
        </w:tc>
        <w:tc>
          <w:tcPr>
            <w:tcW w:w="700" w:type="dxa"/>
            <w:vAlign w:val="bottom"/>
            <w:shd w:val="clear" w:color="auto" w:fill="E4E3E1"/>
          </w:tcPr>
          <w:p>
            <w:pPr>
              <w:spacing w:after="0"/>
              <w:rPr>
                <w:sz w:val="16"/>
                <w:szCs w:val="16"/>
                <w:color w:val="auto"/>
              </w:rPr>
            </w:pPr>
          </w:p>
        </w:tc>
        <w:tc>
          <w:tcPr>
            <w:tcW w:w="520" w:type="dxa"/>
            <w:vAlign w:val="bottom"/>
            <w:shd w:val="clear" w:color="auto" w:fill="E4E3E1"/>
          </w:tcPr>
          <w:p>
            <w:pPr>
              <w:spacing w:after="0"/>
              <w:rPr>
                <w:sz w:val="16"/>
                <w:szCs w:val="16"/>
                <w:color w:val="auto"/>
              </w:rPr>
            </w:pPr>
          </w:p>
        </w:tc>
        <w:tc>
          <w:tcPr>
            <w:tcW w:w="340" w:type="dxa"/>
            <w:vAlign w:val="bottom"/>
            <w:shd w:val="clear" w:color="auto" w:fill="E4E3E1"/>
          </w:tcPr>
          <w:p>
            <w:pPr>
              <w:spacing w:after="0"/>
              <w:rPr>
                <w:sz w:val="16"/>
                <w:szCs w:val="16"/>
                <w:color w:val="auto"/>
              </w:rPr>
            </w:pPr>
          </w:p>
        </w:tc>
        <w:tc>
          <w:tcPr>
            <w:tcW w:w="180" w:type="dxa"/>
            <w:vAlign w:val="bottom"/>
            <w:tcBorders>
              <w:right w:val="single" w:sz="8" w:color="E4E3E1"/>
            </w:tcBorders>
            <w:shd w:val="clear" w:color="auto" w:fill="E4E3E1"/>
          </w:tcPr>
          <w:p>
            <w:pPr>
              <w:spacing w:after="0"/>
              <w:rPr>
                <w:sz w:val="16"/>
                <w:szCs w:val="16"/>
                <w:color w:val="auto"/>
              </w:rPr>
            </w:pPr>
          </w:p>
        </w:tc>
        <w:tc>
          <w:tcPr>
            <w:tcW w:w="160" w:type="dxa"/>
            <w:vAlign w:val="bottom"/>
            <w:shd w:val="clear" w:color="auto" w:fill="E4E3E1"/>
          </w:tcPr>
          <w:p>
            <w:pPr>
              <w:spacing w:after="0"/>
              <w:rPr>
                <w:sz w:val="16"/>
                <w:szCs w:val="16"/>
                <w:color w:val="auto"/>
              </w:rPr>
            </w:pPr>
          </w:p>
        </w:tc>
        <w:tc>
          <w:tcPr>
            <w:tcW w:w="780" w:type="dxa"/>
            <w:vAlign w:val="bottom"/>
            <w:shd w:val="clear" w:color="auto" w:fill="E4E3E1"/>
          </w:tcPr>
          <w:p>
            <w:pPr>
              <w:spacing w:after="0"/>
              <w:rPr>
                <w:sz w:val="16"/>
                <w:szCs w:val="16"/>
                <w:color w:val="auto"/>
              </w:rPr>
            </w:pPr>
          </w:p>
        </w:tc>
        <w:tc>
          <w:tcPr>
            <w:tcW w:w="460" w:type="dxa"/>
            <w:vAlign w:val="bottom"/>
            <w:shd w:val="clear" w:color="auto" w:fill="C1D72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C1D72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160" w:type="dxa"/>
            <w:vAlign w:val="bottom"/>
            <w:tcBorders>
              <w:left w:val="single" w:sz="8" w:color="E4E3E1"/>
            </w:tcBorders>
            <w:gridSpan w:val="2"/>
            <w:shd w:val="clear" w:color="auto" w:fill="E4E3E1"/>
          </w:tcPr>
          <w:p>
            <w:pPr>
              <w:spacing w:after="0"/>
              <w:rPr>
                <w:rFonts w:ascii="Arial" w:cs="Arial" w:eastAsia="Arial" w:hAnsi="Arial"/>
                <w:sz w:val="14"/>
                <w:szCs w:val="14"/>
                <w:b w:val="1"/>
                <w:bCs w:val="1"/>
                <w:color w:val="0000EE"/>
                <w:w w:val="89"/>
              </w:rPr>
            </w:pPr>
            <w:hyperlink w:anchor="page88">
              <w:r>
                <w:rPr>
                  <w:rFonts w:ascii="Arial" w:cs="Arial" w:eastAsia="Arial" w:hAnsi="Arial"/>
                  <w:sz w:val="14"/>
                  <w:szCs w:val="14"/>
                  <w:b w:val="1"/>
                  <w:bCs w:val="1"/>
                  <w:color w:val="0000EE"/>
                  <w:w w:val="89"/>
                </w:rPr>
                <w:t>82</w:t>
              </w:r>
            </w:hyperlink>
          </w:p>
        </w:tc>
        <w:tc>
          <w:tcPr>
            <w:tcW w:w="80" w:type="dxa"/>
            <w:vAlign w:val="bottom"/>
            <w:shd w:val="clear" w:color="auto" w:fill="E4E3E1"/>
          </w:tcPr>
          <w:p>
            <w:pPr>
              <w:spacing w:after="0"/>
              <w:rPr>
                <w:sz w:val="14"/>
                <w:szCs w:val="14"/>
                <w:color w:val="auto"/>
              </w:rPr>
            </w:pPr>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88">
              <w:r>
                <w:rPr>
                  <w:rFonts w:ascii="Arial" w:cs="Arial" w:eastAsia="Arial" w:hAnsi="Arial"/>
                  <w:sz w:val="14"/>
                  <w:szCs w:val="14"/>
                  <w:color w:val="0000EE"/>
                </w:rPr>
                <w:t>Report of the Directors</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C1D72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rPr>
                <w:sz w:val="20"/>
                <w:szCs w:val="20"/>
                <w:color w:val="auto"/>
              </w:rPr>
            </w:pPr>
            <w:r>
              <w:rPr>
                <w:rFonts w:ascii="Arial" w:cs="Arial" w:eastAsia="Arial" w:hAnsi="Arial"/>
                <w:sz w:val="16"/>
                <w:szCs w:val="16"/>
                <w:b w:val="1"/>
                <w:bCs w:val="1"/>
                <w:color w:val="auto"/>
              </w:rPr>
              <w:t>CORPORATE GOVERNANCE</w:t>
            </w: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C1D72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2940" w:type="dxa"/>
            <w:vAlign w:val="bottom"/>
            <w:vMerge w:val="continue"/>
            <w:shd w:val="clear" w:color="auto" w:fill="E4E3E1"/>
          </w:tcPr>
          <w:p>
            <w:pPr>
              <w:spacing w:after="0"/>
              <w:rPr>
                <w:sz w:val="24"/>
                <w:szCs w:val="24"/>
                <w:color w:val="auto"/>
              </w:rPr>
            </w:pPr>
          </w:p>
        </w:tc>
        <w:tc>
          <w:tcPr>
            <w:tcW w:w="420" w:type="dxa"/>
            <w:vAlign w:val="bottom"/>
            <w:shd w:val="clear" w:color="auto" w:fill="E4E3E1"/>
          </w:tcPr>
          <w:p>
            <w:pPr>
              <w:spacing w:after="0"/>
              <w:rPr>
                <w:sz w:val="24"/>
                <w:szCs w:val="24"/>
                <w:color w:val="auto"/>
              </w:rPr>
            </w:pPr>
          </w:p>
        </w:tc>
        <w:tc>
          <w:tcPr>
            <w:tcW w:w="160" w:type="dxa"/>
            <w:vAlign w:val="bottom"/>
            <w:tcBorders>
              <w:left w:val="single" w:sz="8" w:color="E4E3E1"/>
            </w:tcBorders>
            <w:gridSpan w:val="2"/>
            <w:shd w:val="clear" w:color="auto" w:fill="E4E3E1"/>
          </w:tcPr>
          <w:p>
            <w:pPr>
              <w:spacing w:after="0"/>
              <w:rPr>
                <w:rFonts w:ascii="Arial" w:cs="Arial" w:eastAsia="Arial" w:hAnsi="Arial"/>
                <w:sz w:val="14"/>
                <w:szCs w:val="14"/>
                <w:b w:val="1"/>
                <w:bCs w:val="1"/>
                <w:color w:val="0000EE"/>
                <w:w w:val="89"/>
              </w:rPr>
            </w:pPr>
            <w:hyperlink w:anchor="page92">
              <w:r>
                <w:rPr>
                  <w:rFonts w:ascii="Arial" w:cs="Arial" w:eastAsia="Arial" w:hAnsi="Arial"/>
                  <w:sz w:val="14"/>
                  <w:szCs w:val="14"/>
                  <w:b w:val="1"/>
                  <w:bCs w:val="1"/>
                  <w:color w:val="0000EE"/>
                  <w:w w:val="89"/>
                </w:rPr>
                <w:t>86</w:t>
              </w:r>
            </w:hyperlink>
          </w:p>
        </w:tc>
        <w:tc>
          <w:tcPr>
            <w:tcW w:w="8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92">
              <w:r>
                <w:rPr>
                  <w:rFonts w:ascii="Arial" w:cs="Arial" w:eastAsia="Arial" w:hAnsi="Arial"/>
                  <w:sz w:val="14"/>
                  <w:szCs w:val="14"/>
                  <w:color w:val="0000EE"/>
                </w:rPr>
                <w:t>Corporate governance</w:t>
              </w:r>
            </w:hyperlink>
          </w:p>
        </w:tc>
        <w:tc>
          <w:tcPr>
            <w:tcW w:w="10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18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00" w:type="dxa"/>
            <w:vAlign w:val="bottom"/>
            <w:shd w:val="clear" w:color="auto" w:fill="E4E3E1"/>
          </w:tcPr>
          <w:p>
            <w:pPr>
              <w:spacing w:after="0"/>
              <w:rPr>
                <w:sz w:val="24"/>
                <w:szCs w:val="24"/>
                <w:color w:val="auto"/>
              </w:rPr>
            </w:pPr>
          </w:p>
        </w:tc>
        <w:tc>
          <w:tcPr>
            <w:tcW w:w="520" w:type="dxa"/>
            <w:vAlign w:val="bottom"/>
            <w:shd w:val="clear" w:color="auto" w:fill="E4E3E1"/>
          </w:tcPr>
          <w:p>
            <w:pPr>
              <w:spacing w:after="0"/>
              <w:rPr>
                <w:sz w:val="24"/>
                <w:szCs w:val="24"/>
                <w:color w:val="auto"/>
              </w:rPr>
            </w:pPr>
          </w:p>
        </w:tc>
        <w:tc>
          <w:tcPr>
            <w:tcW w:w="340" w:type="dxa"/>
            <w:vAlign w:val="bottom"/>
            <w:shd w:val="clear" w:color="auto" w:fill="E4E3E1"/>
          </w:tcPr>
          <w:p>
            <w:pPr>
              <w:spacing w:after="0"/>
              <w:rPr>
                <w:sz w:val="24"/>
                <w:szCs w:val="24"/>
                <w:color w:val="auto"/>
              </w:rPr>
            </w:pPr>
          </w:p>
        </w:tc>
        <w:tc>
          <w:tcPr>
            <w:tcW w:w="180" w:type="dxa"/>
            <w:vAlign w:val="bottom"/>
            <w:tcBorders>
              <w:right w:val="single" w:sz="8" w:color="E4E3E1"/>
            </w:tcBorders>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80" w:type="dxa"/>
            <w:vAlign w:val="bottom"/>
            <w:shd w:val="clear" w:color="auto" w:fill="E4E3E1"/>
          </w:tcPr>
          <w:p>
            <w:pPr>
              <w:spacing w:after="0"/>
              <w:rPr>
                <w:sz w:val="24"/>
                <w:szCs w:val="24"/>
                <w:color w:val="auto"/>
              </w:rPr>
            </w:pPr>
          </w:p>
        </w:tc>
        <w:tc>
          <w:tcPr>
            <w:tcW w:w="460" w:type="dxa"/>
            <w:vAlign w:val="bottom"/>
            <w:shd w:val="clear" w:color="auto" w:fill="C1D72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rPr>
                <w:sz w:val="20"/>
                <w:szCs w:val="20"/>
                <w:color w:val="auto"/>
              </w:rPr>
            </w:pPr>
            <w:r>
              <w:rPr>
                <w:rFonts w:ascii="Arial" w:cs="Arial" w:eastAsia="Arial" w:hAnsi="Arial"/>
                <w:sz w:val="16"/>
                <w:szCs w:val="16"/>
                <w:b w:val="1"/>
                <w:bCs w:val="1"/>
                <w:color w:val="auto"/>
              </w:rPr>
              <w:t>DIRECTORS’</w:t>
            </w: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C1D72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940" w:type="dxa"/>
            <w:vAlign w:val="bottom"/>
            <w:vMerge w:val="continue"/>
            <w:shd w:val="clear" w:color="auto" w:fill="E4E3E1"/>
          </w:tcPr>
          <w:p>
            <w:pPr>
              <w:spacing w:after="0"/>
              <w:rPr>
                <w:sz w:val="24"/>
                <w:szCs w:val="24"/>
                <w:color w:val="auto"/>
              </w:rPr>
            </w:pPr>
          </w:p>
        </w:tc>
        <w:tc>
          <w:tcPr>
            <w:tcW w:w="420" w:type="dxa"/>
            <w:vAlign w:val="bottom"/>
            <w:shd w:val="clear" w:color="auto" w:fill="E4E3E1"/>
          </w:tcPr>
          <w:p>
            <w:pPr>
              <w:spacing w:after="0"/>
              <w:rPr>
                <w:sz w:val="24"/>
                <w:szCs w:val="24"/>
                <w:color w:val="auto"/>
              </w:rPr>
            </w:pPr>
          </w:p>
        </w:tc>
        <w:tc>
          <w:tcPr>
            <w:tcW w:w="160" w:type="dxa"/>
            <w:vAlign w:val="bottom"/>
            <w:tcBorders>
              <w:left w:val="single" w:sz="8" w:color="E4E3E1"/>
            </w:tcBorders>
            <w:gridSpan w:val="2"/>
            <w:shd w:val="clear" w:color="auto" w:fill="E4E3E1"/>
          </w:tcPr>
          <w:p>
            <w:pPr>
              <w:spacing w:after="0"/>
              <w:rPr>
                <w:rFonts w:ascii="Arial" w:cs="Arial" w:eastAsia="Arial" w:hAnsi="Arial"/>
                <w:sz w:val="14"/>
                <w:szCs w:val="14"/>
                <w:b w:val="1"/>
                <w:bCs w:val="1"/>
                <w:color w:val="0000EE"/>
                <w:w w:val="89"/>
              </w:rPr>
            </w:pPr>
            <w:hyperlink w:anchor="page99">
              <w:r>
                <w:rPr>
                  <w:rFonts w:ascii="Arial" w:cs="Arial" w:eastAsia="Arial" w:hAnsi="Arial"/>
                  <w:sz w:val="14"/>
                  <w:szCs w:val="14"/>
                  <w:b w:val="1"/>
                  <w:bCs w:val="1"/>
                  <w:color w:val="0000EE"/>
                  <w:w w:val="89"/>
                </w:rPr>
                <w:t>93</w:t>
              </w:r>
            </w:hyperlink>
          </w:p>
        </w:tc>
        <w:tc>
          <w:tcPr>
            <w:tcW w:w="8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240" w:type="dxa"/>
            <w:vAlign w:val="bottom"/>
            <w:shd w:val="clear" w:color="auto" w:fill="E4E3E1"/>
          </w:tcPr>
          <w:p>
            <w:pPr>
              <w:spacing w:after="0"/>
              <w:rPr>
                <w:sz w:val="24"/>
                <w:szCs w:val="24"/>
                <w:color w:val="auto"/>
              </w:rPr>
            </w:pPr>
          </w:p>
        </w:tc>
        <w:tc>
          <w:tcPr>
            <w:tcW w:w="3600" w:type="dxa"/>
            <w:vAlign w:val="bottom"/>
            <w:gridSpan w:val="13"/>
            <w:shd w:val="clear" w:color="auto" w:fill="E4E3E1"/>
          </w:tcPr>
          <w:p>
            <w:pPr>
              <w:spacing w:after="0"/>
              <w:rPr>
                <w:rFonts w:ascii="Arial" w:cs="Arial" w:eastAsia="Arial" w:hAnsi="Arial"/>
                <w:sz w:val="14"/>
                <w:szCs w:val="14"/>
                <w:color w:val="0000EE"/>
              </w:rPr>
            </w:pPr>
            <w:hyperlink w:anchor="page99">
              <w:r>
                <w:rPr>
                  <w:rFonts w:ascii="Arial" w:cs="Arial" w:eastAsia="Arial" w:hAnsi="Arial"/>
                  <w:sz w:val="14"/>
                  <w:szCs w:val="14"/>
                  <w:color w:val="0000EE"/>
                </w:rPr>
                <w:t>Directors’ Remuneration Report</w:t>
              </w:r>
            </w:hyperlink>
          </w:p>
        </w:tc>
        <w:tc>
          <w:tcPr>
            <w:tcW w:w="14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18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00" w:type="dxa"/>
            <w:vAlign w:val="bottom"/>
            <w:shd w:val="clear" w:color="auto" w:fill="E4E3E1"/>
          </w:tcPr>
          <w:p>
            <w:pPr>
              <w:spacing w:after="0"/>
              <w:rPr>
                <w:sz w:val="24"/>
                <w:szCs w:val="24"/>
                <w:color w:val="auto"/>
              </w:rPr>
            </w:pPr>
          </w:p>
        </w:tc>
        <w:tc>
          <w:tcPr>
            <w:tcW w:w="520" w:type="dxa"/>
            <w:vAlign w:val="bottom"/>
            <w:shd w:val="clear" w:color="auto" w:fill="E4E3E1"/>
          </w:tcPr>
          <w:p>
            <w:pPr>
              <w:spacing w:after="0"/>
              <w:rPr>
                <w:sz w:val="24"/>
                <w:szCs w:val="24"/>
                <w:color w:val="auto"/>
              </w:rPr>
            </w:pPr>
          </w:p>
        </w:tc>
        <w:tc>
          <w:tcPr>
            <w:tcW w:w="340" w:type="dxa"/>
            <w:vAlign w:val="bottom"/>
            <w:shd w:val="clear" w:color="auto" w:fill="E4E3E1"/>
          </w:tcPr>
          <w:p>
            <w:pPr>
              <w:spacing w:after="0"/>
              <w:rPr>
                <w:sz w:val="24"/>
                <w:szCs w:val="24"/>
                <w:color w:val="auto"/>
              </w:rPr>
            </w:pPr>
          </w:p>
        </w:tc>
        <w:tc>
          <w:tcPr>
            <w:tcW w:w="180" w:type="dxa"/>
            <w:vAlign w:val="bottom"/>
            <w:tcBorders>
              <w:right w:val="single" w:sz="8" w:color="E4E3E1"/>
            </w:tcBorders>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80" w:type="dxa"/>
            <w:vAlign w:val="bottom"/>
            <w:shd w:val="clear" w:color="auto" w:fill="E4E3E1"/>
          </w:tcPr>
          <w:p>
            <w:pPr>
              <w:spacing w:after="0"/>
              <w:rPr>
                <w:sz w:val="24"/>
                <w:szCs w:val="24"/>
                <w:color w:val="auto"/>
              </w:rPr>
            </w:pPr>
          </w:p>
        </w:tc>
        <w:tc>
          <w:tcPr>
            <w:tcW w:w="460" w:type="dxa"/>
            <w:vAlign w:val="bottom"/>
            <w:shd w:val="clear" w:color="auto" w:fill="C1D72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tcBorders>
              <w:top w:val="single" w:sz="8" w:color="E4E3E1"/>
            </w:tcBorders>
            <w:shd w:val="clear" w:color="auto" w:fill="E4E3E1"/>
          </w:tcPr>
          <w:p>
            <w:pPr>
              <w:ind w:left="200"/>
              <w:spacing w:after="0"/>
              <w:rPr>
                <w:sz w:val="20"/>
                <w:szCs w:val="20"/>
                <w:color w:val="auto"/>
              </w:rPr>
            </w:pPr>
            <w:r>
              <w:rPr>
                <w:rFonts w:ascii="Arial" w:cs="Arial" w:eastAsia="Arial" w:hAnsi="Arial"/>
                <w:sz w:val="16"/>
                <w:szCs w:val="16"/>
                <w:b w:val="1"/>
                <w:bCs w:val="1"/>
                <w:color w:val="auto"/>
              </w:rPr>
              <w:t>REMUNERATION REPORT</w:t>
            </w:r>
          </w:p>
        </w:tc>
        <w:tc>
          <w:tcPr>
            <w:tcW w:w="420" w:type="dxa"/>
            <w:vAlign w:val="bottom"/>
            <w:tcBorders>
              <w:top w:val="single" w:sz="8" w:color="E4E3E1"/>
            </w:tcBorders>
            <w:shd w:val="clear" w:color="auto" w:fill="E4E3E1"/>
          </w:tcPr>
          <w:p>
            <w:pPr>
              <w:spacing w:after="0"/>
              <w:rPr>
                <w:sz w:val="17"/>
                <w:szCs w:val="17"/>
                <w:color w:val="auto"/>
              </w:rPr>
            </w:pPr>
          </w:p>
        </w:tc>
        <w:tc>
          <w:tcPr>
            <w:tcW w:w="80" w:type="dxa"/>
            <w:vAlign w:val="bottom"/>
            <w:tcBorders>
              <w:top w:val="single" w:sz="8" w:color="0000EE"/>
              <w:left w:val="single" w:sz="8" w:color="E4E3E1"/>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8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660" w:type="dxa"/>
            <w:vAlign w:val="bottom"/>
            <w:tcBorders>
              <w:top w:val="single" w:sz="8" w:color="0000EE"/>
              <w:right w:val="single" w:sz="8" w:color="E4E3E1"/>
            </w:tcBorders>
            <w:shd w:val="clear" w:color="auto" w:fill="E4E3E1"/>
          </w:tcPr>
          <w:p>
            <w:pPr>
              <w:spacing w:after="0"/>
              <w:rPr>
                <w:sz w:val="17"/>
                <w:szCs w:val="17"/>
                <w:color w:val="auto"/>
              </w:rPr>
            </w:pPr>
          </w:p>
        </w:tc>
        <w:tc>
          <w:tcPr>
            <w:tcW w:w="100" w:type="dxa"/>
            <w:vAlign w:val="bottom"/>
            <w:tcBorders>
              <w:top w:val="single" w:sz="8" w:color="0000EE"/>
              <w:right w:val="single" w:sz="8" w:color="E4E3E1"/>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380" w:type="dxa"/>
            <w:vAlign w:val="bottom"/>
            <w:tcBorders>
              <w:top w:val="single" w:sz="8" w:color="0000EE"/>
            </w:tcBorders>
            <w:shd w:val="clear" w:color="auto" w:fill="E4E3E1"/>
          </w:tcPr>
          <w:p>
            <w:pPr>
              <w:spacing w:after="0"/>
              <w:rPr>
                <w:sz w:val="17"/>
                <w:szCs w:val="17"/>
                <w:color w:val="auto"/>
              </w:rPr>
            </w:pPr>
          </w:p>
        </w:tc>
        <w:tc>
          <w:tcPr>
            <w:tcW w:w="340" w:type="dxa"/>
            <w:vAlign w:val="bottom"/>
            <w:tcBorders>
              <w:top w:val="single" w:sz="8" w:color="0000EE"/>
              <w:right w:val="single" w:sz="8" w:color="E4E3E1"/>
            </w:tcBorders>
            <w:shd w:val="clear" w:color="auto" w:fill="E4E3E1"/>
          </w:tcPr>
          <w:p>
            <w:pPr>
              <w:spacing w:after="0"/>
              <w:rPr>
                <w:sz w:val="17"/>
                <w:szCs w:val="17"/>
                <w:color w:val="auto"/>
              </w:rPr>
            </w:pPr>
          </w:p>
        </w:tc>
        <w:tc>
          <w:tcPr>
            <w:tcW w:w="360" w:type="dxa"/>
            <w:vAlign w:val="bottom"/>
            <w:tcBorders>
              <w:top w:val="single" w:sz="8" w:color="0000EE"/>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280" w:type="dxa"/>
            <w:vAlign w:val="bottom"/>
            <w:tcBorders>
              <w:top w:val="single" w:sz="8" w:color="E4E3E1"/>
              <w:right w:val="single" w:sz="8" w:color="E4E3E1"/>
            </w:tcBorders>
            <w:shd w:val="clear" w:color="auto" w:fill="E4E3E1"/>
          </w:tcPr>
          <w:p>
            <w:pPr>
              <w:spacing w:after="0"/>
              <w:rPr>
                <w:sz w:val="17"/>
                <w:szCs w:val="17"/>
                <w:color w:val="auto"/>
              </w:rPr>
            </w:pPr>
          </w:p>
        </w:tc>
        <w:tc>
          <w:tcPr>
            <w:tcW w:w="140" w:type="dxa"/>
            <w:vAlign w:val="bottom"/>
            <w:tcBorders>
              <w:top w:val="single" w:sz="8" w:color="E4E3E1"/>
            </w:tcBorders>
            <w:shd w:val="clear" w:color="auto" w:fill="E4E3E1"/>
          </w:tcPr>
          <w:p>
            <w:pPr>
              <w:spacing w:after="0"/>
              <w:rPr>
                <w:sz w:val="17"/>
                <w:szCs w:val="17"/>
                <w:color w:val="auto"/>
              </w:rPr>
            </w:pPr>
          </w:p>
        </w:tc>
        <w:tc>
          <w:tcPr>
            <w:tcW w:w="48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360" w:type="dxa"/>
            <w:vAlign w:val="bottom"/>
            <w:tcBorders>
              <w:top w:val="single" w:sz="8" w:color="E4E3E1"/>
            </w:tcBorders>
            <w:shd w:val="clear" w:color="auto" w:fill="E4E3E1"/>
          </w:tcPr>
          <w:p>
            <w:pPr>
              <w:spacing w:after="0"/>
              <w:rPr>
                <w:sz w:val="17"/>
                <w:szCs w:val="17"/>
                <w:color w:val="auto"/>
              </w:rPr>
            </w:pPr>
          </w:p>
        </w:tc>
        <w:tc>
          <w:tcPr>
            <w:tcW w:w="14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180" w:type="dxa"/>
            <w:vAlign w:val="bottom"/>
            <w:tcBorders>
              <w:top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700" w:type="dxa"/>
            <w:vAlign w:val="bottom"/>
            <w:tcBorders>
              <w:top w:val="single" w:sz="8" w:color="E4E3E1"/>
            </w:tcBorders>
            <w:shd w:val="clear" w:color="auto" w:fill="E4E3E1"/>
          </w:tcPr>
          <w:p>
            <w:pPr>
              <w:spacing w:after="0"/>
              <w:rPr>
                <w:sz w:val="17"/>
                <w:szCs w:val="17"/>
                <w:color w:val="auto"/>
              </w:rPr>
            </w:pPr>
          </w:p>
        </w:tc>
        <w:tc>
          <w:tcPr>
            <w:tcW w:w="520" w:type="dxa"/>
            <w:vAlign w:val="bottom"/>
            <w:tcBorders>
              <w:top w:val="single" w:sz="8" w:color="E4E3E1"/>
            </w:tcBorders>
            <w:shd w:val="clear" w:color="auto" w:fill="E4E3E1"/>
          </w:tcPr>
          <w:p>
            <w:pPr>
              <w:spacing w:after="0"/>
              <w:rPr>
                <w:sz w:val="17"/>
                <w:szCs w:val="17"/>
                <w:color w:val="auto"/>
              </w:rPr>
            </w:pPr>
          </w:p>
        </w:tc>
        <w:tc>
          <w:tcPr>
            <w:tcW w:w="340" w:type="dxa"/>
            <w:vAlign w:val="bottom"/>
            <w:tcBorders>
              <w:top w:val="single" w:sz="8" w:color="E4E3E1"/>
            </w:tcBorders>
            <w:shd w:val="clear" w:color="auto" w:fill="E4E3E1"/>
          </w:tcPr>
          <w:p>
            <w:pPr>
              <w:spacing w:after="0"/>
              <w:rPr>
                <w:sz w:val="17"/>
                <w:szCs w:val="17"/>
                <w:color w:val="auto"/>
              </w:rPr>
            </w:pPr>
          </w:p>
        </w:tc>
        <w:tc>
          <w:tcPr>
            <w:tcW w:w="180" w:type="dxa"/>
            <w:vAlign w:val="bottom"/>
            <w:tcBorders>
              <w:top w:val="single" w:sz="8" w:color="E4E3E1"/>
              <w:right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780" w:type="dxa"/>
            <w:vAlign w:val="bottom"/>
            <w:tcBorders>
              <w:top w:val="single" w:sz="8" w:color="E4E3E1"/>
            </w:tcBorders>
            <w:shd w:val="clear" w:color="auto" w:fill="E4E3E1"/>
          </w:tcPr>
          <w:p>
            <w:pPr>
              <w:spacing w:after="0"/>
              <w:rPr>
                <w:sz w:val="17"/>
                <w:szCs w:val="17"/>
                <w:color w:val="auto"/>
              </w:rPr>
            </w:pPr>
          </w:p>
        </w:tc>
        <w:tc>
          <w:tcPr>
            <w:tcW w:w="460" w:type="dxa"/>
            <w:vAlign w:val="bottom"/>
            <w:tcBorders>
              <w:top w:val="single" w:sz="8" w:color="C1D72E"/>
            </w:tcBorders>
            <w:shd w:val="clear" w:color="auto" w:fill="C1D72E"/>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2940" w:type="dxa"/>
            <w:vAlign w:val="bottom"/>
            <w:shd w:val="clear" w:color="auto" w:fill="E4E3E1"/>
          </w:tcPr>
          <w:p>
            <w:pPr>
              <w:spacing w:after="0"/>
              <w:rPr>
                <w:sz w:val="24"/>
                <w:szCs w:val="24"/>
                <w:color w:val="auto"/>
              </w:rPr>
            </w:pPr>
          </w:p>
        </w:tc>
        <w:tc>
          <w:tcPr>
            <w:tcW w:w="420" w:type="dxa"/>
            <w:vAlign w:val="bottom"/>
            <w:shd w:val="clear" w:color="auto" w:fill="E4E3E1"/>
          </w:tcPr>
          <w:p>
            <w:pPr>
              <w:spacing w:after="0"/>
              <w:rPr>
                <w:sz w:val="24"/>
                <w:szCs w:val="24"/>
                <w:color w:val="auto"/>
              </w:rPr>
            </w:pPr>
          </w:p>
        </w:tc>
        <w:tc>
          <w:tcPr>
            <w:tcW w:w="80" w:type="dxa"/>
            <w:vAlign w:val="bottom"/>
            <w:tcBorders>
              <w:left w:val="single" w:sz="8" w:color="E4E3E1"/>
            </w:tcBorders>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240" w:type="dxa"/>
            <w:vAlign w:val="bottom"/>
            <w:shd w:val="clear" w:color="auto" w:fill="E4E3E1"/>
          </w:tcPr>
          <w:p>
            <w:pPr>
              <w:spacing w:after="0"/>
              <w:rPr>
                <w:sz w:val="24"/>
                <w:szCs w:val="24"/>
                <w:color w:val="auto"/>
              </w:rPr>
            </w:pPr>
          </w:p>
        </w:tc>
        <w:tc>
          <w:tcPr>
            <w:tcW w:w="660" w:type="dxa"/>
            <w:vAlign w:val="bottom"/>
            <w:tcBorders>
              <w:right w:val="single" w:sz="8" w:color="E4E3E1"/>
            </w:tcBorders>
            <w:shd w:val="clear" w:color="auto" w:fill="E4E3E1"/>
          </w:tcPr>
          <w:p>
            <w:pPr>
              <w:spacing w:after="0"/>
              <w:rPr>
                <w:sz w:val="24"/>
                <w:szCs w:val="24"/>
                <w:color w:val="auto"/>
              </w:rPr>
            </w:pPr>
          </w:p>
        </w:tc>
        <w:tc>
          <w:tcPr>
            <w:tcW w:w="100" w:type="dxa"/>
            <w:vAlign w:val="bottom"/>
            <w:tcBorders>
              <w:right w:val="single" w:sz="8" w:color="E4E3E1"/>
            </w:tcBorders>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380" w:type="dxa"/>
            <w:vAlign w:val="bottom"/>
            <w:shd w:val="clear" w:color="auto" w:fill="E4E3E1"/>
          </w:tcPr>
          <w:p>
            <w:pPr>
              <w:spacing w:after="0"/>
              <w:rPr>
                <w:sz w:val="24"/>
                <w:szCs w:val="24"/>
                <w:color w:val="auto"/>
              </w:rPr>
            </w:pPr>
          </w:p>
        </w:tc>
        <w:tc>
          <w:tcPr>
            <w:tcW w:w="340" w:type="dxa"/>
            <w:vAlign w:val="bottom"/>
            <w:tcBorders>
              <w:right w:val="single" w:sz="8" w:color="E4E3E1"/>
            </w:tcBorders>
            <w:shd w:val="clear" w:color="auto" w:fill="E4E3E1"/>
          </w:tcPr>
          <w:p>
            <w:pPr>
              <w:spacing w:after="0"/>
              <w:rPr>
                <w:sz w:val="24"/>
                <w:szCs w:val="24"/>
                <w:color w:val="auto"/>
              </w:rPr>
            </w:pPr>
          </w:p>
        </w:tc>
        <w:tc>
          <w:tcPr>
            <w:tcW w:w="360" w:type="dxa"/>
            <w:vAlign w:val="bottom"/>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280" w:type="dxa"/>
            <w:vAlign w:val="bottom"/>
            <w:tcBorders>
              <w:right w:val="single" w:sz="8" w:color="E4E3E1"/>
            </w:tcBorders>
            <w:shd w:val="clear" w:color="auto" w:fill="E4E3E1"/>
          </w:tcPr>
          <w:p>
            <w:pPr>
              <w:spacing w:after="0"/>
              <w:rPr>
                <w:sz w:val="24"/>
                <w:szCs w:val="24"/>
                <w:color w:val="auto"/>
              </w:rPr>
            </w:pPr>
          </w:p>
        </w:tc>
        <w:tc>
          <w:tcPr>
            <w:tcW w:w="140" w:type="dxa"/>
            <w:vAlign w:val="bottom"/>
            <w:shd w:val="clear" w:color="auto" w:fill="E4E3E1"/>
          </w:tcPr>
          <w:p>
            <w:pPr>
              <w:spacing w:after="0"/>
              <w:rPr>
                <w:sz w:val="24"/>
                <w:szCs w:val="24"/>
                <w:color w:val="auto"/>
              </w:rPr>
            </w:pPr>
          </w:p>
        </w:tc>
        <w:tc>
          <w:tcPr>
            <w:tcW w:w="48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240" w:type="dxa"/>
            <w:vAlign w:val="bottom"/>
            <w:shd w:val="clear" w:color="auto" w:fill="E4E3E1"/>
          </w:tcPr>
          <w:p>
            <w:pPr>
              <w:spacing w:after="0"/>
              <w:rPr>
                <w:sz w:val="24"/>
                <w:szCs w:val="24"/>
                <w:color w:val="auto"/>
              </w:rPr>
            </w:pPr>
          </w:p>
        </w:tc>
        <w:tc>
          <w:tcPr>
            <w:tcW w:w="360" w:type="dxa"/>
            <w:vAlign w:val="bottom"/>
            <w:shd w:val="clear" w:color="auto" w:fill="E4E3E1"/>
          </w:tcPr>
          <w:p>
            <w:pPr>
              <w:spacing w:after="0"/>
              <w:rPr>
                <w:sz w:val="24"/>
                <w:szCs w:val="24"/>
                <w:color w:val="auto"/>
              </w:rPr>
            </w:pPr>
          </w:p>
        </w:tc>
        <w:tc>
          <w:tcPr>
            <w:tcW w:w="14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18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00" w:type="dxa"/>
            <w:vAlign w:val="bottom"/>
            <w:shd w:val="clear" w:color="auto" w:fill="E4E3E1"/>
          </w:tcPr>
          <w:p>
            <w:pPr>
              <w:spacing w:after="0"/>
              <w:rPr>
                <w:sz w:val="24"/>
                <w:szCs w:val="24"/>
                <w:color w:val="auto"/>
              </w:rPr>
            </w:pPr>
          </w:p>
        </w:tc>
        <w:tc>
          <w:tcPr>
            <w:tcW w:w="520" w:type="dxa"/>
            <w:vAlign w:val="bottom"/>
            <w:shd w:val="clear" w:color="auto" w:fill="E4E3E1"/>
          </w:tcPr>
          <w:p>
            <w:pPr>
              <w:spacing w:after="0"/>
              <w:rPr>
                <w:sz w:val="24"/>
                <w:szCs w:val="24"/>
                <w:color w:val="auto"/>
              </w:rPr>
            </w:pPr>
          </w:p>
        </w:tc>
        <w:tc>
          <w:tcPr>
            <w:tcW w:w="340" w:type="dxa"/>
            <w:vAlign w:val="bottom"/>
            <w:shd w:val="clear" w:color="auto" w:fill="E4E3E1"/>
          </w:tcPr>
          <w:p>
            <w:pPr>
              <w:spacing w:after="0"/>
              <w:rPr>
                <w:sz w:val="24"/>
                <w:szCs w:val="24"/>
                <w:color w:val="auto"/>
              </w:rPr>
            </w:pPr>
          </w:p>
        </w:tc>
        <w:tc>
          <w:tcPr>
            <w:tcW w:w="180" w:type="dxa"/>
            <w:vAlign w:val="bottom"/>
            <w:tcBorders>
              <w:right w:val="single" w:sz="8" w:color="E4E3E1"/>
            </w:tcBorders>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80" w:type="dxa"/>
            <w:vAlign w:val="bottom"/>
            <w:shd w:val="clear" w:color="auto" w:fill="E4E3E1"/>
          </w:tcPr>
          <w:p>
            <w:pPr>
              <w:spacing w:after="0"/>
              <w:rPr>
                <w:sz w:val="24"/>
                <w:szCs w:val="24"/>
                <w:color w:val="auto"/>
              </w:rPr>
            </w:pPr>
          </w:p>
        </w:tc>
        <w:tc>
          <w:tcPr>
            <w:tcW w:w="460" w:type="dxa"/>
            <w:vAlign w:val="bottom"/>
            <w:shd w:val="clear" w:color="auto" w:fill="C1D72E"/>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E4E3E1"/>
          </w:tcPr>
          <w:p>
            <w:pPr>
              <w:ind w:left="200"/>
              <w:spacing w:after="0"/>
              <w:rPr>
                <w:sz w:val="20"/>
                <w:szCs w:val="20"/>
                <w:color w:val="auto"/>
              </w:rPr>
            </w:pPr>
            <w:r>
              <w:rPr>
                <w:rFonts w:ascii="Arial" w:cs="Arial" w:eastAsia="Arial" w:hAnsi="Arial"/>
                <w:sz w:val="16"/>
                <w:szCs w:val="16"/>
                <w:b w:val="1"/>
                <w:bCs w:val="1"/>
                <w:color w:val="auto"/>
              </w:rPr>
              <w:t>REPORTS OF THE</w:t>
            </w:r>
          </w:p>
        </w:tc>
        <w:tc>
          <w:tcPr>
            <w:tcW w:w="660" w:type="dxa"/>
            <w:vAlign w:val="bottom"/>
            <w:gridSpan w:val="4"/>
            <w:shd w:val="clear" w:color="auto" w:fill="E4E3E1"/>
          </w:tcPr>
          <w:p>
            <w:pPr>
              <w:ind w:left="420"/>
              <w:spacing w:after="0"/>
              <w:rPr>
                <w:rFonts w:ascii="Arial" w:cs="Arial" w:eastAsia="Arial" w:hAnsi="Arial"/>
                <w:sz w:val="14"/>
                <w:szCs w:val="14"/>
                <w:b w:val="1"/>
                <w:bCs w:val="1"/>
                <w:color w:val="0000EE"/>
                <w:w w:val="93"/>
              </w:rPr>
            </w:pPr>
            <w:hyperlink w:anchor="page116">
              <w:r>
                <w:rPr>
                  <w:rFonts w:ascii="Arial" w:cs="Arial" w:eastAsia="Arial" w:hAnsi="Arial"/>
                  <w:sz w:val="14"/>
                  <w:szCs w:val="14"/>
                  <w:b w:val="1"/>
                  <w:bCs w:val="1"/>
                  <w:color w:val="0000EE"/>
                  <w:w w:val="93"/>
                </w:rPr>
                <w:t>110</w:t>
              </w:r>
            </w:hyperlink>
          </w:p>
        </w:tc>
        <w:tc>
          <w:tcPr>
            <w:tcW w:w="100" w:type="dxa"/>
            <w:vAlign w:val="bottom"/>
            <w:shd w:val="clear" w:color="auto" w:fill="E4E3E1"/>
          </w:tcPr>
          <w:p>
            <w:pPr>
              <w:spacing w:after="0"/>
              <w:rPr>
                <w:sz w:val="17"/>
                <w:szCs w:val="17"/>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16">
              <w:r>
                <w:rPr>
                  <w:rFonts w:ascii="Arial" w:cs="Arial" w:eastAsia="Arial" w:hAnsi="Arial"/>
                  <w:sz w:val="14"/>
                  <w:szCs w:val="14"/>
                  <w:color w:val="0000EE"/>
                </w:rPr>
                <w:t>Reports of the Independent Auditors</w:t>
              </w:r>
            </w:hyperlink>
          </w:p>
        </w:tc>
        <w:tc>
          <w:tcPr>
            <w:tcW w:w="10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18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00" w:type="dxa"/>
            <w:vAlign w:val="bottom"/>
            <w:shd w:val="clear" w:color="auto" w:fill="E4E3E1"/>
          </w:tcPr>
          <w:p>
            <w:pPr>
              <w:spacing w:after="0"/>
              <w:rPr>
                <w:sz w:val="17"/>
                <w:szCs w:val="17"/>
                <w:color w:val="auto"/>
              </w:rPr>
            </w:pPr>
          </w:p>
        </w:tc>
        <w:tc>
          <w:tcPr>
            <w:tcW w:w="520" w:type="dxa"/>
            <w:vAlign w:val="bottom"/>
            <w:shd w:val="clear" w:color="auto" w:fill="E4E3E1"/>
          </w:tcPr>
          <w:p>
            <w:pPr>
              <w:spacing w:after="0"/>
              <w:rPr>
                <w:sz w:val="17"/>
                <w:szCs w:val="17"/>
                <w:color w:val="auto"/>
              </w:rPr>
            </w:pPr>
          </w:p>
        </w:tc>
        <w:tc>
          <w:tcPr>
            <w:tcW w:w="340" w:type="dxa"/>
            <w:vAlign w:val="bottom"/>
            <w:shd w:val="clear" w:color="auto" w:fill="E4E3E1"/>
          </w:tcPr>
          <w:p>
            <w:pPr>
              <w:spacing w:after="0"/>
              <w:rPr>
                <w:sz w:val="17"/>
                <w:szCs w:val="17"/>
                <w:color w:val="auto"/>
              </w:rPr>
            </w:pPr>
          </w:p>
        </w:tc>
        <w:tc>
          <w:tcPr>
            <w:tcW w:w="180" w:type="dxa"/>
            <w:vAlign w:val="bottom"/>
            <w:tcBorders>
              <w:right w:val="single" w:sz="8" w:color="E4E3E1"/>
            </w:tcBorders>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80" w:type="dxa"/>
            <w:vAlign w:val="bottom"/>
            <w:shd w:val="clear" w:color="auto" w:fill="E4E3E1"/>
          </w:tcPr>
          <w:p>
            <w:pPr>
              <w:spacing w:after="0"/>
              <w:rPr>
                <w:sz w:val="17"/>
                <w:szCs w:val="17"/>
                <w:color w:val="auto"/>
              </w:rPr>
            </w:pPr>
          </w:p>
        </w:tc>
        <w:tc>
          <w:tcPr>
            <w:tcW w:w="460" w:type="dxa"/>
            <w:vAlign w:val="bottom"/>
            <w:shd w:val="clear" w:color="auto" w:fill="7DD0E0"/>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Borders>
              <w:top w:val="single" w:sz="8" w:color="E4E3E1"/>
            </w:tcBorders>
            <w:shd w:val="clear" w:color="auto" w:fill="E4E3E1"/>
          </w:tcPr>
          <w:p>
            <w:pPr>
              <w:ind w:left="200"/>
              <w:spacing w:after="0"/>
              <w:rPr>
                <w:sz w:val="20"/>
                <w:szCs w:val="20"/>
                <w:color w:val="auto"/>
              </w:rPr>
            </w:pPr>
            <w:r>
              <w:rPr>
                <w:rFonts w:ascii="Arial" w:cs="Arial" w:eastAsia="Arial" w:hAnsi="Arial"/>
                <w:sz w:val="16"/>
                <w:szCs w:val="16"/>
                <w:b w:val="1"/>
                <w:bCs w:val="1"/>
                <w:color w:val="auto"/>
              </w:rPr>
              <w:t>INDEPENDENT AUDITORS</w:t>
            </w:r>
          </w:p>
        </w:tc>
        <w:tc>
          <w:tcPr>
            <w:tcW w:w="420" w:type="dxa"/>
            <w:vAlign w:val="bottom"/>
            <w:tcBorders>
              <w:top w:val="single" w:sz="8" w:color="E4E3E1"/>
            </w:tcBorders>
            <w:shd w:val="clear" w:color="auto" w:fill="E4E3E1"/>
          </w:tcPr>
          <w:p>
            <w:pPr>
              <w:spacing w:after="0"/>
              <w:rPr>
                <w:sz w:val="17"/>
                <w:szCs w:val="17"/>
                <w:color w:val="auto"/>
              </w:rPr>
            </w:pPr>
          </w:p>
        </w:tc>
        <w:tc>
          <w:tcPr>
            <w:tcW w:w="80" w:type="dxa"/>
            <w:vAlign w:val="bottom"/>
            <w:tcBorders>
              <w:top w:val="single" w:sz="8" w:color="0000EE"/>
              <w:left w:val="single" w:sz="8" w:color="E4E3E1"/>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660" w:type="dxa"/>
            <w:vAlign w:val="bottom"/>
            <w:tcBorders>
              <w:top w:val="single" w:sz="8" w:color="0000EE"/>
              <w:right w:val="single" w:sz="8" w:color="E4E3E1"/>
            </w:tcBorders>
            <w:shd w:val="clear" w:color="auto" w:fill="E4E3E1"/>
          </w:tcPr>
          <w:p>
            <w:pPr>
              <w:spacing w:after="0"/>
              <w:rPr>
                <w:sz w:val="17"/>
                <w:szCs w:val="17"/>
                <w:color w:val="auto"/>
              </w:rPr>
            </w:pPr>
          </w:p>
        </w:tc>
        <w:tc>
          <w:tcPr>
            <w:tcW w:w="100" w:type="dxa"/>
            <w:vAlign w:val="bottom"/>
            <w:tcBorders>
              <w:top w:val="single" w:sz="8" w:color="0000EE"/>
              <w:right w:val="single" w:sz="8" w:color="E4E3E1"/>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380" w:type="dxa"/>
            <w:vAlign w:val="bottom"/>
            <w:tcBorders>
              <w:top w:val="single" w:sz="8" w:color="0000EE"/>
            </w:tcBorders>
            <w:shd w:val="clear" w:color="auto" w:fill="E4E3E1"/>
          </w:tcPr>
          <w:p>
            <w:pPr>
              <w:spacing w:after="0"/>
              <w:rPr>
                <w:sz w:val="17"/>
                <w:szCs w:val="17"/>
                <w:color w:val="auto"/>
              </w:rPr>
            </w:pPr>
          </w:p>
        </w:tc>
        <w:tc>
          <w:tcPr>
            <w:tcW w:w="340" w:type="dxa"/>
            <w:vAlign w:val="bottom"/>
            <w:tcBorders>
              <w:top w:val="single" w:sz="8" w:color="0000EE"/>
              <w:right w:val="single" w:sz="8" w:color="E4E3E1"/>
            </w:tcBorders>
            <w:shd w:val="clear" w:color="auto" w:fill="E4E3E1"/>
          </w:tcPr>
          <w:p>
            <w:pPr>
              <w:spacing w:after="0"/>
              <w:rPr>
                <w:sz w:val="17"/>
                <w:szCs w:val="17"/>
                <w:color w:val="auto"/>
              </w:rPr>
            </w:pPr>
          </w:p>
        </w:tc>
        <w:tc>
          <w:tcPr>
            <w:tcW w:w="360" w:type="dxa"/>
            <w:vAlign w:val="bottom"/>
            <w:tcBorders>
              <w:top w:val="single" w:sz="8" w:color="0000EE"/>
            </w:tcBorders>
            <w:shd w:val="clear" w:color="auto" w:fill="E4E3E1"/>
          </w:tcPr>
          <w:p>
            <w:pPr>
              <w:spacing w:after="0"/>
              <w:rPr>
                <w:sz w:val="17"/>
                <w:szCs w:val="17"/>
                <w:color w:val="auto"/>
              </w:rPr>
            </w:pPr>
          </w:p>
        </w:tc>
        <w:tc>
          <w:tcPr>
            <w:tcW w:w="80" w:type="dxa"/>
            <w:vAlign w:val="bottom"/>
            <w:tcBorders>
              <w:top w:val="single" w:sz="8" w:color="0000EE"/>
            </w:tcBorders>
            <w:shd w:val="clear" w:color="auto" w:fill="E4E3E1"/>
          </w:tcPr>
          <w:p>
            <w:pPr>
              <w:spacing w:after="0"/>
              <w:rPr>
                <w:sz w:val="17"/>
                <w:szCs w:val="17"/>
                <w:color w:val="auto"/>
              </w:rPr>
            </w:pPr>
          </w:p>
        </w:tc>
        <w:tc>
          <w:tcPr>
            <w:tcW w:w="280" w:type="dxa"/>
            <w:vAlign w:val="bottom"/>
            <w:tcBorders>
              <w:top w:val="single" w:sz="8" w:color="0000EE"/>
              <w:right w:val="single" w:sz="8" w:color="E4E3E1"/>
            </w:tcBorders>
            <w:shd w:val="clear" w:color="auto" w:fill="E4E3E1"/>
          </w:tcPr>
          <w:p>
            <w:pPr>
              <w:spacing w:after="0"/>
              <w:rPr>
                <w:sz w:val="17"/>
                <w:szCs w:val="17"/>
                <w:color w:val="auto"/>
              </w:rPr>
            </w:pPr>
          </w:p>
        </w:tc>
        <w:tc>
          <w:tcPr>
            <w:tcW w:w="140" w:type="dxa"/>
            <w:vAlign w:val="bottom"/>
            <w:tcBorders>
              <w:top w:val="single" w:sz="8" w:color="E4E3E1"/>
            </w:tcBorders>
            <w:shd w:val="clear" w:color="auto" w:fill="E4E3E1"/>
          </w:tcPr>
          <w:p>
            <w:pPr>
              <w:spacing w:after="0"/>
              <w:rPr>
                <w:sz w:val="17"/>
                <w:szCs w:val="17"/>
                <w:color w:val="auto"/>
              </w:rPr>
            </w:pPr>
          </w:p>
        </w:tc>
        <w:tc>
          <w:tcPr>
            <w:tcW w:w="48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360" w:type="dxa"/>
            <w:vAlign w:val="bottom"/>
            <w:tcBorders>
              <w:top w:val="single" w:sz="8" w:color="E4E3E1"/>
            </w:tcBorders>
            <w:shd w:val="clear" w:color="auto" w:fill="E4E3E1"/>
          </w:tcPr>
          <w:p>
            <w:pPr>
              <w:spacing w:after="0"/>
              <w:rPr>
                <w:sz w:val="17"/>
                <w:szCs w:val="17"/>
                <w:color w:val="auto"/>
              </w:rPr>
            </w:pPr>
          </w:p>
        </w:tc>
        <w:tc>
          <w:tcPr>
            <w:tcW w:w="14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180" w:type="dxa"/>
            <w:vAlign w:val="bottom"/>
            <w:tcBorders>
              <w:top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700" w:type="dxa"/>
            <w:vAlign w:val="bottom"/>
            <w:tcBorders>
              <w:top w:val="single" w:sz="8" w:color="E4E3E1"/>
            </w:tcBorders>
            <w:shd w:val="clear" w:color="auto" w:fill="E4E3E1"/>
          </w:tcPr>
          <w:p>
            <w:pPr>
              <w:spacing w:after="0"/>
              <w:rPr>
                <w:sz w:val="17"/>
                <w:szCs w:val="17"/>
                <w:color w:val="auto"/>
              </w:rPr>
            </w:pPr>
          </w:p>
        </w:tc>
        <w:tc>
          <w:tcPr>
            <w:tcW w:w="520" w:type="dxa"/>
            <w:vAlign w:val="bottom"/>
            <w:tcBorders>
              <w:top w:val="single" w:sz="8" w:color="E4E3E1"/>
            </w:tcBorders>
            <w:shd w:val="clear" w:color="auto" w:fill="E4E3E1"/>
          </w:tcPr>
          <w:p>
            <w:pPr>
              <w:spacing w:after="0"/>
              <w:rPr>
                <w:sz w:val="17"/>
                <w:szCs w:val="17"/>
                <w:color w:val="auto"/>
              </w:rPr>
            </w:pPr>
          </w:p>
        </w:tc>
        <w:tc>
          <w:tcPr>
            <w:tcW w:w="340" w:type="dxa"/>
            <w:vAlign w:val="bottom"/>
            <w:tcBorders>
              <w:top w:val="single" w:sz="8" w:color="E4E3E1"/>
            </w:tcBorders>
            <w:shd w:val="clear" w:color="auto" w:fill="E4E3E1"/>
          </w:tcPr>
          <w:p>
            <w:pPr>
              <w:spacing w:after="0"/>
              <w:rPr>
                <w:sz w:val="17"/>
                <w:szCs w:val="17"/>
                <w:color w:val="auto"/>
              </w:rPr>
            </w:pPr>
          </w:p>
        </w:tc>
        <w:tc>
          <w:tcPr>
            <w:tcW w:w="180" w:type="dxa"/>
            <w:vAlign w:val="bottom"/>
            <w:tcBorders>
              <w:top w:val="single" w:sz="8" w:color="E4E3E1"/>
              <w:right w:val="single" w:sz="8" w:color="E4E3E1"/>
            </w:tcBorders>
            <w:shd w:val="clear" w:color="auto" w:fill="E4E3E1"/>
          </w:tcPr>
          <w:p>
            <w:pPr>
              <w:spacing w:after="0"/>
              <w:rPr>
                <w:sz w:val="17"/>
                <w:szCs w:val="17"/>
                <w:color w:val="auto"/>
              </w:rPr>
            </w:pPr>
          </w:p>
        </w:tc>
        <w:tc>
          <w:tcPr>
            <w:tcW w:w="160" w:type="dxa"/>
            <w:vAlign w:val="bottom"/>
            <w:tcBorders>
              <w:top w:val="single" w:sz="8" w:color="E4E3E1"/>
            </w:tcBorders>
            <w:shd w:val="clear" w:color="auto" w:fill="E4E3E1"/>
          </w:tcPr>
          <w:p>
            <w:pPr>
              <w:spacing w:after="0"/>
              <w:rPr>
                <w:sz w:val="17"/>
                <w:szCs w:val="17"/>
                <w:color w:val="auto"/>
              </w:rPr>
            </w:pPr>
          </w:p>
        </w:tc>
        <w:tc>
          <w:tcPr>
            <w:tcW w:w="780" w:type="dxa"/>
            <w:vAlign w:val="bottom"/>
            <w:tcBorders>
              <w:top w:val="single" w:sz="8" w:color="E4E3E1"/>
            </w:tcBorders>
            <w:shd w:val="clear" w:color="auto" w:fill="E4E3E1"/>
          </w:tcPr>
          <w:p>
            <w:pPr>
              <w:spacing w:after="0"/>
              <w:rPr>
                <w:sz w:val="17"/>
                <w:szCs w:val="17"/>
                <w:color w:val="auto"/>
              </w:rPr>
            </w:pPr>
          </w:p>
        </w:tc>
        <w:tc>
          <w:tcPr>
            <w:tcW w:w="460" w:type="dxa"/>
            <w:vAlign w:val="bottom"/>
            <w:tcBorders>
              <w:top w:val="single" w:sz="8" w:color="7DD0E0"/>
            </w:tcBorders>
            <w:shd w:val="clear" w:color="auto" w:fill="7DD0E0"/>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2940" w:type="dxa"/>
            <w:vAlign w:val="bottom"/>
            <w:shd w:val="clear" w:color="auto" w:fill="E4E3E1"/>
          </w:tcPr>
          <w:p>
            <w:pPr>
              <w:ind w:left="200"/>
              <w:spacing w:after="0"/>
              <w:rPr>
                <w:sz w:val="20"/>
                <w:szCs w:val="20"/>
                <w:color w:val="auto"/>
              </w:rPr>
            </w:pPr>
            <w:r>
              <w:rPr>
                <w:rFonts w:ascii="Arial" w:cs="Arial" w:eastAsia="Arial" w:hAnsi="Arial"/>
                <w:sz w:val="16"/>
                <w:szCs w:val="16"/>
                <w:b w:val="1"/>
                <w:bCs w:val="1"/>
                <w:color w:val="auto"/>
              </w:rPr>
              <w:t>CONSOLIDATED</w:t>
            </w:r>
          </w:p>
        </w:tc>
        <w:tc>
          <w:tcPr>
            <w:tcW w:w="420" w:type="dxa"/>
            <w:vAlign w:val="bottom"/>
            <w:shd w:val="clear" w:color="auto" w:fill="E4E3E1"/>
          </w:tcPr>
          <w:p>
            <w:pPr>
              <w:spacing w:after="0"/>
              <w:rPr>
                <w:sz w:val="24"/>
                <w:szCs w:val="24"/>
                <w:color w:val="auto"/>
              </w:rPr>
            </w:pPr>
          </w:p>
        </w:tc>
        <w:tc>
          <w:tcPr>
            <w:tcW w:w="240" w:type="dxa"/>
            <w:vAlign w:val="bottom"/>
            <w:tcBorders>
              <w:left w:val="single" w:sz="8" w:color="E4E3E1"/>
            </w:tcBorders>
            <w:gridSpan w:val="3"/>
            <w:shd w:val="clear" w:color="auto" w:fill="E4E3E1"/>
          </w:tcPr>
          <w:p>
            <w:pPr>
              <w:spacing w:after="0"/>
              <w:rPr>
                <w:rFonts w:ascii="Arial" w:cs="Arial" w:eastAsia="Arial" w:hAnsi="Arial"/>
                <w:sz w:val="14"/>
                <w:szCs w:val="14"/>
                <w:b w:val="1"/>
                <w:bCs w:val="1"/>
                <w:color w:val="0000EE"/>
                <w:w w:val="93"/>
              </w:rPr>
            </w:pPr>
            <w:hyperlink w:anchor="page118">
              <w:r>
                <w:rPr>
                  <w:rFonts w:ascii="Arial" w:cs="Arial" w:eastAsia="Arial" w:hAnsi="Arial"/>
                  <w:sz w:val="14"/>
                  <w:szCs w:val="14"/>
                  <w:b w:val="1"/>
                  <w:bCs w:val="1"/>
                  <w:color w:val="0000EE"/>
                  <w:w w:val="93"/>
                </w:rPr>
                <w:t>112</w:t>
              </w:r>
            </w:hyperlink>
          </w:p>
        </w:tc>
        <w:tc>
          <w:tcPr>
            <w:tcW w:w="100" w:type="dxa"/>
            <w:vAlign w:val="bottom"/>
            <w:shd w:val="clear" w:color="auto" w:fill="E4E3E1"/>
          </w:tcPr>
          <w:p>
            <w:pPr>
              <w:spacing w:after="0"/>
              <w:rPr>
                <w:sz w:val="24"/>
                <w:szCs w:val="2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18">
              <w:r>
                <w:rPr>
                  <w:rFonts w:ascii="Arial" w:cs="Arial" w:eastAsia="Arial" w:hAnsi="Arial"/>
                  <w:sz w:val="14"/>
                  <w:szCs w:val="14"/>
                  <w:color w:val="0000EE"/>
                </w:rPr>
                <w:t>Consolidated Financial Statements</w:t>
              </w:r>
            </w:hyperlink>
          </w:p>
        </w:tc>
        <w:tc>
          <w:tcPr>
            <w:tcW w:w="10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180" w:type="dxa"/>
            <w:vAlign w:val="bottom"/>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00" w:type="dxa"/>
            <w:vAlign w:val="bottom"/>
            <w:shd w:val="clear" w:color="auto" w:fill="E4E3E1"/>
          </w:tcPr>
          <w:p>
            <w:pPr>
              <w:spacing w:after="0"/>
              <w:rPr>
                <w:sz w:val="24"/>
                <w:szCs w:val="24"/>
                <w:color w:val="auto"/>
              </w:rPr>
            </w:pPr>
          </w:p>
        </w:tc>
        <w:tc>
          <w:tcPr>
            <w:tcW w:w="520" w:type="dxa"/>
            <w:vAlign w:val="bottom"/>
            <w:shd w:val="clear" w:color="auto" w:fill="E4E3E1"/>
          </w:tcPr>
          <w:p>
            <w:pPr>
              <w:spacing w:after="0"/>
              <w:rPr>
                <w:sz w:val="24"/>
                <w:szCs w:val="24"/>
                <w:color w:val="auto"/>
              </w:rPr>
            </w:pPr>
          </w:p>
        </w:tc>
        <w:tc>
          <w:tcPr>
            <w:tcW w:w="340" w:type="dxa"/>
            <w:vAlign w:val="bottom"/>
            <w:shd w:val="clear" w:color="auto" w:fill="E4E3E1"/>
          </w:tcPr>
          <w:p>
            <w:pPr>
              <w:spacing w:after="0"/>
              <w:rPr>
                <w:sz w:val="24"/>
                <w:szCs w:val="24"/>
                <w:color w:val="auto"/>
              </w:rPr>
            </w:pPr>
          </w:p>
        </w:tc>
        <w:tc>
          <w:tcPr>
            <w:tcW w:w="180" w:type="dxa"/>
            <w:vAlign w:val="bottom"/>
            <w:tcBorders>
              <w:right w:val="single" w:sz="8" w:color="E4E3E1"/>
            </w:tcBorders>
            <w:shd w:val="clear" w:color="auto" w:fill="E4E3E1"/>
          </w:tcPr>
          <w:p>
            <w:pPr>
              <w:spacing w:after="0"/>
              <w:rPr>
                <w:sz w:val="24"/>
                <w:szCs w:val="24"/>
                <w:color w:val="auto"/>
              </w:rPr>
            </w:pPr>
          </w:p>
        </w:tc>
        <w:tc>
          <w:tcPr>
            <w:tcW w:w="160" w:type="dxa"/>
            <w:vAlign w:val="bottom"/>
            <w:shd w:val="clear" w:color="auto" w:fill="E4E3E1"/>
          </w:tcPr>
          <w:p>
            <w:pPr>
              <w:spacing w:after="0"/>
              <w:rPr>
                <w:sz w:val="24"/>
                <w:szCs w:val="24"/>
                <w:color w:val="auto"/>
              </w:rPr>
            </w:pPr>
          </w:p>
        </w:tc>
        <w:tc>
          <w:tcPr>
            <w:tcW w:w="780" w:type="dxa"/>
            <w:vAlign w:val="bottom"/>
            <w:shd w:val="clear" w:color="auto" w:fill="E4E3E1"/>
          </w:tcPr>
          <w:p>
            <w:pPr>
              <w:spacing w:after="0"/>
              <w:rPr>
                <w:sz w:val="24"/>
                <w:szCs w:val="24"/>
                <w:color w:val="auto"/>
              </w:rPr>
            </w:pPr>
          </w:p>
        </w:tc>
        <w:tc>
          <w:tcPr>
            <w:tcW w:w="460" w:type="dxa"/>
            <w:vAlign w:val="bottom"/>
            <w:shd w:val="clear" w:color="auto" w:fill="7DD0E0"/>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line="167" w:lineRule="exact"/>
              <w:rPr>
                <w:sz w:val="20"/>
                <w:szCs w:val="20"/>
                <w:color w:val="auto"/>
              </w:rPr>
            </w:pPr>
            <w:r>
              <w:rPr>
                <w:rFonts w:ascii="Arial" w:cs="Arial" w:eastAsia="Arial" w:hAnsi="Arial"/>
                <w:sz w:val="16"/>
                <w:szCs w:val="16"/>
                <w:b w:val="1"/>
                <w:bCs w:val="1"/>
                <w:color w:val="auto"/>
              </w:rPr>
              <w:t>FINANCIAL STATEMENTS</w:t>
            </w:r>
          </w:p>
        </w:tc>
        <w:tc>
          <w:tcPr>
            <w:tcW w:w="420" w:type="dxa"/>
            <w:vAlign w:val="bottom"/>
            <w:shd w:val="clear" w:color="auto" w:fill="E4E3E1"/>
          </w:tcPr>
          <w:p>
            <w:pPr>
              <w:spacing w:after="0" w:line="20" w:lineRule="exact"/>
              <w:rPr>
                <w:sz w:val="1"/>
                <w:szCs w:val="1"/>
                <w:color w:val="auto"/>
              </w:rPr>
            </w:pPr>
          </w:p>
        </w:tc>
        <w:tc>
          <w:tcPr>
            <w:tcW w:w="240" w:type="dxa"/>
            <w:vAlign w:val="bottom"/>
            <w:tcBorders>
              <w:left w:val="single" w:sz="8" w:color="E4E3E1"/>
            </w:tcBorders>
            <w:gridSpan w:val="3"/>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E4E3E1"/>
            </w:tcBorders>
            <w:shd w:val="clear" w:color="auto" w:fill="0000EE"/>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7DD0E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vMerge w:val="continue"/>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240" w:type="dxa"/>
            <w:vAlign w:val="bottom"/>
            <w:tcBorders>
              <w:left w:val="single" w:sz="8" w:color="E4E3E1"/>
            </w:tcBorders>
            <w:gridSpan w:val="3"/>
            <w:shd w:val="clear" w:color="auto" w:fill="E4E3E1"/>
          </w:tcPr>
          <w:p>
            <w:pPr>
              <w:spacing w:after="0" w:line="153" w:lineRule="exact"/>
              <w:rPr>
                <w:rFonts w:ascii="Arial" w:cs="Arial" w:eastAsia="Arial" w:hAnsi="Arial"/>
                <w:sz w:val="14"/>
                <w:szCs w:val="14"/>
                <w:b w:val="1"/>
                <w:bCs w:val="1"/>
                <w:color w:val="0000EE"/>
                <w:w w:val="93"/>
              </w:rPr>
            </w:pPr>
            <w:hyperlink w:anchor="page123">
              <w:r>
                <w:rPr>
                  <w:rFonts w:ascii="Arial" w:cs="Arial" w:eastAsia="Arial" w:hAnsi="Arial"/>
                  <w:sz w:val="14"/>
                  <w:szCs w:val="14"/>
                  <w:b w:val="1"/>
                  <w:bCs w:val="1"/>
                  <w:color w:val="0000EE"/>
                  <w:w w:val="93"/>
                </w:rPr>
                <w:t>117</w:t>
              </w:r>
            </w:hyperlink>
          </w:p>
        </w:tc>
        <w:tc>
          <w:tcPr>
            <w:tcW w:w="100" w:type="dxa"/>
            <w:vAlign w:val="bottom"/>
            <w:shd w:val="clear" w:color="auto" w:fill="E4E3E1"/>
          </w:tcPr>
          <w:p>
            <w:pPr>
              <w:spacing w:after="0"/>
              <w:rPr>
                <w:sz w:val="14"/>
                <w:szCs w:val="14"/>
                <w:color w:val="auto"/>
              </w:rPr>
            </w:pPr>
          </w:p>
        </w:tc>
        <w:tc>
          <w:tcPr>
            <w:tcW w:w="240" w:type="dxa"/>
            <w:vAlign w:val="bottom"/>
            <w:shd w:val="clear" w:color="auto" w:fill="E4E3E1"/>
          </w:tcPr>
          <w:p>
            <w:pPr>
              <w:spacing w:after="0"/>
              <w:rPr>
                <w:sz w:val="14"/>
                <w:szCs w:val="14"/>
                <w:color w:val="auto"/>
              </w:rPr>
            </w:pPr>
          </w:p>
        </w:tc>
        <w:tc>
          <w:tcPr>
            <w:tcW w:w="3740" w:type="dxa"/>
            <w:vAlign w:val="bottom"/>
            <w:gridSpan w:val="14"/>
            <w:shd w:val="clear" w:color="auto" w:fill="E4E3E1"/>
          </w:tcPr>
          <w:p>
            <w:pPr>
              <w:spacing w:after="0" w:line="153" w:lineRule="exact"/>
              <w:rPr>
                <w:rFonts w:ascii="Arial" w:cs="Arial" w:eastAsia="Arial" w:hAnsi="Arial"/>
                <w:sz w:val="14"/>
                <w:szCs w:val="14"/>
                <w:color w:val="0000EE"/>
              </w:rPr>
            </w:pPr>
            <w:hyperlink w:anchor="page123">
              <w:r>
                <w:rPr>
                  <w:rFonts w:ascii="Arial" w:cs="Arial" w:eastAsia="Arial" w:hAnsi="Arial"/>
                  <w:sz w:val="14"/>
                  <w:szCs w:val="14"/>
                  <w:color w:val="0000EE"/>
                </w:rPr>
                <w:t>Notes to the Consolidated Financial Statements</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7DD0E0"/>
          </w:tcPr>
          <w:p>
            <w:pPr>
              <w:spacing w:after="0"/>
              <w:rPr>
                <w:sz w:val="14"/>
                <w:szCs w:val="14"/>
                <w:color w:val="auto"/>
              </w:rPr>
            </w:pPr>
          </w:p>
        </w:tc>
        <w:tc>
          <w:tcPr>
            <w:tcW w:w="0" w:type="dxa"/>
            <w:vAlign w:val="bottom"/>
          </w:tcPr>
          <w:p>
            <w:pPr>
              <w:spacing w:after="0"/>
              <w:rPr>
                <w:sz w:val="1"/>
                <w:szCs w:val="1"/>
                <w:color w:val="auto"/>
              </w:rPr>
            </w:pPr>
          </w:p>
        </w:tc>
      </w:tr>
      <w:tr>
        <w:trPr>
          <w:trHeight w:val="506"/>
        </w:trPr>
        <w:tc>
          <w:tcPr>
            <w:tcW w:w="2940" w:type="dxa"/>
            <w:vAlign w:val="bottom"/>
            <w:tcBorders>
              <w:top w:val="single" w:sz="8" w:color="E4E3E1"/>
            </w:tcBorders>
            <w:shd w:val="clear" w:color="auto" w:fill="E4E3E1"/>
          </w:tcPr>
          <w:p>
            <w:pPr>
              <w:spacing w:after="0"/>
              <w:rPr>
                <w:sz w:val="24"/>
                <w:szCs w:val="24"/>
                <w:color w:val="auto"/>
              </w:rPr>
            </w:pPr>
          </w:p>
        </w:tc>
        <w:tc>
          <w:tcPr>
            <w:tcW w:w="42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0000EE"/>
              <w:lef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660" w:type="dxa"/>
            <w:vAlign w:val="bottom"/>
            <w:tcBorders>
              <w:top w:val="single" w:sz="8" w:color="0000EE"/>
              <w:right w:val="single" w:sz="8" w:color="E4E3E1"/>
            </w:tcBorders>
            <w:shd w:val="clear" w:color="auto" w:fill="E4E3E1"/>
          </w:tcPr>
          <w:p>
            <w:pPr>
              <w:spacing w:after="0"/>
              <w:rPr>
                <w:sz w:val="24"/>
                <w:szCs w:val="24"/>
                <w:color w:val="auto"/>
              </w:rPr>
            </w:pPr>
          </w:p>
        </w:tc>
        <w:tc>
          <w:tcPr>
            <w:tcW w:w="100" w:type="dxa"/>
            <w:vAlign w:val="bottom"/>
            <w:tcBorders>
              <w:top w:val="single" w:sz="8" w:color="0000EE"/>
              <w:righ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380" w:type="dxa"/>
            <w:vAlign w:val="bottom"/>
            <w:tcBorders>
              <w:top w:val="single" w:sz="8" w:color="0000EE"/>
            </w:tcBorders>
            <w:shd w:val="clear" w:color="auto" w:fill="E4E3E1"/>
          </w:tcPr>
          <w:p>
            <w:pPr>
              <w:spacing w:after="0"/>
              <w:rPr>
                <w:sz w:val="24"/>
                <w:szCs w:val="24"/>
                <w:color w:val="auto"/>
              </w:rPr>
            </w:pPr>
          </w:p>
        </w:tc>
        <w:tc>
          <w:tcPr>
            <w:tcW w:w="340" w:type="dxa"/>
            <w:vAlign w:val="bottom"/>
            <w:tcBorders>
              <w:top w:val="single" w:sz="8" w:color="0000EE"/>
              <w:right w:val="single" w:sz="8" w:color="E4E3E1"/>
            </w:tcBorders>
            <w:shd w:val="clear" w:color="auto" w:fill="E4E3E1"/>
          </w:tcPr>
          <w:p>
            <w:pPr>
              <w:spacing w:after="0"/>
              <w:rPr>
                <w:sz w:val="24"/>
                <w:szCs w:val="24"/>
                <w:color w:val="auto"/>
              </w:rPr>
            </w:pPr>
          </w:p>
        </w:tc>
        <w:tc>
          <w:tcPr>
            <w:tcW w:w="36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280" w:type="dxa"/>
            <w:vAlign w:val="bottom"/>
            <w:tcBorders>
              <w:top w:val="single" w:sz="8" w:color="0000EE"/>
              <w:right w:val="single" w:sz="8" w:color="E4E3E1"/>
            </w:tcBorders>
            <w:shd w:val="clear" w:color="auto" w:fill="E4E3E1"/>
          </w:tcPr>
          <w:p>
            <w:pPr>
              <w:spacing w:after="0"/>
              <w:rPr>
                <w:sz w:val="24"/>
                <w:szCs w:val="24"/>
                <w:color w:val="auto"/>
              </w:rPr>
            </w:pPr>
          </w:p>
        </w:tc>
        <w:tc>
          <w:tcPr>
            <w:tcW w:w="140" w:type="dxa"/>
            <w:vAlign w:val="bottom"/>
            <w:tcBorders>
              <w:top w:val="single" w:sz="8" w:color="0000EE"/>
            </w:tcBorders>
            <w:shd w:val="clear" w:color="auto" w:fill="E4E3E1"/>
          </w:tcPr>
          <w:p>
            <w:pPr>
              <w:spacing w:after="0"/>
              <w:rPr>
                <w:sz w:val="24"/>
                <w:szCs w:val="24"/>
                <w:color w:val="auto"/>
              </w:rPr>
            </w:pPr>
          </w:p>
        </w:tc>
        <w:tc>
          <w:tcPr>
            <w:tcW w:w="480" w:type="dxa"/>
            <w:vAlign w:val="bottom"/>
            <w:tcBorders>
              <w:top w:val="single" w:sz="8" w:color="0000EE"/>
            </w:tcBorders>
            <w:shd w:val="clear" w:color="auto" w:fill="E4E3E1"/>
          </w:tcPr>
          <w:p>
            <w:pPr>
              <w:spacing w:after="0"/>
              <w:rPr>
                <w:sz w:val="24"/>
                <w:szCs w:val="24"/>
                <w:color w:val="auto"/>
              </w:rPr>
            </w:pPr>
          </w:p>
        </w:tc>
        <w:tc>
          <w:tcPr>
            <w:tcW w:w="100" w:type="dxa"/>
            <w:vAlign w:val="bottom"/>
            <w:tcBorders>
              <w:top w:val="single" w:sz="8" w:color="0000EE"/>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360" w:type="dxa"/>
            <w:vAlign w:val="bottom"/>
            <w:tcBorders>
              <w:top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00" w:type="dxa"/>
            <w:vAlign w:val="bottom"/>
            <w:tcBorders>
              <w:top w:val="single" w:sz="8" w:color="E4E3E1"/>
            </w:tcBorders>
            <w:shd w:val="clear" w:color="auto" w:fill="E4E3E1"/>
          </w:tcPr>
          <w:p>
            <w:pPr>
              <w:spacing w:after="0"/>
              <w:rPr>
                <w:sz w:val="24"/>
                <w:szCs w:val="24"/>
                <w:color w:val="auto"/>
              </w:rPr>
            </w:pPr>
          </w:p>
        </w:tc>
        <w:tc>
          <w:tcPr>
            <w:tcW w:w="520" w:type="dxa"/>
            <w:vAlign w:val="bottom"/>
            <w:tcBorders>
              <w:top w:val="single" w:sz="8" w:color="E4E3E1"/>
            </w:tcBorders>
            <w:shd w:val="clear" w:color="auto" w:fill="E4E3E1"/>
          </w:tcPr>
          <w:p>
            <w:pPr>
              <w:spacing w:after="0"/>
              <w:rPr>
                <w:sz w:val="24"/>
                <w:szCs w:val="24"/>
                <w:color w:val="auto"/>
              </w:rPr>
            </w:pPr>
          </w:p>
        </w:tc>
        <w:tc>
          <w:tcPr>
            <w:tcW w:w="34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right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80" w:type="dxa"/>
            <w:vAlign w:val="bottom"/>
            <w:tcBorders>
              <w:top w:val="single" w:sz="8" w:color="E4E3E1"/>
            </w:tcBorders>
            <w:shd w:val="clear" w:color="auto" w:fill="E4E3E1"/>
          </w:tcPr>
          <w:p>
            <w:pPr>
              <w:spacing w:after="0"/>
              <w:rPr>
                <w:sz w:val="24"/>
                <w:szCs w:val="24"/>
                <w:color w:val="auto"/>
              </w:rPr>
            </w:pPr>
          </w:p>
        </w:tc>
        <w:tc>
          <w:tcPr>
            <w:tcW w:w="460" w:type="dxa"/>
            <w:vAlign w:val="bottom"/>
            <w:tcBorders>
              <w:top w:val="single" w:sz="8" w:color="7DD0E0"/>
            </w:tcBorders>
            <w:shd w:val="clear" w:color="auto" w:fill="7DD0E0"/>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E4E3E1"/>
          </w:tcPr>
          <w:p>
            <w:pPr>
              <w:ind w:left="200"/>
              <w:spacing w:after="0"/>
              <w:rPr>
                <w:sz w:val="20"/>
                <w:szCs w:val="20"/>
                <w:color w:val="auto"/>
              </w:rPr>
            </w:pPr>
            <w:r>
              <w:rPr>
                <w:rFonts w:ascii="Arial" w:cs="Arial" w:eastAsia="Arial" w:hAnsi="Arial"/>
                <w:sz w:val="16"/>
                <w:szCs w:val="16"/>
                <w:b w:val="1"/>
                <w:bCs w:val="1"/>
                <w:color w:val="auto"/>
              </w:rPr>
              <w:t>SUPPLEMENTARY</w:t>
            </w:r>
          </w:p>
        </w:tc>
        <w:tc>
          <w:tcPr>
            <w:tcW w:w="660" w:type="dxa"/>
            <w:vAlign w:val="bottom"/>
            <w:gridSpan w:val="4"/>
            <w:shd w:val="clear" w:color="auto" w:fill="E4E3E1"/>
          </w:tcPr>
          <w:p>
            <w:pPr>
              <w:ind w:left="420"/>
              <w:spacing w:after="0"/>
              <w:rPr>
                <w:rFonts w:ascii="Arial" w:cs="Arial" w:eastAsia="Arial" w:hAnsi="Arial"/>
                <w:sz w:val="14"/>
                <w:szCs w:val="14"/>
                <w:b w:val="1"/>
                <w:bCs w:val="1"/>
                <w:color w:val="0000EE"/>
                <w:w w:val="93"/>
              </w:rPr>
            </w:pPr>
            <w:hyperlink w:anchor="page169">
              <w:r>
                <w:rPr>
                  <w:rFonts w:ascii="Arial" w:cs="Arial" w:eastAsia="Arial" w:hAnsi="Arial"/>
                  <w:sz w:val="14"/>
                  <w:szCs w:val="14"/>
                  <w:b w:val="1"/>
                  <w:bCs w:val="1"/>
                  <w:color w:val="0000EE"/>
                  <w:w w:val="93"/>
                </w:rPr>
                <w:t>163</w:t>
              </w:r>
            </w:hyperlink>
          </w:p>
        </w:tc>
        <w:tc>
          <w:tcPr>
            <w:tcW w:w="100" w:type="dxa"/>
            <w:vAlign w:val="bottom"/>
            <w:shd w:val="clear" w:color="auto" w:fill="E4E3E1"/>
          </w:tcPr>
          <w:p>
            <w:pPr>
              <w:spacing w:after="0"/>
              <w:rPr>
                <w:sz w:val="17"/>
                <w:szCs w:val="17"/>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69">
              <w:r>
                <w:rPr>
                  <w:rFonts w:ascii="Arial" w:cs="Arial" w:eastAsia="Arial" w:hAnsi="Arial"/>
                  <w:sz w:val="14"/>
                  <w:szCs w:val="14"/>
                  <w:color w:val="0000EE"/>
                </w:rPr>
                <w:t>Oil and gas (unaudited)</w:t>
              </w:r>
            </w:hyperlink>
          </w:p>
        </w:tc>
        <w:tc>
          <w:tcPr>
            <w:tcW w:w="10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18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00" w:type="dxa"/>
            <w:vAlign w:val="bottom"/>
            <w:shd w:val="clear" w:color="auto" w:fill="E4E3E1"/>
          </w:tcPr>
          <w:p>
            <w:pPr>
              <w:spacing w:after="0"/>
              <w:rPr>
                <w:sz w:val="17"/>
                <w:szCs w:val="17"/>
                <w:color w:val="auto"/>
              </w:rPr>
            </w:pPr>
          </w:p>
        </w:tc>
        <w:tc>
          <w:tcPr>
            <w:tcW w:w="520" w:type="dxa"/>
            <w:vAlign w:val="bottom"/>
            <w:shd w:val="clear" w:color="auto" w:fill="E4E3E1"/>
          </w:tcPr>
          <w:p>
            <w:pPr>
              <w:spacing w:after="0"/>
              <w:rPr>
                <w:sz w:val="17"/>
                <w:szCs w:val="17"/>
                <w:color w:val="auto"/>
              </w:rPr>
            </w:pPr>
          </w:p>
        </w:tc>
        <w:tc>
          <w:tcPr>
            <w:tcW w:w="340" w:type="dxa"/>
            <w:vAlign w:val="bottom"/>
            <w:shd w:val="clear" w:color="auto" w:fill="E4E3E1"/>
          </w:tcPr>
          <w:p>
            <w:pPr>
              <w:spacing w:after="0"/>
              <w:rPr>
                <w:sz w:val="17"/>
                <w:szCs w:val="17"/>
                <w:color w:val="auto"/>
              </w:rPr>
            </w:pPr>
          </w:p>
        </w:tc>
        <w:tc>
          <w:tcPr>
            <w:tcW w:w="180" w:type="dxa"/>
            <w:vAlign w:val="bottom"/>
            <w:tcBorders>
              <w:right w:val="single" w:sz="8" w:color="E4E3E1"/>
            </w:tcBorders>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80" w:type="dxa"/>
            <w:vAlign w:val="bottom"/>
            <w:shd w:val="clear" w:color="auto" w:fill="E4E3E1"/>
          </w:tcPr>
          <w:p>
            <w:pPr>
              <w:spacing w:after="0"/>
              <w:rPr>
                <w:sz w:val="17"/>
                <w:szCs w:val="17"/>
                <w:color w:val="auto"/>
              </w:rPr>
            </w:pPr>
          </w:p>
        </w:tc>
        <w:tc>
          <w:tcPr>
            <w:tcW w:w="460" w:type="dxa"/>
            <w:vAlign w:val="bottom"/>
            <w:shd w:val="clear" w:color="auto" w:fill="009AC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line="167" w:lineRule="exact"/>
              <w:rPr>
                <w:sz w:val="20"/>
                <w:szCs w:val="20"/>
                <w:color w:val="auto"/>
              </w:rPr>
            </w:pPr>
            <w:r>
              <w:rPr>
                <w:rFonts w:ascii="Arial" w:cs="Arial" w:eastAsia="Arial" w:hAnsi="Arial"/>
                <w:sz w:val="16"/>
                <w:szCs w:val="16"/>
                <w:b w:val="1"/>
                <w:bCs w:val="1"/>
                <w:color w:val="auto"/>
              </w:rPr>
              <w:t>INFORMATION</w:t>
            </w: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009AC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vMerge w:val="continue"/>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240" w:type="dxa"/>
            <w:vAlign w:val="bottom"/>
            <w:tcBorders>
              <w:left w:val="single" w:sz="8" w:color="E4E3E1"/>
            </w:tcBorders>
            <w:gridSpan w:val="3"/>
            <w:shd w:val="clear" w:color="auto" w:fill="E4E3E1"/>
          </w:tcPr>
          <w:p>
            <w:pPr>
              <w:spacing w:after="0" w:line="153" w:lineRule="exact"/>
              <w:rPr>
                <w:rFonts w:ascii="Arial" w:cs="Arial" w:eastAsia="Arial" w:hAnsi="Arial"/>
                <w:sz w:val="14"/>
                <w:szCs w:val="14"/>
                <w:b w:val="1"/>
                <w:bCs w:val="1"/>
                <w:color w:val="0000EE"/>
                <w:w w:val="93"/>
              </w:rPr>
            </w:pPr>
            <w:hyperlink w:anchor="page176">
              <w:r>
                <w:rPr>
                  <w:rFonts w:ascii="Arial" w:cs="Arial" w:eastAsia="Arial" w:hAnsi="Arial"/>
                  <w:sz w:val="14"/>
                  <w:szCs w:val="14"/>
                  <w:b w:val="1"/>
                  <w:bCs w:val="1"/>
                  <w:color w:val="0000EE"/>
                  <w:w w:val="93"/>
                </w:rPr>
                <w:t>170</w:t>
              </w:r>
            </w:hyperlink>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line="153" w:lineRule="exact"/>
              <w:rPr>
                <w:rFonts w:ascii="Arial" w:cs="Arial" w:eastAsia="Arial" w:hAnsi="Arial"/>
                <w:sz w:val="14"/>
                <w:szCs w:val="14"/>
                <w:color w:val="0000EE"/>
              </w:rPr>
            </w:pPr>
            <w:hyperlink w:anchor="page176">
              <w:r>
                <w:rPr>
                  <w:rFonts w:ascii="Arial" w:cs="Arial" w:eastAsia="Arial" w:hAnsi="Arial"/>
                  <w:sz w:val="14"/>
                  <w:szCs w:val="14"/>
                  <w:color w:val="0000EE"/>
                </w:rPr>
                <w:t>Oil sands (unaudited)</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009AC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80" w:type="dxa"/>
            <w:vAlign w:val="bottom"/>
            <w:tcBorders>
              <w:right w:val="single" w:sz="8" w:color="E4E3E1"/>
            </w:tcBorders>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009AC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240" w:type="dxa"/>
            <w:vAlign w:val="bottom"/>
            <w:tcBorders>
              <w:left w:val="single" w:sz="8" w:color="E4E3E1"/>
            </w:tcBorders>
            <w:gridSpan w:val="3"/>
            <w:shd w:val="clear" w:color="auto" w:fill="E4E3E1"/>
          </w:tcPr>
          <w:p>
            <w:pPr>
              <w:spacing w:after="0"/>
              <w:rPr>
                <w:rFonts w:ascii="Arial" w:cs="Arial" w:eastAsia="Arial" w:hAnsi="Arial"/>
                <w:sz w:val="14"/>
                <w:szCs w:val="14"/>
                <w:b w:val="1"/>
                <w:bCs w:val="1"/>
                <w:color w:val="0000EE"/>
                <w:w w:val="93"/>
              </w:rPr>
            </w:pPr>
            <w:hyperlink w:anchor="page177">
              <w:r>
                <w:rPr>
                  <w:rFonts w:ascii="Arial" w:cs="Arial" w:eastAsia="Arial" w:hAnsi="Arial"/>
                  <w:sz w:val="14"/>
                  <w:szCs w:val="14"/>
                  <w:b w:val="1"/>
                  <w:bCs w:val="1"/>
                  <w:color w:val="0000EE"/>
                  <w:w w:val="93"/>
                </w:rPr>
                <w:t>171</w:t>
              </w:r>
            </w:hyperlink>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77">
              <w:r>
                <w:rPr>
                  <w:rFonts w:ascii="Arial" w:cs="Arial" w:eastAsia="Arial" w:hAnsi="Arial"/>
                  <w:sz w:val="14"/>
                  <w:szCs w:val="14"/>
                  <w:color w:val="0000EE"/>
                </w:rPr>
                <w:t>Derivatives and other financial instruments and derivative</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009AC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2000" w:type="dxa"/>
            <w:vAlign w:val="bottom"/>
            <w:gridSpan w:val="7"/>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009AC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shd w:val="clear" w:color="auto" w:fill="E4E3E1"/>
          </w:tcPr>
          <w:p>
            <w:pPr>
              <w:spacing w:after="0"/>
              <w:rPr>
                <w:sz w:val="12"/>
                <w:szCs w:val="12"/>
                <w:color w:val="auto"/>
              </w:rPr>
            </w:pPr>
          </w:p>
        </w:tc>
        <w:tc>
          <w:tcPr>
            <w:tcW w:w="240" w:type="dxa"/>
            <w:vAlign w:val="bottom"/>
            <w:tcBorders>
              <w:left w:val="single" w:sz="8" w:color="E4E3E1"/>
            </w:tcBorders>
            <w:gridSpan w:val="3"/>
            <w:vMerge w:val="restart"/>
            <w:shd w:val="clear" w:color="auto" w:fill="E4E3E1"/>
          </w:tcPr>
          <w:p>
            <w:pPr>
              <w:spacing w:after="0"/>
              <w:rPr>
                <w:rFonts w:ascii="Arial" w:cs="Arial" w:eastAsia="Arial" w:hAnsi="Arial"/>
                <w:sz w:val="14"/>
                <w:szCs w:val="14"/>
                <w:b w:val="1"/>
                <w:bCs w:val="1"/>
                <w:color w:val="0000EE"/>
                <w:w w:val="93"/>
              </w:rPr>
            </w:pPr>
            <w:hyperlink w:anchor="page179">
              <w:r>
                <w:rPr>
                  <w:rFonts w:ascii="Arial" w:cs="Arial" w:eastAsia="Arial" w:hAnsi="Arial"/>
                  <w:sz w:val="14"/>
                  <w:szCs w:val="14"/>
                  <w:b w:val="1"/>
                  <w:bCs w:val="1"/>
                  <w:color w:val="0000EE"/>
                  <w:w w:val="93"/>
                </w:rPr>
                <w:t>173</w:t>
              </w:r>
            </w:hyperlink>
          </w:p>
        </w:tc>
        <w:tc>
          <w:tcPr>
            <w:tcW w:w="100" w:type="dxa"/>
            <w:vAlign w:val="bottom"/>
            <w:shd w:val="clear" w:color="auto" w:fill="E4E3E1"/>
          </w:tcPr>
          <w:p>
            <w:pPr>
              <w:spacing w:after="0"/>
              <w:rPr>
                <w:sz w:val="12"/>
                <w:szCs w:val="12"/>
                <w:color w:val="auto"/>
              </w:rPr>
            </w:pPr>
          </w:p>
        </w:tc>
        <w:tc>
          <w:tcPr>
            <w:tcW w:w="3980" w:type="dxa"/>
            <w:vAlign w:val="bottom"/>
            <w:gridSpan w:val="15"/>
            <w:shd w:val="clear" w:color="auto" w:fill="E4E3E1"/>
          </w:tcPr>
          <w:p>
            <w:pPr>
              <w:ind w:left="240"/>
              <w:spacing w:after="0" w:line="140" w:lineRule="exact"/>
              <w:rPr>
                <w:rFonts w:ascii="Arial" w:cs="Arial" w:eastAsia="Arial" w:hAnsi="Arial"/>
                <w:sz w:val="14"/>
                <w:szCs w:val="14"/>
                <w:color w:val="0000EE"/>
              </w:rPr>
            </w:pPr>
            <w:hyperlink w:anchor="page177">
              <w:r>
                <w:rPr>
                  <w:rFonts w:ascii="Arial" w:cs="Arial" w:eastAsia="Arial" w:hAnsi="Arial"/>
                  <w:sz w:val="14"/>
                  <w:szCs w:val="14"/>
                  <w:color w:val="0000EE"/>
                </w:rPr>
                <w:t>commodity instruments (unaudited)</w:t>
              </w:r>
            </w:hyperlink>
          </w:p>
        </w:tc>
        <w:tc>
          <w:tcPr>
            <w:tcW w:w="10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18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00" w:type="dxa"/>
            <w:vAlign w:val="bottom"/>
            <w:shd w:val="clear" w:color="auto" w:fill="E4E3E1"/>
          </w:tcPr>
          <w:p>
            <w:pPr>
              <w:spacing w:after="0"/>
              <w:rPr>
                <w:sz w:val="12"/>
                <w:szCs w:val="12"/>
                <w:color w:val="auto"/>
              </w:rPr>
            </w:pPr>
          </w:p>
        </w:tc>
        <w:tc>
          <w:tcPr>
            <w:tcW w:w="520" w:type="dxa"/>
            <w:vAlign w:val="bottom"/>
            <w:shd w:val="clear" w:color="auto" w:fill="E4E3E1"/>
          </w:tcPr>
          <w:p>
            <w:pPr>
              <w:spacing w:after="0"/>
              <w:rPr>
                <w:sz w:val="12"/>
                <w:szCs w:val="12"/>
                <w:color w:val="auto"/>
              </w:rPr>
            </w:pPr>
          </w:p>
        </w:tc>
        <w:tc>
          <w:tcPr>
            <w:tcW w:w="340" w:type="dxa"/>
            <w:vAlign w:val="bottom"/>
            <w:shd w:val="clear" w:color="auto" w:fill="E4E3E1"/>
          </w:tcPr>
          <w:p>
            <w:pPr>
              <w:spacing w:after="0"/>
              <w:rPr>
                <w:sz w:val="12"/>
                <w:szCs w:val="12"/>
                <w:color w:val="auto"/>
              </w:rPr>
            </w:pPr>
          </w:p>
        </w:tc>
        <w:tc>
          <w:tcPr>
            <w:tcW w:w="180" w:type="dxa"/>
            <w:vAlign w:val="bottom"/>
            <w:tcBorders>
              <w:right w:val="single" w:sz="8" w:color="E4E3E1"/>
            </w:tcBorders>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80" w:type="dxa"/>
            <w:vAlign w:val="bottom"/>
            <w:shd w:val="clear" w:color="auto" w:fill="E4E3E1"/>
          </w:tcPr>
          <w:p>
            <w:pPr>
              <w:spacing w:after="0"/>
              <w:rPr>
                <w:sz w:val="12"/>
                <w:szCs w:val="12"/>
                <w:color w:val="auto"/>
              </w:rPr>
            </w:pPr>
          </w:p>
        </w:tc>
        <w:tc>
          <w:tcPr>
            <w:tcW w:w="460" w:type="dxa"/>
            <w:vAlign w:val="bottom"/>
            <w:shd w:val="clear" w:color="auto" w:fill="009AC8"/>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shd w:val="clear" w:color="auto" w:fill="E4E3E1"/>
          </w:tcPr>
          <w:p>
            <w:pPr>
              <w:spacing w:after="0" w:line="20" w:lineRule="exact"/>
              <w:rPr>
                <w:sz w:val="1"/>
                <w:szCs w:val="1"/>
                <w:color w:val="auto"/>
              </w:rPr>
            </w:pPr>
          </w:p>
        </w:tc>
        <w:tc>
          <w:tcPr>
            <w:tcW w:w="420" w:type="dxa"/>
            <w:vAlign w:val="bottom"/>
            <w:vMerge w:val="restart"/>
            <w:shd w:val="clear" w:color="auto" w:fill="E4E3E1"/>
          </w:tcPr>
          <w:p>
            <w:pPr>
              <w:spacing w:after="0" w:line="20" w:lineRule="exact"/>
              <w:rPr>
                <w:sz w:val="1"/>
                <w:szCs w:val="1"/>
                <w:color w:val="auto"/>
              </w:rPr>
            </w:pPr>
          </w:p>
        </w:tc>
        <w:tc>
          <w:tcPr>
            <w:tcW w:w="240" w:type="dxa"/>
            <w:vAlign w:val="bottom"/>
            <w:tcBorders>
              <w:left w:val="single" w:sz="8" w:color="E4E3E1"/>
            </w:tcBorders>
            <w:gridSpan w:val="3"/>
            <w:vMerge w:val="continue"/>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009AC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40" w:type="dxa"/>
            <w:vAlign w:val="bottom"/>
            <w:shd w:val="clear" w:color="auto" w:fill="E4E3E1"/>
          </w:tcPr>
          <w:p>
            <w:pPr>
              <w:spacing w:after="0"/>
              <w:rPr>
                <w:sz w:val="12"/>
                <w:szCs w:val="12"/>
                <w:color w:val="auto"/>
              </w:rPr>
            </w:pPr>
          </w:p>
        </w:tc>
        <w:tc>
          <w:tcPr>
            <w:tcW w:w="420" w:type="dxa"/>
            <w:vAlign w:val="bottom"/>
            <w:vMerge w:val="continue"/>
            <w:shd w:val="clear" w:color="auto" w:fill="E4E3E1"/>
          </w:tcPr>
          <w:p>
            <w:pPr>
              <w:spacing w:after="0"/>
              <w:rPr>
                <w:sz w:val="12"/>
                <w:szCs w:val="12"/>
                <w:color w:val="auto"/>
              </w:rPr>
            </w:pPr>
          </w:p>
        </w:tc>
        <w:tc>
          <w:tcPr>
            <w:tcW w:w="240" w:type="dxa"/>
            <w:vAlign w:val="bottom"/>
            <w:tcBorders>
              <w:left w:val="single" w:sz="8" w:color="E4E3E1"/>
            </w:tcBorders>
            <w:gridSpan w:val="3"/>
            <w:vMerge w:val="continue"/>
            <w:shd w:val="clear" w:color="auto" w:fill="E4E3E1"/>
          </w:tcPr>
          <w:p>
            <w:pPr>
              <w:spacing w:after="0"/>
              <w:rPr>
                <w:sz w:val="12"/>
                <w:szCs w:val="12"/>
                <w:color w:val="auto"/>
              </w:rPr>
            </w:pPr>
          </w:p>
        </w:tc>
        <w:tc>
          <w:tcPr>
            <w:tcW w:w="100" w:type="dxa"/>
            <w:vAlign w:val="bottom"/>
            <w:shd w:val="clear" w:color="auto" w:fill="E4E3E1"/>
          </w:tcPr>
          <w:p>
            <w:pPr>
              <w:spacing w:after="0"/>
              <w:rPr>
                <w:sz w:val="12"/>
                <w:szCs w:val="12"/>
                <w:color w:val="auto"/>
              </w:rPr>
            </w:pPr>
          </w:p>
        </w:tc>
        <w:tc>
          <w:tcPr>
            <w:tcW w:w="3980" w:type="dxa"/>
            <w:vAlign w:val="bottom"/>
            <w:gridSpan w:val="15"/>
            <w:shd w:val="clear" w:color="auto" w:fill="E4E3E1"/>
          </w:tcPr>
          <w:p>
            <w:pPr>
              <w:ind w:left="240"/>
              <w:spacing w:after="0" w:line="140" w:lineRule="exact"/>
              <w:rPr>
                <w:rFonts w:ascii="Arial" w:cs="Arial" w:eastAsia="Arial" w:hAnsi="Arial"/>
                <w:sz w:val="14"/>
                <w:szCs w:val="14"/>
                <w:color w:val="0000EE"/>
              </w:rPr>
            </w:pPr>
            <w:hyperlink w:anchor="page179">
              <w:r>
                <w:rPr>
                  <w:rFonts w:ascii="Arial" w:cs="Arial" w:eastAsia="Arial" w:hAnsi="Arial"/>
                  <w:sz w:val="14"/>
                  <w:szCs w:val="14"/>
                  <w:color w:val="0000EE"/>
                </w:rPr>
                <w:t>Control of registrant (unaudited)</w:t>
              </w:r>
            </w:hyperlink>
          </w:p>
        </w:tc>
        <w:tc>
          <w:tcPr>
            <w:tcW w:w="10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180" w:type="dxa"/>
            <w:vAlign w:val="bottom"/>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00" w:type="dxa"/>
            <w:vAlign w:val="bottom"/>
            <w:shd w:val="clear" w:color="auto" w:fill="E4E3E1"/>
          </w:tcPr>
          <w:p>
            <w:pPr>
              <w:spacing w:after="0"/>
              <w:rPr>
                <w:sz w:val="12"/>
                <w:szCs w:val="12"/>
                <w:color w:val="auto"/>
              </w:rPr>
            </w:pPr>
          </w:p>
        </w:tc>
        <w:tc>
          <w:tcPr>
            <w:tcW w:w="520" w:type="dxa"/>
            <w:vAlign w:val="bottom"/>
            <w:shd w:val="clear" w:color="auto" w:fill="E4E3E1"/>
          </w:tcPr>
          <w:p>
            <w:pPr>
              <w:spacing w:after="0"/>
              <w:rPr>
                <w:sz w:val="12"/>
                <w:szCs w:val="12"/>
                <w:color w:val="auto"/>
              </w:rPr>
            </w:pPr>
          </w:p>
        </w:tc>
        <w:tc>
          <w:tcPr>
            <w:tcW w:w="340" w:type="dxa"/>
            <w:vAlign w:val="bottom"/>
            <w:shd w:val="clear" w:color="auto" w:fill="E4E3E1"/>
          </w:tcPr>
          <w:p>
            <w:pPr>
              <w:spacing w:after="0"/>
              <w:rPr>
                <w:sz w:val="12"/>
                <w:szCs w:val="12"/>
                <w:color w:val="auto"/>
              </w:rPr>
            </w:pPr>
          </w:p>
        </w:tc>
        <w:tc>
          <w:tcPr>
            <w:tcW w:w="180" w:type="dxa"/>
            <w:vAlign w:val="bottom"/>
            <w:tcBorders>
              <w:right w:val="single" w:sz="8" w:color="E4E3E1"/>
            </w:tcBorders>
            <w:shd w:val="clear" w:color="auto" w:fill="E4E3E1"/>
          </w:tcPr>
          <w:p>
            <w:pPr>
              <w:spacing w:after="0"/>
              <w:rPr>
                <w:sz w:val="12"/>
                <w:szCs w:val="12"/>
                <w:color w:val="auto"/>
              </w:rPr>
            </w:pPr>
          </w:p>
        </w:tc>
        <w:tc>
          <w:tcPr>
            <w:tcW w:w="160" w:type="dxa"/>
            <w:vAlign w:val="bottom"/>
            <w:shd w:val="clear" w:color="auto" w:fill="E4E3E1"/>
          </w:tcPr>
          <w:p>
            <w:pPr>
              <w:spacing w:after="0"/>
              <w:rPr>
                <w:sz w:val="12"/>
                <w:szCs w:val="12"/>
                <w:color w:val="auto"/>
              </w:rPr>
            </w:pPr>
          </w:p>
        </w:tc>
        <w:tc>
          <w:tcPr>
            <w:tcW w:w="780" w:type="dxa"/>
            <w:vAlign w:val="bottom"/>
            <w:shd w:val="clear" w:color="auto" w:fill="E4E3E1"/>
          </w:tcPr>
          <w:p>
            <w:pPr>
              <w:spacing w:after="0"/>
              <w:rPr>
                <w:sz w:val="12"/>
                <w:szCs w:val="12"/>
                <w:color w:val="auto"/>
              </w:rPr>
            </w:pPr>
          </w:p>
        </w:tc>
        <w:tc>
          <w:tcPr>
            <w:tcW w:w="460" w:type="dxa"/>
            <w:vAlign w:val="bottom"/>
            <w:shd w:val="clear" w:color="auto" w:fill="009AC8"/>
          </w:tcPr>
          <w:p>
            <w:pPr>
              <w:spacing w:after="0"/>
              <w:rPr>
                <w:sz w:val="12"/>
                <w:szCs w:val="12"/>
                <w:color w:val="auto"/>
              </w:rPr>
            </w:pPr>
          </w:p>
        </w:tc>
        <w:tc>
          <w:tcPr>
            <w:tcW w:w="0" w:type="dxa"/>
            <w:vAlign w:val="bottom"/>
          </w:tcPr>
          <w:p>
            <w:pPr>
              <w:spacing w:after="0"/>
              <w:rPr>
                <w:sz w:val="1"/>
                <w:szCs w:val="1"/>
                <w:color w:val="auto"/>
              </w:rPr>
            </w:pPr>
          </w:p>
        </w:tc>
      </w:tr>
      <w:tr>
        <w:trPr>
          <w:trHeight w:val="479"/>
        </w:trPr>
        <w:tc>
          <w:tcPr>
            <w:tcW w:w="2940" w:type="dxa"/>
            <w:vAlign w:val="bottom"/>
            <w:tcBorders>
              <w:top w:val="single" w:sz="8" w:color="E4E3E1"/>
            </w:tcBorders>
            <w:shd w:val="clear" w:color="auto" w:fill="E4E3E1"/>
          </w:tcPr>
          <w:p>
            <w:pPr>
              <w:spacing w:after="0"/>
              <w:rPr>
                <w:sz w:val="24"/>
                <w:szCs w:val="24"/>
                <w:color w:val="auto"/>
              </w:rPr>
            </w:pPr>
          </w:p>
        </w:tc>
        <w:tc>
          <w:tcPr>
            <w:tcW w:w="42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0000EE"/>
              <w:lef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660" w:type="dxa"/>
            <w:vAlign w:val="bottom"/>
            <w:tcBorders>
              <w:top w:val="single" w:sz="8" w:color="0000EE"/>
              <w:right w:val="single" w:sz="8" w:color="E4E3E1"/>
            </w:tcBorders>
            <w:shd w:val="clear" w:color="auto" w:fill="E4E3E1"/>
          </w:tcPr>
          <w:p>
            <w:pPr>
              <w:spacing w:after="0"/>
              <w:rPr>
                <w:sz w:val="24"/>
                <w:szCs w:val="24"/>
                <w:color w:val="auto"/>
              </w:rPr>
            </w:pPr>
          </w:p>
        </w:tc>
        <w:tc>
          <w:tcPr>
            <w:tcW w:w="100" w:type="dxa"/>
            <w:vAlign w:val="bottom"/>
            <w:tcBorders>
              <w:top w:val="single" w:sz="8" w:color="0000EE"/>
              <w:righ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380" w:type="dxa"/>
            <w:vAlign w:val="bottom"/>
            <w:tcBorders>
              <w:top w:val="single" w:sz="8" w:color="0000EE"/>
            </w:tcBorders>
            <w:shd w:val="clear" w:color="auto" w:fill="E4E3E1"/>
          </w:tcPr>
          <w:p>
            <w:pPr>
              <w:spacing w:after="0"/>
              <w:rPr>
                <w:sz w:val="24"/>
                <w:szCs w:val="24"/>
                <w:color w:val="auto"/>
              </w:rPr>
            </w:pPr>
          </w:p>
        </w:tc>
        <w:tc>
          <w:tcPr>
            <w:tcW w:w="340" w:type="dxa"/>
            <w:vAlign w:val="bottom"/>
            <w:tcBorders>
              <w:top w:val="single" w:sz="8" w:color="0000EE"/>
              <w:right w:val="single" w:sz="8" w:color="E4E3E1"/>
            </w:tcBorders>
            <w:shd w:val="clear" w:color="auto" w:fill="E4E3E1"/>
          </w:tcPr>
          <w:p>
            <w:pPr>
              <w:spacing w:after="0"/>
              <w:rPr>
                <w:sz w:val="24"/>
                <w:szCs w:val="24"/>
                <w:color w:val="auto"/>
              </w:rPr>
            </w:pPr>
          </w:p>
        </w:tc>
        <w:tc>
          <w:tcPr>
            <w:tcW w:w="36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280" w:type="dxa"/>
            <w:vAlign w:val="bottom"/>
            <w:tcBorders>
              <w:top w:val="single" w:sz="8" w:color="E4E3E1"/>
              <w:right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48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360" w:type="dxa"/>
            <w:vAlign w:val="bottom"/>
            <w:tcBorders>
              <w:top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00" w:type="dxa"/>
            <w:vAlign w:val="bottom"/>
            <w:tcBorders>
              <w:top w:val="single" w:sz="8" w:color="E4E3E1"/>
            </w:tcBorders>
            <w:shd w:val="clear" w:color="auto" w:fill="E4E3E1"/>
          </w:tcPr>
          <w:p>
            <w:pPr>
              <w:spacing w:after="0"/>
              <w:rPr>
                <w:sz w:val="24"/>
                <w:szCs w:val="24"/>
                <w:color w:val="auto"/>
              </w:rPr>
            </w:pPr>
          </w:p>
        </w:tc>
        <w:tc>
          <w:tcPr>
            <w:tcW w:w="520" w:type="dxa"/>
            <w:vAlign w:val="bottom"/>
            <w:tcBorders>
              <w:top w:val="single" w:sz="8" w:color="E4E3E1"/>
            </w:tcBorders>
            <w:shd w:val="clear" w:color="auto" w:fill="E4E3E1"/>
          </w:tcPr>
          <w:p>
            <w:pPr>
              <w:spacing w:after="0"/>
              <w:rPr>
                <w:sz w:val="24"/>
                <w:szCs w:val="24"/>
                <w:color w:val="auto"/>
              </w:rPr>
            </w:pPr>
          </w:p>
        </w:tc>
        <w:tc>
          <w:tcPr>
            <w:tcW w:w="34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right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80" w:type="dxa"/>
            <w:vAlign w:val="bottom"/>
            <w:tcBorders>
              <w:top w:val="single" w:sz="8" w:color="E4E3E1"/>
            </w:tcBorders>
            <w:shd w:val="clear" w:color="auto" w:fill="E4E3E1"/>
          </w:tcPr>
          <w:p>
            <w:pPr>
              <w:spacing w:after="0"/>
              <w:rPr>
                <w:sz w:val="24"/>
                <w:szCs w:val="24"/>
                <w:color w:val="auto"/>
              </w:rPr>
            </w:pPr>
          </w:p>
        </w:tc>
        <w:tc>
          <w:tcPr>
            <w:tcW w:w="460" w:type="dxa"/>
            <w:vAlign w:val="bottom"/>
            <w:tcBorders>
              <w:top w:val="single" w:sz="8" w:color="009AC8"/>
            </w:tcBorders>
            <w:shd w:val="clear" w:color="auto" w:fill="009AC8"/>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940" w:type="dxa"/>
            <w:vAlign w:val="bottom"/>
            <w:shd w:val="clear" w:color="auto" w:fill="E4E3E1"/>
          </w:tcPr>
          <w:p>
            <w:pPr>
              <w:ind w:left="200"/>
              <w:spacing w:after="0"/>
              <w:rPr>
                <w:sz w:val="20"/>
                <w:szCs w:val="20"/>
                <w:color w:val="auto"/>
              </w:rPr>
            </w:pPr>
            <w:r>
              <w:rPr>
                <w:rFonts w:ascii="Arial" w:cs="Arial" w:eastAsia="Arial" w:hAnsi="Arial"/>
                <w:sz w:val="16"/>
                <w:szCs w:val="16"/>
                <w:b w:val="1"/>
                <w:bCs w:val="1"/>
                <w:color w:val="auto"/>
              </w:rPr>
              <w:t>PARENT COMPANY</w:t>
            </w:r>
          </w:p>
        </w:tc>
        <w:tc>
          <w:tcPr>
            <w:tcW w:w="660" w:type="dxa"/>
            <w:vAlign w:val="bottom"/>
            <w:gridSpan w:val="4"/>
            <w:shd w:val="clear" w:color="auto" w:fill="E4E3E1"/>
          </w:tcPr>
          <w:p>
            <w:pPr>
              <w:ind w:left="420"/>
              <w:spacing w:after="0"/>
              <w:rPr>
                <w:rFonts w:ascii="Arial" w:cs="Arial" w:eastAsia="Arial" w:hAnsi="Arial"/>
                <w:sz w:val="14"/>
                <w:szCs w:val="14"/>
                <w:b w:val="1"/>
                <w:bCs w:val="1"/>
                <w:color w:val="0000EE"/>
                <w:w w:val="93"/>
              </w:rPr>
            </w:pPr>
            <w:hyperlink w:anchor="page188">
              <w:r>
                <w:rPr>
                  <w:rFonts w:ascii="Arial" w:cs="Arial" w:eastAsia="Arial" w:hAnsi="Arial"/>
                  <w:sz w:val="14"/>
                  <w:szCs w:val="14"/>
                  <w:b w:val="1"/>
                  <w:bCs w:val="1"/>
                  <w:color w:val="0000EE"/>
                  <w:w w:val="93"/>
                </w:rPr>
                <w:t>182</w:t>
              </w:r>
            </w:hyperlink>
          </w:p>
        </w:tc>
        <w:tc>
          <w:tcPr>
            <w:tcW w:w="100" w:type="dxa"/>
            <w:vAlign w:val="bottom"/>
            <w:shd w:val="clear" w:color="auto" w:fill="E4E3E1"/>
          </w:tcPr>
          <w:p>
            <w:pPr>
              <w:spacing w:after="0"/>
              <w:rPr>
                <w:sz w:val="17"/>
                <w:szCs w:val="17"/>
                <w:color w:val="auto"/>
              </w:rPr>
            </w:pPr>
          </w:p>
        </w:tc>
        <w:tc>
          <w:tcPr>
            <w:tcW w:w="3980" w:type="dxa"/>
            <w:vAlign w:val="bottom"/>
            <w:gridSpan w:val="15"/>
            <w:shd w:val="clear" w:color="auto" w:fill="E4E3E1"/>
          </w:tcPr>
          <w:p>
            <w:pPr>
              <w:ind w:left="240"/>
              <w:spacing w:after="0"/>
              <w:rPr>
                <w:rFonts w:ascii="Arial" w:cs="Arial" w:eastAsia="Arial" w:hAnsi="Arial"/>
                <w:sz w:val="14"/>
                <w:szCs w:val="14"/>
                <w:color w:val="0000EE"/>
              </w:rPr>
            </w:pPr>
            <w:hyperlink w:anchor="page188">
              <w:r>
                <w:rPr>
                  <w:rFonts w:ascii="Arial" w:cs="Arial" w:eastAsia="Arial" w:hAnsi="Arial"/>
                  <w:sz w:val="14"/>
                  <w:szCs w:val="14"/>
                  <w:color w:val="0000EE"/>
                </w:rPr>
                <w:t>Parent Company Financial Statements</w:t>
              </w:r>
            </w:hyperlink>
          </w:p>
        </w:tc>
        <w:tc>
          <w:tcPr>
            <w:tcW w:w="10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180" w:type="dxa"/>
            <w:vAlign w:val="bottom"/>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00" w:type="dxa"/>
            <w:vAlign w:val="bottom"/>
            <w:shd w:val="clear" w:color="auto" w:fill="E4E3E1"/>
          </w:tcPr>
          <w:p>
            <w:pPr>
              <w:spacing w:after="0"/>
              <w:rPr>
                <w:sz w:val="17"/>
                <w:szCs w:val="17"/>
                <w:color w:val="auto"/>
              </w:rPr>
            </w:pPr>
          </w:p>
        </w:tc>
        <w:tc>
          <w:tcPr>
            <w:tcW w:w="520" w:type="dxa"/>
            <w:vAlign w:val="bottom"/>
            <w:shd w:val="clear" w:color="auto" w:fill="E4E3E1"/>
          </w:tcPr>
          <w:p>
            <w:pPr>
              <w:spacing w:after="0"/>
              <w:rPr>
                <w:sz w:val="17"/>
                <w:szCs w:val="17"/>
                <w:color w:val="auto"/>
              </w:rPr>
            </w:pPr>
          </w:p>
        </w:tc>
        <w:tc>
          <w:tcPr>
            <w:tcW w:w="340" w:type="dxa"/>
            <w:vAlign w:val="bottom"/>
            <w:shd w:val="clear" w:color="auto" w:fill="E4E3E1"/>
          </w:tcPr>
          <w:p>
            <w:pPr>
              <w:spacing w:after="0"/>
              <w:rPr>
                <w:sz w:val="17"/>
                <w:szCs w:val="17"/>
                <w:color w:val="auto"/>
              </w:rPr>
            </w:pPr>
          </w:p>
        </w:tc>
        <w:tc>
          <w:tcPr>
            <w:tcW w:w="180" w:type="dxa"/>
            <w:vAlign w:val="bottom"/>
            <w:tcBorders>
              <w:right w:val="single" w:sz="8" w:color="E4E3E1"/>
            </w:tcBorders>
            <w:shd w:val="clear" w:color="auto" w:fill="E4E3E1"/>
          </w:tcPr>
          <w:p>
            <w:pPr>
              <w:spacing w:after="0"/>
              <w:rPr>
                <w:sz w:val="17"/>
                <w:szCs w:val="17"/>
                <w:color w:val="auto"/>
              </w:rPr>
            </w:pPr>
          </w:p>
        </w:tc>
        <w:tc>
          <w:tcPr>
            <w:tcW w:w="160" w:type="dxa"/>
            <w:vAlign w:val="bottom"/>
            <w:shd w:val="clear" w:color="auto" w:fill="E4E3E1"/>
          </w:tcPr>
          <w:p>
            <w:pPr>
              <w:spacing w:after="0"/>
              <w:rPr>
                <w:sz w:val="17"/>
                <w:szCs w:val="17"/>
                <w:color w:val="auto"/>
              </w:rPr>
            </w:pPr>
          </w:p>
        </w:tc>
        <w:tc>
          <w:tcPr>
            <w:tcW w:w="780" w:type="dxa"/>
            <w:vAlign w:val="bottom"/>
            <w:shd w:val="clear" w:color="auto" w:fill="E4E3E1"/>
          </w:tcPr>
          <w:p>
            <w:pPr>
              <w:spacing w:after="0"/>
              <w:rPr>
                <w:sz w:val="17"/>
                <w:szCs w:val="17"/>
                <w:color w:val="auto"/>
              </w:rPr>
            </w:pPr>
          </w:p>
        </w:tc>
        <w:tc>
          <w:tcPr>
            <w:tcW w:w="460" w:type="dxa"/>
            <w:vAlign w:val="bottom"/>
            <w:shd w:val="clear" w:color="auto" w:fill="0066A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shd w:val="clear" w:color="auto" w:fill="E4E3E1"/>
          </w:tcPr>
          <w:p>
            <w:pPr>
              <w:ind w:left="200"/>
              <w:spacing w:after="0" w:line="167" w:lineRule="exact"/>
              <w:rPr>
                <w:sz w:val="20"/>
                <w:szCs w:val="20"/>
                <w:color w:val="auto"/>
              </w:rPr>
            </w:pPr>
            <w:r>
              <w:rPr>
                <w:rFonts w:ascii="Arial" w:cs="Arial" w:eastAsia="Arial" w:hAnsi="Arial"/>
                <w:sz w:val="16"/>
                <w:szCs w:val="16"/>
                <w:b w:val="1"/>
                <w:bCs w:val="1"/>
                <w:color w:val="auto"/>
              </w:rPr>
              <w:t>FINANCIAL STATEMENTS</w:t>
            </w:r>
          </w:p>
        </w:tc>
        <w:tc>
          <w:tcPr>
            <w:tcW w:w="420" w:type="dxa"/>
            <w:vAlign w:val="bottom"/>
            <w:shd w:val="clear" w:color="auto" w:fill="E4E3E1"/>
          </w:tcPr>
          <w:p>
            <w:pPr>
              <w:spacing w:after="0" w:line="20" w:lineRule="exact"/>
              <w:rPr>
                <w:sz w:val="1"/>
                <w:szCs w:val="1"/>
                <w:color w:val="auto"/>
              </w:rPr>
            </w:pPr>
          </w:p>
        </w:tc>
        <w:tc>
          <w:tcPr>
            <w:tcW w:w="80" w:type="dxa"/>
            <w:vAlign w:val="bottom"/>
            <w:tcBorders>
              <w:left w:val="single" w:sz="8" w:color="E4E3E1"/>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360" w:type="dxa"/>
            <w:vAlign w:val="bottom"/>
            <w:shd w:val="clear" w:color="auto" w:fill="E4E3E1"/>
          </w:tcPr>
          <w:p>
            <w:pPr>
              <w:spacing w:after="0" w:line="20" w:lineRule="exact"/>
              <w:rPr>
                <w:sz w:val="1"/>
                <w:szCs w:val="1"/>
                <w:color w:val="auto"/>
              </w:rPr>
            </w:pPr>
          </w:p>
        </w:tc>
        <w:tc>
          <w:tcPr>
            <w:tcW w:w="14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180" w:type="dxa"/>
            <w:vAlign w:val="bottom"/>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00" w:type="dxa"/>
            <w:vAlign w:val="bottom"/>
            <w:shd w:val="clear" w:color="auto" w:fill="E4E3E1"/>
          </w:tcPr>
          <w:p>
            <w:pPr>
              <w:spacing w:after="0" w:line="20" w:lineRule="exact"/>
              <w:rPr>
                <w:sz w:val="1"/>
                <w:szCs w:val="1"/>
                <w:color w:val="auto"/>
              </w:rPr>
            </w:pPr>
          </w:p>
        </w:tc>
        <w:tc>
          <w:tcPr>
            <w:tcW w:w="520" w:type="dxa"/>
            <w:vAlign w:val="bottom"/>
            <w:shd w:val="clear" w:color="auto" w:fill="E4E3E1"/>
          </w:tcPr>
          <w:p>
            <w:pPr>
              <w:spacing w:after="0" w:line="20" w:lineRule="exact"/>
              <w:rPr>
                <w:sz w:val="1"/>
                <w:szCs w:val="1"/>
                <w:color w:val="auto"/>
              </w:rPr>
            </w:pPr>
          </w:p>
        </w:tc>
        <w:tc>
          <w:tcPr>
            <w:tcW w:w="340" w:type="dxa"/>
            <w:vAlign w:val="bottom"/>
            <w:shd w:val="clear" w:color="auto" w:fill="E4E3E1"/>
          </w:tcPr>
          <w:p>
            <w:pPr>
              <w:spacing w:after="0" w:line="20" w:lineRule="exact"/>
              <w:rPr>
                <w:sz w:val="1"/>
                <w:szCs w:val="1"/>
                <w:color w:val="auto"/>
              </w:rPr>
            </w:pPr>
          </w:p>
        </w:tc>
        <w:tc>
          <w:tcPr>
            <w:tcW w:w="180" w:type="dxa"/>
            <w:vAlign w:val="bottom"/>
            <w:tcBorders>
              <w:right w:val="single" w:sz="8" w:color="E4E3E1"/>
            </w:tcBorders>
            <w:shd w:val="clear" w:color="auto" w:fill="E4E3E1"/>
          </w:tcPr>
          <w:p>
            <w:pPr>
              <w:spacing w:after="0" w:line="20" w:lineRule="exact"/>
              <w:rPr>
                <w:sz w:val="1"/>
                <w:szCs w:val="1"/>
                <w:color w:val="auto"/>
              </w:rPr>
            </w:pPr>
          </w:p>
        </w:tc>
        <w:tc>
          <w:tcPr>
            <w:tcW w:w="160" w:type="dxa"/>
            <w:vAlign w:val="bottom"/>
            <w:shd w:val="clear" w:color="auto" w:fill="E4E3E1"/>
          </w:tcPr>
          <w:p>
            <w:pPr>
              <w:spacing w:after="0" w:line="20" w:lineRule="exact"/>
              <w:rPr>
                <w:sz w:val="1"/>
                <w:szCs w:val="1"/>
                <w:color w:val="auto"/>
              </w:rPr>
            </w:pPr>
          </w:p>
        </w:tc>
        <w:tc>
          <w:tcPr>
            <w:tcW w:w="780" w:type="dxa"/>
            <w:vAlign w:val="bottom"/>
            <w:shd w:val="clear" w:color="auto" w:fill="E4E3E1"/>
          </w:tcPr>
          <w:p>
            <w:pPr>
              <w:spacing w:after="0" w:line="20" w:lineRule="exact"/>
              <w:rPr>
                <w:sz w:val="1"/>
                <w:szCs w:val="1"/>
                <w:color w:val="auto"/>
              </w:rPr>
            </w:pPr>
          </w:p>
        </w:tc>
        <w:tc>
          <w:tcPr>
            <w:tcW w:w="460" w:type="dxa"/>
            <w:vAlign w:val="bottom"/>
            <w:shd w:val="clear" w:color="auto" w:fill="0066A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940" w:type="dxa"/>
            <w:vAlign w:val="bottom"/>
            <w:vMerge w:val="continue"/>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240" w:type="dxa"/>
            <w:vAlign w:val="bottom"/>
            <w:tcBorders>
              <w:left w:val="single" w:sz="8" w:color="E4E3E1"/>
            </w:tcBorders>
            <w:gridSpan w:val="3"/>
            <w:shd w:val="clear" w:color="auto" w:fill="E4E3E1"/>
          </w:tcPr>
          <w:p>
            <w:pPr>
              <w:spacing w:after="0" w:line="153" w:lineRule="exact"/>
              <w:rPr>
                <w:rFonts w:ascii="Arial" w:cs="Arial" w:eastAsia="Arial" w:hAnsi="Arial"/>
                <w:sz w:val="14"/>
                <w:szCs w:val="14"/>
                <w:b w:val="1"/>
                <w:bCs w:val="1"/>
                <w:color w:val="0000EE"/>
                <w:w w:val="93"/>
              </w:rPr>
            </w:pPr>
            <w:hyperlink w:anchor="page192">
              <w:r>
                <w:rPr>
                  <w:rFonts w:ascii="Arial" w:cs="Arial" w:eastAsia="Arial" w:hAnsi="Arial"/>
                  <w:sz w:val="14"/>
                  <w:szCs w:val="14"/>
                  <w:b w:val="1"/>
                  <w:bCs w:val="1"/>
                  <w:color w:val="0000EE"/>
                  <w:w w:val="93"/>
                </w:rPr>
                <w:t>186</w:t>
              </w:r>
            </w:hyperlink>
          </w:p>
        </w:tc>
        <w:tc>
          <w:tcPr>
            <w:tcW w:w="100" w:type="dxa"/>
            <w:vAlign w:val="bottom"/>
            <w:shd w:val="clear" w:color="auto" w:fill="E4E3E1"/>
          </w:tcPr>
          <w:p>
            <w:pPr>
              <w:spacing w:after="0"/>
              <w:rPr>
                <w:sz w:val="14"/>
                <w:szCs w:val="14"/>
                <w:color w:val="auto"/>
              </w:rPr>
            </w:pPr>
          </w:p>
        </w:tc>
        <w:tc>
          <w:tcPr>
            <w:tcW w:w="3980" w:type="dxa"/>
            <w:vAlign w:val="bottom"/>
            <w:gridSpan w:val="15"/>
            <w:shd w:val="clear" w:color="auto" w:fill="E4E3E1"/>
          </w:tcPr>
          <w:p>
            <w:pPr>
              <w:ind w:left="240"/>
              <w:spacing w:after="0" w:line="153" w:lineRule="exact"/>
              <w:rPr>
                <w:rFonts w:ascii="Arial" w:cs="Arial" w:eastAsia="Arial" w:hAnsi="Arial"/>
                <w:sz w:val="14"/>
                <w:szCs w:val="14"/>
                <w:color w:val="0000EE"/>
              </w:rPr>
            </w:pPr>
            <w:hyperlink w:anchor="page192">
              <w:r>
                <w:rPr>
                  <w:rFonts w:ascii="Arial" w:cs="Arial" w:eastAsia="Arial" w:hAnsi="Arial"/>
                  <w:sz w:val="14"/>
                  <w:szCs w:val="14"/>
                  <w:color w:val="0000EE"/>
                </w:rPr>
                <w:t>Notes to the Parent Company Financial Statements</w:t>
              </w:r>
            </w:hyperlink>
          </w:p>
        </w:tc>
        <w:tc>
          <w:tcPr>
            <w:tcW w:w="10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180" w:type="dxa"/>
            <w:vAlign w:val="bottom"/>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520" w:type="dxa"/>
            <w:vAlign w:val="bottom"/>
            <w:shd w:val="clear" w:color="auto" w:fill="E4E3E1"/>
          </w:tcPr>
          <w:p>
            <w:pPr>
              <w:spacing w:after="0"/>
              <w:rPr>
                <w:sz w:val="14"/>
                <w:szCs w:val="14"/>
                <w:color w:val="auto"/>
              </w:rPr>
            </w:pPr>
          </w:p>
        </w:tc>
        <w:tc>
          <w:tcPr>
            <w:tcW w:w="340" w:type="dxa"/>
            <w:vAlign w:val="bottom"/>
            <w:shd w:val="clear" w:color="auto" w:fill="E4E3E1"/>
          </w:tcPr>
          <w:p>
            <w:pPr>
              <w:spacing w:after="0"/>
              <w:rPr>
                <w:sz w:val="14"/>
                <w:szCs w:val="14"/>
                <w:color w:val="auto"/>
              </w:rPr>
            </w:pPr>
          </w:p>
        </w:tc>
        <w:tc>
          <w:tcPr>
            <w:tcW w:w="180" w:type="dxa"/>
            <w:vAlign w:val="bottom"/>
            <w:tcBorders>
              <w:right w:val="single" w:sz="8" w:color="E4E3E1"/>
            </w:tcBorders>
            <w:shd w:val="clear" w:color="auto" w:fill="E4E3E1"/>
          </w:tcPr>
          <w:p>
            <w:pPr>
              <w:spacing w:after="0"/>
              <w:rPr>
                <w:sz w:val="14"/>
                <w:szCs w:val="14"/>
                <w:color w:val="auto"/>
              </w:rPr>
            </w:pPr>
          </w:p>
        </w:tc>
        <w:tc>
          <w:tcPr>
            <w:tcW w:w="160" w:type="dxa"/>
            <w:vAlign w:val="bottom"/>
            <w:shd w:val="clear" w:color="auto" w:fill="E4E3E1"/>
          </w:tcPr>
          <w:p>
            <w:pPr>
              <w:spacing w:after="0"/>
              <w:rPr>
                <w:sz w:val="14"/>
                <w:szCs w:val="14"/>
                <w:color w:val="auto"/>
              </w:rPr>
            </w:pPr>
          </w:p>
        </w:tc>
        <w:tc>
          <w:tcPr>
            <w:tcW w:w="780" w:type="dxa"/>
            <w:vAlign w:val="bottom"/>
            <w:shd w:val="clear" w:color="auto" w:fill="E4E3E1"/>
          </w:tcPr>
          <w:p>
            <w:pPr>
              <w:spacing w:after="0"/>
              <w:rPr>
                <w:sz w:val="14"/>
                <w:szCs w:val="14"/>
                <w:color w:val="auto"/>
              </w:rPr>
            </w:pPr>
          </w:p>
        </w:tc>
        <w:tc>
          <w:tcPr>
            <w:tcW w:w="460" w:type="dxa"/>
            <w:vAlign w:val="bottom"/>
            <w:shd w:val="clear" w:color="auto" w:fill="0066A5"/>
          </w:tcPr>
          <w:p>
            <w:pPr>
              <w:spacing w:after="0"/>
              <w:rPr>
                <w:sz w:val="14"/>
                <w:szCs w:val="14"/>
                <w:color w:val="auto"/>
              </w:rPr>
            </w:pPr>
          </w:p>
        </w:tc>
        <w:tc>
          <w:tcPr>
            <w:tcW w:w="0" w:type="dxa"/>
            <w:vAlign w:val="bottom"/>
          </w:tcPr>
          <w:p>
            <w:pPr>
              <w:spacing w:after="0"/>
              <w:rPr>
                <w:sz w:val="1"/>
                <w:szCs w:val="1"/>
                <w:color w:val="auto"/>
              </w:rPr>
            </w:pPr>
          </w:p>
        </w:tc>
      </w:tr>
      <w:tr>
        <w:trPr>
          <w:trHeight w:val="986"/>
        </w:trPr>
        <w:tc>
          <w:tcPr>
            <w:tcW w:w="2940" w:type="dxa"/>
            <w:vAlign w:val="bottom"/>
            <w:tcBorders>
              <w:top w:val="single" w:sz="8" w:color="E4E3E1"/>
            </w:tcBorders>
            <w:shd w:val="clear" w:color="auto" w:fill="E4E3E1"/>
          </w:tcPr>
          <w:p>
            <w:pPr>
              <w:spacing w:after="0"/>
              <w:rPr>
                <w:sz w:val="24"/>
                <w:szCs w:val="24"/>
                <w:color w:val="auto"/>
              </w:rPr>
            </w:pPr>
          </w:p>
        </w:tc>
        <w:tc>
          <w:tcPr>
            <w:tcW w:w="420" w:type="dxa"/>
            <w:vAlign w:val="bottom"/>
            <w:tcBorders>
              <w:top w:val="single" w:sz="8" w:color="E4E3E1"/>
            </w:tcBorders>
            <w:shd w:val="clear" w:color="auto" w:fill="E4E3E1"/>
          </w:tcPr>
          <w:p>
            <w:pPr>
              <w:spacing w:after="0"/>
              <w:rPr>
                <w:sz w:val="24"/>
                <w:szCs w:val="24"/>
                <w:color w:val="auto"/>
              </w:rPr>
            </w:pPr>
          </w:p>
        </w:tc>
        <w:tc>
          <w:tcPr>
            <w:tcW w:w="80" w:type="dxa"/>
            <w:vAlign w:val="bottom"/>
            <w:tcBorders>
              <w:top w:val="single" w:sz="8" w:color="0000EE"/>
              <w:lef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240" w:type="dxa"/>
            <w:vAlign w:val="bottom"/>
            <w:tcBorders>
              <w:top w:val="single" w:sz="8" w:color="E4E3E1"/>
            </w:tcBorders>
            <w:shd w:val="clear" w:color="auto" w:fill="E4E3E1"/>
          </w:tcPr>
          <w:p>
            <w:pPr>
              <w:spacing w:after="0"/>
              <w:rPr>
                <w:sz w:val="24"/>
                <w:szCs w:val="24"/>
                <w:color w:val="auto"/>
              </w:rPr>
            </w:pPr>
          </w:p>
        </w:tc>
        <w:tc>
          <w:tcPr>
            <w:tcW w:w="660" w:type="dxa"/>
            <w:vAlign w:val="bottom"/>
            <w:tcBorders>
              <w:top w:val="single" w:sz="8" w:color="0000EE"/>
              <w:right w:val="single" w:sz="8" w:color="E4E3E1"/>
            </w:tcBorders>
            <w:shd w:val="clear" w:color="auto" w:fill="E4E3E1"/>
          </w:tcPr>
          <w:p>
            <w:pPr>
              <w:spacing w:after="0"/>
              <w:rPr>
                <w:sz w:val="24"/>
                <w:szCs w:val="24"/>
                <w:color w:val="auto"/>
              </w:rPr>
            </w:pPr>
          </w:p>
        </w:tc>
        <w:tc>
          <w:tcPr>
            <w:tcW w:w="100" w:type="dxa"/>
            <w:vAlign w:val="bottom"/>
            <w:tcBorders>
              <w:top w:val="single" w:sz="8" w:color="0000EE"/>
              <w:right w:val="single" w:sz="8" w:color="E4E3E1"/>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380" w:type="dxa"/>
            <w:vAlign w:val="bottom"/>
            <w:tcBorders>
              <w:top w:val="single" w:sz="8" w:color="0000EE"/>
            </w:tcBorders>
            <w:shd w:val="clear" w:color="auto" w:fill="E4E3E1"/>
          </w:tcPr>
          <w:p>
            <w:pPr>
              <w:spacing w:after="0"/>
              <w:rPr>
                <w:sz w:val="24"/>
                <w:szCs w:val="24"/>
                <w:color w:val="auto"/>
              </w:rPr>
            </w:pPr>
          </w:p>
        </w:tc>
        <w:tc>
          <w:tcPr>
            <w:tcW w:w="340" w:type="dxa"/>
            <w:vAlign w:val="bottom"/>
            <w:tcBorders>
              <w:top w:val="single" w:sz="8" w:color="0000EE"/>
              <w:right w:val="single" w:sz="8" w:color="E4E3E1"/>
            </w:tcBorders>
            <w:shd w:val="clear" w:color="auto" w:fill="E4E3E1"/>
          </w:tcPr>
          <w:p>
            <w:pPr>
              <w:spacing w:after="0"/>
              <w:rPr>
                <w:sz w:val="24"/>
                <w:szCs w:val="24"/>
                <w:color w:val="auto"/>
              </w:rPr>
            </w:pPr>
          </w:p>
        </w:tc>
        <w:tc>
          <w:tcPr>
            <w:tcW w:w="360" w:type="dxa"/>
            <w:vAlign w:val="bottom"/>
            <w:tcBorders>
              <w:top w:val="single" w:sz="8" w:color="0000EE"/>
            </w:tcBorders>
            <w:shd w:val="clear" w:color="auto" w:fill="E4E3E1"/>
          </w:tcPr>
          <w:p>
            <w:pPr>
              <w:spacing w:after="0"/>
              <w:rPr>
                <w:sz w:val="24"/>
                <w:szCs w:val="24"/>
                <w:color w:val="auto"/>
              </w:rPr>
            </w:pPr>
          </w:p>
        </w:tc>
        <w:tc>
          <w:tcPr>
            <w:tcW w:w="80" w:type="dxa"/>
            <w:vAlign w:val="bottom"/>
            <w:tcBorders>
              <w:top w:val="single" w:sz="8" w:color="0000EE"/>
            </w:tcBorders>
            <w:shd w:val="clear" w:color="auto" w:fill="E4E3E1"/>
          </w:tcPr>
          <w:p>
            <w:pPr>
              <w:spacing w:after="0"/>
              <w:rPr>
                <w:sz w:val="24"/>
                <w:szCs w:val="24"/>
                <w:color w:val="auto"/>
              </w:rPr>
            </w:pPr>
          </w:p>
        </w:tc>
        <w:tc>
          <w:tcPr>
            <w:tcW w:w="280" w:type="dxa"/>
            <w:vAlign w:val="bottom"/>
            <w:tcBorders>
              <w:top w:val="single" w:sz="8" w:color="0000EE"/>
              <w:right w:val="single" w:sz="8" w:color="E4E3E1"/>
            </w:tcBorders>
            <w:shd w:val="clear" w:color="auto" w:fill="E4E3E1"/>
          </w:tcPr>
          <w:p>
            <w:pPr>
              <w:spacing w:after="0"/>
              <w:rPr>
                <w:sz w:val="24"/>
                <w:szCs w:val="24"/>
                <w:color w:val="auto"/>
              </w:rPr>
            </w:pPr>
          </w:p>
        </w:tc>
        <w:tc>
          <w:tcPr>
            <w:tcW w:w="140" w:type="dxa"/>
            <w:vAlign w:val="bottom"/>
            <w:tcBorders>
              <w:top w:val="single" w:sz="8" w:color="0000EE"/>
            </w:tcBorders>
            <w:shd w:val="clear" w:color="auto" w:fill="E4E3E1"/>
          </w:tcPr>
          <w:p>
            <w:pPr>
              <w:spacing w:after="0"/>
              <w:rPr>
                <w:sz w:val="24"/>
                <w:szCs w:val="24"/>
                <w:color w:val="auto"/>
              </w:rPr>
            </w:pPr>
          </w:p>
        </w:tc>
        <w:tc>
          <w:tcPr>
            <w:tcW w:w="480" w:type="dxa"/>
            <w:vAlign w:val="bottom"/>
            <w:tcBorders>
              <w:top w:val="single" w:sz="8" w:color="0000EE"/>
            </w:tcBorders>
            <w:shd w:val="clear" w:color="auto" w:fill="E4E3E1"/>
          </w:tcPr>
          <w:p>
            <w:pPr>
              <w:spacing w:after="0"/>
              <w:rPr>
                <w:sz w:val="24"/>
                <w:szCs w:val="24"/>
                <w:color w:val="auto"/>
              </w:rPr>
            </w:pPr>
          </w:p>
        </w:tc>
        <w:tc>
          <w:tcPr>
            <w:tcW w:w="100" w:type="dxa"/>
            <w:vAlign w:val="bottom"/>
            <w:tcBorders>
              <w:top w:val="single" w:sz="8" w:color="0000EE"/>
            </w:tcBorders>
            <w:shd w:val="clear" w:color="auto" w:fill="E4E3E1"/>
          </w:tcPr>
          <w:p>
            <w:pPr>
              <w:spacing w:after="0"/>
              <w:rPr>
                <w:sz w:val="24"/>
                <w:szCs w:val="24"/>
                <w:color w:val="auto"/>
              </w:rPr>
            </w:pPr>
          </w:p>
        </w:tc>
        <w:tc>
          <w:tcPr>
            <w:tcW w:w="240" w:type="dxa"/>
            <w:vAlign w:val="bottom"/>
            <w:tcBorders>
              <w:top w:val="single" w:sz="8" w:color="0000EE"/>
            </w:tcBorders>
            <w:shd w:val="clear" w:color="auto" w:fill="E4E3E1"/>
          </w:tcPr>
          <w:p>
            <w:pPr>
              <w:spacing w:after="0"/>
              <w:rPr>
                <w:sz w:val="24"/>
                <w:szCs w:val="24"/>
                <w:color w:val="auto"/>
              </w:rPr>
            </w:pPr>
          </w:p>
        </w:tc>
        <w:tc>
          <w:tcPr>
            <w:tcW w:w="360" w:type="dxa"/>
            <w:vAlign w:val="bottom"/>
            <w:tcBorders>
              <w:top w:val="single" w:sz="8" w:color="E4E3E1"/>
            </w:tcBorders>
            <w:shd w:val="clear" w:color="auto" w:fill="E4E3E1"/>
          </w:tcPr>
          <w:p>
            <w:pPr>
              <w:spacing w:after="0"/>
              <w:rPr>
                <w:sz w:val="24"/>
                <w:szCs w:val="24"/>
                <w:color w:val="auto"/>
              </w:rPr>
            </w:pPr>
          </w:p>
        </w:tc>
        <w:tc>
          <w:tcPr>
            <w:tcW w:w="140" w:type="dxa"/>
            <w:vAlign w:val="bottom"/>
            <w:tcBorders>
              <w:top w:val="single" w:sz="8" w:color="E4E3E1"/>
            </w:tcBorders>
            <w:shd w:val="clear" w:color="auto" w:fill="E4E3E1"/>
          </w:tcPr>
          <w:p>
            <w:pPr>
              <w:spacing w:after="0"/>
              <w:rPr>
                <w:sz w:val="24"/>
                <w:szCs w:val="24"/>
                <w:color w:val="auto"/>
              </w:rPr>
            </w:pPr>
          </w:p>
        </w:tc>
        <w:tc>
          <w:tcPr>
            <w:tcW w:w="10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00" w:type="dxa"/>
            <w:vAlign w:val="bottom"/>
            <w:tcBorders>
              <w:top w:val="single" w:sz="8" w:color="E4E3E1"/>
            </w:tcBorders>
            <w:shd w:val="clear" w:color="auto" w:fill="E4E3E1"/>
          </w:tcPr>
          <w:p>
            <w:pPr>
              <w:spacing w:after="0"/>
              <w:rPr>
                <w:sz w:val="24"/>
                <w:szCs w:val="24"/>
                <w:color w:val="auto"/>
              </w:rPr>
            </w:pPr>
          </w:p>
        </w:tc>
        <w:tc>
          <w:tcPr>
            <w:tcW w:w="520" w:type="dxa"/>
            <w:vAlign w:val="bottom"/>
            <w:tcBorders>
              <w:top w:val="single" w:sz="8" w:color="E4E3E1"/>
            </w:tcBorders>
            <w:shd w:val="clear" w:color="auto" w:fill="E4E3E1"/>
          </w:tcPr>
          <w:p>
            <w:pPr>
              <w:spacing w:after="0"/>
              <w:rPr>
                <w:sz w:val="24"/>
                <w:szCs w:val="24"/>
                <w:color w:val="auto"/>
              </w:rPr>
            </w:pPr>
          </w:p>
        </w:tc>
        <w:tc>
          <w:tcPr>
            <w:tcW w:w="340" w:type="dxa"/>
            <w:vAlign w:val="bottom"/>
            <w:tcBorders>
              <w:top w:val="single" w:sz="8" w:color="E4E3E1"/>
            </w:tcBorders>
            <w:shd w:val="clear" w:color="auto" w:fill="E4E3E1"/>
          </w:tcPr>
          <w:p>
            <w:pPr>
              <w:spacing w:after="0"/>
              <w:rPr>
                <w:sz w:val="24"/>
                <w:szCs w:val="24"/>
                <w:color w:val="auto"/>
              </w:rPr>
            </w:pPr>
          </w:p>
        </w:tc>
        <w:tc>
          <w:tcPr>
            <w:tcW w:w="180" w:type="dxa"/>
            <w:vAlign w:val="bottom"/>
            <w:tcBorders>
              <w:top w:val="single" w:sz="8" w:color="E4E3E1"/>
              <w:right w:val="single" w:sz="8" w:color="E4E3E1"/>
            </w:tcBorders>
            <w:shd w:val="clear" w:color="auto" w:fill="E4E3E1"/>
          </w:tcPr>
          <w:p>
            <w:pPr>
              <w:spacing w:after="0"/>
              <w:rPr>
                <w:sz w:val="24"/>
                <w:szCs w:val="24"/>
                <w:color w:val="auto"/>
              </w:rPr>
            </w:pPr>
          </w:p>
        </w:tc>
        <w:tc>
          <w:tcPr>
            <w:tcW w:w="160" w:type="dxa"/>
            <w:vAlign w:val="bottom"/>
            <w:tcBorders>
              <w:top w:val="single" w:sz="8" w:color="E4E3E1"/>
            </w:tcBorders>
            <w:shd w:val="clear" w:color="auto" w:fill="E4E3E1"/>
          </w:tcPr>
          <w:p>
            <w:pPr>
              <w:spacing w:after="0"/>
              <w:rPr>
                <w:sz w:val="24"/>
                <w:szCs w:val="24"/>
                <w:color w:val="auto"/>
              </w:rPr>
            </w:pPr>
          </w:p>
        </w:tc>
        <w:tc>
          <w:tcPr>
            <w:tcW w:w="780" w:type="dxa"/>
            <w:vAlign w:val="bottom"/>
            <w:tcBorders>
              <w:top w:val="single" w:sz="8" w:color="E4E3E1"/>
            </w:tcBorders>
            <w:shd w:val="clear" w:color="auto" w:fill="E4E3E1"/>
          </w:tcPr>
          <w:p>
            <w:pPr>
              <w:spacing w:after="0"/>
              <w:rPr>
                <w:sz w:val="24"/>
                <w:szCs w:val="24"/>
                <w:color w:val="auto"/>
              </w:rPr>
            </w:pPr>
          </w:p>
        </w:tc>
        <w:tc>
          <w:tcPr>
            <w:tcW w:w="460" w:type="dxa"/>
            <w:vAlign w:val="bottom"/>
            <w:tcBorders>
              <w:top w:val="single" w:sz="8" w:color="0066A5"/>
            </w:tcBorders>
            <w:shd w:val="clear" w:color="auto" w:fill="0066A5"/>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940" w:type="dxa"/>
            <w:vAlign w:val="bottom"/>
          </w:tcPr>
          <w:p>
            <w:pPr>
              <w:spacing w:after="0"/>
              <w:rPr>
                <w:sz w:val="5"/>
                <w:szCs w:val="5"/>
                <w:color w:val="auto"/>
              </w:rPr>
            </w:pPr>
          </w:p>
        </w:tc>
        <w:tc>
          <w:tcPr>
            <w:tcW w:w="420" w:type="dxa"/>
            <w:vAlign w:val="bottom"/>
            <w:shd w:val="clear" w:color="auto" w:fill="E4E3E1"/>
          </w:tcPr>
          <w:p>
            <w:pPr>
              <w:spacing w:after="0"/>
              <w:rPr>
                <w:sz w:val="5"/>
                <w:szCs w:val="5"/>
                <w:color w:val="auto"/>
              </w:rPr>
            </w:pPr>
          </w:p>
        </w:tc>
        <w:tc>
          <w:tcPr>
            <w:tcW w:w="80" w:type="dxa"/>
            <w:vAlign w:val="bottom"/>
            <w:tcBorders>
              <w:left w:val="single" w:sz="8" w:color="E4E3E1"/>
            </w:tcBorders>
            <w:shd w:val="clear" w:color="auto" w:fill="E4E3E1"/>
          </w:tcPr>
          <w:p>
            <w:pPr>
              <w:spacing w:after="0"/>
              <w:rPr>
                <w:sz w:val="5"/>
                <w:szCs w:val="5"/>
                <w:color w:val="auto"/>
              </w:rPr>
            </w:pPr>
          </w:p>
        </w:tc>
        <w:tc>
          <w:tcPr>
            <w:tcW w:w="80" w:type="dxa"/>
            <w:vAlign w:val="bottom"/>
            <w:shd w:val="clear" w:color="auto" w:fill="E4E3E1"/>
          </w:tcPr>
          <w:p>
            <w:pPr>
              <w:spacing w:after="0"/>
              <w:rPr>
                <w:sz w:val="5"/>
                <w:szCs w:val="5"/>
                <w:color w:val="auto"/>
              </w:rPr>
            </w:pPr>
          </w:p>
        </w:tc>
        <w:tc>
          <w:tcPr>
            <w:tcW w:w="80" w:type="dxa"/>
            <w:vAlign w:val="bottom"/>
            <w:shd w:val="clear" w:color="auto" w:fill="E4E3E1"/>
          </w:tcPr>
          <w:p>
            <w:pPr>
              <w:spacing w:after="0"/>
              <w:rPr>
                <w:sz w:val="5"/>
                <w:szCs w:val="5"/>
                <w:color w:val="auto"/>
              </w:rPr>
            </w:pPr>
          </w:p>
        </w:tc>
        <w:tc>
          <w:tcPr>
            <w:tcW w:w="100" w:type="dxa"/>
            <w:vAlign w:val="bottom"/>
            <w:shd w:val="clear" w:color="auto" w:fill="E4E3E1"/>
          </w:tcPr>
          <w:p>
            <w:pPr>
              <w:spacing w:after="0"/>
              <w:rPr>
                <w:sz w:val="5"/>
                <w:szCs w:val="5"/>
                <w:color w:val="auto"/>
              </w:rPr>
            </w:pPr>
          </w:p>
        </w:tc>
        <w:tc>
          <w:tcPr>
            <w:tcW w:w="240" w:type="dxa"/>
            <w:vAlign w:val="bottom"/>
            <w:shd w:val="clear" w:color="auto" w:fill="E4E3E1"/>
          </w:tcPr>
          <w:p>
            <w:pPr>
              <w:spacing w:after="0"/>
              <w:rPr>
                <w:sz w:val="5"/>
                <w:szCs w:val="5"/>
                <w:color w:val="auto"/>
              </w:rPr>
            </w:pPr>
          </w:p>
        </w:tc>
        <w:tc>
          <w:tcPr>
            <w:tcW w:w="660" w:type="dxa"/>
            <w:vAlign w:val="bottom"/>
            <w:tcBorders>
              <w:right w:val="single" w:sz="8" w:color="E4E3E1"/>
            </w:tcBorders>
            <w:shd w:val="clear" w:color="auto" w:fill="E4E3E1"/>
          </w:tcPr>
          <w:p>
            <w:pPr>
              <w:spacing w:after="0"/>
              <w:rPr>
                <w:sz w:val="5"/>
                <w:szCs w:val="5"/>
                <w:color w:val="auto"/>
              </w:rPr>
            </w:pPr>
          </w:p>
        </w:tc>
        <w:tc>
          <w:tcPr>
            <w:tcW w:w="100" w:type="dxa"/>
            <w:vAlign w:val="bottom"/>
            <w:tcBorders>
              <w:right w:val="single" w:sz="8" w:color="E4E3E1"/>
            </w:tcBorders>
            <w:shd w:val="clear" w:color="auto" w:fill="E4E3E1"/>
          </w:tcPr>
          <w:p>
            <w:pPr>
              <w:spacing w:after="0"/>
              <w:rPr>
                <w:sz w:val="5"/>
                <w:szCs w:val="5"/>
                <w:color w:val="auto"/>
              </w:rPr>
            </w:pPr>
          </w:p>
        </w:tc>
        <w:tc>
          <w:tcPr>
            <w:tcW w:w="80" w:type="dxa"/>
            <w:vAlign w:val="bottom"/>
            <w:shd w:val="clear" w:color="auto" w:fill="E4E3E1"/>
          </w:tcPr>
          <w:p>
            <w:pPr>
              <w:spacing w:after="0"/>
              <w:rPr>
                <w:sz w:val="5"/>
                <w:szCs w:val="5"/>
                <w:color w:val="auto"/>
              </w:rPr>
            </w:pPr>
          </w:p>
        </w:tc>
        <w:tc>
          <w:tcPr>
            <w:tcW w:w="380" w:type="dxa"/>
            <w:vAlign w:val="bottom"/>
            <w:shd w:val="clear" w:color="auto" w:fill="E4E3E1"/>
          </w:tcPr>
          <w:p>
            <w:pPr>
              <w:spacing w:after="0"/>
              <w:rPr>
                <w:sz w:val="5"/>
                <w:szCs w:val="5"/>
                <w:color w:val="auto"/>
              </w:rPr>
            </w:pPr>
          </w:p>
        </w:tc>
        <w:tc>
          <w:tcPr>
            <w:tcW w:w="340" w:type="dxa"/>
            <w:vAlign w:val="bottom"/>
            <w:tcBorders>
              <w:right w:val="single" w:sz="8" w:color="E4E3E1"/>
            </w:tcBorders>
            <w:shd w:val="clear" w:color="auto" w:fill="E4E3E1"/>
          </w:tcPr>
          <w:p>
            <w:pPr>
              <w:spacing w:after="0"/>
              <w:rPr>
                <w:sz w:val="5"/>
                <w:szCs w:val="5"/>
                <w:color w:val="auto"/>
              </w:rPr>
            </w:pPr>
          </w:p>
        </w:tc>
        <w:tc>
          <w:tcPr>
            <w:tcW w:w="360" w:type="dxa"/>
            <w:vAlign w:val="bottom"/>
            <w:shd w:val="clear" w:color="auto" w:fill="E4E3E1"/>
          </w:tcPr>
          <w:p>
            <w:pPr>
              <w:spacing w:after="0"/>
              <w:rPr>
                <w:sz w:val="5"/>
                <w:szCs w:val="5"/>
                <w:color w:val="auto"/>
              </w:rPr>
            </w:pPr>
          </w:p>
        </w:tc>
        <w:tc>
          <w:tcPr>
            <w:tcW w:w="80" w:type="dxa"/>
            <w:vAlign w:val="bottom"/>
            <w:shd w:val="clear" w:color="auto" w:fill="E4E3E1"/>
          </w:tcPr>
          <w:p>
            <w:pPr>
              <w:spacing w:after="0"/>
              <w:rPr>
                <w:sz w:val="5"/>
                <w:szCs w:val="5"/>
                <w:color w:val="auto"/>
              </w:rPr>
            </w:pPr>
          </w:p>
        </w:tc>
        <w:tc>
          <w:tcPr>
            <w:tcW w:w="280" w:type="dxa"/>
            <w:vAlign w:val="bottom"/>
            <w:tcBorders>
              <w:right w:val="single" w:sz="8" w:color="E4E3E1"/>
            </w:tcBorders>
            <w:shd w:val="clear" w:color="auto" w:fill="E4E3E1"/>
          </w:tcPr>
          <w:p>
            <w:pPr>
              <w:spacing w:after="0"/>
              <w:rPr>
                <w:sz w:val="5"/>
                <w:szCs w:val="5"/>
                <w:color w:val="auto"/>
              </w:rPr>
            </w:pPr>
          </w:p>
        </w:tc>
        <w:tc>
          <w:tcPr>
            <w:tcW w:w="140" w:type="dxa"/>
            <w:vAlign w:val="bottom"/>
            <w:shd w:val="clear" w:color="auto" w:fill="E4E3E1"/>
          </w:tcPr>
          <w:p>
            <w:pPr>
              <w:spacing w:after="0"/>
              <w:rPr>
                <w:sz w:val="5"/>
                <w:szCs w:val="5"/>
                <w:color w:val="auto"/>
              </w:rPr>
            </w:pPr>
          </w:p>
        </w:tc>
        <w:tc>
          <w:tcPr>
            <w:tcW w:w="480" w:type="dxa"/>
            <w:vAlign w:val="bottom"/>
            <w:shd w:val="clear" w:color="auto" w:fill="E4E3E1"/>
          </w:tcPr>
          <w:p>
            <w:pPr>
              <w:spacing w:after="0"/>
              <w:rPr>
                <w:sz w:val="5"/>
                <w:szCs w:val="5"/>
                <w:color w:val="auto"/>
              </w:rPr>
            </w:pPr>
          </w:p>
        </w:tc>
        <w:tc>
          <w:tcPr>
            <w:tcW w:w="100" w:type="dxa"/>
            <w:vAlign w:val="bottom"/>
            <w:shd w:val="clear" w:color="auto" w:fill="E4E3E1"/>
          </w:tcPr>
          <w:p>
            <w:pPr>
              <w:spacing w:after="0"/>
              <w:rPr>
                <w:sz w:val="5"/>
                <w:szCs w:val="5"/>
                <w:color w:val="auto"/>
              </w:rPr>
            </w:pPr>
          </w:p>
        </w:tc>
        <w:tc>
          <w:tcPr>
            <w:tcW w:w="240" w:type="dxa"/>
            <w:vAlign w:val="bottom"/>
            <w:shd w:val="clear" w:color="auto" w:fill="E4E3E1"/>
          </w:tcPr>
          <w:p>
            <w:pPr>
              <w:spacing w:after="0"/>
              <w:rPr>
                <w:sz w:val="5"/>
                <w:szCs w:val="5"/>
                <w:color w:val="auto"/>
              </w:rPr>
            </w:pPr>
          </w:p>
        </w:tc>
        <w:tc>
          <w:tcPr>
            <w:tcW w:w="360" w:type="dxa"/>
            <w:vAlign w:val="bottom"/>
            <w:shd w:val="clear" w:color="auto" w:fill="E4E3E1"/>
          </w:tcPr>
          <w:p>
            <w:pPr>
              <w:spacing w:after="0"/>
              <w:rPr>
                <w:sz w:val="5"/>
                <w:szCs w:val="5"/>
                <w:color w:val="auto"/>
              </w:rPr>
            </w:pPr>
          </w:p>
        </w:tc>
        <w:tc>
          <w:tcPr>
            <w:tcW w:w="140" w:type="dxa"/>
            <w:vAlign w:val="bottom"/>
            <w:shd w:val="clear" w:color="auto" w:fill="E4E3E1"/>
          </w:tcPr>
          <w:p>
            <w:pPr>
              <w:spacing w:after="0"/>
              <w:rPr>
                <w:sz w:val="5"/>
                <w:szCs w:val="5"/>
                <w:color w:val="auto"/>
              </w:rPr>
            </w:pPr>
          </w:p>
        </w:tc>
        <w:tc>
          <w:tcPr>
            <w:tcW w:w="100" w:type="dxa"/>
            <w:vAlign w:val="bottom"/>
            <w:shd w:val="clear" w:color="auto" w:fill="E4E3E1"/>
          </w:tcPr>
          <w:p>
            <w:pPr>
              <w:spacing w:after="0"/>
              <w:rPr>
                <w:sz w:val="5"/>
                <w:szCs w:val="5"/>
                <w:color w:val="auto"/>
              </w:rPr>
            </w:pPr>
          </w:p>
        </w:tc>
        <w:tc>
          <w:tcPr>
            <w:tcW w:w="160" w:type="dxa"/>
            <w:vAlign w:val="bottom"/>
            <w:shd w:val="clear" w:color="auto" w:fill="E4E3E1"/>
          </w:tcPr>
          <w:p>
            <w:pPr>
              <w:spacing w:after="0"/>
              <w:rPr>
                <w:sz w:val="5"/>
                <w:szCs w:val="5"/>
                <w:color w:val="auto"/>
              </w:rPr>
            </w:pPr>
          </w:p>
        </w:tc>
        <w:tc>
          <w:tcPr>
            <w:tcW w:w="180" w:type="dxa"/>
            <w:vAlign w:val="bottom"/>
            <w:shd w:val="clear" w:color="auto" w:fill="E4E3E1"/>
          </w:tcPr>
          <w:p>
            <w:pPr>
              <w:spacing w:after="0"/>
              <w:rPr>
                <w:sz w:val="5"/>
                <w:szCs w:val="5"/>
                <w:color w:val="auto"/>
              </w:rPr>
            </w:pPr>
          </w:p>
        </w:tc>
        <w:tc>
          <w:tcPr>
            <w:tcW w:w="160" w:type="dxa"/>
            <w:vAlign w:val="bottom"/>
            <w:shd w:val="clear" w:color="auto" w:fill="E4E3E1"/>
          </w:tcPr>
          <w:p>
            <w:pPr>
              <w:spacing w:after="0"/>
              <w:rPr>
                <w:sz w:val="5"/>
                <w:szCs w:val="5"/>
                <w:color w:val="auto"/>
              </w:rPr>
            </w:pPr>
          </w:p>
        </w:tc>
        <w:tc>
          <w:tcPr>
            <w:tcW w:w="700" w:type="dxa"/>
            <w:vAlign w:val="bottom"/>
            <w:shd w:val="clear" w:color="auto" w:fill="E4E3E1"/>
          </w:tcPr>
          <w:p>
            <w:pPr>
              <w:spacing w:after="0"/>
              <w:rPr>
                <w:sz w:val="5"/>
                <w:szCs w:val="5"/>
                <w:color w:val="auto"/>
              </w:rPr>
            </w:pPr>
          </w:p>
        </w:tc>
        <w:tc>
          <w:tcPr>
            <w:tcW w:w="520" w:type="dxa"/>
            <w:vAlign w:val="bottom"/>
            <w:shd w:val="clear" w:color="auto" w:fill="E4E3E1"/>
          </w:tcPr>
          <w:p>
            <w:pPr>
              <w:spacing w:after="0"/>
              <w:rPr>
                <w:sz w:val="5"/>
                <w:szCs w:val="5"/>
                <w:color w:val="auto"/>
              </w:rPr>
            </w:pPr>
          </w:p>
        </w:tc>
        <w:tc>
          <w:tcPr>
            <w:tcW w:w="340" w:type="dxa"/>
            <w:vAlign w:val="bottom"/>
            <w:shd w:val="clear" w:color="auto" w:fill="E4E3E1"/>
          </w:tcPr>
          <w:p>
            <w:pPr>
              <w:spacing w:after="0"/>
              <w:rPr>
                <w:sz w:val="5"/>
                <w:szCs w:val="5"/>
                <w:color w:val="auto"/>
              </w:rPr>
            </w:pPr>
          </w:p>
        </w:tc>
        <w:tc>
          <w:tcPr>
            <w:tcW w:w="180" w:type="dxa"/>
            <w:vAlign w:val="bottom"/>
            <w:tcBorders>
              <w:right w:val="single" w:sz="8" w:color="E4E3E1"/>
            </w:tcBorders>
            <w:shd w:val="clear" w:color="auto" w:fill="E4E3E1"/>
          </w:tcPr>
          <w:p>
            <w:pPr>
              <w:spacing w:after="0"/>
              <w:rPr>
                <w:sz w:val="5"/>
                <w:szCs w:val="5"/>
                <w:color w:val="auto"/>
              </w:rPr>
            </w:pPr>
          </w:p>
        </w:tc>
        <w:tc>
          <w:tcPr>
            <w:tcW w:w="160" w:type="dxa"/>
            <w:vAlign w:val="bottom"/>
            <w:shd w:val="clear" w:color="auto" w:fill="E4E3E1"/>
          </w:tcPr>
          <w:p>
            <w:pPr>
              <w:spacing w:after="0"/>
              <w:rPr>
                <w:sz w:val="5"/>
                <w:szCs w:val="5"/>
                <w:color w:val="auto"/>
              </w:rPr>
            </w:pPr>
          </w:p>
        </w:tc>
        <w:tc>
          <w:tcPr>
            <w:tcW w:w="780" w:type="dxa"/>
            <w:vAlign w:val="bottom"/>
            <w:shd w:val="clear" w:color="auto" w:fill="E4E3E1"/>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1860550" cy="1031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0550" cy="1031875"/>
                    </a:xfrm>
                    <a:prstGeom prst="rect">
                      <a:avLst/>
                    </a:prstGeom>
                    <a:noFill/>
                  </pic:spPr>
                </pic:pic>
              </a:graphicData>
            </a:graphic>
          </wp:anchor>
        </w:drawing>
        <w:drawing>
          <wp:anchor simplePos="0" relativeHeight="251657728" behindDoc="1" locked="0" layoutInCell="0" allowOverlap="1">
            <wp:simplePos x="0" y="0"/>
            <wp:positionH relativeFrom="column">
              <wp:posOffset>6965315</wp:posOffset>
            </wp:positionH>
            <wp:positionV relativeFrom="paragraph">
              <wp:posOffset>-33020</wp:posOffset>
            </wp:positionV>
            <wp:extent cx="287655" cy="103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7655" cy="1031875"/>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47"/>
        </w:trPr>
        <w:tc>
          <w:tcPr>
            <w:tcW w:w="2740" w:type="dxa"/>
            <w:vAlign w:val="bottom"/>
          </w:tcPr>
          <w:p>
            <w:pPr>
              <w:spacing w:after="0" w:line="127" w:lineRule="exact"/>
              <w:rPr>
                <w:sz w:val="20"/>
                <w:szCs w:val="20"/>
                <w:color w:val="auto"/>
              </w:rPr>
            </w:pPr>
            <w:r>
              <w:rPr>
                <w:rFonts w:ascii="Arial" w:cs="Arial" w:eastAsia="Arial" w:hAnsi="Arial"/>
                <w:sz w:val="14"/>
                <w:szCs w:val="14"/>
                <w:b w:val="1"/>
                <w:bCs w:val="1"/>
                <w:color w:val="auto"/>
              </w:rPr>
              <w:t>REPORTS OF THE</w:t>
            </w:r>
          </w:p>
        </w:tc>
        <w:tc>
          <w:tcPr>
            <w:tcW w:w="320" w:type="dxa"/>
            <w:vAlign w:val="bottom"/>
            <w:shd w:val="clear" w:color="auto" w:fill="E4E3E1"/>
          </w:tcPr>
          <w:p>
            <w:pPr>
              <w:spacing w:after="0"/>
              <w:rPr>
                <w:sz w:val="12"/>
                <w:szCs w:val="12"/>
                <w:color w:val="auto"/>
              </w:rPr>
            </w:pPr>
          </w:p>
        </w:tc>
        <w:tc>
          <w:tcPr>
            <w:tcW w:w="360" w:type="dxa"/>
            <w:vAlign w:val="bottom"/>
            <w:tcBorders>
              <w:right w:val="single" w:sz="8" w:color="E4E3E1"/>
            </w:tcBorders>
            <w:gridSpan w:val="2"/>
            <w:shd w:val="clear" w:color="auto" w:fill="E4E3E1"/>
          </w:tcPr>
          <w:p>
            <w:pPr>
              <w:jc w:val="right"/>
              <w:spacing w:after="0" w:line="127" w:lineRule="exact"/>
              <w:rPr>
                <w:rFonts w:ascii="Arial" w:cs="Arial" w:eastAsia="Arial" w:hAnsi="Arial"/>
                <w:sz w:val="14"/>
                <w:szCs w:val="14"/>
                <w:b w:val="1"/>
                <w:bCs w:val="1"/>
                <w:color w:val="0000EE"/>
              </w:rPr>
            </w:pPr>
            <w:hyperlink w:anchor="page201">
              <w:r>
                <w:rPr>
                  <w:rFonts w:ascii="Arial" w:cs="Arial" w:eastAsia="Arial" w:hAnsi="Arial"/>
                  <w:sz w:val="14"/>
                  <w:szCs w:val="14"/>
                  <w:b w:val="1"/>
                  <w:bCs w:val="1"/>
                  <w:color w:val="0000EE"/>
                </w:rPr>
                <w:t>195</w:t>
              </w:r>
            </w:hyperlink>
          </w:p>
        </w:tc>
        <w:tc>
          <w:tcPr>
            <w:tcW w:w="80" w:type="dxa"/>
            <w:vAlign w:val="bottom"/>
            <w:shd w:val="clear" w:color="auto" w:fill="E4E3E1"/>
          </w:tcPr>
          <w:p>
            <w:pPr>
              <w:spacing w:after="0"/>
              <w:rPr>
                <w:sz w:val="12"/>
                <w:szCs w:val="12"/>
                <w:color w:val="auto"/>
              </w:rPr>
            </w:pPr>
          </w:p>
        </w:tc>
        <w:tc>
          <w:tcPr>
            <w:tcW w:w="7720" w:type="dxa"/>
            <w:vAlign w:val="bottom"/>
            <w:gridSpan w:val="8"/>
            <w:shd w:val="clear" w:color="auto" w:fill="E4E3E1"/>
          </w:tcPr>
          <w:p>
            <w:pPr>
              <w:ind w:left="240"/>
              <w:spacing w:after="0" w:line="127" w:lineRule="exact"/>
              <w:rPr>
                <w:rFonts w:ascii="Arial" w:cs="Arial" w:eastAsia="Arial" w:hAnsi="Arial"/>
                <w:sz w:val="14"/>
                <w:szCs w:val="14"/>
                <w:color w:val="0000EE"/>
              </w:rPr>
            </w:pPr>
            <w:hyperlink w:anchor="page201">
              <w:r>
                <w:rPr>
                  <w:rFonts w:ascii="Arial" w:cs="Arial" w:eastAsia="Arial" w:hAnsi="Arial"/>
                  <w:sz w:val="14"/>
                  <w:szCs w:val="14"/>
                  <w:color w:val="0000EE"/>
                </w:rPr>
                <w:t>Reports of the Independent Auditors</w:t>
              </w:r>
            </w:hyperlink>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b w:val="1"/>
                <w:bCs w:val="1"/>
                <w:color w:val="auto"/>
              </w:rPr>
              <w:t>INDEPENDENT AUDITORS</w:t>
            </w:r>
          </w:p>
        </w:tc>
        <w:tc>
          <w:tcPr>
            <w:tcW w:w="32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60" w:type="dxa"/>
            <w:vAlign w:val="bottom"/>
            <w:tcBorders>
              <w:top w:val="single" w:sz="8" w:color="0000EE"/>
              <w:right w:val="single" w:sz="8" w:color="E4E3E1"/>
            </w:tcBorders>
            <w:shd w:val="clear" w:color="auto" w:fill="E4E3E1"/>
          </w:tcPr>
          <w:p>
            <w:pPr>
              <w:spacing w:after="0"/>
              <w:rPr>
                <w:sz w:val="17"/>
                <w:szCs w:val="17"/>
                <w:color w:val="auto"/>
              </w:rPr>
            </w:pPr>
          </w:p>
        </w:tc>
        <w:tc>
          <w:tcPr>
            <w:tcW w:w="8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500" w:type="dxa"/>
            <w:vAlign w:val="bottom"/>
            <w:tcBorders>
              <w:top w:val="single" w:sz="8" w:color="0000EE"/>
            </w:tcBorders>
            <w:shd w:val="clear" w:color="auto" w:fill="E4E3E1"/>
          </w:tcPr>
          <w:p>
            <w:pPr>
              <w:spacing w:after="0"/>
              <w:rPr>
                <w:sz w:val="17"/>
                <w:szCs w:val="17"/>
                <w:color w:val="auto"/>
              </w:rPr>
            </w:pPr>
          </w:p>
        </w:tc>
        <w:tc>
          <w:tcPr>
            <w:tcW w:w="1780" w:type="dxa"/>
            <w:vAlign w:val="bottom"/>
            <w:tcBorders>
              <w:top w:val="single" w:sz="8" w:color="0000EE"/>
            </w:tcBorders>
            <w:shd w:val="clear" w:color="auto" w:fill="E4E3E1"/>
          </w:tcPr>
          <w:p>
            <w:pPr>
              <w:spacing w:after="0"/>
              <w:rPr>
                <w:sz w:val="17"/>
                <w:szCs w:val="17"/>
                <w:color w:val="auto"/>
              </w:rPr>
            </w:pPr>
          </w:p>
        </w:tc>
        <w:tc>
          <w:tcPr>
            <w:tcW w:w="620" w:type="dxa"/>
            <w:vAlign w:val="bottom"/>
            <w:tcBorders>
              <w:top w:val="single" w:sz="8" w:color="E4E3E1"/>
            </w:tcBorders>
            <w:shd w:val="clear" w:color="auto" w:fill="E4E3E1"/>
          </w:tcPr>
          <w:p>
            <w:pPr>
              <w:spacing w:after="0"/>
              <w:rPr>
                <w:sz w:val="17"/>
                <w:szCs w:val="17"/>
                <w:color w:val="auto"/>
              </w:rPr>
            </w:pPr>
          </w:p>
        </w:tc>
        <w:tc>
          <w:tcPr>
            <w:tcW w:w="1040" w:type="dxa"/>
            <w:vAlign w:val="bottom"/>
            <w:tcBorders>
              <w:top w:val="single" w:sz="8" w:color="E4E3E1"/>
            </w:tcBorders>
            <w:shd w:val="clear" w:color="auto" w:fill="E4E3E1"/>
          </w:tcPr>
          <w:p>
            <w:pPr>
              <w:spacing w:after="0"/>
              <w:rPr>
                <w:sz w:val="17"/>
                <w:szCs w:val="17"/>
                <w:color w:val="auto"/>
              </w:rPr>
            </w:pPr>
          </w:p>
        </w:tc>
        <w:tc>
          <w:tcPr>
            <w:tcW w:w="800" w:type="dxa"/>
            <w:vAlign w:val="bottom"/>
            <w:tcBorders>
              <w:top w:val="single" w:sz="8" w:color="E4E3E1"/>
            </w:tcBorders>
            <w:shd w:val="clear" w:color="auto" w:fill="E4E3E1"/>
          </w:tcPr>
          <w:p>
            <w:pPr>
              <w:spacing w:after="0"/>
              <w:rPr>
                <w:sz w:val="17"/>
                <w:szCs w:val="17"/>
                <w:color w:val="auto"/>
              </w:rPr>
            </w:pPr>
          </w:p>
        </w:tc>
        <w:tc>
          <w:tcPr>
            <w:tcW w:w="2280" w:type="dxa"/>
            <w:vAlign w:val="bottom"/>
            <w:tcBorders>
              <w:top w:val="single" w:sz="8" w:color="E4E3E1"/>
            </w:tcBorders>
            <w:shd w:val="clear" w:color="auto" w:fill="E4E3E1"/>
          </w:tcPr>
          <w:p>
            <w:pPr>
              <w:spacing w:after="0"/>
              <w:rPr>
                <w:sz w:val="17"/>
                <w:szCs w:val="17"/>
                <w:color w:val="auto"/>
              </w:rPr>
            </w:pPr>
          </w:p>
        </w:tc>
        <w:tc>
          <w:tcPr>
            <w:tcW w:w="460" w:type="dxa"/>
            <w:vAlign w:val="bottom"/>
            <w:tcBorders>
              <w:top w:val="single" w:sz="8" w:color="E4E3E1"/>
            </w:tcBorders>
            <w:shd w:val="clear" w:color="auto" w:fill="E4E3E1"/>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2740" w:type="dxa"/>
            <w:vAlign w:val="bottom"/>
          </w:tcPr>
          <w:p>
            <w:pPr>
              <w:spacing w:after="0"/>
              <w:rPr>
                <w:sz w:val="20"/>
                <w:szCs w:val="20"/>
                <w:color w:val="auto"/>
              </w:rPr>
            </w:pPr>
            <w:r>
              <w:rPr>
                <w:rFonts w:ascii="Arial" w:cs="Arial" w:eastAsia="Arial" w:hAnsi="Arial"/>
                <w:sz w:val="16"/>
                <w:szCs w:val="16"/>
                <w:b w:val="1"/>
                <w:bCs w:val="1"/>
                <w:color w:val="auto"/>
              </w:rPr>
              <w:t>ROYAL DUTCH SHELL</w:t>
            </w:r>
          </w:p>
        </w:tc>
        <w:tc>
          <w:tcPr>
            <w:tcW w:w="32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260" w:type="dxa"/>
            <w:vAlign w:val="bottom"/>
            <w:tcBorders>
              <w:right w:val="single" w:sz="8" w:color="E4E3E1"/>
            </w:tcBorders>
            <w:shd w:val="clear" w:color="auto" w:fill="E4E3E1"/>
          </w:tcPr>
          <w:p>
            <w:pPr>
              <w:jc w:val="right"/>
              <w:spacing w:after="0"/>
              <w:rPr>
                <w:rFonts w:ascii="Arial" w:cs="Arial" w:eastAsia="Arial" w:hAnsi="Arial"/>
                <w:sz w:val="14"/>
                <w:szCs w:val="14"/>
                <w:b w:val="1"/>
                <w:bCs w:val="1"/>
                <w:color w:val="0000EE"/>
                <w:w w:val="93"/>
              </w:rPr>
            </w:pPr>
            <w:hyperlink w:anchor="page204">
              <w:r>
                <w:rPr>
                  <w:rFonts w:ascii="Arial" w:cs="Arial" w:eastAsia="Arial" w:hAnsi="Arial"/>
                  <w:sz w:val="14"/>
                  <w:szCs w:val="14"/>
                  <w:b w:val="1"/>
                  <w:bCs w:val="1"/>
                  <w:color w:val="0000EE"/>
                  <w:w w:val="93"/>
                </w:rPr>
                <w:t>197</w:t>
              </w:r>
            </w:hyperlink>
          </w:p>
        </w:tc>
        <w:tc>
          <w:tcPr>
            <w:tcW w:w="80" w:type="dxa"/>
            <w:vAlign w:val="bottom"/>
            <w:shd w:val="clear" w:color="auto" w:fill="E4E3E1"/>
          </w:tcPr>
          <w:p>
            <w:pPr>
              <w:spacing w:after="0"/>
              <w:rPr>
                <w:sz w:val="24"/>
                <w:szCs w:val="24"/>
                <w:color w:val="auto"/>
              </w:rPr>
            </w:pPr>
          </w:p>
        </w:tc>
        <w:tc>
          <w:tcPr>
            <w:tcW w:w="7720" w:type="dxa"/>
            <w:vAlign w:val="bottom"/>
            <w:gridSpan w:val="8"/>
            <w:shd w:val="clear" w:color="auto" w:fill="E4E3E1"/>
          </w:tcPr>
          <w:p>
            <w:pPr>
              <w:ind w:left="240"/>
              <w:spacing w:after="0"/>
              <w:rPr>
                <w:rFonts w:ascii="Arial" w:cs="Arial" w:eastAsia="Arial" w:hAnsi="Arial"/>
                <w:sz w:val="14"/>
                <w:szCs w:val="14"/>
                <w:color w:val="0000EE"/>
              </w:rPr>
            </w:pPr>
            <w:hyperlink w:anchor="page204">
              <w:r>
                <w:rPr>
                  <w:rFonts w:ascii="Arial" w:cs="Arial" w:eastAsia="Arial" w:hAnsi="Arial"/>
                  <w:sz w:val="14"/>
                  <w:szCs w:val="14"/>
                  <w:color w:val="0000EE"/>
                </w:rPr>
                <w:t>Royal Dutch Shell Dividend Access Trust Financial Statements</w:t>
              </w:r>
            </w:hyperlink>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line="167" w:lineRule="exact"/>
              <w:rPr>
                <w:sz w:val="20"/>
                <w:szCs w:val="20"/>
                <w:color w:val="auto"/>
              </w:rPr>
            </w:pPr>
            <w:r>
              <w:rPr>
                <w:rFonts w:ascii="Arial" w:cs="Arial" w:eastAsia="Arial" w:hAnsi="Arial"/>
                <w:sz w:val="16"/>
                <w:szCs w:val="16"/>
                <w:b w:val="1"/>
                <w:bCs w:val="1"/>
                <w:color w:val="auto"/>
              </w:rPr>
              <w:t>DIVIDEND ACCESS TRUST</w:t>
            </w:r>
          </w:p>
        </w:tc>
        <w:tc>
          <w:tcPr>
            <w:tcW w:w="320" w:type="dxa"/>
            <w:vAlign w:val="bottom"/>
            <w:shd w:val="clear" w:color="auto" w:fill="E4E3E1"/>
          </w:tcPr>
          <w:p>
            <w:pPr>
              <w:spacing w:after="0" w:line="20" w:lineRule="exact"/>
              <w:rPr>
                <w:sz w:val="1"/>
                <w:szCs w:val="1"/>
                <w:color w:val="auto"/>
              </w:rPr>
            </w:pPr>
          </w:p>
        </w:tc>
        <w:tc>
          <w:tcPr>
            <w:tcW w:w="100" w:type="dxa"/>
            <w:vAlign w:val="bottom"/>
            <w:shd w:val="clear" w:color="auto" w:fill="E4E3E1"/>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E4E3E1"/>
          </w:tcPr>
          <w:p>
            <w:pPr>
              <w:spacing w:after="0" w:line="20" w:lineRule="exact"/>
              <w:rPr>
                <w:sz w:val="1"/>
                <w:szCs w:val="1"/>
                <w:color w:val="auto"/>
              </w:rPr>
            </w:pPr>
          </w:p>
        </w:tc>
        <w:tc>
          <w:tcPr>
            <w:tcW w:w="240" w:type="dxa"/>
            <w:vAlign w:val="bottom"/>
            <w:shd w:val="clear" w:color="auto" w:fill="E4E3E1"/>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0" w:type="dxa"/>
            <w:vAlign w:val="bottom"/>
            <w:shd w:val="clear" w:color="auto" w:fill="E4E3E1"/>
          </w:tcPr>
          <w:p>
            <w:pPr>
              <w:spacing w:after="0" w:line="20" w:lineRule="exact"/>
              <w:rPr>
                <w:sz w:val="1"/>
                <w:szCs w:val="1"/>
                <w:color w:val="auto"/>
              </w:rPr>
            </w:pPr>
          </w:p>
        </w:tc>
        <w:tc>
          <w:tcPr>
            <w:tcW w:w="2280" w:type="dxa"/>
            <w:vAlign w:val="bottom"/>
            <w:shd w:val="clear" w:color="auto" w:fill="E4E3E1"/>
          </w:tcPr>
          <w:p>
            <w:pPr>
              <w:spacing w:after="0" w:line="20" w:lineRule="exact"/>
              <w:rPr>
                <w:sz w:val="1"/>
                <w:szCs w:val="1"/>
                <w:color w:val="auto"/>
              </w:rPr>
            </w:pPr>
          </w:p>
        </w:tc>
        <w:tc>
          <w:tcPr>
            <w:tcW w:w="460" w:type="dxa"/>
            <w:vAlign w:val="bottom"/>
            <w:shd w:val="clear" w:color="auto" w:fill="E4E3E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320" w:type="dxa"/>
            <w:vAlign w:val="bottom"/>
            <w:shd w:val="clear" w:color="auto" w:fill="E4E3E1"/>
          </w:tcPr>
          <w:p>
            <w:pPr>
              <w:spacing w:after="0"/>
              <w:rPr>
                <w:sz w:val="14"/>
                <w:szCs w:val="14"/>
                <w:color w:val="auto"/>
              </w:rPr>
            </w:pPr>
          </w:p>
        </w:tc>
        <w:tc>
          <w:tcPr>
            <w:tcW w:w="100" w:type="dxa"/>
            <w:vAlign w:val="bottom"/>
            <w:shd w:val="clear" w:color="auto" w:fill="E4E3E1"/>
          </w:tcPr>
          <w:p>
            <w:pPr>
              <w:spacing w:after="0"/>
              <w:rPr>
                <w:sz w:val="14"/>
                <w:szCs w:val="14"/>
                <w:color w:val="auto"/>
              </w:rPr>
            </w:pPr>
          </w:p>
        </w:tc>
        <w:tc>
          <w:tcPr>
            <w:tcW w:w="260" w:type="dxa"/>
            <w:vAlign w:val="bottom"/>
            <w:tcBorders>
              <w:right w:val="single" w:sz="8" w:color="E4E3E1"/>
            </w:tcBorders>
            <w:shd w:val="clear" w:color="auto" w:fill="E4E3E1"/>
          </w:tcPr>
          <w:p>
            <w:pPr>
              <w:jc w:val="right"/>
              <w:spacing w:after="0" w:line="153" w:lineRule="exact"/>
              <w:rPr>
                <w:rFonts w:ascii="Arial" w:cs="Arial" w:eastAsia="Arial" w:hAnsi="Arial"/>
                <w:sz w:val="14"/>
                <w:szCs w:val="14"/>
                <w:b w:val="1"/>
                <w:bCs w:val="1"/>
                <w:color w:val="0000EE"/>
                <w:w w:val="93"/>
              </w:rPr>
            </w:pPr>
            <w:hyperlink w:anchor="page209">
              <w:r>
                <w:rPr>
                  <w:rFonts w:ascii="Arial" w:cs="Arial" w:eastAsia="Arial" w:hAnsi="Arial"/>
                  <w:sz w:val="14"/>
                  <w:szCs w:val="14"/>
                  <w:b w:val="1"/>
                  <w:bCs w:val="1"/>
                  <w:color w:val="0000EE"/>
                  <w:w w:val="93"/>
                </w:rPr>
                <w:t>202</w:t>
              </w:r>
            </w:hyperlink>
          </w:p>
        </w:tc>
        <w:tc>
          <w:tcPr>
            <w:tcW w:w="80" w:type="dxa"/>
            <w:vAlign w:val="bottom"/>
            <w:shd w:val="clear" w:color="auto" w:fill="E4E3E1"/>
          </w:tcPr>
          <w:p>
            <w:pPr>
              <w:spacing w:after="0"/>
              <w:rPr>
                <w:sz w:val="14"/>
                <w:szCs w:val="14"/>
                <w:color w:val="auto"/>
              </w:rPr>
            </w:pPr>
          </w:p>
        </w:tc>
        <w:tc>
          <w:tcPr>
            <w:tcW w:w="240" w:type="dxa"/>
            <w:vAlign w:val="bottom"/>
            <w:shd w:val="clear" w:color="auto" w:fill="E4E3E1"/>
          </w:tcPr>
          <w:p>
            <w:pPr>
              <w:spacing w:after="0"/>
              <w:rPr>
                <w:sz w:val="14"/>
                <w:szCs w:val="14"/>
                <w:color w:val="auto"/>
              </w:rPr>
            </w:pPr>
          </w:p>
        </w:tc>
        <w:tc>
          <w:tcPr>
            <w:tcW w:w="7480" w:type="dxa"/>
            <w:vAlign w:val="bottom"/>
            <w:gridSpan w:val="7"/>
            <w:shd w:val="clear" w:color="auto" w:fill="E4E3E1"/>
          </w:tcPr>
          <w:p>
            <w:pPr>
              <w:spacing w:after="0" w:line="153" w:lineRule="exact"/>
              <w:rPr>
                <w:rFonts w:ascii="Arial" w:cs="Arial" w:eastAsia="Arial" w:hAnsi="Arial"/>
                <w:sz w:val="14"/>
                <w:szCs w:val="14"/>
                <w:color w:val="0000EE"/>
              </w:rPr>
            </w:pPr>
            <w:hyperlink w:anchor="page209">
              <w:r>
                <w:rPr>
                  <w:rFonts w:ascii="Arial" w:cs="Arial" w:eastAsia="Arial" w:hAnsi="Arial"/>
                  <w:sz w:val="14"/>
                  <w:szCs w:val="14"/>
                  <w:color w:val="0000EE"/>
                </w:rPr>
                <w:t>Notes to the Royal Dutch Shell Dividend Access Trust Financial Statements</w:t>
              </w:r>
            </w:hyperlink>
          </w:p>
        </w:tc>
        <w:tc>
          <w:tcPr>
            <w:tcW w:w="0" w:type="dxa"/>
            <w:vAlign w:val="bottom"/>
          </w:tcPr>
          <w:p>
            <w:pPr>
              <w:spacing w:after="0"/>
              <w:rPr>
                <w:sz w:val="1"/>
                <w:szCs w:val="1"/>
                <w:color w:val="auto"/>
              </w:rPr>
            </w:pPr>
          </w:p>
        </w:tc>
      </w:tr>
      <w:tr>
        <w:trPr>
          <w:trHeight w:val="206"/>
        </w:trPr>
        <w:tc>
          <w:tcPr>
            <w:tcW w:w="2740" w:type="dxa"/>
            <w:vAlign w:val="bottom"/>
          </w:tcPr>
          <w:p>
            <w:pPr>
              <w:spacing w:after="0"/>
              <w:rPr>
                <w:sz w:val="20"/>
                <w:szCs w:val="20"/>
                <w:color w:val="auto"/>
              </w:rPr>
            </w:pPr>
            <w:r>
              <w:rPr>
                <w:rFonts w:ascii="Arial" w:cs="Arial" w:eastAsia="Arial" w:hAnsi="Arial"/>
                <w:sz w:val="16"/>
                <w:szCs w:val="16"/>
                <w:b w:val="1"/>
                <w:bCs w:val="1"/>
                <w:color w:val="auto"/>
              </w:rPr>
              <w:t>FINANCIAL STATEMENTS</w:t>
            </w:r>
          </w:p>
        </w:tc>
        <w:tc>
          <w:tcPr>
            <w:tcW w:w="320" w:type="dxa"/>
            <w:vAlign w:val="bottom"/>
            <w:tcBorders>
              <w:top w:val="single" w:sz="8" w:color="E4E3E1"/>
            </w:tcBorders>
            <w:shd w:val="clear" w:color="auto" w:fill="E4E3E1"/>
          </w:tcPr>
          <w:p>
            <w:pPr>
              <w:spacing w:after="0"/>
              <w:rPr>
                <w:sz w:val="17"/>
                <w:szCs w:val="17"/>
                <w:color w:val="auto"/>
              </w:rPr>
            </w:pPr>
          </w:p>
        </w:tc>
        <w:tc>
          <w:tcPr>
            <w:tcW w:w="100" w:type="dxa"/>
            <w:vAlign w:val="bottom"/>
            <w:tcBorders>
              <w:top w:val="single" w:sz="8" w:color="E4E3E1"/>
            </w:tcBorders>
            <w:shd w:val="clear" w:color="auto" w:fill="E4E3E1"/>
          </w:tcPr>
          <w:p>
            <w:pPr>
              <w:spacing w:after="0"/>
              <w:rPr>
                <w:sz w:val="17"/>
                <w:szCs w:val="17"/>
                <w:color w:val="auto"/>
              </w:rPr>
            </w:pPr>
          </w:p>
        </w:tc>
        <w:tc>
          <w:tcPr>
            <w:tcW w:w="260" w:type="dxa"/>
            <w:vAlign w:val="bottom"/>
            <w:tcBorders>
              <w:top w:val="single" w:sz="8" w:color="0000EE"/>
              <w:right w:val="single" w:sz="8" w:color="E4E3E1"/>
            </w:tcBorders>
            <w:shd w:val="clear" w:color="auto" w:fill="E4E3E1"/>
          </w:tcPr>
          <w:p>
            <w:pPr>
              <w:spacing w:after="0"/>
              <w:rPr>
                <w:sz w:val="17"/>
                <w:szCs w:val="17"/>
                <w:color w:val="auto"/>
              </w:rPr>
            </w:pPr>
          </w:p>
        </w:tc>
        <w:tc>
          <w:tcPr>
            <w:tcW w:w="80" w:type="dxa"/>
            <w:vAlign w:val="bottom"/>
            <w:tcBorders>
              <w:top w:val="single" w:sz="8" w:color="E4E3E1"/>
            </w:tcBorders>
            <w:shd w:val="clear" w:color="auto" w:fill="E4E3E1"/>
          </w:tcPr>
          <w:p>
            <w:pPr>
              <w:spacing w:after="0"/>
              <w:rPr>
                <w:sz w:val="17"/>
                <w:szCs w:val="17"/>
                <w:color w:val="auto"/>
              </w:rPr>
            </w:pPr>
          </w:p>
        </w:tc>
        <w:tc>
          <w:tcPr>
            <w:tcW w:w="240" w:type="dxa"/>
            <w:vAlign w:val="bottom"/>
            <w:tcBorders>
              <w:top w:val="single" w:sz="8" w:color="E4E3E1"/>
            </w:tcBorders>
            <w:shd w:val="clear" w:color="auto" w:fill="E4E3E1"/>
          </w:tcPr>
          <w:p>
            <w:pPr>
              <w:spacing w:after="0"/>
              <w:rPr>
                <w:sz w:val="17"/>
                <w:szCs w:val="17"/>
                <w:color w:val="auto"/>
              </w:rPr>
            </w:pPr>
          </w:p>
        </w:tc>
        <w:tc>
          <w:tcPr>
            <w:tcW w:w="500" w:type="dxa"/>
            <w:vAlign w:val="bottom"/>
            <w:tcBorders>
              <w:top w:val="single" w:sz="8" w:color="0000EE"/>
            </w:tcBorders>
            <w:shd w:val="clear" w:color="auto" w:fill="E4E3E1"/>
          </w:tcPr>
          <w:p>
            <w:pPr>
              <w:spacing w:after="0"/>
              <w:rPr>
                <w:sz w:val="17"/>
                <w:szCs w:val="17"/>
                <w:color w:val="auto"/>
              </w:rPr>
            </w:pPr>
          </w:p>
        </w:tc>
        <w:tc>
          <w:tcPr>
            <w:tcW w:w="1780" w:type="dxa"/>
            <w:vAlign w:val="bottom"/>
            <w:tcBorders>
              <w:top w:val="single" w:sz="8" w:color="0000EE"/>
            </w:tcBorders>
            <w:shd w:val="clear" w:color="auto" w:fill="E4E3E1"/>
          </w:tcPr>
          <w:p>
            <w:pPr>
              <w:spacing w:after="0"/>
              <w:rPr>
                <w:sz w:val="17"/>
                <w:szCs w:val="17"/>
                <w:color w:val="auto"/>
              </w:rPr>
            </w:pPr>
          </w:p>
        </w:tc>
        <w:tc>
          <w:tcPr>
            <w:tcW w:w="620" w:type="dxa"/>
            <w:vAlign w:val="bottom"/>
            <w:tcBorders>
              <w:top w:val="single" w:sz="8" w:color="0000EE"/>
            </w:tcBorders>
            <w:shd w:val="clear" w:color="auto" w:fill="E4E3E1"/>
          </w:tcPr>
          <w:p>
            <w:pPr>
              <w:spacing w:after="0"/>
              <w:rPr>
                <w:sz w:val="17"/>
                <w:szCs w:val="17"/>
                <w:color w:val="auto"/>
              </w:rPr>
            </w:pPr>
          </w:p>
        </w:tc>
        <w:tc>
          <w:tcPr>
            <w:tcW w:w="1040" w:type="dxa"/>
            <w:vAlign w:val="bottom"/>
            <w:tcBorders>
              <w:top w:val="single" w:sz="8" w:color="0000EE"/>
            </w:tcBorders>
            <w:shd w:val="clear" w:color="auto" w:fill="E4E3E1"/>
          </w:tcPr>
          <w:p>
            <w:pPr>
              <w:spacing w:after="0"/>
              <w:rPr>
                <w:sz w:val="17"/>
                <w:szCs w:val="17"/>
                <w:color w:val="auto"/>
              </w:rPr>
            </w:pPr>
          </w:p>
        </w:tc>
        <w:tc>
          <w:tcPr>
            <w:tcW w:w="800" w:type="dxa"/>
            <w:vAlign w:val="bottom"/>
            <w:tcBorders>
              <w:top w:val="single" w:sz="8" w:color="0000EE"/>
            </w:tcBorders>
            <w:shd w:val="clear" w:color="auto" w:fill="E4E3E1"/>
          </w:tcPr>
          <w:p>
            <w:pPr>
              <w:spacing w:after="0"/>
              <w:rPr>
                <w:sz w:val="17"/>
                <w:szCs w:val="17"/>
                <w:color w:val="auto"/>
              </w:rPr>
            </w:pPr>
          </w:p>
        </w:tc>
        <w:tc>
          <w:tcPr>
            <w:tcW w:w="2280" w:type="dxa"/>
            <w:vAlign w:val="bottom"/>
            <w:tcBorders>
              <w:top w:val="single" w:sz="8" w:color="E4E3E1"/>
            </w:tcBorders>
            <w:shd w:val="clear" w:color="auto" w:fill="E4E3E1"/>
          </w:tcPr>
          <w:p>
            <w:pPr>
              <w:spacing w:after="0"/>
              <w:rPr>
                <w:sz w:val="17"/>
                <w:szCs w:val="17"/>
                <w:color w:val="auto"/>
              </w:rPr>
            </w:pPr>
          </w:p>
        </w:tc>
        <w:tc>
          <w:tcPr>
            <w:tcW w:w="460" w:type="dxa"/>
            <w:vAlign w:val="bottom"/>
            <w:tcBorders>
              <w:top w:val="single" w:sz="8" w:color="E4E3E1"/>
            </w:tcBorders>
            <w:shd w:val="clear" w:color="auto" w:fill="E4E3E1"/>
          </w:tcPr>
          <w:p>
            <w:pPr>
              <w:spacing w:after="0"/>
              <w:rPr>
                <w:sz w:val="17"/>
                <w:szCs w:val="17"/>
                <w:color w:val="auto"/>
              </w:rPr>
            </w:pPr>
          </w:p>
        </w:tc>
        <w:tc>
          <w:tcPr>
            <w:tcW w:w="0" w:type="dxa"/>
            <w:vAlign w:val="bottom"/>
          </w:tcPr>
          <w:p>
            <w:pPr>
              <w:spacing w:after="0"/>
              <w:rPr>
                <w:sz w:val="1"/>
                <w:szCs w:val="1"/>
                <w:color w:val="auto"/>
              </w:rPr>
            </w:pPr>
          </w:p>
        </w:tc>
      </w:tr>
      <w:tr>
        <w:trPr>
          <w:trHeight w:val="486"/>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ADDITIONAL SHAREHOLDER</w:t>
            </w:r>
          </w:p>
        </w:tc>
        <w:tc>
          <w:tcPr>
            <w:tcW w:w="320" w:type="dxa"/>
            <w:vAlign w:val="bottom"/>
            <w:shd w:val="clear" w:color="auto" w:fill="E4E3E1"/>
          </w:tcPr>
          <w:p>
            <w:pPr>
              <w:spacing w:after="0"/>
              <w:rPr>
                <w:sz w:val="24"/>
                <w:szCs w:val="24"/>
                <w:color w:val="auto"/>
              </w:rPr>
            </w:pPr>
          </w:p>
        </w:tc>
        <w:tc>
          <w:tcPr>
            <w:tcW w:w="100" w:type="dxa"/>
            <w:vAlign w:val="bottom"/>
            <w:shd w:val="clear" w:color="auto" w:fill="E4E3E1"/>
          </w:tcPr>
          <w:p>
            <w:pPr>
              <w:spacing w:after="0"/>
              <w:rPr>
                <w:sz w:val="24"/>
                <w:szCs w:val="24"/>
                <w:color w:val="auto"/>
              </w:rPr>
            </w:pPr>
          </w:p>
        </w:tc>
        <w:tc>
          <w:tcPr>
            <w:tcW w:w="260" w:type="dxa"/>
            <w:vAlign w:val="bottom"/>
            <w:tcBorders>
              <w:right w:val="single" w:sz="8" w:color="E4E3E1"/>
            </w:tcBorders>
            <w:shd w:val="clear" w:color="auto" w:fill="E4E3E1"/>
          </w:tcPr>
          <w:p>
            <w:pPr>
              <w:spacing w:after="0"/>
              <w:rPr>
                <w:sz w:val="24"/>
                <w:szCs w:val="24"/>
                <w:color w:val="auto"/>
              </w:rPr>
            </w:pPr>
          </w:p>
        </w:tc>
        <w:tc>
          <w:tcPr>
            <w:tcW w:w="80" w:type="dxa"/>
            <w:vAlign w:val="bottom"/>
            <w:shd w:val="clear" w:color="auto" w:fill="E4E3E1"/>
          </w:tcPr>
          <w:p>
            <w:pPr>
              <w:spacing w:after="0"/>
              <w:rPr>
                <w:sz w:val="24"/>
                <w:szCs w:val="24"/>
                <w:color w:val="auto"/>
              </w:rPr>
            </w:pPr>
          </w:p>
        </w:tc>
        <w:tc>
          <w:tcPr>
            <w:tcW w:w="240" w:type="dxa"/>
            <w:vAlign w:val="bottom"/>
            <w:shd w:val="clear" w:color="auto" w:fill="E4E3E1"/>
          </w:tcPr>
          <w:p>
            <w:pPr>
              <w:spacing w:after="0"/>
              <w:rPr>
                <w:sz w:val="24"/>
                <w:szCs w:val="24"/>
                <w:color w:val="auto"/>
              </w:rPr>
            </w:pPr>
          </w:p>
        </w:tc>
        <w:tc>
          <w:tcPr>
            <w:tcW w:w="500" w:type="dxa"/>
            <w:vAlign w:val="bottom"/>
            <w:shd w:val="clear" w:color="auto" w:fill="E4E3E1"/>
          </w:tcPr>
          <w:p>
            <w:pPr>
              <w:spacing w:after="0"/>
              <w:rPr>
                <w:sz w:val="24"/>
                <w:szCs w:val="24"/>
                <w:color w:val="auto"/>
              </w:rPr>
            </w:pPr>
          </w:p>
        </w:tc>
        <w:tc>
          <w:tcPr>
            <w:tcW w:w="1780" w:type="dxa"/>
            <w:vAlign w:val="bottom"/>
            <w:shd w:val="clear" w:color="auto" w:fill="E4E3E1"/>
          </w:tcPr>
          <w:p>
            <w:pPr>
              <w:spacing w:after="0"/>
              <w:rPr>
                <w:sz w:val="24"/>
                <w:szCs w:val="24"/>
                <w:color w:val="auto"/>
              </w:rPr>
            </w:pPr>
          </w:p>
        </w:tc>
        <w:tc>
          <w:tcPr>
            <w:tcW w:w="620" w:type="dxa"/>
            <w:vAlign w:val="bottom"/>
            <w:shd w:val="clear" w:color="auto" w:fill="E4E3E1"/>
          </w:tcPr>
          <w:p>
            <w:pPr>
              <w:spacing w:after="0"/>
              <w:rPr>
                <w:sz w:val="24"/>
                <w:szCs w:val="24"/>
                <w:color w:val="auto"/>
              </w:rPr>
            </w:pPr>
          </w:p>
        </w:tc>
        <w:tc>
          <w:tcPr>
            <w:tcW w:w="1040" w:type="dxa"/>
            <w:vAlign w:val="bottom"/>
            <w:shd w:val="clear" w:color="auto" w:fill="E4E3E1"/>
          </w:tcPr>
          <w:p>
            <w:pPr>
              <w:spacing w:after="0"/>
              <w:rPr>
                <w:sz w:val="24"/>
                <w:szCs w:val="24"/>
                <w:color w:val="auto"/>
              </w:rPr>
            </w:pPr>
          </w:p>
        </w:tc>
        <w:tc>
          <w:tcPr>
            <w:tcW w:w="800" w:type="dxa"/>
            <w:vAlign w:val="bottom"/>
            <w:shd w:val="clear" w:color="auto" w:fill="E4E3E1"/>
          </w:tcPr>
          <w:p>
            <w:pPr>
              <w:spacing w:after="0"/>
              <w:rPr>
                <w:sz w:val="24"/>
                <w:szCs w:val="24"/>
                <w:color w:val="auto"/>
              </w:rPr>
            </w:pPr>
          </w:p>
        </w:tc>
        <w:tc>
          <w:tcPr>
            <w:tcW w:w="2280" w:type="dxa"/>
            <w:vAlign w:val="bottom"/>
            <w:shd w:val="clear" w:color="auto" w:fill="E4E3E1"/>
          </w:tcPr>
          <w:p>
            <w:pPr>
              <w:spacing w:after="0"/>
              <w:rPr>
                <w:sz w:val="24"/>
                <w:szCs w:val="24"/>
                <w:color w:val="auto"/>
              </w:rPr>
            </w:pPr>
          </w:p>
        </w:tc>
        <w:tc>
          <w:tcPr>
            <w:tcW w:w="460" w:type="dxa"/>
            <w:vAlign w:val="bottom"/>
            <w:shd w:val="clear" w:color="auto" w:fill="E4E3E1"/>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2740" w:type="dxa"/>
            <w:vAlign w:val="bottom"/>
            <w:vMerge w:val="continue"/>
          </w:tcPr>
          <w:p>
            <w:pPr>
              <w:spacing w:after="0"/>
              <w:rPr>
                <w:sz w:val="5"/>
                <w:szCs w:val="5"/>
                <w:color w:val="auto"/>
              </w:rPr>
            </w:pPr>
          </w:p>
        </w:tc>
        <w:tc>
          <w:tcPr>
            <w:tcW w:w="680" w:type="dxa"/>
            <w:vAlign w:val="bottom"/>
            <w:tcBorders>
              <w:right w:val="single" w:sz="8" w:color="E4E3E1"/>
            </w:tcBorders>
            <w:gridSpan w:val="3"/>
            <w:vMerge w:val="restart"/>
            <w:shd w:val="clear" w:color="auto" w:fill="E4E3E1"/>
          </w:tcPr>
          <w:p>
            <w:pPr>
              <w:jc w:val="right"/>
              <w:spacing w:after="0"/>
              <w:rPr>
                <w:rFonts w:ascii="Arial" w:cs="Arial" w:eastAsia="Arial" w:hAnsi="Arial"/>
                <w:sz w:val="14"/>
                <w:szCs w:val="14"/>
                <w:b w:val="1"/>
                <w:bCs w:val="1"/>
                <w:color w:val="0000EE"/>
              </w:rPr>
            </w:pPr>
            <w:hyperlink w:anchor="page211">
              <w:r>
                <w:rPr>
                  <w:rFonts w:ascii="Arial" w:cs="Arial" w:eastAsia="Arial" w:hAnsi="Arial"/>
                  <w:sz w:val="14"/>
                  <w:szCs w:val="14"/>
                  <w:b w:val="1"/>
                  <w:bCs w:val="1"/>
                  <w:color w:val="0000EE"/>
                </w:rPr>
                <w:t>204</w:t>
              </w:r>
            </w:hyperlink>
          </w:p>
        </w:tc>
        <w:tc>
          <w:tcPr>
            <w:tcW w:w="80" w:type="dxa"/>
            <w:vAlign w:val="bottom"/>
            <w:shd w:val="clear" w:color="auto" w:fill="E4E3E1"/>
          </w:tcPr>
          <w:p>
            <w:pPr>
              <w:spacing w:after="0"/>
              <w:rPr>
                <w:sz w:val="5"/>
                <w:szCs w:val="5"/>
                <w:color w:val="auto"/>
              </w:rPr>
            </w:pPr>
          </w:p>
        </w:tc>
        <w:tc>
          <w:tcPr>
            <w:tcW w:w="740" w:type="dxa"/>
            <w:vAlign w:val="bottom"/>
            <w:gridSpan w:val="2"/>
            <w:shd w:val="clear" w:color="auto" w:fill="E4E3E1"/>
          </w:tcPr>
          <w:p>
            <w:pPr>
              <w:spacing w:after="0"/>
              <w:rPr>
                <w:sz w:val="5"/>
                <w:szCs w:val="5"/>
                <w:color w:val="auto"/>
              </w:rPr>
            </w:pPr>
          </w:p>
        </w:tc>
        <w:tc>
          <w:tcPr>
            <w:tcW w:w="1780" w:type="dxa"/>
            <w:vAlign w:val="bottom"/>
            <w:shd w:val="clear" w:color="auto" w:fill="E4E3E1"/>
          </w:tcPr>
          <w:p>
            <w:pPr>
              <w:spacing w:after="0"/>
              <w:rPr>
                <w:sz w:val="5"/>
                <w:szCs w:val="5"/>
                <w:color w:val="auto"/>
              </w:rPr>
            </w:pPr>
          </w:p>
        </w:tc>
        <w:tc>
          <w:tcPr>
            <w:tcW w:w="620" w:type="dxa"/>
            <w:vAlign w:val="bottom"/>
            <w:shd w:val="clear" w:color="auto" w:fill="E4E3E1"/>
          </w:tcPr>
          <w:p>
            <w:pPr>
              <w:spacing w:after="0"/>
              <w:rPr>
                <w:sz w:val="5"/>
                <w:szCs w:val="5"/>
                <w:color w:val="auto"/>
              </w:rPr>
            </w:pPr>
          </w:p>
        </w:tc>
        <w:tc>
          <w:tcPr>
            <w:tcW w:w="1040" w:type="dxa"/>
            <w:vAlign w:val="bottom"/>
            <w:shd w:val="clear" w:color="auto" w:fill="E4E3E1"/>
          </w:tcPr>
          <w:p>
            <w:pPr>
              <w:spacing w:after="0"/>
              <w:rPr>
                <w:sz w:val="5"/>
                <w:szCs w:val="5"/>
                <w:color w:val="auto"/>
              </w:rPr>
            </w:pPr>
          </w:p>
        </w:tc>
        <w:tc>
          <w:tcPr>
            <w:tcW w:w="800" w:type="dxa"/>
            <w:vAlign w:val="bottom"/>
            <w:shd w:val="clear" w:color="auto" w:fill="E4E3E1"/>
          </w:tcPr>
          <w:p>
            <w:pPr>
              <w:spacing w:after="0"/>
              <w:rPr>
                <w:sz w:val="5"/>
                <w:szCs w:val="5"/>
                <w:color w:val="auto"/>
              </w:rPr>
            </w:pPr>
          </w:p>
        </w:tc>
        <w:tc>
          <w:tcPr>
            <w:tcW w:w="2280" w:type="dxa"/>
            <w:vAlign w:val="bottom"/>
            <w:shd w:val="clear" w:color="auto" w:fill="E4E3E1"/>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680" w:type="dxa"/>
            <w:vAlign w:val="bottom"/>
            <w:tcBorders>
              <w:right w:val="single" w:sz="8" w:color="E4E3E1"/>
            </w:tcBorders>
            <w:gridSpan w:val="3"/>
            <w:vMerge w:val="continue"/>
            <w:shd w:val="clear" w:color="auto" w:fill="E4E3E1"/>
          </w:tcPr>
          <w:p>
            <w:pPr>
              <w:spacing w:after="0"/>
              <w:rPr>
                <w:sz w:val="14"/>
                <w:szCs w:val="14"/>
                <w:color w:val="auto"/>
              </w:rPr>
            </w:pPr>
          </w:p>
        </w:tc>
        <w:tc>
          <w:tcPr>
            <w:tcW w:w="80" w:type="dxa"/>
            <w:vAlign w:val="bottom"/>
            <w:shd w:val="clear" w:color="auto" w:fill="E4E3E1"/>
          </w:tcPr>
          <w:p>
            <w:pPr>
              <w:spacing w:after="0"/>
              <w:rPr>
                <w:sz w:val="14"/>
                <w:szCs w:val="14"/>
                <w:color w:val="auto"/>
              </w:rPr>
            </w:pPr>
          </w:p>
        </w:tc>
        <w:tc>
          <w:tcPr>
            <w:tcW w:w="7720" w:type="dxa"/>
            <w:vAlign w:val="bottom"/>
            <w:gridSpan w:val="8"/>
            <w:shd w:val="clear" w:color="auto" w:fill="E4E3E1"/>
          </w:tcPr>
          <w:p>
            <w:pPr>
              <w:ind w:left="240"/>
              <w:spacing w:after="0" w:line="127" w:lineRule="exact"/>
              <w:rPr>
                <w:rFonts w:ascii="Arial" w:cs="Arial" w:eastAsia="Arial" w:hAnsi="Arial"/>
                <w:sz w:val="14"/>
                <w:szCs w:val="14"/>
                <w:color w:val="0000EE"/>
              </w:rPr>
            </w:pPr>
            <w:hyperlink w:anchor="page211">
              <w:r>
                <w:rPr>
                  <w:rFonts w:ascii="Arial" w:cs="Arial" w:eastAsia="Arial" w:hAnsi="Arial"/>
                  <w:sz w:val="14"/>
                  <w:szCs w:val="14"/>
                  <w:color w:val="0000EE"/>
                </w:rPr>
                <w:t>Additional shareholder information (unaudited)</w:t>
              </w:r>
            </w:hyperlink>
          </w:p>
        </w:tc>
        <w:tc>
          <w:tcPr>
            <w:tcW w:w="0" w:type="dxa"/>
            <w:vAlign w:val="bottom"/>
          </w:tcPr>
          <w:p>
            <w:pPr>
              <w:spacing w:after="0"/>
              <w:rPr>
                <w:sz w:val="1"/>
                <w:szCs w:val="1"/>
                <w:color w:val="auto"/>
              </w:rPr>
            </w:pPr>
          </w:p>
        </w:tc>
      </w:tr>
      <w:tr>
        <w:trPr>
          <w:trHeight w:val="186"/>
        </w:trPr>
        <w:tc>
          <w:tcPr>
            <w:tcW w:w="2740" w:type="dxa"/>
            <w:vAlign w:val="bottom"/>
          </w:tcPr>
          <w:p>
            <w:pPr>
              <w:spacing w:after="0"/>
              <w:rPr>
                <w:sz w:val="20"/>
                <w:szCs w:val="20"/>
                <w:color w:val="auto"/>
              </w:rPr>
            </w:pPr>
            <w:r>
              <w:rPr>
                <w:rFonts w:ascii="Arial" w:cs="Arial" w:eastAsia="Arial" w:hAnsi="Arial"/>
                <w:sz w:val="16"/>
                <w:szCs w:val="16"/>
                <w:b w:val="1"/>
                <w:bCs w:val="1"/>
                <w:color w:val="auto"/>
              </w:rPr>
              <w:t>INFORMATION</w:t>
            </w:r>
          </w:p>
        </w:tc>
        <w:tc>
          <w:tcPr>
            <w:tcW w:w="320" w:type="dxa"/>
            <w:vAlign w:val="bottom"/>
            <w:tcBorders>
              <w:top w:val="single" w:sz="8" w:color="E4E3E1"/>
            </w:tcBorders>
          </w:tcPr>
          <w:p>
            <w:pPr>
              <w:spacing w:after="0"/>
              <w:rPr>
                <w:sz w:val="16"/>
                <w:szCs w:val="16"/>
                <w:color w:val="auto"/>
              </w:rPr>
            </w:pPr>
          </w:p>
        </w:tc>
        <w:tc>
          <w:tcPr>
            <w:tcW w:w="100" w:type="dxa"/>
            <w:vAlign w:val="bottom"/>
            <w:tcBorders>
              <w:top w:val="single" w:sz="8" w:color="E4E3E1"/>
            </w:tcBorders>
            <w:shd w:val="clear" w:color="auto" w:fill="E4E3E1"/>
          </w:tcPr>
          <w:p>
            <w:pPr>
              <w:spacing w:after="0"/>
              <w:rPr>
                <w:sz w:val="16"/>
                <w:szCs w:val="16"/>
                <w:color w:val="auto"/>
              </w:rPr>
            </w:pPr>
          </w:p>
        </w:tc>
        <w:tc>
          <w:tcPr>
            <w:tcW w:w="260" w:type="dxa"/>
            <w:vAlign w:val="bottom"/>
            <w:tcBorders>
              <w:top w:val="single" w:sz="8" w:color="0000EE"/>
              <w:right w:val="single" w:sz="8" w:color="E4E3E1"/>
            </w:tcBorders>
            <w:shd w:val="clear" w:color="auto" w:fill="E4E3E1"/>
          </w:tcPr>
          <w:p>
            <w:pPr>
              <w:spacing w:after="0"/>
              <w:rPr>
                <w:sz w:val="16"/>
                <w:szCs w:val="16"/>
                <w:color w:val="auto"/>
              </w:rPr>
            </w:pPr>
          </w:p>
        </w:tc>
        <w:tc>
          <w:tcPr>
            <w:tcW w:w="80" w:type="dxa"/>
            <w:vAlign w:val="bottom"/>
            <w:tcBorders>
              <w:top w:val="single" w:sz="8" w:color="E4E3E1"/>
            </w:tcBorders>
            <w:shd w:val="clear" w:color="auto" w:fill="E4E3E1"/>
          </w:tcPr>
          <w:p>
            <w:pPr>
              <w:spacing w:after="0"/>
              <w:rPr>
                <w:sz w:val="16"/>
                <w:szCs w:val="16"/>
                <w:color w:val="auto"/>
              </w:rPr>
            </w:pPr>
          </w:p>
        </w:tc>
        <w:tc>
          <w:tcPr>
            <w:tcW w:w="240" w:type="dxa"/>
            <w:vAlign w:val="bottom"/>
            <w:tcBorders>
              <w:top w:val="single" w:sz="8" w:color="E4E3E1"/>
            </w:tcBorders>
            <w:shd w:val="clear" w:color="auto" w:fill="E4E3E1"/>
          </w:tcPr>
          <w:p>
            <w:pPr>
              <w:spacing w:after="0"/>
              <w:rPr>
                <w:sz w:val="16"/>
                <w:szCs w:val="16"/>
                <w:color w:val="auto"/>
              </w:rPr>
            </w:pPr>
          </w:p>
        </w:tc>
        <w:tc>
          <w:tcPr>
            <w:tcW w:w="500" w:type="dxa"/>
            <w:vAlign w:val="bottom"/>
            <w:tcBorders>
              <w:top w:val="single" w:sz="8" w:color="0000EE"/>
            </w:tcBorders>
            <w:shd w:val="clear" w:color="auto" w:fill="E4E3E1"/>
          </w:tcPr>
          <w:p>
            <w:pPr>
              <w:spacing w:after="0"/>
              <w:rPr>
                <w:sz w:val="16"/>
                <w:szCs w:val="16"/>
                <w:color w:val="auto"/>
              </w:rPr>
            </w:pPr>
          </w:p>
        </w:tc>
        <w:tc>
          <w:tcPr>
            <w:tcW w:w="1780" w:type="dxa"/>
            <w:vAlign w:val="bottom"/>
            <w:tcBorders>
              <w:top w:val="single" w:sz="8" w:color="0000EE"/>
            </w:tcBorders>
            <w:shd w:val="clear" w:color="auto" w:fill="E4E3E1"/>
          </w:tcPr>
          <w:p>
            <w:pPr>
              <w:spacing w:after="0"/>
              <w:rPr>
                <w:sz w:val="16"/>
                <w:szCs w:val="16"/>
                <w:color w:val="auto"/>
              </w:rPr>
            </w:pPr>
          </w:p>
        </w:tc>
        <w:tc>
          <w:tcPr>
            <w:tcW w:w="620" w:type="dxa"/>
            <w:vAlign w:val="bottom"/>
            <w:tcBorders>
              <w:top w:val="single" w:sz="8" w:color="0000EE"/>
            </w:tcBorders>
            <w:shd w:val="clear" w:color="auto" w:fill="E4E3E1"/>
          </w:tcPr>
          <w:p>
            <w:pPr>
              <w:spacing w:after="0"/>
              <w:rPr>
                <w:sz w:val="16"/>
                <w:szCs w:val="16"/>
                <w:color w:val="auto"/>
              </w:rPr>
            </w:pPr>
          </w:p>
        </w:tc>
        <w:tc>
          <w:tcPr>
            <w:tcW w:w="1040" w:type="dxa"/>
            <w:vAlign w:val="bottom"/>
            <w:tcBorders>
              <w:top w:val="single" w:sz="8" w:color="E4E3E1"/>
            </w:tcBorders>
            <w:shd w:val="clear" w:color="auto" w:fill="E4E3E1"/>
          </w:tcPr>
          <w:p>
            <w:pPr>
              <w:spacing w:after="0"/>
              <w:rPr>
                <w:sz w:val="16"/>
                <w:szCs w:val="16"/>
                <w:color w:val="auto"/>
              </w:rPr>
            </w:pPr>
          </w:p>
        </w:tc>
        <w:tc>
          <w:tcPr>
            <w:tcW w:w="800" w:type="dxa"/>
            <w:vAlign w:val="bottom"/>
            <w:tcBorders>
              <w:top w:val="single" w:sz="8" w:color="E4E3E1"/>
            </w:tcBorders>
            <w:shd w:val="clear" w:color="auto" w:fill="E4E3E1"/>
          </w:tcPr>
          <w:p>
            <w:pPr>
              <w:spacing w:after="0"/>
              <w:rPr>
                <w:sz w:val="16"/>
                <w:szCs w:val="16"/>
                <w:color w:val="auto"/>
              </w:rPr>
            </w:pPr>
          </w:p>
        </w:tc>
        <w:tc>
          <w:tcPr>
            <w:tcW w:w="2280" w:type="dxa"/>
            <w:vAlign w:val="bottom"/>
            <w:tcBorders>
              <w:top w:val="single" w:sz="8" w:color="E4E3E1"/>
            </w:tcBorders>
            <w:shd w:val="clear" w:color="auto" w:fill="E4E3E1"/>
          </w:tcPr>
          <w:p>
            <w:pPr>
              <w:spacing w:after="0"/>
              <w:rPr>
                <w:sz w:val="16"/>
                <w:szCs w:val="16"/>
                <w:color w:val="auto"/>
              </w:rPr>
            </w:pPr>
          </w:p>
        </w:tc>
        <w:tc>
          <w:tcPr>
            <w:tcW w:w="460" w:type="dxa"/>
            <w:vAlign w:val="bottom"/>
            <w:tcBorders>
              <w:top w:val="single" w:sz="8" w:color="E4E3E1"/>
            </w:tcBorders>
            <w:shd w:val="clear" w:color="auto" w:fill="E4E3E1"/>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740" w:type="dxa"/>
            <w:vAlign w:val="bottom"/>
            <w:vMerge w:val="restart"/>
          </w:tcPr>
          <w:p>
            <w:pPr>
              <w:spacing w:after="0"/>
              <w:rPr>
                <w:sz w:val="20"/>
                <w:szCs w:val="20"/>
                <w:color w:val="auto"/>
              </w:rPr>
            </w:pPr>
            <w:r>
              <w:rPr>
                <w:rFonts w:ascii="Arial" w:cs="Arial" w:eastAsia="Arial" w:hAnsi="Arial"/>
                <w:sz w:val="16"/>
                <w:szCs w:val="16"/>
                <w:b w:val="1"/>
                <w:bCs w:val="1"/>
                <w:color w:val="auto"/>
              </w:rPr>
              <w:t>EXHIBITS</w:t>
            </w:r>
          </w:p>
        </w:tc>
        <w:tc>
          <w:tcPr>
            <w:tcW w:w="420" w:type="dxa"/>
            <w:vAlign w:val="bottom"/>
            <w:gridSpan w:val="2"/>
            <w:vMerge w:val="restart"/>
          </w:tcPr>
          <w:p>
            <w:pPr>
              <w:spacing w:after="0"/>
              <w:rPr>
                <w:sz w:val="13"/>
                <w:szCs w:val="13"/>
                <w:color w:val="auto"/>
              </w:rPr>
            </w:pPr>
          </w:p>
        </w:tc>
        <w:tc>
          <w:tcPr>
            <w:tcW w:w="260" w:type="dxa"/>
            <w:vAlign w:val="bottom"/>
            <w:tcBorders>
              <w:right w:val="single" w:sz="8" w:color="E4E3E1"/>
            </w:tcBorders>
            <w:shd w:val="clear" w:color="auto" w:fill="E4E3E1"/>
          </w:tcPr>
          <w:p>
            <w:pPr>
              <w:spacing w:after="0"/>
              <w:rPr>
                <w:sz w:val="13"/>
                <w:szCs w:val="13"/>
                <w:color w:val="auto"/>
              </w:rPr>
            </w:pPr>
          </w:p>
        </w:tc>
        <w:tc>
          <w:tcPr>
            <w:tcW w:w="80" w:type="dxa"/>
            <w:vAlign w:val="bottom"/>
            <w:shd w:val="clear" w:color="auto" w:fill="E4E3E1"/>
          </w:tcPr>
          <w:p>
            <w:pPr>
              <w:spacing w:after="0"/>
              <w:rPr>
                <w:sz w:val="13"/>
                <w:szCs w:val="13"/>
                <w:color w:val="auto"/>
              </w:rPr>
            </w:pPr>
          </w:p>
        </w:tc>
        <w:tc>
          <w:tcPr>
            <w:tcW w:w="740" w:type="dxa"/>
            <w:vAlign w:val="bottom"/>
            <w:gridSpan w:val="2"/>
            <w:shd w:val="clear" w:color="auto" w:fill="E4E3E1"/>
          </w:tcPr>
          <w:p>
            <w:pPr>
              <w:spacing w:after="0"/>
              <w:rPr>
                <w:sz w:val="13"/>
                <w:szCs w:val="13"/>
                <w:color w:val="auto"/>
              </w:rPr>
            </w:pPr>
          </w:p>
        </w:tc>
        <w:tc>
          <w:tcPr>
            <w:tcW w:w="1780" w:type="dxa"/>
            <w:vAlign w:val="bottom"/>
            <w:shd w:val="clear" w:color="auto" w:fill="E4E3E1"/>
          </w:tcPr>
          <w:p>
            <w:pPr>
              <w:spacing w:after="0"/>
              <w:rPr>
                <w:sz w:val="13"/>
                <w:szCs w:val="13"/>
                <w:color w:val="auto"/>
              </w:rPr>
            </w:pPr>
          </w:p>
        </w:tc>
        <w:tc>
          <w:tcPr>
            <w:tcW w:w="620" w:type="dxa"/>
            <w:vAlign w:val="bottom"/>
            <w:shd w:val="clear" w:color="auto" w:fill="E4E3E1"/>
          </w:tcPr>
          <w:p>
            <w:pPr>
              <w:spacing w:after="0"/>
              <w:rPr>
                <w:sz w:val="13"/>
                <w:szCs w:val="13"/>
                <w:color w:val="auto"/>
              </w:rPr>
            </w:pPr>
          </w:p>
        </w:tc>
        <w:tc>
          <w:tcPr>
            <w:tcW w:w="1040" w:type="dxa"/>
            <w:vAlign w:val="bottom"/>
            <w:shd w:val="clear" w:color="auto" w:fill="E4E3E1"/>
          </w:tcPr>
          <w:p>
            <w:pPr>
              <w:spacing w:after="0"/>
              <w:rPr>
                <w:sz w:val="13"/>
                <w:szCs w:val="13"/>
                <w:color w:val="auto"/>
              </w:rPr>
            </w:pPr>
          </w:p>
        </w:tc>
        <w:tc>
          <w:tcPr>
            <w:tcW w:w="800" w:type="dxa"/>
            <w:vAlign w:val="bottom"/>
            <w:shd w:val="clear" w:color="auto" w:fill="E4E3E1"/>
          </w:tcPr>
          <w:p>
            <w:pPr>
              <w:spacing w:after="0"/>
              <w:rPr>
                <w:sz w:val="13"/>
                <w:szCs w:val="13"/>
                <w:color w:val="auto"/>
              </w:rPr>
            </w:pPr>
          </w:p>
        </w:tc>
        <w:tc>
          <w:tcPr>
            <w:tcW w:w="2740" w:type="dxa"/>
            <w:vAlign w:val="bottom"/>
            <w:gridSpan w:val="2"/>
            <w:shd w:val="clear" w:color="auto" w:fill="E4E3E1"/>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74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260" w:type="dxa"/>
            <w:vAlign w:val="bottom"/>
            <w:tcBorders>
              <w:right w:val="single" w:sz="8" w:color="E4E3E1"/>
            </w:tcBorders>
          </w:tcPr>
          <w:p>
            <w:pPr>
              <w:jc w:val="right"/>
              <w:spacing w:after="0" w:line="127" w:lineRule="exact"/>
              <w:rPr>
                <w:rFonts w:ascii="Arial" w:cs="Arial" w:eastAsia="Arial" w:hAnsi="Arial"/>
                <w:sz w:val="14"/>
                <w:szCs w:val="14"/>
                <w:b w:val="1"/>
                <w:bCs w:val="1"/>
                <w:color w:val="0000EE"/>
                <w:w w:val="93"/>
              </w:rPr>
            </w:pPr>
            <w:hyperlink w:anchor="page215">
              <w:r>
                <w:rPr>
                  <w:rFonts w:ascii="Arial" w:cs="Arial" w:eastAsia="Arial" w:hAnsi="Arial"/>
                  <w:sz w:val="14"/>
                  <w:szCs w:val="14"/>
                  <w:b w:val="1"/>
                  <w:bCs w:val="1"/>
                  <w:color w:val="0000EE"/>
                  <w:w w:val="93"/>
                </w:rPr>
                <w:t>208</w:t>
              </w:r>
            </w:hyperlink>
          </w:p>
        </w:tc>
        <w:tc>
          <w:tcPr>
            <w:tcW w:w="80" w:type="dxa"/>
            <w:vAlign w:val="bottom"/>
            <w:shd w:val="clear" w:color="auto" w:fill="E4E3E1"/>
          </w:tcPr>
          <w:p>
            <w:pPr>
              <w:spacing w:after="0"/>
              <w:rPr>
                <w:sz w:val="14"/>
                <w:szCs w:val="14"/>
                <w:color w:val="auto"/>
              </w:rPr>
            </w:pPr>
          </w:p>
        </w:tc>
        <w:tc>
          <w:tcPr>
            <w:tcW w:w="7720" w:type="dxa"/>
            <w:vAlign w:val="bottom"/>
            <w:gridSpan w:val="8"/>
            <w:shd w:val="clear" w:color="auto" w:fill="E4E3E1"/>
          </w:tcPr>
          <w:p>
            <w:pPr>
              <w:ind w:left="240"/>
              <w:spacing w:after="0" w:line="127" w:lineRule="exact"/>
              <w:rPr>
                <w:rFonts w:ascii="Arial" w:cs="Arial" w:eastAsia="Arial" w:hAnsi="Arial"/>
                <w:sz w:val="14"/>
                <w:szCs w:val="14"/>
                <w:color w:val="0000EE"/>
              </w:rPr>
            </w:pPr>
            <w:hyperlink w:anchor="page215">
              <w:r>
                <w:rPr>
                  <w:rFonts w:ascii="Arial" w:cs="Arial" w:eastAsia="Arial" w:hAnsi="Arial"/>
                  <w:sz w:val="14"/>
                  <w:szCs w:val="14"/>
                  <w:color w:val="0000EE"/>
                </w:rPr>
                <w:t>Exhibits</w:t>
              </w:r>
            </w:hyperlink>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80" w:type="dxa"/>
            <w:vAlign w:val="bottom"/>
            <w:tcBorders>
              <w:top w:val="single" w:sz="8" w:color="E4E3E1"/>
            </w:tcBorders>
          </w:tcPr>
          <w:p>
            <w:pPr>
              <w:spacing w:after="0"/>
              <w:rPr>
                <w:sz w:val="13"/>
                <w:szCs w:val="13"/>
                <w:color w:val="auto"/>
              </w:rPr>
            </w:pPr>
          </w:p>
        </w:tc>
        <w:tc>
          <w:tcPr>
            <w:tcW w:w="240" w:type="dxa"/>
            <w:vAlign w:val="bottom"/>
            <w:tcBorders>
              <w:top w:val="single" w:sz="8" w:color="E4E3E1"/>
            </w:tcBorders>
            <w:shd w:val="clear" w:color="auto" w:fill="E4E3E1"/>
          </w:tcPr>
          <w:p>
            <w:pPr>
              <w:spacing w:after="0"/>
              <w:rPr>
                <w:sz w:val="13"/>
                <w:szCs w:val="13"/>
                <w:color w:val="auto"/>
              </w:rPr>
            </w:pPr>
          </w:p>
        </w:tc>
        <w:tc>
          <w:tcPr>
            <w:tcW w:w="500" w:type="dxa"/>
            <w:vAlign w:val="bottom"/>
            <w:tcBorders>
              <w:top w:val="single" w:sz="8" w:color="0000EE"/>
            </w:tcBorders>
            <w:shd w:val="clear" w:color="auto" w:fill="E4E3E1"/>
          </w:tcPr>
          <w:p>
            <w:pPr>
              <w:spacing w:after="0"/>
              <w:rPr>
                <w:sz w:val="13"/>
                <w:szCs w:val="13"/>
                <w:color w:val="auto"/>
              </w:rPr>
            </w:pPr>
          </w:p>
        </w:tc>
        <w:tc>
          <w:tcPr>
            <w:tcW w:w="1780" w:type="dxa"/>
            <w:vAlign w:val="bottom"/>
            <w:tcBorders>
              <w:top w:val="single" w:sz="8" w:color="E4E3E1"/>
            </w:tcBorders>
            <w:shd w:val="clear" w:color="auto" w:fill="E4E3E1"/>
          </w:tcPr>
          <w:p>
            <w:pPr>
              <w:spacing w:after="0"/>
              <w:rPr>
                <w:sz w:val="13"/>
                <w:szCs w:val="13"/>
                <w:color w:val="auto"/>
              </w:rPr>
            </w:pPr>
          </w:p>
        </w:tc>
        <w:tc>
          <w:tcPr>
            <w:tcW w:w="620" w:type="dxa"/>
            <w:vAlign w:val="bottom"/>
            <w:tcBorders>
              <w:top w:val="single" w:sz="8" w:color="E4E3E1"/>
            </w:tcBorders>
            <w:shd w:val="clear" w:color="auto" w:fill="E4E3E1"/>
          </w:tcPr>
          <w:p>
            <w:pPr>
              <w:spacing w:after="0"/>
              <w:rPr>
                <w:sz w:val="13"/>
                <w:szCs w:val="13"/>
                <w:color w:val="auto"/>
              </w:rPr>
            </w:pPr>
          </w:p>
        </w:tc>
        <w:tc>
          <w:tcPr>
            <w:tcW w:w="1040" w:type="dxa"/>
            <w:vAlign w:val="bottom"/>
            <w:tcBorders>
              <w:top w:val="single" w:sz="8" w:color="E4E3E1"/>
            </w:tcBorders>
            <w:shd w:val="clear" w:color="auto" w:fill="E4E3E1"/>
          </w:tcPr>
          <w:p>
            <w:pPr>
              <w:spacing w:after="0"/>
              <w:rPr>
                <w:sz w:val="13"/>
                <w:szCs w:val="13"/>
                <w:color w:val="auto"/>
              </w:rPr>
            </w:pPr>
          </w:p>
        </w:tc>
        <w:tc>
          <w:tcPr>
            <w:tcW w:w="800" w:type="dxa"/>
            <w:vAlign w:val="bottom"/>
            <w:tcBorders>
              <w:top w:val="single" w:sz="8" w:color="E4E3E1"/>
            </w:tcBorders>
            <w:shd w:val="clear" w:color="auto" w:fill="E4E3E1"/>
          </w:tcPr>
          <w:p>
            <w:pPr>
              <w:spacing w:after="0"/>
              <w:rPr>
                <w:sz w:val="13"/>
                <w:szCs w:val="13"/>
                <w:color w:val="auto"/>
              </w:rPr>
            </w:pPr>
          </w:p>
        </w:tc>
        <w:tc>
          <w:tcPr>
            <w:tcW w:w="2280" w:type="dxa"/>
            <w:vAlign w:val="bottom"/>
            <w:tcBorders>
              <w:top w:val="single" w:sz="8" w:color="E4E3E1"/>
            </w:tcBorders>
            <w:shd w:val="clear" w:color="auto" w:fill="E4E3E1"/>
          </w:tcPr>
          <w:p>
            <w:pPr>
              <w:spacing w:after="0"/>
              <w:rPr>
                <w:sz w:val="13"/>
                <w:szCs w:val="13"/>
                <w:color w:val="auto"/>
              </w:rPr>
            </w:pPr>
          </w:p>
        </w:tc>
        <w:tc>
          <w:tcPr>
            <w:tcW w:w="460" w:type="dxa"/>
            <w:vAlign w:val="bottom"/>
            <w:tcBorders>
              <w:top w:val="single" w:sz="8" w:color="E4E3E1"/>
            </w:tcBorders>
            <w:shd w:val="clear" w:color="auto" w:fill="E4E3E1"/>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shd w:val="clear" w:color="auto" w:fill="E4E3E1"/>
          </w:tcPr>
          <w:p>
            <w:pPr>
              <w:spacing w:after="0"/>
              <w:rPr>
                <w:sz w:val="13"/>
                <w:szCs w:val="13"/>
                <w:color w:val="auto"/>
              </w:rPr>
            </w:pPr>
          </w:p>
        </w:tc>
        <w:tc>
          <w:tcPr>
            <w:tcW w:w="1780" w:type="dxa"/>
            <w:vAlign w:val="bottom"/>
            <w:shd w:val="clear" w:color="auto" w:fill="E4E3E1"/>
          </w:tcPr>
          <w:p>
            <w:pPr>
              <w:spacing w:after="0"/>
              <w:rPr>
                <w:sz w:val="13"/>
                <w:szCs w:val="13"/>
                <w:color w:val="auto"/>
              </w:rPr>
            </w:pPr>
          </w:p>
        </w:tc>
        <w:tc>
          <w:tcPr>
            <w:tcW w:w="620" w:type="dxa"/>
            <w:vAlign w:val="bottom"/>
            <w:shd w:val="clear" w:color="auto" w:fill="E4E3E1"/>
          </w:tcPr>
          <w:p>
            <w:pPr>
              <w:spacing w:after="0"/>
              <w:rPr>
                <w:sz w:val="13"/>
                <w:szCs w:val="13"/>
                <w:color w:val="auto"/>
              </w:rPr>
            </w:pPr>
          </w:p>
        </w:tc>
        <w:tc>
          <w:tcPr>
            <w:tcW w:w="1040" w:type="dxa"/>
            <w:vAlign w:val="bottom"/>
            <w:shd w:val="clear" w:color="auto" w:fill="E4E3E1"/>
          </w:tcPr>
          <w:p>
            <w:pPr>
              <w:spacing w:after="0"/>
              <w:rPr>
                <w:sz w:val="13"/>
                <w:szCs w:val="13"/>
                <w:color w:val="auto"/>
              </w:rPr>
            </w:pPr>
          </w:p>
        </w:tc>
        <w:tc>
          <w:tcPr>
            <w:tcW w:w="800" w:type="dxa"/>
            <w:vAlign w:val="bottom"/>
            <w:shd w:val="clear" w:color="auto" w:fill="E4E3E1"/>
          </w:tcPr>
          <w:p>
            <w:pPr>
              <w:spacing w:after="0"/>
              <w:rPr>
                <w:sz w:val="13"/>
                <w:szCs w:val="13"/>
                <w:color w:val="auto"/>
              </w:rPr>
            </w:pPr>
          </w:p>
        </w:tc>
        <w:tc>
          <w:tcPr>
            <w:tcW w:w="2280" w:type="dxa"/>
            <w:vAlign w:val="bottom"/>
            <w:shd w:val="clear" w:color="auto" w:fill="E4E3E1"/>
          </w:tcPr>
          <w:p>
            <w:pPr>
              <w:spacing w:after="0"/>
              <w:rPr>
                <w:sz w:val="13"/>
                <w:szCs w:val="13"/>
                <w:color w:val="auto"/>
              </w:rPr>
            </w:pPr>
          </w:p>
        </w:tc>
        <w:tc>
          <w:tcPr>
            <w:tcW w:w="460" w:type="dxa"/>
            <w:vAlign w:val="bottom"/>
            <w:shd w:val="clear" w:color="auto" w:fill="E4E3E1"/>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-692785</wp:posOffset>
            </wp:positionV>
            <wp:extent cx="7248525" cy="1200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1200785"/>
                    </a:xfrm>
                    <a:prstGeom prst="rect">
                      <a:avLst/>
                    </a:prstGeom>
                    <a:noFill/>
                  </pic:spPr>
                </pic:pic>
              </a:graphicData>
            </a:graphic>
          </wp:anchor>
        </w:drawing>
      </w:r>
    </w:p>
    <w:p>
      <w:pPr>
        <w:spacing w:after="0" w:line="122" w:lineRule="exact"/>
        <w:rPr>
          <w:sz w:val="20"/>
          <w:szCs w:val="20"/>
          <w:color w:val="auto"/>
        </w:rPr>
      </w:pPr>
    </w:p>
    <w:p>
      <w:pPr>
        <w:ind w:left="9460"/>
        <w:spacing w:after="0"/>
        <w:tabs>
          <w:tab w:leader="none" w:pos="1068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w:t>
      </w: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Calculation of Ratio of Earnings to Fixed Charges.</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Significant Shell subsidaries as at December 31, 2007.</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Section 302 Certification of Royal Dutch Shell plc.</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Section 302 Certification of Royal Dutch Shell plc.</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Section 906 Certification of Royal Dutch Shell plc.</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Consent of PricewaterhouseCoopers LLP, London.</w:t>
      </w: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u w:val="single" w:color="auto"/>
          <w:color w:val="0000EE"/>
        </w:rPr>
        <w:t>Consent of PricewaterhouseCoopers LLP, London relating to the Royal Dutch Shell Dividend Access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EE"/>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379095</wp:posOffset>
            </wp:positionV>
            <wp:extent cx="725297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109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Cross Reference to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312420</wp:posOffset>
            </wp:positionV>
            <wp:extent cx="7248525" cy="6055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60559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0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PART I</w:t>
            </w:r>
          </w:p>
        </w:tc>
        <w:tc>
          <w:tcPr>
            <w:tcW w:w="380" w:type="dxa"/>
            <w:vAlign w:val="bottom"/>
            <w:shd w:val="clear" w:color="auto" w:fill="FFE204"/>
          </w:tcPr>
          <w:p>
            <w:pPr>
              <w:spacing w:after="0"/>
              <w:rPr>
                <w:sz w:val="13"/>
                <w:szCs w:val="13"/>
                <w:color w:val="auto"/>
              </w:rPr>
            </w:pPr>
          </w:p>
        </w:tc>
        <w:tc>
          <w:tcPr>
            <w:tcW w:w="4440" w:type="dxa"/>
            <w:vAlign w:val="bottom"/>
            <w:shd w:val="clear" w:color="auto" w:fill="FFE204"/>
          </w:tcPr>
          <w:p>
            <w:pPr>
              <w:spacing w:after="0"/>
              <w:rPr>
                <w:sz w:val="13"/>
                <w:szCs w:val="13"/>
                <w:color w:val="auto"/>
              </w:rPr>
            </w:pPr>
          </w:p>
        </w:tc>
        <w:tc>
          <w:tcPr>
            <w:tcW w:w="5500" w:type="dxa"/>
            <w:vAlign w:val="bottom"/>
            <w:shd w:val="clear" w:color="auto" w:fill="FFE204"/>
          </w:tcPr>
          <w:p>
            <w:pPr>
              <w:jc w:val="right"/>
              <w:ind w:right="338"/>
              <w:spacing w:after="0"/>
              <w:rPr>
                <w:sz w:val="20"/>
                <w:szCs w:val="20"/>
                <w:color w:val="auto"/>
              </w:rPr>
            </w:pPr>
            <w:r>
              <w:rPr>
                <w:rFonts w:ascii="Arial" w:cs="Arial" w:eastAsia="Arial" w:hAnsi="Arial"/>
                <w:sz w:val="12"/>
                <w:szCs w:val="12"/>
                <w:b w:val="1"/>
                <w:bCs w:val="1"/>
                <w:color w:val="auto"/>
              </w:rPr>
              <w:t>PAGES</w:t>
            </w:r>
          </w:p>
        </w:tc>
      </w:tr>
      <w:tr>
        <w:trPr>
          <w:trHeight w:val="167"/>
        </w:trPr>
        <w:tc>
          <w:tcPr>
            <w:tcW w:w="1100" w:type="dxa"/>
            <w:vAlign w:val="bottom"/>
          </w:tcPr>
          <w:p>
            <w:pPr>
              <w:ind w:left="40"/>
              <w:spacing w:after="0"/>
              <w:rPr>
                <w:sz w:val="20"/>
                <w:szCs w:val="20"/>
                <w:color w:val="auto"/>
              </w:rPr>
            </w:pPr>
            <w:r>
              <w:rPr>
                <w:rFonts w:ascii="Arial" w:cs="Arial" w:eastAsia="Arial" w:hAnsi="Arial"/>
                <w:sz w:val="12"/>
                <w:szCs w:val="12"/>
                <w:color w:val="auto"/>
              </w:rPr>
              <w:t>Item 1.</w:t>
            </w:r>
          </w:p>
        </w:tc>
        <w:tc>
          <w:tcPr>
            <w:tcW w:w="4820" w:type="dxa"/>
            <w:vAlign w:val="bottom"/>
            <w:gridSpan w:val="2"/>
          </w:tcPr>
          <w:p>
            <w:pPr>
              <w:ind w:left="160"/>
              <w:spacing w:after="0"/>
              <w:rPr>
                <w:sz w:val="20"/>
                <w:szCs w:val="20"/>
                <w:color w:val="auto"/>
              </w:rPr>
            </w:pPr>
            <w:r>
              <w:rPr>
                <w:rFonts w:ascii="Arial" w:cs="Arial" w:eastAsia="Arial" w:hAnsi="Arial"/>
                <w:sz w:val="12"/>
                <w:szCs w:val="12"/>
                <w:color w:val="auto"/>
              </w:rPr>
              <w:t>Identity of Directors, Senior Management and Advisers</w:t>
            </w:r>
          </w:p>
        </w:tc>
        <w:tc>
          <w:tcPr>
            <w:tcW w:w="5500" w:type="dxa"/>
            <w:vAlign w:val="bottom"/>
          </w:tcPr>
          <w:p>
            <w:pPr>
              <w:jc w:val="right"/>
              <w:ind w:right="338"/>
              <w:spacing w:after="0"/>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2.</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Offer Statistics and Expected Timetable</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3.</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Key Information</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Selected financial data</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4-5, 207</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Capitalisation and indebtedness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Reasons for the offer and use of proceeds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Risk factors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13-15</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4.</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Information on the Company</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History and development of the company</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4-5, 10, 17-18, 21-22, 29-33, 35-40, 42-43, 45-48, 55-57, 117, 174-175</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Business overview</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10-12, 16-61, 66-75, 163-170</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Organisational structure</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 E2-E4</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Property, plant and equipment</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10-12, 16-58, 68-71</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4A.</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Unresolved Staff Comments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5.</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Operating and Financial Review and Prospects</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Operating results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4-5, 10-12, 16-61</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Liquidity and capital resources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62-65</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Research and development, patents and licences, etc.</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22, 36, 42, 46, 55, 59, 82, 121, 126</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Trend information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10-12, 16-21, 34-36, 41-42, 44-45, 54-55</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E.</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Off-balance sheet arrangements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64</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F.</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Tabular disclosure of contractual obligations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65</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G.</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Safe harbour</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ii</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6.</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Directors, Senior Management and Employees</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Directors and senior management</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80-85, 175</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Compensation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93, 95-98</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Board practices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82-92</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Employees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66-67</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E.</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Share ownership</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76-77, 83</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7.</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Major Shareholders and Related Party Transactions</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Major shareholders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84, 173, 179</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Related party transactions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83,134-135, 181, 203</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Interests of experts and counsel</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8.</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Financial Information</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Consolidated Statements and Other Financial Information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50-52, 62, 110-161, 182-194, 195-203, 204-206</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Significant Changes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82,161</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9.</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The Offer and Listing</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Offer and listing details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173, 204</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Plan of distribution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Markets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173, 204</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Selling shareholders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E.</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Dilution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F.</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Expenses of the issue</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10.</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Additional Information</w:t>
            </w:r>
          </w:p>
        </w:tc>
        <w:tc>
          <w:tcPr>
            <w:tcW w:w="5500" w:type="dxa"/>
            <w:vAlign w:val="bottom"/>
          </w:tcPr>
          <w:p>
            <w:pPr>
              <w:spacing w:after="0"/>
              <w:rPr>
                <w:sz w:val="11"/>
                <w:szCs w:val="11"/>
                <w:color w:val="auto"/>
              </w:rPr>
            </w:pP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A.</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Share capital</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B.</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Memorandum and articles of association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86, 106-107, 174-181</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C.</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Material contracts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84, 103-104</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D.</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Exchange controls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180</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E.</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Taxation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180-181</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F.</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Dividends and paying agents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G.</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Statement by experts</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H.</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Documents on display</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ii</w:t>
            </w:r>
          </w:p>
        </w:tc>
      </w:tr>
      <w:tr>
        <w:trPr>
          <w:trHeight w:val="133"/>
        </w:trPr>
        <w:tc>
          <w:tcPr>
            <w:tcW w:w="1100" w:type="dxa"/>
            <w:vAlign w:val="bottom"/>
          </w:tcPr>
          <w:p>
            <w:pPr>
              <w:spacing w:after="0"/>
              <w:rPr>
                <w:sz w:val="11"/>
                <w:szCs w:val="11"/>
                <w:color w:val="auto"/>
              </w:rPr>
            </w:pPr>
          </w:p>
        </w:tc>
        <w:tc>
          <w:tcPr>
            <w:tcW w:w="380" w:type="dxa"/>
            <w:vAlign w:val="bottom"/>
          </w:tcPr>
          <w:p>
            <w:pPr>
              <w:ind w:left="160"/>
              <w:spacing w:after="0" w:line="133" w:lineRule="exact"/>
              <w:rPr>
                <w:sz w:val="20"/>
                <w:szCs w:val="20"/>
                <w:color w:val="auto"/>
              </w:rPr>
            </w:pPr>
            <w:r>
              <w:rPr>
                <w:rFonts w:ascii="Arial" w:cs="Arial" w:eastAsia="Arial" w:hAnsi="Arial"/>
                <w:sz w:val="12"/>
                <w:szCs w:val="12"/>
                <w:color w:val="auto"/>
              </w:rPr>
              <w:t>I.</w:t>
            </w:r>
          </w:p>
        </w:tc>
        <w:tc>
          <w:tcPr>
            <w:tcW w:w="4440" w:type="dxa"/>
            <w:vAlign w:val="bottom"/>
          </w:tcPr>
          <w:p>
            <w:pPr>
              <w:ind w:left="80"/>
              <w:spacing w:after="0" w:line="133" w:lineRule="exact"/>
              <w:rPr>
                <w:sz w:val="20"/>
                <w:szCs w:val="20"/>
                <w:color w:val="auto"/>
              </w:rPr>
            </w:pPr>
            <w:r>
              <w:rPr>
                <w:rFonts w:ascii="Arial" w:cs="Arial" w:eastAsia="Arial" w:hAnsi="Arial"/>
                <w:sz w:val="12"/>
                <w:szCs w:val="12"/>
                <w:color w:val="auto"/>
              </w:rPr>
              <w:t>Subsidiary Information</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Item 11.</w:t>
            </w:r>
          </w:p>
        </w:tc>
        <w:tc>
          <w:tcPr>
            <w:tcW w:w="4820" w:type="dxa"/>
            <w:vAlign w:val="bottom"/>
            <w:gridSpan w:val="2"/>
          </w:tcPr>
          <w:p>
            <w:pPr>
              <w:ind w:left="160"/>
              <w:spacing w:after="0" w:line="133" w:lineRule="exact"/>
              <w:rPr>
                <w:sz w:val="20"/>
                <w:szCs w:val="20"/>
                <w:color w:val="auto"/>
              </w:rPr>
            </w:pPr>
            <w:r>
              <w:rPr>
                <w:rFonts w:ascii="Arial" w:cs="Arial" w:eastAsia="Arial" w:hAnsi="Arial"/>
                <w:sz w:val="12"/>
                <w:szCs w:val="12"/>
                <w:color w:val="auto"/>
              </w:rPr>
              <w:t>Quantitative and Qualitative Disclosures About Market Risk</w:t>
            </w:r>
          </w:p>
        </w:tc>
        <w:tc>
          <w:tcPr>
            <w:tcW w:w="55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90-91, 120, 145-149, 171-172</w:t>
            </w:r>
          </w:p>
        </w:tc>
      </w:tr>
      <w:tr>
        <w:trPr>
          <w:trHeight w:val="148"/>
        </w:trPr>
        <w:tc>
          <w:tcPr>
            <w:tcW w:w="1100" w:type="dxa"/>
            <w:vAlign w:val="bottom"/>
          </w:tcPr>
          <w:p>
            <w:pPr>
              <w:ind w:left="40"/>
              <w:spacing w:after="0"/>
              <w:rPr>
                <w:sz w:val="20"/>
                <w:szCs w:val="20"/>
                <w:color w:val="auto"/>
              </w:rPr>
            </w:pPr>
            <w:r>
              <w:rPr>
                <w:rFonts w:ascii="Arial" w:cs="Arial" w:eastAsia="Arial" w:hAnsi="Arial"/>
                <w:sz w:val="12"/>
                <w:szCs w:val="12"/>
                <w:color w:val="auto"/>
              </w:rPr>
              <w:t>Item 12.</w:t>
            </w:r>
          </w:p>
        </w:tc>
        <w:tc>
          <w:tcPr>
            <w:tcW w:w="4820" w:type="dxa"/>
            <w:vAlign w:val="bottom"/>
            <w:gridSpan w:val="2"/>
          </w:tcPr>
          <w:p>
            <w:pPr>
              <w:ind w:left="160"/>
              <w:spacing w:after="0"/>
              <w:rPr>
                <w:sz w:val="20"/>
                <w:szCs w:val="20"/>
                <w:color w:val="auto"/>
              </w:rPr>
            </w:pPr>
            <w:r>
              <w:rPr>
                <w:rFonts w:ascii="Arial" w:cs="Arial" w:eastAsia="Arial" w:hAnsi="Arial"/>
                <w:sz w:val="12"/>
                <w:szCs w:val="12"/>
                <w:color w:val="auto"/>
              </w:rPr>
              <w:t>Description of Securities Other than Equity Securities</w:t>
            </w:r>
          </w:p>
        </w:tc>
        <w:tc>
          <w:tcPr>
            <w:tcW w:w="5500" w:type="dxa"/>
            <w:vAlign w:val="bottom"/>
          </w:tcPr>
          <w:p>
            <w:pPr>
              <w:jc w:val="right"/>
              <w:ind w:right="338"/>
              <w:spacing w:after="0"/>
              <w:rPr>
                <w:sz w:val="20"/>
                <w:szCs w:val="20"/>
                <w:color w:val="auto"/>
              </w:rPr>
            </w:pPr>
            <w:r>
              <w:rPr>
                <w:rFonts w:ascii="Arial" w:cs="Arial" w:eastAsia="Arial" w:hAnsi="Arial"/>
                <w:sz w:val="12"/>
                <w:szCs w:val="12"/>
                <w:color w:val="auto"/>
              </w:rPr>
              <w:t>N/A</w:t>
            </w: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2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PART II</w:t>
            </w:r>
          </w:p>
        </w:tc>
        <w:tc>
          <w:tcPr>
            <w:tcW w:w="6880" w:type="dxa"/>
            <w:vAlign w:val="bottom"/>
            <w:shd w:val="clear" w:color="auto" w:fill="FFE204"/>
          </w:tcPr>
          <w:p>
            <w:pPr>
              <w:spacing w:after="0"/>
              <w:rPr>
                <w:sz w:val="13"/>
                <w:szCs w:val="13"/>
                <w:color w:val="auto"/>
              </w:rPr>
            </w:pPr>
          </w:p>
        </w:tc>
        <w:tc>
          <w:tcPr>
            <w:tcW w:w="3620" w:type="dxa"/>
            <w:vAlign w:val="bottom"/>
            <w:shd w:val="clear" w:color="auto" w:fill="FFE204"/>
          </w:tcPr>
          <w:p>
            <w:pPr>
              <w:jc w:val="right"/>
              <w:ind w:right="338"/>
              <w:spacing w:after="0"/>
              <w:rPr>
                <w:sz w:val="20"/>
                <w:szCs w:val="20"/>
                <w:color w:val="auto"/>
              </w:rPr>
            </w:pPr>
            <w:r>
              <w:rPr>
                <w:rFonts w:ascii="Arial" w:cs="Arial" w:eastAsia="Arial" w:hAnsi="Arial"/>
                <w:sz w:val="12"/>
                <w:szCs w:val="12"/>
                <w:b w:val="1"/>
                <w:bCs w:val="1"/>
                <w:color w:val="auto"/>
              </w:rPr>
              <w:t>PAGES</w:t>
            </w:r>
          </w:p>
        </w:tc>
      </w:tr>
      <w:tr>
        <w:trPr>
          <w:trHeight w:val="167"/>
        </w:trPr>
        <w:tc>
          <w:tcPr>
            <w:tcW w:w="920" w:type="dxa"/>
            <w:vAlign w:val="bottom"/>
          </w:tcPr>
          <w:p>
            <w:pPr>
              <w:ind w:left="40"/>
              <w:spacing w:after="0"/>
              <w:rPr>
                <w:sz w:val="20"/>
                <w:szCs w:val="20"/>
                <w:color w:val="auto"/>
              </w:rPr>
            </w:pPr>
            <w:r>
              <w:rPr>
                <w:rFonts w:ascii="Arial" w:cs="Arial" w:eastAsia="Arial" w:hAnsi="Arial"/>
                <w:sz w:val="12"/>
                <w:szCs w:val="12"/>
                <w:color w:val="auto"/>
              </w:rPr>
              <w:t>Item 13.</w:t>
            </w:r>
          </w:p>
        </w:tc>
        <w:tc>
          <w:tcPr>
            <w:tcW w:w="6880" w:type="dxa"/>
            <w:vAlign w:val="bottom"/>
          </w:tcPr>
          <w:p>
            <w:pPr>
              <w:ind w:left="340"/>
              <w:spacing w:after="0"/>
              <w:rPr>
                <w:sz w:val="20"/>
                <w:szCs w:val="20"/>
                <w:color w:val="auto"/>
              </w:rPr>
            </w:pPr>
            <w:r>
              <w:rPr>
                <w:rFonts w:ascii="Arial" w:cs="Arial" w:eastAsia="Arial" w:hAnsi="Arial"/>
                <w:sz w:val="12"/>
                <w:szCs w:val="12"/>
                <w:color w:val="auto"/>
              </w:rPr>
              <w:t>Defaults, Dividend Arrearages and Delinquencies</w:t>
            </w:r>
          </w:p>
        </w:tc>
        <w:tc>
          <w:tcPr>
            <w:tcW w:w="3620" w:type="dxa"/>
            <w:vAlign w:val="bottom"/>
          </w:tcPr>
          <w:p>
            <w:pPr>
              <w:jc w:val="right"/>
              <w:ind w:right="338"/>
              <w:spacing w:after="0"/>
              <w:rPr>
                <w:sz w:val="20"/>
                <w:szCs w:val="20"/>
                <w:color w:val="auto"/>
              </w:rPr>
            </w:pPr>
            <w:r>
              <w:rPr>
                <w:rFonts w:ascii="Arial" w:cs="Arial" w:eastAsia="Arial" w:hAnsi="Arial"/>
                <w:sz w:val="12"/>
                <w:szCs w:val="12"/>
                <w:color w:val="auto"/>
              </w:rPr>
              <w:t>N/A</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14.</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Material Modifications to the Rights of Security Holders and Use of Proceeds</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N/A</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15.</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Controls and Procedures</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90-92</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16.</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[Reserved]</w:t>
            </w:r>
          </w:p>
        </w:tc>
        <w:tc>
          <w:tcPr>
            <w:tcW w:w="3620" w:type="dxa"/>
            <w:vAlign w:val="bottom"/>
          </w:tcPr>
          <w:p>
            <w:pPr>
              <w:spacing w:after="0"/>
              <w:rPr>
                <w:sz w:val="11"/>
                <w:szCs w:val="11"/>
                <w:color w:val="auto"/>
              </w:rPr>
            </w:pP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16A.</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Audit committee financial expert</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87</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16B.</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Code of Ethics</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86</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16C.</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Principal Accountant Fees and Services</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77, 88, 158, 203</w:t>
            </w:r>
          </w:p>
        </w:tc>
      </w:tr>
      <w:tr>
        <w:trPr>
          <w:trHeight w:val="133"/>
        </w:trPr>
        <w:tc>
          <w:tcPr>
            <w:tcW w:w="920" w:type="dxa"/>
            <w:vAlign w:val="bottom"/>
          </w:tcPr>
          <w:p>
            <w:pPr>
              <w:ind w:left="40"/>
              <w:spacing w:after="0" w:line="133" w:lineRule="exact"/>
              <w:rPr>
                <w:sz w:val="20"/>
                <w:szCs w:val="20"/>
                <w:color w:val="auto"/>
              </w:rPr>
            </w:pPr>
            <w:r>
              <w:rPr>
                <w:rFonts w:ascii="Arial" w:cs="Arial" w:eastAsia="Arial" w:hAnsi="Arial"/>
                <w:sz w:val="12"/>
                <w:szCs w:val="12"/>
                <w:color w:val="auto"/>
              </w:rPr>
              <w:t>Item 16D.</w:t>
            </w:r>
          </w:p>
        </w:tc>
        <w:tc>
          <w:tcPr>
            <w:tcW w:w="6880" w:type="dxa"/>
            <w:vAlign w:val="bottom"/>
          </w:tcPr>
          <w:p>
            <w:pPr>
              <w:ind w:left="340"/>
              <w:spacing w:after="0" w:line="133" w:lineRule="exact"/>
              <w:rPr>
                <w:sz w:val="20"/>
                <w:szCs w:val="20"/>
                <w:color w:val="auto"/>
              </w:rPr>
            </w:pPr>
            <w:r>
              <w:rPr>
                <w:rFonts w:ascii="Arial" w:cs="Arial" w:eastAsia="Arial" w:hAnsi="Arial"/>
                <w:sz w:val="12"/>
                <w:szCs w:val="12"/>
                <w:color w:val="auto"/>
              </w:rPr>
              <w:t>Exemptions from the Listing Standards for Audit Committees</w:t>
            </w:r>
          </w:p>
        </w:tc>
        <w:tc>
          <w:tcPr>
            <w:tcW w:w="36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86</w:t>
            </w:r>
          </w:p>
        </w:tc>
      </w:tr>
      <w:tr>
        <w:trPr>
          <w:trHeight w:val="148"/>
        </w:trPr>
        <w:tc>
          <w:tcPr>
            <w:tcW w:w="920" w:type="dxa"/>
            <w:vAlign w:val="bottom"/>
          </w:tcPr>
          <w:p>
            <w:pPr>
              <w:ind w:left="40"/>
              <w:spacing w:after="0"/>
              <w:rPr>
                <w:sz w:val="20"/>
                <w:szCs w:val="20"/>
                <w:color w:val="auto"/>
              </w:rPr>
            </w:pPr>
            <w:r>
              <w:rPr>
                <w:rFonts w:ascii="Arial" w:cs="Arial" w:eastAsia="Arial" w:hAnsi="Arial"/>
                <w:sz w:val="12"/>
                <w:szCs w:val="12"/>
                <w:color w:val="auto"/>
              </w:rPr>
              <w:t>Item 16E.</w:t>
            </w:r>
          </w:p>
        </w:tc>
        <w:tc>
          <w:tcPr>
            <w:tcW w:w="6880" w:type="dxa"/>
            <w:vAlign w:val="bottom"/>
          </w:tcPr>
          <w:p>
            <w:pPr>
              <w:ind w:left="340"/>
              <w:spacing w:after="0"/>
              <w:rPr>
                <w:sz w:val="20"/>
                <w:szCs w:val="20"/>
                <w:color w:val="auto"/>
              </w:rPr>
            </w:pPr>
            <w:r>
              <w:rPr>
                <w:rFonts w:ascii="Arial" w:cs="Arial" w:eastAsia="Arial" w:hAnsi="Arial"/>
                <w:sz w:val="12"/>
                <w:szCs w:val="12"/>
                <w:color w:val="auto"/>
              </w:rPr>
              <w:t>Purchases of Equity Securities by the Issuer and Affiliated Purchasers</w:t>
            </w:r>
          </w:p>
        </w:tc>
        <w:tc>
          <w:tcPr>
            <w:tcW w:w="3620" w:type="dxa"/>
            <w:vAlign w:val="bottom"/>
          </w:tcPr>
          <w:p>
            <w:pPr>
              <w:jc w:val="right"/>
              <w:ind w:right="338"/>
              <w:spacing w:after="0"/>
              <w:rPr>
                <w:sz w:val="20"/>
                <w:szCs w:val="20"/>
                <w:color w:val="auto"/>
              </w:rPr>
            </w:pPr>
            <w:r>
              <w:rPr>
                <w:rFonts w:ascii="Arial" w:cs="Arial" w:eastAsia="Arial" w:hAnsi="Arial"/>
                <w:sz w:val="12"/>
                <w:szCs w:val="12"/>
                <w:color w:val="auto"/>
              </w:rPr>
              <w:t>64</w:t>
            </w: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8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PART III</w:t>
            </w:r>
          </w:p>
        </w:tc>
        <w:tc>
          <w:tcPr>
            <w:tcW w:w="5340" w:type="dxa"/>
            <w:vAlign w:val="bottom"/>
            <w:shd w:val="clear" w:color="auto" w:fill="FFE204"/>
          </w:tcPr>
          <w:p>
            <w:pPr>
              <w:spacing w:after="0"/>
              <w:rPr>
                <w:sz w:val="13"/>
                <w:szCs w:val="13"/>
                <w:color w:val="auto"/>
              </w:rPr>
            </w:pPr>
          </w:p>
        </w:tc>
        <w:tc>
          <w:tcPr>
            <w:tcW w:w="5200" w:type="dxa"/>
            <w:vAlign w:val="bottom"/>
            <w:shd w:val="clear" w:color="auto" w:fill="FFE204"/>
          </w:tcPr>
          <w:p>
            <w:pPr>
              <w:jc w:val="right"/>
              <w:ind w:right="338"/>
              <w:spacing w:after="0"/>
              <w:rPr>
                <w:sz w:val="20"/>
                <w:szCs w:val="20"/>
                <w:color w:val="auto"/>
              </w:rPr>
            </w:pPr>
            <w:r>
              <w:rPr>
                <w:rFonts w:ascii="Arial" w:cs="Arial" w:eastAsia="Arial" w:hAnsi="Arial"/>
                <w:sz w:val="12"/>
                <w:szCs w:val="12"/>
                <w:b w:val="1"/>
                <w:bCs w:val="1"/>
                <w:color w:val="auto"/>
              </w:rPr>
              <w:t>PAGES</w:t>
            </w:r>
          </w:p>
        </w:tc>
      </w:tr>
      <w:tr>
        <w:trPr>
          <w:trHeight w:val="167"/>
        </w:trPr>
        <w:tc>
          <w:tcPr>
            <w:tcW w:w="880" w:type="dxa"/>
            <w:vAlign w:val="bottom"/>
          </w:tcPr>
          <w:p>
            <w:pPr>
              <w:ind w:left="40"/>
              <w:spacing w:after="0"/>
              <w:rPr>
                <w:sz w:val="20"/>
                <w:szCs w:val="20"/>
                <w:color w:val="auto"/>
              </w:rPr>
            </w:pPr>
            <w:r>
              <w:rPr>
                <w:rFonts w:ascii="Arial" w:cs="Arial" w:eastAsia="Arial" w:hAnsi="Arial"/>
                <w:sz w:val="12"/>
                <w:szCs w:val="12"/>
                <w:color w:val="auto"/>
              </w:rPr>
              <w:t>Item 17.</w:t>
            </w:r>
          </w:p>
        </w:tc>
        <w:tc>
          <w:tcPr>
            <w:tcW w:w="5340" w:type="dxa"/>
            <w:vAlign w:val="bottom"/>
          </w:tcPr>
          <w:p>
            <w:pPr>
              <w:ind w:left="380"/>
              <w:spacing w:after="0"/>
              <w:rPr>
                <w:sz w:val="20"/>
                <w:szCs w:val="20"/>
                <w:color w:val="auto"/>
              </w:rPr>
            </w:pPr>
            <w:r>
              <w:rPr>
                <w:rFonts w:ascii="Arial" w:cs="Arial" w:eastAsia="Arial" w:hAnsi="Arial"/>
                <w:sz w:val="12"/>
                <w:szCs w:val="12"/>
                <w:color w:val="auto"/>
              </w:rPr>
              <w:t>Financial Statements</w:t>
            </w:r>
          </w:p>
        </w:tc>
        <w:tc>
          <w:tcPr>
            <w:tcW w:w="5200" w:type="dxa"/>
            <w:vAlign w:val="bottom"/>
          </w:tcPr>
          <w:p>
            <w:pPr>
              <w:jc w:val="right"/>
              <w:ind w:right="338"/>
              <w:spacing w:after="0"/>
              <w:rPr>
                <w:sz w:val="20"/>
                <w:szCs w:val="20"/>
                <w:color w:val="auto"/>
              </w:rPr>
            </w:pPr>
            <w:r>
              <w:rPr>
                <w:rFonts w:ascii="Arial" w:cs="Arial" w:eastAsia="Arial" w:hAnsi="Arial"/>
                <w:sz w:val="12"/>
                <w:szCs w:val="12"/>
                <w:color w:val="auto"/>
              </w:rPr>
              <w:t>N/A</w:t>
            </w:r>
          </w:p>
        </w:tc>
      </w:tr>
      <w:tr>
        <w:trPr>
          <w:trHeight w:val="133"/>
        </w:trPr>
        <w:tc>
          <w:tcPr>
            <w:tcW w:w="880" w:type="dxa"/>
            <w:vAlign w:val="bottom"/>
          </w:tcPr>
          <w:p>
            <w:pPr>
              <w:ind w:left="40"/>
              <w:spacing w:after="0" w:line="133" w:lineRule="exact"/>
              <w:rPr>
                <w:sz w:val="20"/>
                <w:szCs w:val="20"/>
                <w:color w:val="auto"/>
              </w:rPr>
            </w:pPr>
            <w:r>
              <w:rPr>
                <w:rFonts w:ascii="Arial" w:cs="Arial" w:eastAsia="Arial" w:hAnsi="Arial"/>
                <w:sz w:val="12"/>
                <w:szCs w:val="12"/>
                <w:color w:val="auto"/>
              </w:rPr>
              <w:t>Item 18.</w:t>
            </w:r>
          </w:p>
        </w:tc>
        <w:tc>
          <w:tcPr>
            <w:tcW w:w="5340" w:type="dxa"/>
            <w:vAlign w:val="bottom"/>
          </w:tcPr>
          <w:p>
            <w:pPr>
              <w:ind w:left="380"/>
              <w:spacing w:after="0" w:line="133" w:lineRule="exact"/>
              <w:rPr>
                <w:sz w:val="20"/>
                <w:szCs w:val="20"/>
                <w:color w:val="auto"/>
              </w:rPr>
            </w:pPr>
            <w:r>
              <w:rPr>
                <w:rFonts w:ascii="Arial" w:cs="Arial" w:eastAsia="Arial" w:hAnsi="Arial"/>
                <w:sz w:val="12"/>
                <w:szCs w:val="12"/>
                <w:color w:val="auto"/>
              </w:rPr>
              <w:t>Financial Statements</w:t>
            </w:r>
          </w:p>
        </w:tc>
        <w:tc>
          <w:tcPr>
            <w:tcW w:w="52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111-161, 196-203</w:t>
            </w:r>
          </w:p>
        </w:tc>
      </w:tr>
      <w:tr>
        <w:trPr>
          <w:trHeight w:val="148"/>
        </w:trPr>
        <w:tc>
          <w:tcPr>
            <w:tcW w:w="880" w:type="dxa"/>
            <w:vAlign w:val="bottom"/>
          </w:tcPr>
          <w:p>
            <w:pPr>
              <w:ind w:left="40"/>
              <w:spacing w:after="0"/>
              <w:rPr>
                <w:sz w:val="20"/>
                <w:szCs w:val="20"/>
                <w:color w:val="auto"/>
              </w:rPr>
            </w:pPr>
            <w:r>
              <w:rPr>
                <w:rFonts w:ascii="Arial" w:cs="Arial" w:eastAsia="Arial" w:hAnsi="Arial"/>
                <w:sz w:val="12"/>
                <w:szCs w:val="12"/>
                <w:color w:val="auto"/>
              </w:rPr>
              <w:t>Item 19.</w:t>
            </w:r>
          </w:p>
        </w:tc>
        <w:tc>
          <w:tcPr>
            <w:tcW w:w="5340" w:type="dxa"/>
            <w:vAlign w:val="bottom"/>
          </w:tcPr>
          <w:p>
            <w:pPr>
              <w:ind w:left="380"/>
              <w:spacing w:after="0"/>
              <w:rPr>
                <w:sz w:val="20"/>
                <w:szCs w:val="20"/>
                <w:color w:val="auto"/>
              </w:rPr>
            </w:pPr>
            <w:r>
              <w:rPr>
                <w:rFonts w:ascii="Arial" w:cs="Arial" w:eastAsia="Arial" w:hAnsi="Arial"/>
                <w:sz w:val="12"/>
                <w:szCs w:val="12"/>
                <w:color w:val="auto"/>
              </w:rPr>
              <w:t>Exhibits</w:t>
            </w:r>
          </w:p>
        </w:tc>
        <w:tc>
          <w:tcPr>
            <w:tcW w:w="5200" w:type="dxa"/>
            <w:vAlign w:val="bottom"/>
          </w:tcPr>
          <w:p>
            <w:pPr>
              <w:jc w:val="right"/>
              <w:ind w:right="338"/>
              <w:spacing w:after="0"/>
              <w:rPr>
                <w:sz w:val="20"/>
                <w:szCs w:val="20"/>
                <w:color w:val="auto"/>
              </w:rPr>
            </w:pPr>
            <w:r>
              <w:rPr>
                <w:rFonts w:ascii="Arial" w:cs="Arial" w:eastAsia="Arial" w:hAnsi="Arial"/>
                <w:sz w:val="12"/>
                <w:szCs w:val="12"/>
                <w:color w:val="auto"/>
              </w:rPr>
              <w:t>208</w:t>
            </w:r>
          </w:p>
        </w:tc>
      </w:tr>
    </w:tbl>
    <w:p>
      <w:pPr>
        <w:spacing w:after="0" w:line="203" w:lineRule="exact"/>
        <w:rPr>
          <w:sz w:val="20"/>
          <w:szCs w:val="20"/>
          <w:color w:val="auto"/>
        </w:rPr>
      </w:pPr>
    </w:p>
    <w:p>
      <w:pPr>
        <w:ind w:left="220" w:hanging="213"/>
        <w:spacing w:after="0"/>
        <w:tabs>
          <w:tab w:leader="none" w:pos="220" w:val="left"/>
        </w:tabs>
        <w:numPr>
          <w:ilvl w:val="0"/>
          <w:numId w:val="3"/>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725297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Abbreviations</w:t>
      </w:r>
    </w:p>
    <w:p>
      <w:pPr>
        <w:spacing w:after="0" w:line="22" w:lineRule="exact"/>
        <w:rPr>
          <w:sz w:val="20"/>
          <w:szCs w:val="20"/>
          <w:color w:val="auto"/>
        </w:rPr>
      </w:pPr>
    </w:p>
    <w:p>
      <w:pPr>
        <w:spacing w:after="0"/>
        <w:rPr>
          <w:sz w:val="20"/>
          <w:szCs w:val="20"/>
          <w:color w:val="auto"/>
        </w:rPr>
      </w:pPr>
      <w:r>
        <w:rPr>
          <w:rFonts w:ascii="Arial" w:cs="Arial" w:eastAsia="Arial" w:hAnsi="Arial"/>
          <w:sz w:val="12"/>
          <w:szCs w:val="12"/>
          <w:color w:val="auto"/>
        </w:rPr>
        <w:t>Listed below are the most common abbreviations used throughout this Report.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190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UNITS OF MEASUREMENT</w:t>
            </w:r>
          </w:p>
        </w:tc>
        <w:tc>
          <w:tcPr>
            <w:tcW w:w="3580" w:type="dxa"/>
            <w:vAlign w:val="bottom"/>
            <w:shd w:val="clear" w:color="auto" w:fill="FFE204"/>
          </w:tcPr>
          <w:p>
            <w:pPr>
              <w:spacing w:after="0"/>
              <w:rPr>
                <w:sz w:val="12"/>
                <w:szCs w:val="12"/>
                <w:color w:val="auto"/>
              </w:rPr>
            </w:pPr>
          </w:p>
        </w:tc>
      </w:tr>
      <w:tr>
        <w:trPr>
          <w:trHeight w:val="141"/>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acre</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approximately 0.4 hectares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bcf/d</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billion cubic feet per day</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boe(/d)</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barrels of oil equivalent (per day)</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b/d</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barrels per day</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Btu</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British thermal units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(k)dwt</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(thousand) deadweight tonnes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mtpa</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million tonnes per annum</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MW</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megawatts</w:t>
            </w:r>
          </w:p>
        </w:tc>
      </w:tr>
      <w:tr>
        <w:trPr>
          <w:trHeight w:val="148"/>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scf</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standard cubic feet</w:t>
            </w:r>
          </w:p>
        </w:tc>
      </w:tr>
      <w:tr>
        <w:trPr>
          <w:trHeight w:val="124"/>
        </w:trPr>
        <w:tc>
          <w:tcPr>
            <w:tcW w:w="1900" w:type="dxa"/>
            <w:vAlign w:val="bottom"/>
            <w:shd w:val="clear" w:color="auto" w:fill="E4E3E1"/>
          </w:tcPr>
          <w:p>
            <w:pPr>
              <w:spacing w:after="0"/>
              <w:rPr>
                <w:sz w:val="10"/>
                <w:szCs w:val="10"/>
                <w:color w:val="auto"/>
              </w:rPr>
            </w:pPr>
          </w:p>
        </w:tc>
        <w:tc>
          <w:tcPr>
            <w:tcW w:w="3580" w:type="dxa"/>
            <w:vAlign w:val="bottom"/>
            <w:shd w:val="clear" w:color="auto" w:fill="E4E3E1"/>
          </w:tcPr>
          <w:p>
            <w:pPr>
              <w:spacing w:after="0"/>
              <w:rPr>
                <w:sz w:val="10"/>
                <w:szCs w:val="10"/>
                <w:color w:val="auto"/>
              </w:rPr>
            </w:pPr>
          </w:p>
        </w:tc>
      </w:tr>
      <w:tr>
        <w:trPr>
          <w:trHeight w:val="147"/>
        </w:trPr>
        <w:tc>
          <w:tcPr>
            <w:tcW w:w="190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PRODUCTS</w:t>
            </w:r>
          </w:p>
        </w:tc>
        <w:tc>
          <w:tcPr>
            <w:tcW w:w="3580" w:type="dxa"/>
            <w:vAlign w:val="bottom"/>
            <w:shd w:val="clear" w:color="auto" w:fill="FFE204"/>
          </w:tcPr>
          <w:p>
            <w:pPr>
              <w:spacing w:after="0"/>
              <w:rPr>
                <w:sz w:val="12"/>
                <w:szCs w:val="12"/>
                <w:color w:val="auto"/>
              </w:rPr>
            </w:pPr>
          </w:p>
        </w:tc>
      </w:tr>
      <w:tr>
        <w:trPr>
          <w:trHeight w:val="141"/>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BTX</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benzene, toluene, xylene</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GTL</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gas to liquids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LNG</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liquefied natural gas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LPG</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liquefied petroleum gas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NGL</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natural gas liquids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MEG</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mono-ethylene glycol</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PTT</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polytrimethylene terephthalate</w:t>
            </w:r>
          </w:p>
        </w:tc>
      </w:tr>
      <w:tr>
        <w:trPr>
          <w:trHeight w:val="148"/>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SM/PO</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styrene monomer/propylene oxide</w:t>
            </w:r>
          </w:p>
        </w:tc>
      </w:tr>
      <w:tr>
        <w:trPr>
          <w:trHeight w:val="124"/>
        </w:trPr>
        <w:tc>
          <w:tcPr>
            <w:tcW w:w="1900" w:type="dxa"/>
            <w:vAlign w:val="bottom"/>
            <w:shd w:val="clear" w:color="auto" w:fill="E4E3E1"/>
          </w:tcPr>
          <w:p>
            <w:pPr>
              <w:spacing w:after="0"/>
              <w:rPr>
                <w:sz w:val="10"/>
                <w:szCs w:val="10"/>
                <w:color w:val="auto"/>
              </w:rPr>
            </w:pPr>
          </w:p>
        </w:tc>
        <w:tc>
          <w:tcPr>
            <w:tcW w:w="3580" w:type="dxa"/>
            <w:vAlign w:val="bottom"/>
            <w:shd w:val="clear" w:color="auto" w:fill="E4E3E1"/>
          </w:tcPr>
          <w:p>
            <w:pPr>
              <w:spacing w:after="0"/>
              <w:rPr>
                <w:sz w:val="10"/>
                <w:szCs w:val="10"/>
                <w:color w:val="auto"/>
              </w:rPr>
            </w:pPr>
          </w:p>
        </w:tc>
      </w:tr>
      <w:tr>
        <w:trPr>
          <w:trHeight w:val="147"/>
        </w:trPr>
        <w:tc>
          <w:tcPr>
            <w:tcW w:w="1900" w:type="dxa"/>
            <w:vAlign w:val="bottom"/>
            <w:shd w:val="clear" w:color="auto" w:fill="FFE204"/>
          </w:tcPr>
          <w:p>
            <w:pPr>
              <w:ind w:left="40"/>
              <w:spacing w:after="0"/>
              <w:rPr>
                <w:sz w:val="20"/>
                <w:szCs w:val="20"/>
                <w:color w:val="auto"/>
              </w:rPr>
            </w:pPr>
            <w:r>
              <w:rPr>
                <w:rFonts w:ascii="Arial" w:cs="Arial" w:eastAsia="Arial" w:hAnsi="Arial"/>
                <w:sz w:val="12"/>
                <w:szCs w:val="12"/>
                <w:b w:val="1"/>
                <w:bCs w:val="1"/>
                <w:color w:val="auto"/>
              </w:rPr>
              <w:t>MISCELLANEOUS</w:t>
            </w:r>
          </w:p>
        </w:tc>
        <w:tc>
          <w:tcPr>
            <w:tcW w:w="3580" w:type="dxa"/>
            <w:vAlign w:val="bottom"/>
            <w:shd w:val="clear" w:color="auto" w:fill="FFE204"/>
          </w:tcPr>
          <w:p>
            <w:pPr>
              <w:spacing w:after="0"/>
              <w:rPr>
                <w:sz w:val="12"/>
                <w:szCs w:val="12"/>
                <w:color w:val="auto"/>
              </w:rPr>
            </w:pPr>
          </w:p>
        </w:tc>
      </w:tr>
      <w:tr>
        <w:trPr>
          <w:trHeight w:val="141"/>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ADR</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American Depositary Receipt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AGM</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Annual General Meeting</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CO</w:t>
            </w:r>
            <w:r>
              <w:rPr>
                <w:rFonts w:ascii="Arial" w:cs="Arial" w:eastAsia="Arial" w:hAnsi="Arial"/>
                <w:sz w:val="10"/>
                <w:szCs w:val="10"/>
                <w:color w:val="auto"/>
              </w:rPr>
              <w:t>2</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carbon dioxide</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EPC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engineering, procurement and construction</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FEED</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front-end engineering design</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GHG</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greenhouse gas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HSE</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health, safety and environment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HSSE</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health, safety, security and environment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IFRIC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International Financial Reporting Interpretations Committee</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IFRS</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International Financial Reporting Standards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NGO</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non-governmental organisation</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NOC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national oil company</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OFR</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Operating and Financial Review</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OPEC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Organization of the Petroleum Exporting Countries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PSA</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production-sharing agreement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PSC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production-sharing contract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R&amp;D</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research and development</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REMCO</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Remuneration Committee</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SEC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United States Securities and Exchange Commission</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TRCF</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total recordable case frequency</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US GAAP</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United States Generally Accepted Accounting Principles</w:t>
            </w:r>
          </w:p>
        </w:tc>
      </w:tr>
      <w:tr>
        <w:trPr>
          <w:trHeight w:val="133"/>
        </w:trPr>
        <w:tc>
          <w:tcPr>
            <w:tcW w:w="1900" w:type="dxa"/>
            <w:vAlign w:val="bottom"/>
            <w:shd w:val="clear" w:color="auto" w:fill="E4E3E1"/>
          </w:tcPr>
          <w:p>
            <w:pPr>
              <w:ind w:left="40"/>
              <w:spacing w:after="0" w:line="133" w:lineRule="exact"/>
              <w:rPr>
                <w:sz w:val="20"/>
                <w:szCs w:val="20"/>
                <w:color w:val="auto"/>
              </w:rPr>
            </w:pPr>
            <w:r>
              <w:rPr>
                <w:rFonts w:ascii="Arial" w:cs="Arial" w:eastAsia="Arial" w:hAnsi="Arial"/>
                <w:sz w:val="12"/>
                <w:szCs w:val="12"/>
                <w:color w:val="auto"/>
              </w:rPr>
              <w:t>USGC</w:t>
            </w:r>
          </w:p>
        </w:tc>
        <w:tc>
          <w:tcPr>
            <w:tcW w:w="35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United States Gulf Coast</w:t>
            </w:r>
          </w:p>
        </w:tc>
      </w:tr>
      <w:tr>
        <w:trPr>
          <w:trHeight w:val="148"/>
        </w:trPr>
        <w:tc>
          <w:tcPr>
            <w:tcW w:w="1900" w:type="dxa"/>
            <w:vAlign w:val="bottom"/>
            <w:shd w:val="clear" w:color="auto" w:fill="E4E3E1"/>
          </w:tcPr>
          <w:p>
            <w:pPr>
              <w:ind w:left="40"/>
              <w:spacing w:after="0"/>
              <w:rPr>
                <w:sz w:val="20"/>
                <w:szCs w:val="20"/>
                <w:color w:val="auto"/>
              </w:rPr>
            </w:pPr>
            <w:r>
              <w:rPr>
                <w:rFonts w:ascii="Arial" w:cs="Arial" w:eastAsia="Arial" w:hAnsi="Arial"/>
                <w:sz w:val="12"/>
                <w:szCs w:val="12"/>
                <w:color w:val="auto"/>
              </w:rPr>
              <w:t>WTI</w:t>
            </w:r>
          </w:p>
        </w:tc>
        <w:tc>
          <w:tcPr>
            <w:tcW w:w="35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West Texas Intermediate</w:t>
            </w:r>
          </w:p>
        </w:tc>
      </w:tr>
      <w:tr>
        <w:trPr>
          <w:trHeight w:val="44"/>
        </w:trPr>
        <w:tc>
          <w:tcPr>
            <w:tcW w:w="1900" w:type="dxa"/>
            <w:vAlign w:val="bottom"/>
            <w:shd w:val="clear" w:color="auto" w:fill="E4E3E1"/>
          </w:tcPr>
          <w:p>
            <w:pPr>
              <w:spacing w:after="0"/>
              <w:rPr>
                <w:sz w:val="3"/>
                <w:szCs w:val="3"/>
                <w:color w:val="auto"/>
              </w:rPr>
            </w:pPr>
          </w:p>
        </w:tc>
        <w:tc>
          <w:tcPr>
            <w:tcW w:w="3580" w:type="dxa"/>
            <w:vAlign w:val="bottom"/>
            <w:shd w:val="clear" w:color="auto" w:fill="E4E3E1"/>
          </w:tcPr>
          <w:p>
            <w:pPr>
              <w:spacing w:after="0"/>
              <w:rPr>
                <w:sz w:val="3"/>
                <w:szCs w:val="3"/>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640"/>
        <w:spacing w:after="0" w:line="261" w:lineRule="auto"/>
        <w:rPr>
          <w:sz w:val="20"/>
          <w:szCs w:val="20"/>
          <w:color w:val="auto"/>
        </w:rPr>
      </w:pPr>
      <w:r>
        <w:rPr>
          <w:rFonts w:ascii="Arial" w:cs="Arial" w:eastAsia="Arial" w:hAnsi="Arial"/>
          <w:sz w:val="36"/>
          <w:szCs w:val="36"/>
          <w:color w:val="auto"/>
        </w:rPr>
        <w:t>Unification of Royal Dutch and Shell Transport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-638810</wp:posOffset>
            </wp:positionV>
            <wp:extent cx="3682365" cy="7011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2365" cy="7011670"/>
                    </a:xfrm>
                    <a:prstGeom prst="rect">
                      <a:avLst/>
                    </a:prstGeom>
                    <a:noFill/>
                  </pic:spPr>
                </pic:pic>
              </a:graphicData>
            </a:graphic>
          </wp:anchor>
        </w:drawing>
      </w:r>
    </w:p>
    <w:p>
      <w:pPr>
        <w:spacing w:after="0" w:line="55" w:lineRule="exact"/>
        <w:rPr>
          <w:sz w:val="20"/>
          <w:szCs w:val="20"/>
          <w:color w:val="auto"/>
        </w:rPr>
      </w:pPr>
    </w:p>
    <w:p>
      <w:pPr>
        <w:ind w:right="200"/>
        <w:spacing w:after="0" w:line="292" w:lineRule="auto"/>
        <w:rPr>
          <w:sz w:val="20"/>
          <w:szCs w:val="20"/>
          <w:color w:val="auto"/>
        </w:rPr>
      </w:pPr>
      <w:r>
        <w:rPr>
          <w:rFonts w:ascii="Arial" w:cs="Arial" w:eastAsia="Arial" w:hAnsi="Arial"/>
          <w:sz w:val="15"/>
          <w:szCs w:val="15"/>
          <w:color w:val="auto"/>
        </w:rPr>
        <w:t>In 2005, Royal Dutch Shell plc (Royal Dutch Shell) became the single parent company of Royal Dutch Petroleum Company (“Royal Dutch”) and of The “Shell” Transport and Trading Company, p.l.c. (“Shell Transport”) the two former public parent companies of the Group (the “Unification”).</w:t>
      </w:r>
    </w:p>
    <w:p>
      <w:pPr>
        <w:spacing w:after="0" w:line="17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Immediately after the Unification each former Royal Dutch and Shell Transport shareholder who participated in the Unification held the same economic interest in Royal Dutch Shell as the shareholder held in the Group immediately prior to implementation of the Unification. Accordingly, the Unification has been accounted for using a carry-over basis of the historical costs of the assets and liabilities of Royal Dutch, Shell Transport and the other companies comprising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962025</wp:posOffset>
            </wp:positionV>
            <wp:extent cx="725297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360"/>
            <w:col w:w="5140"/>
          </w:cols>
          <w:pgMar w:left="240" w:top="415" w:right="6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Selected financial data</w:t>
      </w:r>
    </w:p>
    <w:p>
      <w:pPr>
        <w:spacing w:after="0" w:line="353" w:lineRule="exact"/>
        <w:rPr>
          <w:sz w:val="20"/>
          <w:szCs w:val="20"/>
          <w:color w:val="auto"/>
        </w:rPr>
      </w:pPr>
    </w:p>
    <w:p>
      <w:pPr>
        <w:jc w:val="both"/>
        <w:ind w:right="240"/>
        <w:spacing w:after="0" w:line="291" w:lineRule="auto"/>
        <w:rPr>
          <w:sz w:val="20"/>
          <w:szCs w:val="20"/>
          <w:color w:val="auto"/>
        </w:rPr>
      </w:pPr>
      <w:r>
        <w:rPr>
          <w:rFonts w:ascii="Arial" w:cs="Arial" w:eastAsia="Arial" w:hAnsi="Arial"/>
          <w:sz w:val="12"/>
          <w:szCs w:val="12"/>
          <w:color w:val="auto"/>
        </w:rPr>
        <w:t>The selected financial data set out below is derived, in part, from the Consolidated Financial Statements. The selected data should be read in conjunction with the Consolidated Financial Statements and related Notes, as well as the Operating and Financial Review in this Report.</w:t>
      </w:r>
    </w:p>
    <w:p>
      <w:pPr>
        <w:spacing w:after="0" w:line="151"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The Consolidated Financial Statements have been prepared in accordance with International Financial Reporting Standards (IFRS) as issued by the International Accounting Standard Board (IASB). Prior to 2004, financial statements prepared in accordance with IFRS are not available. With effect from 2008, the usual five years of selected financial data will be provided.</w:t>
      </w:r>
    </w:p>
    <w:p>
      <w:pPr>
        <w:spacing w:after="0" w:line="174"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With effect from 2007, wind and solar activities, which were previously reported within Other industry segments, are reported within the Gas &amp; Power segment and Oil Sands activities, which were previously reported within the Exploration &amp; Production segment, are reported as a separate segment. Prior period financial statements have been reclassified accordingly. During 2007, the hydrogen and CO</w:t>
      </w:r>
      <w:r>
        <w:rPr>
          <w:rFonts w:ascii="Arial" w:cs="Arial" w:eastAsia="Arial" w:hAnsi="Arial"/>
          <w:sz w:val="11"/>
          <w:szCs w:val="11"/>
          <w:color w:val="auto"/>
        </w:rPr>
        <w:t>2</w:t>
      </w:r>
      <w:r>
        <w:rPr>
          <w:rFonts w:ascii="Arial" w:cs="Arial" w:eastAsia="Arial" w:hAnsi="Arial"/>
          <w:sz w:val="13"/>
          <w:szCs w:val="13"/>
          <w:color w:val="auto"/>
        </w:rPr>
        <w:t xml:space="preserve"> coordination activities were moved from Other industry segments to the Oil Products segment and all other activities within Other industry segments are now reported within the Corporate segment.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3040" w:type="dxa"/>
            <w:vAlign w:val="bottom"/>
            <w:gridSpan w:val="2"/>
            <w:shd w:val="clear" w:color="auto" w:fill="FFD204"/>
          </w:tcPr>
          <w:p>
            <w:pPr>
              <w:spacing w:after="0"/>
              <w:rPr>
                <w:sz w:val="20"/>
                <w:szCs w:val="20"/>
                <w:color w:val="auto"/>
              </w:rPr>
            </w:pPr>
            <w:r>
              <w:rPr>
                <w:rFonts w:ascii="Arial" w:cs="Arial" w:eastAsia="Arial" w:hAnsi="Arial"/>
                <w:sz w:val="12"/>
                <w:szCs w:val="12"/>
                <w:b w:val="1"/>
                <w:bCs w:val="1"/>
                <w:color w:val="auto"/>
              </w:rPr>
              <w:t>CONSOLIDATED STATEMENT OF INCOME DATA</w:t>
            </w:r>
          </w:p>
        </w:tc>
        <w:tc>
          <w:tcPr>
            <w:tcW w:w="900" w:type="dxa"/>
            <w:vAlign w:val="bottom"/>
            <w:shd w:val="clear" w:color="auto" w:fill="FFD204"/>
          </w:tcPr>
          <w:p>
            <w:pPr>
              <w:spacing w:after="0"/>
              <w:rPr>
                <w:sz w:val="13"/>
                <w:szCs w:val="13"/>
                <w:color w:val="auto"/>
              </w:rPr>
            </w:pPr>
          </w:p>
        </w:tc>
        <w:tc>
          <w:tcPr>
            <w:tcW w:w="840" w:type="dxa"/>
            <w:vAlign w:val="bottom"/>
            <w:shd w:val="clear" w:color="auto" w:fill="FFD204"/>
          </w:tcPr>
          <w:p>
            <w:pPr>
              <w:spacing w:after="0"/>
              <w:rPr>
                <w:sz w:val="13"/>
                <w:szCs w:val="13"/>
                <w:color w:val="auto"/>
              </w:rPr>
            </w:pPr>
          </w:p>
        </w:tc>
        <w:tc>
          <w:tcPr>
            <w:tcW w:w="70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40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90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2005</w:t>
            </w:r>
          </w:p>
        </w:tc>
        <w:tc>
          <w:tcPr>
            <w:tcW w:w="7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2004</w:t>
            </w:r>
          </w:p>
        </w:tc>
      </w:tr>
      <w:tr>
        <w:trPr>
          <w:trHeight w:val="127"/>
        </w:trPr>
        <w:tc>
          <w:tcPr>
            <w:tcW w:w="240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64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355,782</w:t>
            </w:r>
          </w:p>
        </w:tc>
        <w:tc>
          <w:tcPr>
            <w:tcW w:w="90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318,845</w:t>
            </w:r>
          </w:p>
        </w:tc>
        <w:tc>
          <w:tcPr>
            <w:tcW w:w="84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306,731</w:t>
            </w:r>
          </w:p>
        </w:tc>
        <w:tc>
          <w:tcPr>
            <w:tcW w:w="7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266,386</w:t>
            </w:r>
          </w:p>
        </w:tc>
      </w:tr>
      <w:tr>
        <w:trPr>
          <w:trHeight w:val="133"/>
        </w:trPr>
        <w:tc>
          <w:tcPr>
            <w:tcW w:w="2400" w:type="dxa"/>
            <w:vAlign w:val="bottom"/>
          </w:tcPr>
          <w:p>
            <w:pPr>
              <w:spacing w:after="0" w:line="133" w:lineRule="exact"/>
              <w:rPr>
                <w:sz w:val="20"/>
                <w:szCs w:val="20"/>
                <w:color w:val="auto"/>
              </w:rPr>
            </w:pPr>
            <w:r>
              <w:rPr>
                <w:rFonts w:ascii="Arial" w:cs="Arial" w:eastAsia="Arial" w:hAnsi="Arial"/>
                <w:sz w:val="12"/>
                <w:szCs w:val="12"/>
                <w:color w:val="auto"/>
              </w:rPr>
              <w:t>Income from continuing operations</w:t>
            </w:r>
          </w:p>
        </w:tc>
        <w:tc>
          <w:tcPr>
            <w:tcW w:w="6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31,926</w:t>
            </w:r>
          </w:p>
        </w:tc>
        <w:tc>
          <w:tcPr>
            <w:tcW w:w="9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26,311</w:t>
            </w:r>
          </w:p>
        </w:tc>
        <w:tc>
          <w:tcPr>
            <w:tcW w:w="8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26,568</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19,491</w:t>
            </w:r>
          </w:p>
        </w:tc>
      </w:tr>
      <w:tr>
        <w:trPr>
          <w:trHeight w:val="133"/>
        </w:trPr>
        <w:tc>
          <w:tcPr>
            <w:tcW w:w="2400" w:type="dxa"/>
            <w:vAlign w:val="bottom"/>
          </w:tcPr>
          <w:p>
            <w:pPr>
              <w:spacing w:after="0" w:line="133" w:lineRule="exact"/>
              <w:rPr>
                <w:sz w:val="20"/>
                <w:szCs w:val="20"/>
                <w:color w:val="auto"/>
              </w:rPr>
            </w:pPr>
            <w:r>
              <w:rPr>
                <w:rFonts w:ascii="Arial" w:cs="Arial" w:eastAsia="Arial" w:hAnsi="Arial"/>
                <w:sz w:val="12"/>
                <w:szCs w:val="12"/>
                <w:color w:val="auto"/>
              </w:rPr>
              <w:t>Income/(loss) from discontinued</w:t>
            </w:r>
          </w:p>
        </w:tc>
        <w:tc>
          <w:tcPr>
            <w:tcW w:w="64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9"/>
        </w:trPr>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operations</w:t>
            </w:r>
          </w:p>
        </w:tc>
        <w:tc>
          <w:tcPr>
            <w:tcW w:w="6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(234)</w:t>
            </w:r>
          </w:p>
        </w:tc>
      </w:tr>
      <w:tr>
        <w:trPr>
          <w:trHeight w:val="140"/>
        </w:trPr>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Income for the period</w:t>
            </w:r>
          </w:p>
        </w:tc>
        <w:tc>
          <w:tcPr>
            <w:tcW w:w="6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31,926</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26,311</w:t>
            </w: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26,261</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19,257</w:t>
            </w:r>
          </w:p>
        </w:tc>
      </w:tr>
      <w:tr>
        <w:trPr>
          <w:trHeight w:val="140"/>
        </w:trPr>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attributable to minority interest</w:t>
            </w:r>
          </w:p>
        </w:tc>
        <w:tc>
          <w:tcPr>
            <w:tcW w:w="6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595</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869</w:t>
            </w: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950</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717</w:t>
            </w:r>
          </w:p>
        </w:tc>
      </w:tr>
      <w:tr>
        <w:trPr>
          <w:trHeight w:val="120"/>
        </w:trPr>
        <w:tc>
          <w:tcPr>
            <w:tcW w:w="2400" w:type="dxa"/>
            <w:vAlign w:val="bottom"/>
          </w:tcPr>
          <w:p>
            <w:pPr>
              <w:spacing w:after="0" w:line="120" w:lineRule="exact"/>
              <w:rPr>
                <w:sz w:val="20"/>
                <w:szCs w:val="20"/>
                <w:color w:val="auto"/>
              </w:rPr>
            </w:pPr>
            <w:r>
              <w:rPr>
                <w:rFonts w:ascii="Arial" w:cs="Arial" w:eastAsia="Arial" w:hAnsi="Arial"/>
                <w:sz w:val="12"/>
                <w:szCs w:val="12"/>
                <w:b w:val="1"/>
                <w:bCs w:val="1"/>
                <w:color w:val="auto"/>
              </w:rPr>
              <w:t>Income attributable to shareholders</w:t>
            </w:r>
          </w:p>
        </w:tc>
        <w:tc>
          <w:tcPr>
            <w:tcW w:w="640" w:type="dxa"/>
            <w:vAlign w:val="bottom"/>
            <w:shd w:val="clear" w:color="auto" w:fill="E4E3E1"/>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0"/>
        </w:trPr>
        <w:tc>
          <w:tcPr>
            <w:tcW w:w="2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of Royal Dutch Shell plc</w:t>
            </w:r>
          </w:p>
        </w:tc>
        <w:tc>
          <w:tcPr>
            <w:tcW w:w="6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31,331</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25,442</w:t>
            </w: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25,311</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18,540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600" w:type="dxa"/>
            <w:vAlign w:val="bottom"/>
            <w:tcBorders>
              <w:bottom w:val="single" w:sz="8" w:color="FFD204"/>
            </w:tcBorders>
            <w:shd w:val="clear" w:color="auto" w:fill="FFD204"/>
          </w:tcPr>
          <w:p>
            <w:pPr>
              <w:ind w:left="40"/>
              <w:spacing w:after="0"/>
              <w:rPr>
                <w:sz w:val="20"/>
                <w:szCs w:val="20"/>
                <w:color w:val="auto"/>
              </w:rPr>
            </w:pPr>
            <w:r>
              <w:rPr>
                <w:rFonts w:ascii="Arial" w:cs="Arial" w:eastAsia="Arial" w:hAnsi="Arial"/>
                <w:sz w:val="12"/>
                <w:szCs w:val="12"/>
                <w:b w:val="1"/>
                <w:bCs w:val="1"/>
                <w:color w:val="auto"/>
              </w:rPr>
              <w:t>CONSOLIDATED BALANCE SHEET DATA</w:t>
            </w:r>
          </w:p>
        </w:tc>
        <w:tc>
          <w:tcPr>
            <w:tcW w:w="560" w:type="dxa"/>
            <w:vAlign w:val="bottom"/>
            <w:tcBorders>
              <w:bottom w:val="single" w:sz="8" w:color="FFD204"/>
            </w:tcBorders>
            <w:shd w:val="clear" w:color="auto" w:fill="FFD204"/>
          </w:tcPr>
          <w:p>
            <w:pPr>
              <w:spacing w:after="0"/>
              <w:rPr>
                <w:sz w:val="17"/>
                <w:szCs w:val="17"/>
                <w:color w:val="auto"/>
              </w:rPr>
            </w:pPr>
          </w:p>
        </w:tc>
        <w:tc>
          <w:tcPr>
            <w:tcW w:w="860" w:type="dxa"/>
            <w:vAlign w:val="bottom"/>
            <w:tcBorders>
              <w:bottom w:val="single" w:sz="8" w:color="FFD204"/>
            </w:tcBorders>
            <w:shd w:val="clear" w:color="auto" w:fill="FFD204"/>
          </w:tcPr>
          <w:p>
            <w:pPr>
              <w:spacing w:after="0"/>
              <w:rPr>
                <w:sz w:val="17"/>
                <w:szCs w:val="17"/>
                <w:color w:val="auto"/>
              </w:rPr>
            </w:pPr>
          </w:p>
        </w:tc>
        <w:tc>
          <w:tcPr>
            <w:tcW w:w="760" w:type="dxa"/>
            <w:vAlign w:val="bottom"/>
            <w:tcBorders>
              <w:bottom w:val="single" w:sz="8" w:color="FFD204"/>
            </w:tcBorders>
            <w:shd w:val="clear" w:color="auto" w:fill="FFD204"/>
          </w:tcPr>
          <w:p>
            <w:pPr>
              <w:spacing w:after="0"/>
              <w:rPr>
                <w:sz w:val="17"/>
                <w:szCs w:val="17"/>
                <w:color w:val="auto"/>
              </w:rPr>
            </w:pPr>
          </w:p>
        </w:tc>
        <w:tc>
          <w:tcPr>
            <w:tcW w:w="700" w:type="dxa"/>
            <w:vAlign w:val="bottom"/>
            <w:tcBorders>
              <w:bottom w:val="single" w:sz="8" w:color="FFD204"/>
            </w:tcBorders>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600" w:type="dxa"/>
            <w:vAlign w:val="bottom"/>
            <w:shd w:val="clear" w:color="auto" w:fill="CECAC6"/>
          </w:tcPr>
          <w:p>
            <w:pPr>
              <w:spacing w:after="0"/>
              <w:rPr>
                <w:sz w:val="11"/>
                <w:szCs w:val="11"/>
                <w:color w:val="auto"/>
              </w:rPr>
            </w:pPr>
          </w:p>
        </w:tc>
        <w:tc>
          <w:tcPr>
            <w:tcW w:w="56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86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2006</w:t>
            </w:r>
          </w:p>
        </w:tc>
        <w:tc>
          <w:tcPr>
            <w:tcW w:w="76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2005</w:t>
            </w:r>
          </w:p>
        </w:tc>
        <w:tc>
          <w:tcPr>
            <w:tcW w:w="7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2004</w:t>
            </w:r>
          </w:p>
        </w:tc>
      </w:tr>
      <w:tr>
        <w:trPr>
          <w:trHeight w:val="127"/>
        </w:trPr>
        <w:tc>
          <w:tcPr>
            <w:tcW w:w="2600" w:type="dxa"/>
            <w:vAlign w:val="bottom"/>
          </w:tcPr>
          <w:p>
            <w:pPr>
              <w:spacing w:after="0" w:line="128" w:lineRule="exact"/>
              <w:rPr>
                <w:sz w:val="20"/>
                <w:szCs w:val="20"/>
                <w:color w:val="auto"/>
              </w:rPr>
            </w:pPr>
            <w:r>
              <w:rPr>
                <w:rFonts w:ascii="Arial" w:cs="Arial" w:eastAsia="Arial" w:hAnsi="Arial"/>
                <w:sz w:val="12"/>
                <w:szCs w:val="12"/>
                <w:color w:val="auto"/>
              </w:rPr>
              <w:t>Total assets</w:t>
            </w:r>
          </w:p>
        </w:tc>
        <w:tc>
          <w:tcPr>
            <w:tcW w:w="56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shd w:val="clear" w:color="auto" w:fill="E4E3E1"/>
              </w:rPr>
              <w:t>269,470</w:t>
            </w:r>
          </w:p>
        </w:tc>
        <w:tc>
          <w:tcPr>
            <w:tcW w:w="860" w:type="dxa"/>
            <w:vAlign w:val="bottom"/>
          </w:tcPr>
          <w:p>
            <w:pPr>
              <w:jc w:val="right"/>
              <w:ind w:right="98"/>
              <w:spacing w:after="0" w:line="128" w:lineRule="exact"/>
              <w:rPr>
                <w:sz w:val="20"/>
                <w:szCs w:val="20"/>
                <w:color w:val="auto"/>
              </w:rPr>
            </w:pPr>
            <w:r>
              <w:rPr>
                <w:rFonts w:ascii="Arial" w:cs="Arial" w:eastAsia="Arial" w:hAnsi="Arial"/>
                <w:sz w:val="12"/>
                <w:szCs w:val="12"/>
                <w:color w:val="auto"/>
              </w:rPr>
              <w:t>235,276</w:t>
            </w:r>
          </w:p>
        </w:tc>
        <w:tc>
          <w:tcPr>
            <w:tcW w:w="760" w:type="dxa"/>
            <w:vAlign w:val="bottom"/>
          </w:tcPr>
          <w:p>
            <w:pPr>
              <w:jc w:val="right"/>
              <w:ind w:right="98"/>
              <w:spacing w:after="0" w:line="128" w:lineRule="exact"/>
              <w:rPr>
                <w:sz w:val="20"/>
                <w:szCs w:val="20"/>
                <w:color w:val="auto"/>
              </w:rPr>
            </w:pPr>
            <w:r>
              <w:rPr>
                <w:rFonts w:ascii="Arial" w:cs="Arial" w:eastAsia="Arial" w:hAnsi="Arial"/>
                <w:sz w:val="12"/>
                <w:szCs w:val="12"/>
                <w:color w:val="auto"/>
              </w:rPr>
              <w:t>219,516</w:t>
            </w:r>
          </w:p>
        </w:tc>
        <w:tc>
          <w:tcPr>
            <w:tcW w:w="700" w:type="dxa"/>
            <w:vAlign w:val="bottom"/>
          </w:tcPr>
          <w:p>
            <w:pPr>
              <w:jc w:val="right"/>
              <w:spacing w:after="0" w:line="128" w:lineRule="exact"/>
              <w:rPr>
                <w:sz w:val="20"/>
                <w:szCs w:val="20"/>
                <w:color w:val="auto"/>
              </w:rPr>
            </w:pPr>
            <w:r>
              <w:rPr>
                <w:rFonts w:ascii="Arial" w:cs="Arial" w:eastAsia="Arial" w:hAnsi="Arial"/>
                <w:sz w:val="12"/>
                <w:szCs w:val="12"/>
                <w:color w:val="auto"/>
              </w:rPr>
              <w:t>187,446</w:t>
            </w: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color w:val="auto"/>
              </w:rPr>
              <w:t>Share capital</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536</w:t>
            </w:r>
          </w:p>
        </w:tc>
        <w:tc>
          <w:tcPr>
            <w:tcW w:w="8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545</w:t>
            </w: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571</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604</w:t>
            </w: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color w:val="auto"/>
              </w:rPr>
              <w:t>Equity attributable to shareholders of Royal</w:t>
            </w:r>
          </w:p>
        </w:tc>
        <w:tc>
          <w:tcPr>
            <w:tcW w:w="560" w:type="dxa"/>
            <w:vAlign w:val="bottom"/>
            <w:shd w:val="clear" w:color="auto" w:fill="E4E3E1"/>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9"/>
        </w:trPr>
        <w:tc>
          <w:tcPr>
            <w:tcW w:w="2600" w:type="dxa"/>
            <w:vAlign w:val="bottom"/>
          </w:tcPr>
          <w:p>
            <w:pPr>
              <w:spacing w:after="0"/>
              <w:rPr>
                <w:sz w:val="20"/>
                <w:szCs w:val="20"/>
                <w:color w:val="auto"/>
              </w:rPr>
            </w:pPr>
            <w:r>
              <w:rPr>
                <w:rFonts w:ascii="Arial" w:cs="Arial" w:eastAsia="Arial" w:hAnsi="Arial"/>
                <w:sz w:val="12"/>
                <w:szCs w:val="12"/>
                <w:color w:val="auto"/>
              </w:rPr>
              <w:t>Dutch Shell plc</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123,960</w:t>
            </w:r>
          </w:p>
        </w:tc>
        <w:tc>
          <w:tcPr>
            <w:tcW w:w="860" w:type="dxa"/>
            <w:vAlign w:val="bottom"/>
          </w:tcPr>
          <w:p>
            <w:pPr>
              <w:jc w:val="right"/>
              <w:ind w:right="98"/>
              <w:spacing w:after="0"/>
              <w:rPr>
                <w:sz w:val="20"/>
                <w:szCs w:val="20"/>
                <w:color w:val="auto"/>
              </w:rPr>
            </w:pPr>
            <w:r>
              <w:rPr>
                <w:rFonts w:ascii="Arial" w:cs="Arial" w:eastAsia="Arial" w:hAnsi="Arial"/>
                <w:sz w:val="12"/>
                <w:szCs w:val="12"/>
                <w:color w:val="auto"/>
              </w:rPr>
              <w:t>105,726</w:t>
            </w: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90,924</w:t>
            </w:r>
          </w:p>
        </w:tc>
        <w:tc>
          <w:tcPr>
            <w:tcW w:w="700" w:type="dxa"/>
            <w:vAlign w:val="bottom"/>
          </w:tcPr>
          <w:p>
            <w:pPr>
              <w:jc w:val="right"/>
              <w:spacing w:after="0"/>
              <w:rPr>
                <w:sz w:val="20"/>
                <w:szCs w:val="20"/>
                <w:color w:val="auto"/>
              </w:rPr>
            </w:pPr>
            <w:r>
              <w:rPr>
                <w:rFonts w:ascii="Arial" w:cs="Arial" w:eastAsia="Arial" w:hAnsi="Arial"/>
                <w:sz w:val="12"/>
                <w:szCs w:val="12"/>
                <w:color w:val="auto"/>
              </w:rPr>
              <w:t>86,070</w:t>
            </w:r>
          </w:p>
        </w:tc>
      </w:tr>
      <w:tr>
        <w:trPr>
          <w:trHeight w:val="273"/>
        </w:trPr>
        <w:tc>
          <w:tcPr>
            <w:tcW w:w="2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Minority interest</w:t>
            </w:r>
          </w:p>
        </w:tc>
        <w:tc>
          <w:tcPr>
            <w:tcW w:w="5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2,008</w:t>
            </w:r>
          </w:p>
        </w:tc>
        <w:tc>
          <w:tcPr>
            <w:tcW w:w="8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9,219</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7,000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5,313</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580" w:type="dxa"/>
            <w:vAlign w:val="bottom"/>
            <w:shd w:val="clear" w:color="auto" w:fill="FFD204"/>
          </w:tcPr>
          <w:p>
            <w:pPr>
              <w:ind w:left="60"/>
              <w:spacing w:after="0"/>
              <w:rPr>
                <w:sz w:val="20"/>
                <w:szCs w:val="20"/>
                <w:color w:val="auto"/>
              </w:rPr>
            </w:pPr>
            <w:r>
              <w:rPr>
                <w:rFonts w:ascii="Arial" w:cs="Arial" w:eastAsia="Arial" w:hAnsi="Arial"/>
                <w:sz w:val="12"/>
                <w:szCs w:val="12"/>
                <w:b w:val="1"/>
                <w:bCs w:val="1"/>
                <w:color w:val="auto"/>
              </w:rPr>
              <w:t>CAPITAL INVESTMENT</w:t>
            </w:r>
          </w:p>
        </w:tc>
        <w:tc>
          <w:tcPr>
            <w:tcW w:w="560" w:type="dxa"/>
            <w:vAlign w:val="bottom"/>
            <w:shd w:val="clear" w:color="auto" w:fill="FFD204"/>
          </w:tcPr>
          <w:p>
            <w:pPr>
              <w:spacing w:after="0"/>
              <w:rPr>
                <w:sz w:val="13"/>
                <w:szCs w:val="13"/>
                <w:color w:val="auto"/>
              </w:rPr>
            </w:pPr>
          </w:p>
        </w:tc>
        <w:tc>
          <w:tcPr>
            <w:tcW w:w="900" w:type="dxa"/>
            <w:vAlign w:val="bottom"/>
            <w:shd w:val="clear" w:color="auto" w:fill="FFD204"/>
          </w:tcPr>
          <w:p>
            <w:pPr>
              <w:spacing w:after="0"/>
              <w:rPr>
                <w:sz w:val="13"/>
                <w:szCs w:val="13"/>
                <w:color w:val="auto"/>
              </w:rPr>
            </w:pPr>
          </w:p>
        </w:tc>
        <w:tc>
          <w:tcPr>
            <w:tcW w:w="720" w:type="dxa"/>
            <w:vAlign w:val="bottom"/>
            <w:shd w:val="clear" w:color="auto" w:fill="FFD204"/>
          </w:tcPr>
          <w:p>
            <w:pPr>
              <w:spacing w:after="0"/>
              <w:rPr>
                <w:sz w:val="13"/>
                <w:szCs w:val="13"/>
                <w:color w:val="auto"/>
              </w:rPr>
            </w:pPr>
          </w:p>
        </w:tc>
        <w:tc>
          <w:tcPr>
            <w:tcW w:w="70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2580" w:type="dxa"/>
            <w:vAlign w:val="bottom"/>
            <w:shd w:val="clear" w:color="auto" w:fill="CECAC6"/>
          </w:tcPr>
          <w:p>
            <w:pPr>
              <w:spacing w:after="0"/>
              <w:rPr>
                <w:sz w:val="11"/>
                <w:szCs w:val="11"/>
                <w:color w:val="auto"/>
              </w:rPr>
            </w:pPr>
          </w:p>
        </w:tc>
        <w:tc>
          <w:tcPr>
            <w:tcW w:w="56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90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2006</w:t>
            </w:r>
          </w:p>
        </w:tc>
        <w:tc>
          <w:tcPr>
            <w:tcW w:w="72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2005</w:t>
            </w:r>
          </w:p>
        </w:tc>
        <w:tc>
          <w:tcPr>
            <w:tcW w:w="7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2004</w:t>
            </w:r>
          </w:p>
        </w:tc>
      </w:tr>
      <w:tr>
        <w:trPr>
          <w:trHeight w:val="127"/>
        </w:trPr>
        <w:tc>
          <w:tcPr>
            <w:tcW w:w="20" w:type="dxa"/>
            <w:vAlign w:val="bottom"/>
          </w:tcPr>
          <w:p>
            <w:pPr>
              <w:spacing w:after="0"/>
              <w:rPr>
                <w:sz w:val="11"/>
                <w:szCs w:val="11"/>
                <w:color w:val="auto"/>
              </w:rPr>
            </w:pPr>
          </w:p>
        </w:tc>
        <w:tc>
          <w:tcPr>
            <w:tcW w:w="2580" w:type="dxa"/>
            <w:vAlign w:val="bottom"/>
          </w:tcPr>
          <w:p>
            <w:pPr>
              <w:spacing w:after="0" w:line="128" w:lineRule="exact"/>
              <w:rPr>
                <w:sz w:val="20"/>
                <w:szCs w:val="20"/>
                <w:color w:val="auto"/>
              </w:rPr>
            </w:pPr>
            <w:r>
              <w:rPr>
                <w:rFonts w:ascii="Arial" w:cs="Arial" w:eastAsia="Arial" w:hAnsi="Arial"/>
                <w:sz w:val="12"/>
                <w:szCs w:val="12"/>
                <w:color w:val="auto"/>
              </w:rPr>
              <w:t>Capital expenditure</w:t>
            </w:r>
            <w:r>
              <w:rPr>
                <w:rFonts w:ascii="Arial" w:cs="Arial" w:eastAsia="Arial" w:hAnsi="Arial"/>
                <w:sz w:val="10"/>
                <w:szCs w:val="10"/>
                <w:color w:val="auto"/>
              </w:rPr>
              <w:t>[A]</w:t>
            </w:r>
            <w:r>
              <w:rPr>
                <w:rFonts w:ascii="Arial" w:cs="Arial" w:eastAsia="Arial" w:hAnsi="Arial"/>
                <w:sz w:val="12"/>
                <w:szCs w:val="12"/>
                <w:color w:val="auto"/>
              </w:rPr>
              <w:t>:</w:t>
            </w:r>
          </w:p>
        </w:tc>
        <w:tc>
          <w:tcPr>
            <w:tcW w:w="56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Exploration &amp; Production</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13,723</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15,773</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10,584</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8,559</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Gas &amp; Power</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2,951</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2,009</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1,573</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1,370</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Oil Sands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1,931</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865</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274</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140</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Oil Products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3,671</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3,363</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2,810</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2,761</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Chemicals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1,415</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821</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387</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529</w:t>
            </w:r>
          </w:p>
        </w:tc>
      </w:tr>
      <w:tr>
        <w:trPr>
          <w:trHeight w:val="139"/>
        </w:trPr>
        <w:tc>
          <w:tcPr>
            <w:tcW w:w="2600" w:type="dxa"/>
            <w:vAlign w:val="bottom"/>
            <w:gridSpan w:val="2"/>
          </w:tcPr>
          <w:p>
            <w:pPr>
              <w:spacing w:after="0"/>
              <w:rPr>
                <w:sz w:val="20"/>
                <w:szCs w:val="20"/>
                <w:color w:val="auto"/>
              </w:rPr>
            </w:pPr>
            <w:r>
              <w:rPr>
                <w:rFonts w:ascii="Arial" w:cs="Arial" w:eastAsia="Arial" w:hAnsi="Arial"/>
                <w:sz w:val="12"/>
                <w:szCs w:val="12"/>
                <w:color w:val="auto"/>
              </w:rPr>
              <w:t>– Corporate</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414</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265</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288</w:t>
            </w:r>
          </w:p>
        </w:tc>
        <w:tc>
          <w:tcPr>
            <w:tcW w:w="700" w:type="dxa"/>
            <w:vAlign w:val="bottom"/>
          </w:tcPr>
          <w:p>
            <w:pPr>
              <w:jc w:val="right"/>
              <w:spacing w:after="0"/>
              <w:rPr>
                <w:sz w:val="20"/>
                <w:szCs w:val="20"/>
                <w:color w:val="auto"/>
              </w:rPr>
            </w:pPr>
            <w:r>
              <w:rPr>
                <w:rFonts w:ascii="Arial" w:cs="Arial" w:eastAsia="Arial" w:hAnsi="Arial"/>
                <w:sz w:val="12"/>
                <w:szCs w:val="12"/>
                <w:color w:val="auto"/>
              </w:rPr>
              <w:t>207</w:t>
            </w:r>
          </w:p>
        </w:tc>
      </w:tr>
      <w:tr>
        <w:trPr>
          <w:trHeight w:val="140"/>
        </w:trPr>
        <w:tc>
          <w:tcPr>
            <w:tcW w:w="20" w:type="dxa"/>
            <w:vAlign w:val="bottom"/>
            <w:tcBorders>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24,105</w:t>
            </w: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23,096</w:t>
            </w:r>
          </w:p>
        </w:tc>
        <w:tc>
          <w:tcPr>
            <w:tcW w:w="7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15,916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13,566</w:t>
            </w:r>
          </w:p>
        </w:tc>
      </w:tr>
      <w:tr>
        <w:trPr>
          <w:trHeight w:val="134"/>
        </w:trPr>
        <w:tc>
          <w:tcPr>
            <w:tcW w:w="2600" w:type="dxa"/>
            <w:vAlign w:val="bottom"/>
            <w:gridSpan w:val="2"/>
          </w:tcPr>
          <w:p>
            <w:pPr>
              <w:spacing w:after="0" w:line="134" w:lineRule="exact"/>
              <w:rPr>
                <w:sz w:val="20"/>
                <w:szCs w:val="20"/>
                <w:color w:val="auto"/>
              </w:rPr>
            </w:pPr>
            <w:r>
              <w:rPr>
                <w:rFonts w:ascii="Arial" w:cs="Arial" w:eastAsia="Arial" w:hAnsi="Arial"/>
                <w:sz w:val="12"/>
                <w:szCs w:val="12"/>
                <w:color w:val="auto"/>
              </w:rPr>
              <w:t>Exploration expenses (excluding</w:t>
            </w:r>
          </w:p>
        </w:tc>
        <w:tc>
          <w:tcPr>
            <w:tcW w:w="56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depreciation and release of currency</w:t>
            </w:r>
          </w:p>
        </w:tc>
        <w:tc>
          <w:tcPr>
            <w:tcW w:w="56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translation differences)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1,115</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949</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815</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651</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New equity in equity-accounted</w:t>
            </w:r>
          </w:p>
        </w:tc>
        <w:tc>
          <w:tcPr>
            <w:tcW w:w="56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investments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1,472</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598</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390</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681</w:t>
            </w:r>
          </w:p>
        </w:tc>
      </w:tr>
      <w:tr>
        <w:trPr>
          <w:trHeight w:val="139"/>
        </w:trPr>
        <w:tc>
          <w:tcPr>
            <w:tcW w:w="2600" w:type="dxa"/>
            <w:vAlign w:val="bottom"/>
            <w:gridSpan w:val="2"/>
          </w:tcPr>
          <w:p>
            <w:pPr>
              <w:spacing w:after="0"/>
              <w:rPr>
                <w:sz w:val="20"/>
                <w:szCs w:val="20"/>
                <w:color w:val="auto"/>
              </w:rPr>
            </w:pPr>
            <w:r>
              <w:rPr>
                <w:rFonts w:ascii="Arial" w:cs="Arial" w:eastAsia="Arial" w:hAnsi="Arial"/>
                <w:sz w:val="12"/>
                <w:szCs w:val="12"/>
                <w:color w:val="auto"/>
              </w:rPr>
              <w:t>New loans to equity-accounted investments</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380</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253</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315</w:t>
            </w:r>
          </w:p>
        </w:tc>
        <w:tc>
          <w:tcPr>
            <w:tcW w:w="700" w:type="dxa"/>
            <w:vAlign w:val="bottom"/>
          </w:tcPr>
          <w:p>
            <w:pPr>
              <w:jc w:val="right"/>
              <w:spacing w:after="0"/>
              <w:rPr>
                <w:sz w:val="20"/>
                <w:szCs w:val="20"/>
                <w:color w:val="auto"/>
              </w:rPr>
            </w:pPr>
            <w:r>
              <w:rPr>
                <w:rFonts w:ascii="Arial" w:cs="Arial" w:eastAsia="Arial" w:hAnsi="Arial"/>
                <w:sz w:val="12"/>
                <w:szCs w:val="12"/>
                <w:color w:val="auto"/>
              </w:rPr>
              <w:t>377</w:t>
            </w:r>
          </w:p>
        </w:tc>
      </w:tr>
      <w:tr>
        <w:trPr>
          <w:trHeight w:val="140"/>
        </w:trPr>
        <w:tc>
          <w:tcPr>
            <w:tcW w:w="20" w:type="dxa"/>
            <w:vAlign w:val="bottom"/>
            <w:tcBorders>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capital investment</w:t>
            </w:r>
            <w:r>
              <w:rPr>
                <w:rFonts w:ascii="Arial" w:cs="Arial" w:eastAsia="Arial" w:hAnsi="Arial"/>
                <w:sz w:val="12"/>
                <w:szCs w:val="12"/>
                <w:color w:val="auto"/>
              </w:rPr>
              <w:t>*</w:t>
            </w:r>
          </w:p>
        </w:tc>
        <w:tc>
          <w:tcPr>
            <w:tcW w:w="56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27,072</w:t>
            </w: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24,896</w:t>
            </w:r>
          </w:p>
        </w:tc>
        <w:tc>
          <w:tcPr>
            <w:tcW w:w="7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17,436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15,275</w:t>
            </w:r>
          </w:p>
        </w:tc>
      </w:tr>
      <w:tr>
        <w:trPr>
          <w:trHeight w:val="134"/>
        </w:trPr>
        <w:tc>
          <w:tcPr>
            <w:tcW w:w="2600" w:type="dxa"/>
            <w:vAlign w:val="bottom"/>
            <w:gridSpan w:val="2"/>
          </w:tcPr>
          <w:p>
            <w:pPr>
              <w:spacing w:after="0" w:line="134" w:lineRule="exact"/>
              <w:rPr>
                <w:sz w:val="20"/>
                <w:szCs w:val="20"/>
                <w:color w:val="auto"/>
              </w:rPr>
            </w:pPr>
            <w:r>
              <w:rPr>
                <w:rFonts w:ascii="Arial" w:cs="Arial" w:eastAsia="Arial" w:hAnsi="Arial"/>
                <w:sz w:val="12"/>
                <w:szCs w:val="12"/>
                <w:color w:val="auto"/>
              </w:rPr>
              <w:t>*comprising</w:t>
            </w:r>
          </w:p>
        </w:tc>
        <w:tc>
          <w:tcPr>
            <w:tcW w:w="560" w:type="dxa"/>
            <w:vAlign w:val="bottom"/>
            <w:shd w:val="clear" w:color="auto" w:fill="E4E3E1"/>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Exploration &amp; Production</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15,919</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17,079</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11,772</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9,569</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Gas &amp; Power</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3,532</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2,351</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1,656</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1,652</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Oil Sands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1,931</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865</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274</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139</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Oil Products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3,856</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3,457</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2,844</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2,823</w:t>
            </w:r>
          </w:p>
        </w:tc>
      </w:tr>
      <w:tr>
        <w:trPr>
          <w:trHeight w:val="133"/>
        </w:trPr>
        <w:tc>
          <w:tcPr>
            <w:tcW w:w="2600" w:type="dxa"/>
            <w:vAlign w:val="bottom"/>
            <w:gridSpan w:val="2"/>
          </w:tcPr>
          <w:p>
            <w:pPr>
              <w:spacing w:after="0" w:line="133" w:lineRule="exact"/>
              <w:rPr>
                <w:sz w:val="20"/>
                <w:szCs w:val="20"/>
                <w:color w:val="auto"/>
              </w:rPr>
            </w:pPr>
            <w:r>
              <w:rPr>
                <w:rFonts w:ascii="Arial" w:cs="Arial" w:eastAsia="Arial" w:hAnsi="Arial"/>
                <w:sz w:val="12"/>
                <w:szCs w:val="12"/>
                <w:color w:val="auto"/>
              </w:rPr>
              <w:t>– Chemicals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1,419</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877</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599</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868</w:t>
            </w:r>
          </w:p>
        </w:tc>
      </w:tr>
      <w:tr>
        <w:trPr>
          <w:trHeight w:val="139"/>
        </w:trPr>
        <w:tc>
          <w:tcPr>
            <w:tcW w:w="2600" w:type="dxa"/>
            <w:vAlign w:val="bottom"/>
            <w:gridSpan w:val="2"/>
          </w:tcPr>
          <w:p>
            <w:pPr>
              <w:spacing w:after="0"/>
              <w:rPr>
                <w:sz w:val="20"/>
                <w:szCs w:val="20"/>
                <w:color w:val="auto"/>
              </w:rPr>
            </w:pPr>
            <w:r>
              <w:rPr>
                <w:rFonts w:ascii="Arial" w:cs="Arial" w:eastAsia="Arial" w:hAnsi="Arial"/>
                <w:sz w:val="12"/>
                <w:szCs w:val="12"/>
                <w:color w:val="auto"/>
              </w:rPr>
              <w:t>– Corporate</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415</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267</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291</w:t>
            </w:r>
          </w:p>
        </w:tc>
        <w:tc>
          <w:tcPr>
            <w:tcW w:w="700" w:type="dxa"/>
            <w:vAlign w:val="bottom"/>
          </w:tcPr>
          <w:p>
            <w:pPr>
              <w:jc w:val="right"/>
              <w:spacing w:after="0"/>
              <w:rPr>
                <w:sz w:val="20"/>
                <w:szCs w:val="20"/>
                <w:color w:val="auto"/>
              </w:rPr>
            </w:pPr>
            <w:r>
              <w:rPr>
                <w:rFonts w:ascii="Arial" w:cs="Arial" w:eastAsia="Arial" w:hAnsi="Arial"/>
                <w:sz w:val="12"/>
                <w:szCs w:val="12"/>
                <w:color w:val="auto"/>
              </w:rPr>
              <w:t>224</w:t>
            </w:r>
          </w:p>
        </w:tc>
      </w:tr>
      <w:tr>
        <w:trPr>
          <w:trHeight w:val="146"/>
        </w:trPr>
        <w:tc>
          <w:tcPr>
            <w:tcW w:w="20" w:type="dxa"/>
            <w:vAlign w:val="bottom"/>
          </w:tcPr>
          <w:p>
            <w:pPr>
              <w:spacing w:after="0"/>
              <w:rPr>
                <w:sz w:val="12"/>
                <w:szCs w:val="12"/>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27,072</w:t>
            </w:r>
          </w:p>
        </w:tc>
        <w:tc>
          <w:tcPr>
            <w:tcW w:w="90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24,896</w:t>
            </w:r>
          </w:p>
        </w:tc>
        <w:tc>
          <w:tcPr>
            <w:tcW w:w="7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17,436</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15,275</w:t>
            </w:r>
          </w:p>
        </w:tc>
      </w:tr>
    </w:tbl>
    <w:p>
      <w:pPr>
        <w:spacing w:after="0" w:line="16" w:lineRule="exact"/>
        <w:rPr>
          <w:sz w:val="20"/>
          <w:szCs w:val="20"/>
          <w:color w:val="auto"/>
        </w:rPr>
      </w:pPr>
    </w:p>
    <w:p>
      <w:pPr>
        <w:sectPr>
          <w:pgSz w:w="11900" w:h="16838" w:orient="portrait"/>
          <w:cols w:equalWidth="0" w:num="2">
            <w:col w:w="5480" w:space="460"/>
            <w:col w:w="5480"/>
          </w:cols>
          <w:pgMar w:left="240" w:top="415" w:right="239" w:bottom="1440" w:gutter="0" w:footer="0" w:header="0"/>
        </w:sectPr>
      </w:pPr>
    </w:p>
    <w:p>
      <w:pPr>
        <w:ind w:left="5940"/>
        <w:spacing w:after="0"/>
        <w:rPr>
          <w:sz w:val="20"/>
          <w:szCs w:val="20"/>
          <w:color w:val="auto"/>
        </w:rPr>
      </w:pPr>
      <w:r>
        <w:rPr>
          <w:rFonts w:ascii="Arial" w:cs="Arial" w:eastAsia="Arial" w:hAnsi="Arial"/>
          <w:sz w:val="12"/>
          <w:szCs w:val="12"/>
          <w:color w:val="auto"/>
        </w:rPr>
        <w:t>[A] The difference between capital expenditure in this table and capital expenditure in the adjacent</w:t>
      </w:r>
    </w:p>
    <w:tbl>
      <w:tblPr>
        <w:tblLayout w:type="fixed"/>
        <w:tblInd w:w="0" w:type="dxa"/>
        <w:tblCellMar>
          <w:top w:w="0" w:type="dxa"/>
          <w:left w:w="0" w:type="dxa"/>
          <w:bottom w:w="0" w:type="dxa"/>
          <w:right w:w="0" w:type="dxa"/>
        </w:tblCellMar>
      </w:tblPr>
      <w:tr>
        <w:trPr>
          <w:trHeight w:val="133"/>
        </w:trPr>
        <w:tc>
          <w:tcPr>
            <w:tcW w:w="5860" w:type="dxa"/>
            <w:vAlign w:val="bottom"/>
          </w:tcPr>
          <w:p>
            <w:pPr>
              <w:spacing w:after="0"/>
              <w:rPr>
                <w:sz w:val="11"/>
                <w:szCs w:val="11"/>
                <w:color w:val="auto"/>
              </w:rPr>
            </w:pPr>
          </w:p>
        </w:tc>
        <w:tc>
          <w:tcPr>
            <w:tcW w:w="5560" w:type="dxa"/>
            <w:vAlign w:val="bottom"/>
            <w:gridSpan w:val="5"/>
          </w:tcPr>
          <w:p>
            <w:pPr>
              <w:ind w:left="300"/>
              <w:spacing w:after="0" w:line="133" w:lineRule="exact"/>
              <w:rPr>
                <w:sz w:val="20"/>
                <w:szCs w:val="20"/>
                <w:color w:val="auto"/>
              </w:rPr>
            </w:pPr>
            <w:r>
              <w:rPr>
                <w:rFonts w:ascii="Arial" w:cs="Arial" w:eastAsia="Arial" w:hAnsi="Arial"/>
                <w:sz w:val="12"/>
                <w:szCs w:val="12"/>
                <w:color w:val="auto"/>
              </w:rPr>
              <w:t>table (other consolidated data) relates to non-cash effects from new finance leases, the</w:t>
            </w:r>
          </w:p>
        </w:tc>
      </w:tr>
      <w:tr>
        <w:trPr>
          <w:trHeight w:val="133"/>
        </w:trPr>
        <w:tc>
          <w:tcPr>
            <w:tcW w:w="5860" w:type="dxa"/>
            <w:vAlign w:val="bottom"/>
          </w:tcPr>
          <w:p>
            <w:pPr>
              <w:spacing w:after="0"/>
              <w:rPr>
                <w:sz w:val="11"/>
                <w:szCs w:val="11"/>
                <w:color w:val="auto"/>
              </w:rPr>
            </w:pPr>
          </w:p>
        </w:tc>
        <w:tc>
          <w:tcPr>
            <w:tcW w:w="5560" w:type="dxa"/>
            <w:vAlign w:val="bottom"/>
            <w:gridSpan w:val="5"/>
          </w:tcPr>
          <w:p>
            <w:pPr>
              <w:ind w:left="300"/>
              <w:spacing w:after="0" w:line="133" w:lineRule="exact"/>
              <w:rPr>
                <w:sz w:val="20"/>
                <w:szCs w:val="20"/>
                <w:color w:val="auto"/>
              </w:rPr>
            </w:pPr>
            <w:r>
              <w:rPr>
                <w:rFonts w:ascii="Arial" w:cs="Arial" w:eastAsia="Arial" w:hAnsi="Arial"/>
                <w:sz w:val="12"/>
                <w:szCs w:val="12"/>
                <w:color w:val="auto"/>
              </w:rPr>
              <w:t>acquisition of assets with non-cash consideration and the pre-funding of working capital within</w:t>
            </w:r>
          </w:p>
        </w:tc>
      </w:tr>
      <w:tr>
        <w:trPr>
          <w:trHeight w:val="148"/>
        </w:trPr>
        <w:tc>
          <w:tcPr>
            <w:tcW w:w="5860" w:type="dxa"/>
            <w:vAlign w:val="bottom"/>
          </w:tcPr>
          <w:p>
            <w:pPr>
              <w:spacing w:after="0"/>
              <w:rPr>
                <w:sz w:val="12"/>
                <w:szCs w:val="12"/>
                <w:color w:val="auto"/>
              </w:rPr>
            </w:pPr>
          </w:p>
        </w:tc>
        <w:tc>
          <w:tcPr>
            <w:tcW w:w="1620" w:type="dxa"/>
            <w:vAlign w:val="bottom"/>
            <w:gridSpan w:val="2"/>
          </w:tcPr>
          <w:p>
            <w:pPr>
              <w:ind w:left="300"/>
              <w:spacing w:after="0"/>
              <w:rPr>
                <w:sz w:val="20"/>
                <w:szCs w:val="20"/>
                <w:color w:val="auto"/>
              </w:rPr>
            </w:pPr>
            <w:r>
              <w:rPr>
                <w:rFonts w:ascii="Arial" w:cs="Arial" w:eastAsia="Arial" w:hAnsi="Arial"/>
                <w:sz w:val="12"/>
                <w:szCs w:val="12"/>
                <w:color w:val="auto"/>
              </w:rPr>
              <w:t>jointly controlled assets.</w:t>
            </w:r>
          </w:p>
        </w:tc>
        <w:tc>
          <w:tcPr>
            <w:tcW w:w="1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77"/>
        </w:trPr>
        <w:tc>
          <w:tcPr>
            <w:tcW w:w="5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6"/>
        </w:trPr>
        <w:tc>
          <w:tcPr>
            <w:tcW w:w="5860" w:type="dxa"/>
            <w:vAlign w:val="bottom"/>
            <w:tcBorders>
              <w:bottom w:val="single" w:sz="8" w:color="FFD204"/>
            </w:tcBorders>
            <w:shd w:val="clear" w:color="auto" w:fill="FFD204"/>
          </w:tcPr>
          <w:p>
            <w:pPr>
              <w:ind w:left="40"/>
              <w:spacing w:after="0"/>
              <w:rPr>
                <w:sz w:val="20"/>
                <w:szCs w:val="20"/>
                <w:color w:val="auto"/>
              </w:rPr>
            </w:pPr>
            <w:r>
              <w:rPr>
                <w:rFonts w:ascii="Arial" w:cs="Arial" w:eastAsia="Arial" w:hAnsi="Arial"/>
                <w:sz w:val="12"/>
                <w:szCs w:val="12"/>
                <w:b w:val="1"/>
                <w:bCs w:val="1"/>
                <w:color w:val="auto"/>
              </w:rPr>
              <w:t>EARNINGS PER SHARE</w:t>
            </w:r>
          </w:p>
        </w:tc>
        <w:tc>
          <w:tcPr>
            <w:tcW w:w="1000" w:type="dxa"/>
            <w:vAlign w:val="bottom"/>
            <w:tcBorders>
              <w:bottom w:val="single" w:sz="8" w:color="FFD204"/>
            </w:tcBorders>
            <w:shd w:val="clear" w:color="auto" w:fill="FFD204"/>
          </w:tcPr>
          <w:p>
            <w:pPr>
              <w:spacing w:after="0"/>
              <w:rPr>
                <w:sz w:val="17"/>
                <w:szCs w:val="17"/>
                <w:color w:val="auto"/>
              </w:rPr>
            </w:pPr>
          </w:p>
        </w:tc>
        <w:tc>
          <w:tcPr>
            <w:tcW w:w="620" w:type="dxa"/>
            <w:vAlign w:val="bottom"/>
            <w:tcBorders>
              <w:bottom w:val="single" w:sz="8" w:color="FFD204"/>
            </w:tcBorders>
            <w:shd w:val="clear" w:color="auto" w:fill="FFD204"/>
          </w:tcPr>
          <w:p>
            <w:pPr>
              <w:spacing w:after="0"/>
              <w:rPr>
                <w:sz w:val="17"/>
                <w:szCs w:val="17"/>
                <w:color w:val="auto"/>
              </w:rPr>
            </w:pPr>
          </w:p>
        </w:tc>
        <w:tc>
          <w:tcPr>
            <w:tcW w:w="1160" w:type="dxa"/>
            <w:vAlign w:val="bottom"/>
            <w:tcBorders>
              <w:bottom w:val="single" w:sz="8" w:color="FFD204"/>
            </w:tcBorders>
            <w:shd w:val="clear" w:color="auto" w:fill="FFD204"/>
          </w:tcPr>
          <w:p>
            <w:pPr>
              <w:spacing w:after="0"/>
              <w:rPr>
                <w:sz w:val="17"/>
                <w:szCs w:val="17"/>
                <w:color w:val="auto"/>
              </w:rPr>
            </w:pPr>
          </w:p>
        </w:tc>
        <w:tc>
          <w:tcPr>
            <w:tcW w:w="1540" w:type="dxa"/>
            <w:vAlign w:val="bottom"/>
            <w:tcBorders>
              <w:bottom w:val="single" w:sz="8" w:color="FFD204"/>
            </w:tcBorders>
            <w:shd w:val="clear" w:color="auto" w:fill="FFD204"/>
          </w:tcPr>
          <w:p>
            <w:pPr>
              <w:spacing w:after="0"/>
              <w:rPr>
                <w:sz w:val="17"/>
                <w:szCs w:val="17"/>
                <w:color w:val="auto"/>
              </w:rPr>
            </w:pPr>
          </w:p>
        </w:tc>
        <w:tc>
          <w:tcPr>
            <w:tcW w:w="1240" w:type="dxa"/>
            <w:vAlign w:val="bottom"/>
            <w:tcBorders>
              <w:bottom w:val="single" w:sz="8" w:color="FFD204"/>
            </w:tcBorders>
            <w:shd w:val="clear" w:color="auto" w:fill="FFD204"/>
          </w:tcPr>
          <w:p>
            <w:pPr>
              <w:jc w:val="right"/>
              <w:ind w:right="38"/>
              <w:spacing w:after="0"/>
              <w:rPr>
                <w:sz w:val="20"/>
                <w:szCs w:val="20"/>
                <w:color w:val="auto"/>
              </w:rPr>
            </w:pPr>
            <w:r>
              <w:rPr>
                <w:rFonts w:ascii="Arial" w:cs="Arial" w:eastAsia="Arial" w:hAnsi="Arial"/>
                <w:sz w:val="12"/>
                <w:szCs w:val="12"/>
                <w:b w:val="1"/>
                <w:bCs w:val="1"/>
                <w:color w:val="auto"/>
              </w:rPr>
              <w:t>$</w:t>
            </w:r>
          </w:p>
        </w:tc>
      </w:tr>
      <w:tr>
        <w:trPr>
          <w:trHeight w:val="133"/>
        </w:trPr>
        <w:tc>
          <w:tcPr>
            <w:tcW w:w="5860" w:type="dxa"/>
            <w:vAlign w:val="bottom"/>
            <w:shd w:val="clear" w:color="auto" w:fill="CECAC6"/>
          </w:tcPr>
          <w:p>
            <w:pPr>
              <w:spacing w:after="0"/>
              <w:rPr>
                <w:sz w:val="11"/>
                <w:szCs w:val="11"/>
                <w:color w:val="auto"/>
              </w:rPr>
            </w:pPr>
          </w:p>
        </w:tc>
        <w:tc>
          <w:tcPr>
            <w:tcW w:w="10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620" w:type="dxa"/>
            <w:vAlign w:val="bottom"/>
            <w:shd w:val="clear" w:color="auto" w:fill="CECAC6"/>
          </w:tcPr>
          <w:p>
            <w:pPr>
              <w:spacing w:after="0"/>
              <w:rPr>
                <w:sz w:val="11"/>
                <w:szCs w:val="11"/>
                <w:color w:val="auto"/>
              </w:rPr>
            </w:pPr>
          </w:p>
        </w:tc>
        <w:tc>
          <w:tcPr>
            <w:tcW w:w="1160" w:type="dxa"/>
            <w:vAlign w:val="bottom"/>
            <w:shd w:val="clear" w:color="auto" w:fill="CECAC6"/>
          </w:tcPr>
          <w:p>
            <w:pPr>
              <w:jc w:val="right"/>
              <w:ind w:right="298"/>
              <w:spacing w:after="0" w:line="133" w:lineRule="exact"/>
              <w:rPr>
                <w:sz w:val="20"/>
                <w:szCs w:val="20"/>
                <w:color w:val="auto"/>
              </w:rPr>
            </w:pPr>
            <w:r>
              <w:rPr>
                <w:rFonts w:ascii="Arial" w:cs="Arial" w:eastAsia="Arial" w:hAnsi="Arial"/>
                <w:sz w:val="12"/>
                <w:szCs w:val="12"/>
                <w:color w:val="auto"/>
              </w:rPr>
              <w:t>2006</w:t>
            </w:r>
          </w:p>
        </w:tc>
        <w:tc>
          <w:tcPr>
            <w:tcW w:w="1540" w:type="dxa"/>
            <w:vAlign w:val="bottom"/>
            <w:shd w:val="clear" w:color="auto" w:fill="CECAC6"/>
          </w:tcPr>
          <w:p>
            <w:pPr>
              <w:jc w:val="right"/>
              <w:ind w:right="318"/>
              <w:spacing w:after="0" w:line="133" w:lineRule="exact"/>
              <w:rPr>
                <w:sz w:val="20"/>
                <w:szCs w:val="20"/>
                <w:color w:val="auto"/>
              </w:rPr>
            </w:pPr>
            <w:r>
              <w:rPr>
                <w:rFonts w:ascii="Arial" w:cs="Arial" w:eastAsia="Arial" w:hAnsi="Arial"/>
                <w:sz w:val="12"/>
                <w:szCs w:val="12"/>
                <w:color w:val="auto"/>
              </w:rPr>
              <w:t>2005</w:t>
            </w: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2004</w:t>
            </w:r>
          </w:p>
        </w:tc>
      </w:tr>
      <w:tr>
        <w:trPr>
          <w:trHeight w:val="127"/>
        </w:trPr>
        <w:tc>
          <w:tcPr>
            <w:tcW w:w="5860" w:type="dxa"/>
            <w:vAlign w:val="bottom"/>
          </w:tcPr>
          <w:p>
            <w:pPr>
              <w:spacing w:after="0" w:line="128" w:lineRule="exact"/>
              <w:rPr>
                <w:sz w:val="20"/>
                <w:szCs w:val="20"/>
                <w:color w:val="auto"/>
              </w:rPr>
            </w:pPr>
            <w:r>
              <w:rPr>
                <w:rFonts w:ascii="Arial" w:cs="Arial" w:eastAsia="Arial" w:hAnsi="Arial"/>
                <w:sz w:val="12"/>
                <w:szCs w:val="12"/>
                <w:color w:val="auto"/>
              </w:rPr>
              <w:t>Basic earnings per €0.07 ordinary share</w:t>
            </w:r>
          </w:p>
        </w:tc>
        <w:tc>
          <w:tcPr>
            <w:tcW w:w="100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5.00</w:t>
            </w:r>
          </w:p>
        </w:tc>
        <w:tc>
          <w:tcPr>
            <w:tcW w:w="620" w:type="dxa"/>
            <w:vAlign w:val="bottom"/>
          </w:tcPr>
          <w:p>
            <w:pPr>
              <w:spacing w:after="0"/>
              <w:rPr>
                <w:sz w:val="11"/>
                <w:szCs w:val="11"/>
                <w:color w:val="auto"/>
              </w:rPr>
            </w:pPr>
          </w:p>
        </w:tc>
        <w:tc>
          <w:tcPr>
            <w:tcW w:w="116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3.97</w:t>
            </w:r>
          </w:p>
        </w:tc>
        <w:tc>
          <w:tcPr>
            <w:tcW w:w="1540" w:type="dxa"/>
            <w:vAlign w:val="bottom"/>
          </w:tcPr>
          <w:p>
            <w:pPr>
              <w:jc w:val="right"/>
              <w:ind w:right="318"/>
              <w:spacing w:after="0" w:line="128" w:lineRule="exact"/>
              <w:rPr>
                <w:sz w:val="20"/>
                <w:szCs w:val="20"/>
                <w:color w:val="auto"/>
              </w:rPr>
            </w:pPr>
            <w:r>
              <w:rPr>
                <w:rFonts w:ascii="Arial" w:cs="Arial" w:eastAsia="Arial" w:hAnsi="Arial"/>
                <w:sz w:val="12"/>
                <w:szCs w:val="12"/>
                <w:color w:val="auto"/>
              </w:rPr>
              <w:t>3.79</w:t>
            </w:r>
          </w:p>
        </w:tc>
        <w:tc>
          <w:tcPr>
            <w:tcW w:w="12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2.74</w:t>
            </w:r>
          </w:p>
        </w:tc>
      </w:tr>
      <w:tr>
        <w:trPr>
          <w:trHeight w:val="133"/>
        </w:trPr>
        <w:tc>
          <w:tcPr>
            <w:tcW w:w="5860" w:type="dxa"/>
            <w:vAlign w:val="bottom"/>
          </w:tcPr>
          <w:p>
            <w:pPr>
              <w:spacing w:after="0" w:line="133" w:lineRule="exact"/>
              <w:rPr>
                <w:sz w:val="20"/>
                <w:szCs w:val="20"/>
                <w:color w:val="auto"/>
              </w:rPr>
            </w:pPr>
            <w:r>
              <w:rPr>
                <w:rFonts w:ascii="Arial" w:cs="Arial" w:eastAsia="Arial" w:hAnsi="Arial"/>
                <w:sz w:val="12"/>
                <w:szCs w:val="12"/>
                <w:color w:val="auto"/>
              </w:rPr>
              <w:t>– from continuing operations</w:t>
            </w:r>
          </w:p>
        </w:tc>
        <w:tc>
          <w:tcPr>
            <w:tcW w:w="100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5.00</w:t>
            </w:r>
          </w:p>
        </w:tc>
        <w:tc>
          <w:tcPr>
            <w:tcW w:w="620" w:type="dxa"/>
            <w:vAlign w:val="bottom"/>
          </w:tcPr>
          <w:p>
            <w:pPr>
              <w:spacing w:after="0"/>
              <w:rPr>
                <w:sz w:val="11"/>
                <w:szCs w:val="11"/>
                <w:color w:val="auto"/>
              </w:rPr>
            </w:pPr>
          </w:p>
        </w:tc>
        <w:tc>
          <w:tcPr>
            <w:tcW w:w="11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3.97</w:t>
            </w:r>
          </w:p>
        </w:tc>
        <w:tc>
          <w:tcPr>
            <w:tcW w:w="15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3.84</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2.77</w:t>
            </w:r>
          </w:p>
        </w:tc>
      </w:tr>
      <w:tr>
        <w:trPr>
          <w:trHeight w:val="125"/>
        </w:trPr>
        <w:tc>
          <w:tcPr>
            <w:tcW w:w="5860" w:type="dxa"/>
            <w:vAlign w:val="bottom"/>
          </w:tcPr>
          <w:p>
            <w:pPr>
              <w:spacing w:after="0" w:line="125" w:lineRule="exact"/>
              <w:rPr>
                <w:sz w:val="20"/>
                <w:szCs w:val="20"/>
                <w:color w:val="auto"/>
              </w:rPr>
            </w:pPr>
            <w:r>
              <w:rPr>
                <w:rFonts w:ascii="Arial" w:cs="Arial" w:eastAsia="Arial" w:hAnsi="Arial"/>
                <w:sz w:val="12"/>
                <w:szCs w:val="12"/>
                <w:color w:val="auto"/>
              </w:rPr>
              <w:t>– from discontinued operations</w:t>
            </w:r>
          </w:p>
        </w:tc>
        <w:tc>
          <w:tcPr>
            <w:tcW w:w="1000" w:type="dxa"/>
            <w:vAlign w:val="bottom"/>
            <w:shd w:val="clear" w:color="auto" w:fill="E4E3E1"/>
          </w:tcPr>
          <w:p>
            <w:pPr>
              <w:jc w:val="right"/>
              <w:ind w:right="38"/>
              <w:spacing w:after="0" w:line="125" w:lineRule="exact"/>
              <w:rPr>
                <w:sz w:val="20"/>
                <w:szCs w:val="20"/>
                <w:color w:val="auto"/>
              </w:rPr>
            </w:pPr>
            <w:r>
              <w:rPr>
                <w:rFonts w:ascii="Arial" w:cs="Arial" w:eastAsia="Arial" w:hAnsi="Arial"/>
                <w:sz w:val="12"/>
                <w:szCs w:val="12"/>
                <w:color w:val="auto"/>
              </w:rPr>
              <w:t>–</w:t>
            </w:r>
          </w:p>
        </w:tc>
        <w:tc>
          <w:tcPr>
            <w:tcW w:w="620" w:type="dxa"/>
            <w:vAlign w:val="bottom"/>
          </w:tcPr>
          <w:p>
            <w:pPr>
              <w:spacing w:after="0"/>
              <w:rPr>
                <w:sz w:val="10"/>
                <w:szCs w:val="10"/>
                <w:color w:val="auto"/>
              </w:rPr>
            </w:pPr>
          </w:p>
        </w:tc>
        <w:tc>
          <w:tcPr>
            <w:tcW w:w="1160" w:type="dxa"/>
            <w:vAlign w:val="bottom"/>
          </w:tcPr>
          <w:p>
            <w:pPr>
              <w:jc w:val="right"/>
              <w:ind w:right="298"/>
              <w:spacing w:after="0" w:line="125" w:lineRule="exact"/>
              <w:rPr>
                <w:sz w:val="20"/>
                <w:szCs w:val="20"/>
                <w:color w:val="auto"/>
              </w:rPr>
            </w:pPr>
            <w:r>
              <w:rPr>
                <w:rFonts w:ascii="Arial" w:cs="Arial" w:eastAsia="Arial" w:hAnsi="Arial"/>
                <w:sz w:val="12"/>
                <w:szCs w:val="12"/>
                <w:color w:val="auto"/>
              </w:rPr>
              <w:t>–</w:t>
            </w:r>
          </w:p>
        </w:tc>
        <w:tc>
          <w:tcPr>
            <w:tcW w:w="1540" w:type="dxa"/>
            <w:vAlign w:val="bottom"/>
          </w:tcPr>
          <w:p>
            <w:pPr>
              <w:jc w:val="right"/>
              <w:ind w:right="278"/>
              <w:spacing w:after="0" w:line="125" w:lineRule="exact"/>
              <w:rPr>
                <w:sz w:val="20"/>
                <w:szCs w:val="20"/>
                <w:color w:val="auto"/>
              </w:rPr>
            </w:pPr>
            <w:r>
              <w:rPr>
                <w:rFonts w:ascii="Arial" w:cs="Arial" w:eastAsia="Arial" w:hAnsi="Arial"/>
                <w:sz w:val="12"/>
                <w:szCs w:val="12"/>
                <w:color w:val="auto"/>
              </w:rPr>
              <w:t>(0.05)</w:t>
            </w:r>
          </w:p>
        </w:tc>
        <w:tc>
          <w:tcPr>
            <w:tcW w:w="1240" w:type="dxa"/>
            <w:vAlign w:val="bottom"/>
          </w:tcPr>
          <w:p>
            <w:pPr>
              <w:jc w:val="right"/>
              <w:spacing w:after="0" w:line="125" w:lineRule="exact"/>
              <w:rPr>
                <w:sz w:val="20"/>
                <w:szCs w:val="20"/>
                <w:color w:val="auto"/>
              </w:rPr>
            </w:pPr>
            <w:r>
              <w:rPr>
                <w:rFonts w:ascii="Arial" w:cs="Arial" w:eastAsia="Arial" w:hAnsi="Arial"/>
                <w:sz w:val="12"/>
                <w:szCs w:val="12"/>
                <w:color w:val="auto"/>
              </w:rPr>
              <w:t>(0.03)</w:t>
            </w:r>
          </w:p>
        </w:tc>
      </w:tr>
      <w:tr>
        <w:trPr>
          <w:trHeight w:val="141"/>
        </w:trPr>
        <w:tc>
          <w:tcPr>
            <w:tcW w:w="5860" w:type="dxa"/>
            <w:vAlign w:val="bottom"/>
          </w:tcPr>
          <w:p>
            <w:pPr>
              <w:spacing w:after="0"/>
              <w:rPr>
                <w:sz w:val="20"/>
                <w:szCs w:val="20"/>
                <w:color w:val="auto"/>
              </w:rPr>
            </w:pPr>
            <w:r>
              <w:rPr>
                <w:rFonts w:ascii="Arial" w:cs="Arial" w:eastAsia="Arial" w:hAnsi="Arial"/>
                <w:sz w:val="12"/>
                <w:szCs w:val="12"/>
                <w:color w:val="auto"/>
              </w:rPr>
              <w:t>Diluted earnings per €0.07 ordinary share</w:t>
            </w:r>
          </w:p>
        </w:tc>
        <w:tc>
          <w:tcPr>
            <w:tcW w:w="100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4.99</w:t>
            </w:r>
          </w:p>
        </w:tc>
        <w:tc>
          <w:tcPr>
            <w:tcW w:w="620" w:type="dxa"/>
            <w:vAlign w:val="bottom"/>
          </w:tcPr>
          <w:p>
            <w:pPr>
              <w:spacing w:after="0"/>
              <w:rPr>
                <w:sz w:val="12"/>
                <w:szCs w:val="12"/>
                <w:color w:val="auto"/>
              </w:rPr>
            </w:pPr>
          </w:p>
        </w:tc>
        <w:tc>
          <w:tcPr>
            <w:tcW w:w="1160" w:type="dxa"/>
            <w:vAlign w:val="bottom"/>
          </w:tcPr>
          <w:p>
            <w:pPr>
              <w:jc w:val="right"/>
              <w:ind w:right="298"/>
              <w:spacing w:after="0"/>
              <w:rPr>
                <w:sz w:val="20"/>
                <w:szCs w:val="20"/>
                <w:color w:val="auto"/>
              </w:rPr>
            </w:pPr>
            <w:r>
              <w:rPr>
                <w:rFonts w:ascii="Arial" w:cs="Arial" w:eastAsia="Arial" w:hAnsi="Arial"/>
                <w:sz w:val="12"/>
                <w:szCs w:val="12"/>
                <w:color w:val="auto"/>
              </w:rPr>
              <w:t>3.95</w:t>
            </w:r>
          </w:p>
        </w:tc>
        <w:tc>
          <w:tcPr>
            <w:tcW w:w="1540" w:type="dxa"/>
            <w:vAlign w:val="bottom"/>
          </w:tcPr>
          <w:p>
            <w:pPr>
              <w:jc w:val="right"/>
              <w:ind w:right="318"/>
              <w:spacing w:after="0"/>
              <w:rPr>
                <w:sz w:val="20"/>
                <w:szCs w:val="20"/>
                <w:color w:val="auto"/>
              </w:rPr>
            </w:pPr>
            <w:r>
              <w:rPr>
                <w:rFonts w:ascii="Arial" w:cs="Arial" w:eastAsia="Arial" w:hAnsi="Arial"/>
                <w:sz w:val="12"/>
                <w:szCs w:val="12"/>
                <w:color w:val="auto"/>
              </w:rPr>
              <w:t>3.78</w:t>
            </w: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2.74</w:t>
            </w:r>
          </w:p>
        </w:tc>
      </w:tr>
      <w:tr>
        <w:trPr>
          <w:trHeight w:val="133"/>
        </w:trPr>
        <w:tc>
          <w:tcPr>
            <w:tcW w:w="5860" w:type="dxa"/>
            <w:vAlign w:val="bottom"/>
          </w:tcPr>
          <w:p>
            <w:pPr>
              <w:spacing w:after="0" w:line="133" w:lineRule="exact"/>
              <w:rPr>
                <w:sz w:val="20"/>
                <w:szCs w:val="20"/>
                <w:color w:val="auto"/>
              </w:rPr>
            </w:pPr>
            <w:r>
              <w:rPr>
                <w:rFonts w:ascii="Arial" w:cs="Arial" w:eastAsia="Arial" w:hAnsi="Arial"/>
                <w:sz w:val="12"/>
                <w:szCs w:val="12"/>
                <w:color w:val="auto"/>
              </w:rPr>
              <w:t>– from continuing operations</w:t>
            </w:r>
          </w:p>
        </w:tc>
        <w:tc>
          <w:tcPr>
            <w:tcW w:w="100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4.99</w:t>
            </w:r>
          </w:p>
        </w:tc>
        <w:tc>
          <w:tcPr>
            <w:tcW w:w="620" w:type="dxa"/>
            <w:vAlign w:val="bottom"/>
          </w:tcPr>
          <w:p>
            <w:pPr>
              <w:spacing w:after="0"/>
              <w:rPr>
                <w:sz w:val="11"/>
                <w:szCs w:val="11"/>
                <w:color w:val="auto"/>
              </w:rPr>
            </w:pPr>
          </w:p>
        </w:tc>
        <w:tc>
          <w:tcPr>
            <w:tcW w:w="11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3.95</w:t>
            </w:r>
          </w:p>
        </w:tc>
        <w:tc>
          <w:tcPr>
            <w:tcW w:w="15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3.83</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2.77</w:t>
            </w:r>
          </w:p>
        </w:tc>
      </w:tr>
      <w:tr>
        <w:trPr>
          <w:trHeight w:val="146"/>
        </w:trPr>
        <w:tc>
          <w:tcPr>
            <w:tcW w:w="5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from discontinued operations</w:t>
            </w:r>
          </w:p>
        </w:tc>
        <w:tc>
          <w:tcPr>
            <w:tcW w:w="100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(0.05)</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(0.03)</w:t>
            </w:r>
          </w:p>
        </w:tc>
      </w:tr>
      <w:tr>
        <w:trPr>
          <w:trHeight w:val="141"/>
        </w:trPr>
        <w:tc>
          <w:tcPr>
            <w:tcW w:w="5860" w:type="dxa"/>
            <w:vAlign w:val="bottom"/>
          </w:tcPr>
          <w:p>
            <w:pPr>
              <w:spacing w:after="0"/>
              <w:rPr>
                <w:sz w:val="20"/>
                <w:szCs w:val="20"/>
                <w:color w:val="auto"/>
              </w:rPr>
            </w:pPr>
            <w:r>
              <w:rPr>
                <w:rFonts w:ascii="Arial" w:cs="Arial" w:eastAsia="Arial" w:hAnsi="Arial"/>
                <w:sz w:val="12"/>
                <w:szCs w:val="12"/>
                <w:color w:val="auto"/>
              </w:rPr>
              <w:t>Basic weighted average number of Class A and B shares</w:t>
            </w:r>
          </w:p>
        </w:tc>
        <w:tc>
          <w:tcPr>
            <w:tcW w:w="100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6,263,762,972</w:t>
            </w:r>
          </w:p>
        </w:tc>
        <w:tc>
          <w:tcPr>
            <w:tcW w:w="620" w:type="dxa"/>
            <w:vAlign w:val="bottom"/>
          </w:tcPr>
          <w:p>
            <w:pPr>
              <w:spacing w:after="0"/>
              <w:rPr>
                <w:sz w:val="12"/>
                <w:szCs w:val="12"/>
                <w:color w:val="auto"/>
              </w:rPr>
            </w:pPr>
          </w:p>
        </w:tc>
        <w:tc>
          <w:tcPr>
            <w:tcW w:w="1160" w:type="dxa"/>
            <w:vAlign w:val="bottom"/>
          </w:tcPr>
          <w:p>
            <w:pPr>
              <w:jc w:val="right"/>
              <w:ind w:right="298"/>
              <w:spacing w:after="0"/>
              <w:rPr>
                <w:sz w:val="20"/>
                <w:szCs w:val="20"/>
                <w:color w:val="auto"/>
              </w:rPr>
            </w:pPr>
            <w:r>
              <w:rPr>
                <w:rFonts w:ascii="Arial" w:cs="Arial" w:eastAsia="Arial" w:hAnsi="Arial"/>
                <w:sz w:val="12"/>
                <w:szCs w:val="12"/>
                <w:color w:val="auto"/>
              </w:rPr>
              <w:t>6,413,384,207</w:t>
            </w:r>
          </w:p>
        </w:tc>
        <w:tc>
          <w:tcPr>
            <w:tcW w:w="1540" w:type="dxa"/>
            <w:vAlign w:val="bottom"/>
          </w:tcPr>
          <w:p>
            <w:pPr>
              <w:jc w:val="right"/>
              <w:ind w:right="318"/>
              <w:spacing w:after="0"/>
              <w:rPr>
                <w:sz w:val="20"/>
                <w:szCs w:val="20"/>
                <w:color w:val="auto"/>
              </w:rPr>
            </w:pPr>
            <w:r>
              <w:rPr>
                <w:rFonts w:ascii="Arial" w:cs="Arial" w:eastAsia="Arial" w:hAnsi="Arial"/>
                <w:sz w:val="12"/>
                <w:szCs w:val="12"/>
                <w:color w:val="auto"/>
              </w:rPr>
              <w:t>6,674,179,767</w:t>
            </w:r>
          </w:p>
        </w:tc>
        <w:tc>
          <w:tcPr>
            <w:tcW w:w="1240" w:type="dxa"/>
            <w:vAlign w:val="bottom"/>
          </w:tcPr>
          <w:p>
            <w:pPr>
              <w:jc w:val="right"/>
              <w:ind w:right="38"/>
              <w:spacing w:after="0"/>
              <w:rPr>
                <w:sz w:val="20"/>
                <w:szCs w:val="20"/>
                <w:color w:val="auto"/>
              </w:rPr>
            </w:pPr>
            <w:r>
              <w:rPr>
                <w:rFonts w:ascii="Arial" w:cs="Arial" w:eastAsia="Arial" w:hAnsi="Arial"/>
                <w:sz w:val="12"/>
                <w:szCs w:val="12"/>
                <w:color w:val="auto"/>
              </w:rPr>
              <w:t>6,770,458,950</w:t>
            </w:r>
          </w:p>
        </w:tc>
      </w:tr>
      <w:tr>
        <w:trPr>
          <w:trHeight w:val="146"/>
        </w:trPr>
        <w:tc>
          <w:tcPr>
            <w:tcW w:w="5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Diluted weighted average number of Class A and B shares</w:t>
            </w:r>
          </w:p>
        </w:tc>
        <w:tc>
          <w:tcPr>
            <w:tcW w:w="100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6,283,759,171</w:t>
            </w:r>
          </w:p>
        </w:tc>
        <w:tc>
          <w:tcPr>
            <w:tcW w:w="6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6,439,977,316</w:t>
            </w:r>
          </w:p>
        </w:tc>
        <w:tc>
          <w:tcPr>
            <w:tcW w:w="15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6,694,427,705</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6,776,396,429</w:t>
            </w:r>
          </w:p>
        </w:tc>
      </w:tr>
    </w:tbl>
    <w:p>
      <w:pPr>
        <w:spacing w:after="0" w:line="222" w:lineRule="exact"/>
        <w:rPr>
          <w:sz w:val="20"/>
          <w:szCs w:val="20"/>
          <w:color w:val="auto"/>
        </w:rPr>
      </w:pPr>
    </w:p>
    <w:p>
      <w:pPr>
        <w:spacing w:after="0"/>
        <w:tabs>
          <w:tab w:leader="none" w:pos="200" w:val="left"/>
        </w:tabs>
        <w:rPr>
          <w:sz w:val="20"/>
          <w:szCs w:val="20"/>
          <w:color w:val="auto"/>
        </w:rPr>
      </w:pPr>
      <w:r>
        <w:rPr>
          <w:rFonts w:ascii="Arial" w:cs="Arial" w:eastAsia="Arial" w:hAnsi="Arial"/>
          <w:sz w:val="12"/>
          <w:szCs w:val="12"/>
          <w:b w:val="1"/>
          <w:bCs w:val="1"/>
          <w:color w:val="auto"/>
        </w:rPr>
        <w:t>4</w:t>
      </w:r>
      <w:r>
        <w:rPr>
          <w:sz w:val="20"/>
          <w:szCs w:val="20"/>
          <w:color w:val="auto"/>
        </w:rPr>
        <w:tab/>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674370</wp:posOffset>
            </wp:positionV>
            <wp:extent cx="725297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600" w:type="dxa"/>
            <w:vAlign w:val="bottom"/>
            <w:gridSpan w:val="2"/>
            <w:shd w:val="clear" w:color="auto" w:fill="FFD204"/>
          </w:tcPr>
          <w:p>
            <w:pPr>
              <w:ind w:left="80"/>
              <w:spacing w:after="0"/>
              <w:rPr>
                <w:sz w:val="20"/>
                <w:szCs w:val="20"/>
                <w:color w:val="auto"/>
              </w:rPr>
            </w:pPr>
            <w:r>
              <w:rPr>
                <w:rFonts w:ascii="Arial" w:cs="Arial" w:eastAsia="Arial" w:hAnsi="Arial"/>
                <w:sz w:val="12"/>
                <w:szCs w:val="12"/>
                <w:b w:val="1"/>
                <w:bCs w:val="1"/>
                <w:color w:val="auto"/>
              </w:rPr>
              <w:t xml:space="preserve">QUARTERLY INCOME DATA </w:t>
            </w:r>
            <w:r>
              <w:rPr>
                <w:rFonts w:ascii="Arial" w:cs="Arial" w:eastAsia="Arial" w:hAnsi="Arial"/>
                <w:sz w:val="12"/>
                <w:szCs w:val="12"/>
                <w:color w:val="auto"/>
              </w:rPr>
              <w:t>(unaudited)</w:t>
            </w:r>
          </w:p>
        </w:tc>
        <w:tc>
          <w:tcPr>
            <w:tcW w:w="960" w:type="dxa"/>
            <w:vAlign w:val="bottom"/>
            <w:shd w:val="clear" w:color="auto" w:fill="FFD204"/>
          </w:tcPr>
          <w:p>
            <w:pPr>
              <w:spacing w:after="0"/>
              <w:rPr>
                <w:sz w:val="13"/>
                <w:szCs w:val="13"/>
                <w:color w:val="auto"/>
              </w:rPr>
            </w:pPr>
          </w:p>
        </w:tc>
        <w:tc>
          <w:tcPr>
            <w:tcW w:w="880" w:type="dxa"/>
            <w:vAlign w:val="bottom"/>
            <w:shd w:val="clear" w:color="auto" w:fill="FFD204"/>
          </w:tcPr>
          <w:p>
            <w:pPr>
              <w:spacing w:after="0"/>
              <w:rPr>
                <w:sz w:val="13"/>
                <w:szCs w:val="13"/>
                <w:color w:val="auto"/>
              </w:rPr>
            </w:pPr>
          </w:p>
        </w:tc>
        <w:tc>
          <w:tcPr>
            <w:tcW w:w="920" w:type="dxa"/>
            <w:vAlign w:val="bottom"/>
            <w:shd w:val="clear" w:color="auto" w:fill="FFD204"/>
          </w:tcPr>
          <w:p>
            <w:pPr>
              <w:spacing w:after="0"/>
              <w:rPr>
                <w:sz w:val="13"/>
                <w:szCs w:val="13"/>
                <w:color w:val="auto"/>
              </w:rPr>
            </w:pPr>
          </w:p>
        </w:tc>
        <w:tc>
          <w:tcPr>
            <w:tcW w:w="840" w:type="dxa"/>
            <w:vAlign w:val="bottom"/>
            <w:shd w:val="clear" w:color="auto" w:fill="FFD204"/>
          </w:tcPr>
          <w:p>
            <w:pPr>
              <w:spacing w:after="0"/>
              <w:rPr>
                <w:sz w:val="13"/>
                <w:szCs w:val="13"/>
                <w:color w:val="auto"/>
              </w:rPr>
            </w:pPr>
          </w:p>
        </w:tc>
        <w:tc>
          <w:tcPr>
            <w:tcW w:w="960" w:type="dxa"/>
            <w:vAlign w:val="bottom"/>
            <w:shd w:val="clear" w:color="auto" w:fill="FFD204"/>
          </w:tcPr>
          <w:p>
            <w:pPr>
              <w:spacing w:after="0"/>
              <w:rPr>
                <w:sz w:val="13"/>
                <w:szCs w:val="13"/>
                <w:color w:val="auto"/>
              </w:rPr>
            </w:pPr>
          </w:p>
        </w:tc>
        <w:tc>
          <w:tcPr>
            <w:tcW w:w="880" w:type="dxa"/>
            <w:vAlign w:val="bottom"/>
            <w:shd w:val="clear" w:color="auto" w:fill="FFD204"/>
          </w:tcPr>
          <w:p>
            <w:pPr>
              <w:spacing w:after="0"/>
              <w:rPr>
                <w:sz w:val="13"/>
                <w:szCs w:val="13"/>
                <w:color w:val="auto"/>
              </w:rPr>
            </w:pPr>
          </w:p>
        </w:tc>
        <w:tc>
          <w:tcPr>
            <w:tcW w:w="880" w:type="dxa"/>
            <w:vAlign w:val="bottom"/>
            <w:shd w:val="clear" w:color="auto" w:fill="FFD204"/>
          </w:tcPr>
          <w:p>
            <w:pPr>
              <w:spacing w:after="0"/>
              <w:rPr>
                <w:sz w:val="13"/>
                <w:szCs w:val="13"/>
                <w:color w:val="auto"/>
              </w:rPr>
            </w:pPr>
          </w:p>
        </w:tc>
        <w:tc>
          <w:tcPr>
            <w:tcW w:w="900" w:type="dxa"/>
            <w:vAlign w:val="bottom"/>
            <w:shd w:val="clear" w:color="auto" w:fill="FFD204"/>
          </w:tcPr>
          <w:p>
            <w:pPr>
              <w:spacing w:after="0"/>
              <w:rPr>
                <w:sz w:val="13"/>
                <w:szCs w:val="13"/>
                <w:color w:val="auto"/>
              </w:rPr>
            </w:pPr>
          </w:p>
        </w:tc>
        <w:tc>
          <w:tcPr>
            <w:tcW w:w="900" w:type="dxa"/>
            <w:vAlign w:val="bottom"/>
            <w:shd w:val="clear" w:color="auto" w:fill="FFD204"/>
          </w:tcPr>
          <w:p>
            <w:pPr>
              <w:jc w:val="right"/>
              <w:ind w:right="9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1980" w:type="dxa"/>
            <w:vAlign w:val="bottom"/>
            <w:shd w:val="clear" w:color="auto" w:fill="CECAC6"/>
          </w:tcPr>
          <w:p>
            <w:pPr>
              <w:spacing w:after="0"/>
              <w:rPr>
                <w:sz w:val="11"/>
                <w:szCs w:val="11"/>
                <w:color w:val="auto"/>
              </w:rPr>
            </w:pPr>
          </w:p>
        </w:tc>
        <w:tc>
          <w:tcPr>
            <w:tcW w:w="6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Quarter 1</w:t>
            </w:r>
          </w:p>
        </w:tc>
        <w:tc>
          <w:tcPr>
            <w:tcW w:w="96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Quarter 2</w:t>
            </w:r>
          </w:p>
        </w:tc>
        <w:tc>
          <w:tcPr>
            <w:tcW w:w="88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Quarter 3</w:t>
            </w:r>
          </w:p>
        </w:tc>
        <w:tc>
          <w:tcPr>
            <w:tcW w:w="92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Quarter 4</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 Year</w:t>
            </w:r>
          </w:p>
        </w:tc>
        <w:tc>
          <w:tcPr>
            <w:tcW w:w="96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Quarter 1</w:t>
            </w:r>
          </w:p>
        </w:tc>
        <w:tc>
          <w:tcPr>
            <w:tcW w:w="88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Quarter 2</w:t>
            </w:r>
          </w:p>
        </w:tc>
        <w:tc>
          <w:tcPr>
            <w:tcW w:w="88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Quarter 3</w:t>
            </w:r>
          </w:p>
        </w:tc>
        <w:tc>
          <w:tcPr>
            <w:tcW w:w="90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Quarter 4</w:t>
            </w:r>
          </w:p>
        </w:tc>
        <w:tc>
          <w:tcPr>
            <w:tcW w:w="90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2006 Year</w:t>
            </w:r>
          </w:p>
        </w:tc>
      </w:tr>
      <w:tr>
        <w:trPr>
          <w:trHeight w:val="167"/>
        </w:trPr>
        <w:tc>
          <w:tcPr>
            <w:tcW w:w="1980" w:type="dxa"/>
            <w:vAlign w:val="bottom"/>
          </w:tcPr>
          <w:p>
            <w:pPr>
              <w:ind w:left="20"/>
              <w:spacing w:after="0"/>
              <w:rPr>
                <w:sz w:val="20"/>
                <w:szCs w:val="20"/>
                <w:color w:val="auto"/>
              </w:rPr>
            </w:pPr>
            <w:r>
              <w:rPr>
                <w:rFonts w:ascii="Arial" w:cs="Arial" w:eastAsia="Arial" w:hAnsi="Arial"/>
                <w:sz w:val="12"/>
                <w:szCs w:val="12"/>
                <w:color w:val="auto"/>
              </w:rPr>
              <w:t>Revenue</w:t>
            </w:r>
          </w:p>
        </w:tc>
        <w:tc>
          <w:tcPr>
            <w:tcW w:w="62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73,480</w:t>
            </w:r>
          </w:p>
        </w:tc>
        <w:tc>
          <w:tcPr>
            <w:tcW w:w="960" w:type="dxa"/>
            <w:vAlign w:val="bottom"/>
            <w:shd w:val="clear" w:color="auto" w:fill="E4E3E1"/>
          </w:tcPr>
          <w:p>
            <w:pPr>
              <w:jc w:val="right"/>
              <w:ind w:right="118"/>
              <w:spacing w:after="0"/>
              <w:rPr>
                <w:sz w:val="20"/>
                <w:szCs w:val="20"/>
                <w:color w:val="auto"/>
              </w:rPr>
            </w:pPr>
            <w:r>
              <w:rPr>
                <w:rFonts w:ascii="Arial" w:cs="Arial" w:eastAsia="Arial" w:hAnsi="Arial"/>
                <w:sz w:val="12"/>
                <w:szCs w:val="12"/>
                <w:color w:val="auto"/>
              </w:rPr>
              <w:t>84,896</w:t>
            </w:r>
          </w:p>
        </w:tc>
        <w:tc>
          <w:tcPr>
            <w:tcW w:w="880" w:type="dxa"/>
            <w:vAlign w:val="bottom"/>
            <w:shd w:val="clear" w:color="auto" w:fill="E4E3E1"/>
          </w:tcPr>
          <w:p>
            <w:pPr>
              <w:jc w:val="right"/>
              <w:ind w:right="138"/>
              <w:spacing w:after="0"/>
              <w:rPr>
                <w:sz w:val="20"/>
                <w:szCs w:val="20"/>
                <w:color w:val="auto"/>
              </w:rPr>
            </w:pPr>
            <w:r>
              <w:rPr>
                <w:rFonts w:ascii="Arial" w:cs="Arial" w:eastAsia="Arial" w:hAnsi="Arial"/>
                <w:sz w:val="12"/>
                <w:szCs w:val="12"/>
                <w:color w:val="auto"/>
              </w:rPr>
              <w:t>90,703</w:t>
            </w:r>
          </w:p>
        </w:tc>
        <w:tc>
          <w:tcPr>
            <w:tcW w:w="920" w:type="dxa"/>
            <w:vAlign w:val="bottom"/>
            <w:shd w:val="clear" w:color="auto" w:fill="E4E3E1"/>
          </w:tcPr>
          <w:p>
            <w:pPr>
              <w:jc w:val="right"/>
              <w:ind w:right="118"/>
              <w:spacing w:after="0"/>
              <w:rPr>
                <w:sz w:val="20"/>
                <w:szCs w:val="20"/>
                <w:color w:val="auto"/>
              </w:rPr>
            </w:pPr>
            <w:r>
              <w:rPr>
                <w:rFonts w:ascii="Arial" w:cs="Arial" w:eastAsia="Arial" w:hAnsi="Arial"/>
                <w:sz w:val="12"/>
                <w:szCs w:val="12"/>
                <w:color w:val="auto"/>
              </w:rPr>
              <w:t>106,703</w:t>
            </w:r>
          </w:p>
        </w:tc>
        <w:tc>
          <w:tcPr>
            <w:tcW w:w="84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355,782</w:t>
            </w:r>
          </w:p>
        </w:tc>
        <w:tc>
          <w:tcPr>
            <w:tcW w:w="960" w:type="dxa"/>
            <w:vAlign w:val="bottom"/>
          </w:tcPr>
          <w:p>
            <w:pPr>
              <w:jc w:val="right"/>
              <w:ind w:right="98"/>
              <w:spacing w:after="0"/>
              <w:rPr>
                <w:sz w:val="20"/>
                <w:szCs w:val="20"/>
                <w:color w:val="auto"/>
              </w:rPr>
            </w:pPr>
            <w:r>
              <w:rPr>
                <w:rFonts w:ascii="Arial" w:cs="Arial" w:eastAsia="Arial" w:hAnsi="Arial"/>
                <w:sz w:val="12"/>
                <w:szCs w:val="12"/>
                <w:color w:val="auto"/>
              </w:rPr>
              <w:t>75,964</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83,127</w:t>
            </w:r>
          </w:p>
        </w:tc>
        <w:tc>
          <w:tcPr>
            <w:tcW w:w="880" w:type="dxa"/>
            <w:vAlign w:val="bottom"/>
          </w:tcPr>
          <w:p>
            <w:pPr>
              <w:jc w:val="right"/>
              <w:ind w:right="118"/>
              <w:spacing w:after="0"/>
              <w:rPr>
                <w:sz w:val="20"/>
                <w:szCs w:val="20"/>
                <w:color w:val="auto"/>
              </w:rPr>
            </w:pPr>
            <w:r>
              <w:rPr>
                <w:rFonts w:ascii="Arial" w:cs="Arial" w:eastAsia="Arial" w:hAnsi="Arial"/>
                <w:sz w:val="12"/>
                <w:szCs w:val="12"/>
                <w:color w:val="auto"/>
              </w:rPr>
              <w:t>84,254</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75,500</w:t>
            </w:r>
          </w:p>
        </w:tc>
        <w:tc>
          <w:tcPr>
            <w:tcW w:w="900" w:type="dxa"/>
            <w:vAlign w:val="bottom"/>
          </w:tcPr>
          <w:p>
            <w:pPr>
              <w:jc w:val="right"/>
              <w:ind w:right="98"/>
              <w:spacing w:after="0"/>
              <w:rPr>
                <w:sz w:val="20"/>
                <w:szCs w:val="20"/>
                <w:color w:val="auto"/>
              </w:rPr>
            </w:pPr>
            <w:r>
              <w:rPr>
                <w:rFonts w:ascii="Arial" w:cs="Arial" w:eastAsia="Arial" w:hAnsi="Arial"/>
                <w:sz w:val="12"/>
                <w:szCs w:val="12"/>
                <w:color w:val="auto"/>
              </w:rPr>
              <w:t>318,845</w:t>
            </w:r>
          </w:p>
        </w:tc>
      </w:tr>
      <w:tr>
        <w:trPr>
          <w:trHeight w:val="13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Cost of sales</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60,666</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68,715</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76,713</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90,603</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296,697</w:t>
            </w: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61,922</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67,838</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70,383</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62,846</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262,989</w:t>
            </w:r>
          </w:p>
        </w:tc>
      </w:tr>
      <w:tr>
        <w:trPr>
          <w:trHeight w:val="140"/>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Gross profit</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12,814</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16,181</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13,990</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16,100</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59,085</w:t>
            </w: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14,042</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15,289</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13,871</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12,654</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55,856</w:t>
            </w:r>
          </w:p>
        </w:tc>
      </w:tr>
      <w:tr>
        <w:trPr>
          <w:trHeight w:val="134"/>
        </w:trPr>
        <w:tc>
          <w:tcPr>
            <w:tcW w:w="1980" w:type="dxa"/>
            <w:vAlign w:val="bottom"/>
          </w:tcPr>
          <w:p>
            <w:pPr>
              <w:ind w:left="20"/>
              <w:spacing w:after="0" w:line="134" w:lineRule="exact"/>
              <w:rPr>
                <w:sz w:val="20"/>
                <w:szCs w:val="20"/>
                <w:color w:val="auto"/>
              </w:rPr>
            </w:pPr>
            <w:r>
              <w:rPr>
                <w:rFonts w:ascii="Arial" w:cs="Arial" w:eastAsia="Arial" w:hAnsi="Arial"/>
                <w:sz w:val="12"/>
                <w:szCs w:val="12"/>
                <w:color w:val="auto"/>
              </w:rPr>
              <w:t>Selling, distribution and</w:t>
            </w:r>
          </w:p>
        </w:tc>
        <w:tc>
          <w:tcPr>
            <w:tcW w:w="620" w:type="dxa"/>
            <w:vAlign w:val="bottom"/>
            <w:shd w:val="clear" w:color="auto" w:fill="E4E3E1"/>
          </w:tcPr>
          <w:p>
            <w:pPr>
              <w:spacing w:after="0"/>
              <w:rPr>
                <w:sz w:val="11"/>
                <w:szCs w:val="11"/>
                <w:color w:val="auto"/>
              </w:rPr>
            </w:pPr>
          </w:p>
        </w:tc>
        <w:tc>
          <w:tcPr>
            <w:tcW w:w="960" w:type="dxa"/>
            <w:vAlign w:val="bottom"/>
            <w:shd w:val="clear" w:color="auto" w:fill="E4E3E1"/>
          </w:tcPr>
          <w:p>
            <w:pPr>
              <w:spacing w:after="0"/>
              <w:rPr>
                <w:sz w:val="11"/>
                <w:szCs w:val="11"/>
                <w:color w:val="auto"/>
              </w:rPr>
            </w:pPr>
          </w:p>
        </w:tc>
        <w:tc>
          <w:tcPr>
            <w:tcW w:w="880" w:type="dxa"/>
            <w:vAlign w:val="bottom"/>
            <w:shd w:val="clear" w:color="auto" w:fill="E4E3E1"/>
          </w:tcPr>
          <w:p>
            <w:pPr>
              <w:spacing w:after="0"/>
              <w:rPr>
                <w:sz w:val="11"/>
                <w:szCs w:val="11"/>
                <w:color w:val="auto"/>
              </w:rPr>
            </w:pPr>
          </w:p>
        </w:tc>
        <w:tc>
          <w:tcPr>
            <w:tcW w:w="920" w:type="dxa"/>
            <w:vAlign w:val="bottom"/>
            <w:shd w:val="clear" w:color="auto" w:fill="E4E3E1"/>
          </w:tcPr>
          <w:p>
            <w:pPr>
              <w:spacing w:after="0"/>
              <w:rPr>
                <w:sz w:val="11"/>
                <w:szCs w:val="11"/>
                <w:color w:val="auto"/>
              </w:rPr>
            </w:pPr>
          </w:p>
        </w:tc>
        <w:tc>
          <w:tcPr>
            <w:tcW w:w="840" w:type="dxa"/>
            <w:vAlign w:val="bottom"/>
            <w:shd w:val="clear" w:color="auto" w:fill="E4E3E1"/>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980" w:type="dxa"/>
            <w:vAlign w:val="bottom"/>
          </w:tcPr>
          <w:p>
            <w:pPr>
              <w:ind w:left="20"/>
              <w:spacing w:after="0" w:line="133" w:lineRule="exact"/>
              <w:rPr>
                <w:sz w:val="20"/>
                <w:szCs w:val="20"/>
                <w:color w:val="auto"/>
              </w:rPr>
            </w:pPr>
            <w:r>
              <w:rPr>
                <w:rFonts w:ascii="Arial" w:cs="Arial" w:eastAsia="Arial" w:hAnsi="Arial"/>
                <w:sz w:val="12"/>
                <w:szCs w:val="12"/>
                <w:color w:val="auto"/>
              </w:rPr>
              <w:t>administrative expenses</w:t>
            </w:r>
          </w:p>
        </w:tc>
        <w:tc>
          <w:tcPr>
            <w:tcW w:w="6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3,778</w:t>
            </w:r>
          </w:p>
        </w:tc>
        <w:tc>
          <w:tcPr>
            <w:tcW w:w="96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4,120</w:t>
            </w:r>
          </w:p>
        </w:tc>
        <w:tc>
          <w:tcPr>
            <w:tcW w:w="880" w:type="dxa"/>
            <w:vAlign w:val="bottom"/>
            <w:shd w:val="clear" w:color="auto" w:fill="E4E3E1"/>
          </w:tcPr>
          <w:p>
            <w:pPr>
              <w:jc w:val="right"/>
              <w:ind w:right="138"/>
              <w:spacing w:after="0" w:line="133" w:lineRule="exact"/>
              <w:rPr>
                <w:sz w:val="20"/>
                <w:szCs w:val="20"/>
                <w:color w:val="auto"/>
              </w:rPr>
            </w:pPr>
            <w:r>
              <w:rPr>
                <w:rFonts w:ascii="Arial" w:cs="Arial" w:eastAsia="Arial" w:hAnsi="Arial"/>
                <w:sz w:val="12"/>
                <w:szCs w:val="12"/>
                <w:color w:val="auto"/>
              </w:rPr>
              <w:t>3,843</w:t>
            </w:r>
          </w:p>
        </w:tc>
        <w:tc>
          <w:tcPr>
            <w:tcW w:w="92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4,880</w:t>
            </w:r>
          </w:p>
        </w:tc>
        <w:tc>
          <w:tcPr>
            <w:tcW w:w="8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16,621</w:t>
            </w:r>
          </w:p>
        </w:tc>
        <w:tc>
          <w:tcPr>
            <w:tcW w:w="9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3,413</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4,429</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4,126</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4,648</w:t>
            </w:r>
          </w:p>
        </w:tc>
        <w:tc>
          <w:tcPr>
            <w:tcW w:w="9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16,616</w:t>
            </w:r>
          </w:p>
        </w:tc>
      </w:tr>
      <w:tr>
        <w:trPr>
          <w:trHeight w:val="133"/>
        </w:trPr>
        <w:tc>
          <w:tcPr>
            <w:tcW w:w="1980" w:type="dxa"/>
            <w:vAlign w:val="bottom"/>
          </w:tcPr>
          <w:p>
            <w:pPr>
              <w:ind w:left="20"/>
              <w:spacing w:after="0" w:line="133" w:lineRule="exact"/>
              <w:rPr>
                <w:sz w:val="20"/>
                <w:szCs w:val="20"/>
                <w:color w:val="auto"/>
              </w:rPr>
            </w:pPr>
            <w:r>
              <w:rPr>
                <w:rFonts w:ascii="Arial" w:cs="Arial" w:eastAsia="Arial" w:hAnsi="Arial"/>
                <w:sz w:val="12"/>
                <w:szCs w:val="12"/>
                <w:color w:val="auto"/>
              </w:rPr>
              <w:t>Exploration</w:t>
            </w:r>
          </w:p>
        </w:tc>
        <w:tc>
          <w:tcPr>
            <w:tcW w:w="6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272</w:t>
            </w:r>
          </w:p>
        </w:tc>
        <w:tc>
          <w:tcPr>
            <w:tcW w:w="96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450</w:t>
            </w:r>
          </w:p>
        </w:tc>
        <w:tc>
          <w:tcPr>
            <w:tcW w:w="880" w:type="dxa"/>
            <w:vAlign w:val="bottom"/>
            <w:shd w:val="clear" w:color="auto" w:fill="E4E3E1"/>
          </w:tcPr>
          <w:p>
            <w:pPr>
              <w:jc w:val="right"/>
              <w:ind w:right="138"/>
              <w:spacing w:after="0" w:line="133" w:lineRule="exact"/>
              <w:rPr>
                <w:sz w:val="20"/>
                <w:szCs w:val="20"/>
                <w:color w:val="auto"/>
              </w:rPr>
            </w:pPr>
            <w:r>
              <w:rPr>
                <w:rFonts w:ascii="Arial" w:cs="Arial" w:eastAsia="Arial" w:hAnsi="Arial"/>
                <w:sz w:val="12"/>
                <w:szCs w:val="12"/>
                <w:color w:val="auto"/>
              </w:rPr>
              <w:t>608</w:t>
            </w:r>
          </w:p>
        </w:tc>
        <w:tc>
          <w:tcPr>
            <w:tcW w:w="92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382</w:t>
            </w:r>
          </w:p>
        </w:tc>
        <w:tc>
          <w:tcPr>
            <w:tcW w:w="8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1,712</w:t>
            </w:r>
          </w:p>
        </w:tc>
        <w:tc>
          <w:tcPr>
            <w:tcW w:w="9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281</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250</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401</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630</w:t>
            </w:r>
          </w:p>
        </w:tc>
        <w:tc>
          <w:tcPr>
            <w:tcW w:w="9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1,562</w:t>
            </w:r>
          </w:p>
        </w:tc>
      </w:tr>
      <w:tr>
        <w:trPr>
          <w:trHeight w:val="133"/>
        </w:trPr>
        <w:tc>
          <w:tcPr>
            <w:tcW w:w="1980" w:type="dxa"/>
            <w:vAlign w:val="bottom"/>
          </w:tcPr>
          <w:p>
            <w:pPr>
              <w:ind w:left="20"/>
              <w:spacing w:after="0" w:line="133" w:lineRule="exact"/>
              <w:rPr>
                <w:sz w:val="20"/>
                <w:szCs w:val="20"/>
                <w:color w:val="auto"/>
              </w:rPr>
            </w:pPr>
            <w:r>
              <w:rPr>
                <w:rFonts w:ascii="Arial" w:cs="Arial" w:eastAsia="Arial" w:hAnsi="Arial"/>
                <w:sz w:val="12"/>
                <w:szCs w:val="12"/>
                <w:color w:val="auto"/>
              </w:rPr>
              <w:t>Share of profit of equity-</w:t>
            </w:r>
          </w:p>
        </w:tc>
        <w:tc>
          <w:tcPr>
            <w:tcW w:w="620" w:type="dxa"/>
            <w:vAlign w:val="bottom"/>
            <w:shd w:val="clear" w:color="auto" w:fill="E4E3E1"/>
          </w:tcPr>
          <w:p>
            <w:pPr>
              <w:spacing w:after="0"/>
              <w:rPr>
                <w:sz w:val="11"/>
                <w:szCs w:val="11"/>
                <w:color w:val="auto"/>
              </w:rPr>
            </w:pPr>
          </w:p>
        </w:tc>
        <w:tc>
          <w:tcPr>
            <w:tcW w:w="960" w:type="dxa"/>
            <w:vAlign w:val="bottom"/>
            <w:shd w:val="clear" w:color="auto" w:fill="E4E3E1"/>
          </w:tcPr>
          <w:p>
            <w:pPr>
              <w:spacing w:after="0"/>
              <w:rPr>
                <w:sz w:val="11"/>
                <w:szCs w:val="11"/>
                <w:color w:val="auto"/>
              </w:rPr>
            </w:pPr>
          </w:p>
        </w:tc>
        <w:tc>
          <w:tcPr>
            <w:tcW w:w="880" w:type="dxa"/>
            <w:vAlign w:val="bottom"/>
            <w:shd w:val="clear" w:color="auto" w:fill="E4E3E1"/>
          </w:tcPr>
          <w:p>
            <w:pPr>
              <w:spacing w:after="0"/>
              <w:rPr>
                <w:sz w:val="11"/>
                <w:szCs w:val="11"/>
                <w:color w:val="auto"/>
              </w:rPr>
            </w:pPr>
          </w:p>
        </w:tc>
        <w:tc>
          <w:tcPr>
            <w:tcW w:w="920" w:type="dxa"/>
            <w:vAlign w:val="bottom"/>
            <w:shd w:val="clear" w:color="auto" w:fill="E4E3E1"/>
          </w:tcPr>
          <w:p>
            <w:pPr>
              <w:spacing w:after="0"/>
              <w:rPr>
                <w:sz w:val="11"/>
                <w:szCs w:val="11"/>
                <w:color w:val="auto"/>
              </w:rPr>
            </w:pPr>
          </w:p>
        </w:tc>
        <w:tc>
          <w:tcPr>
            <w:tcW w:w="840" w:type="dxa"/>
            <w:vAlign w:val="bottom"/>
            <w:shd w:val="clear" w:color="auto" w:fill="E4E3E1"/>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980" w:type="dxa"/>
            <w:vAlign w:val="bottom"/>
          </w:tcPr>
          <w:p>
            <w:pPr>
              <w:ind w:left="20"/>
              <w:spacing w:after="0" w:line="133" w:lineRule="exact"/>
              <w:rPr>
                <w:sz w:val="20"/>
                <w:szCs w:val="20"/>
                <w:color w:val="auto"/>
              </w:rPr>
            </w:pPr>
            <w:r>
              <w:rPr>
                <w:rFonts w:ascii="Arial" w:cs="Arial" w:eastAsia="Arial" w:hAnsi="Arial"/>
                <w:sz w:val="12"/>
                <w:szCs w:val="12"/>
                <w:color w:val="auto"/>
              </w:rPr>
              <w:t>accounted investments</w:t>
            </w:r>
          </w:p>
        </w:tc>
        <w:tc>
          <w:tcPr>
            <w:tcW w:w="6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1,808</w:t>
            </w:r>
          </w:p>
        </w:tc>
        <w:tc>
          <w:tcPr>
            <w:tcW w:w="96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2,138</w:t>
            </w:r>
          </w:p>
        </w:tc>
        <w:tc>
          <w:tcPr>
            <w:tcW w:w="880" w:type="dxa"/>
            <w:vAlign w:val="bottom"/>
            <w:shd w:val="clear" w:color="auto" w:fill="E4E3E1"/>
          </w:tcPr>
          <w:p>
            <w:pPr>
              <w:jc w:val="right"/>
              <w:ind w:right="138"/>
              <w:spacing w:after="0" w:line="133" w:lineRule="exact"/>
              <w:rPr>
                <w:sz w:val="20"/>
                <w:szCs w:val="20"/>
                <w:color w:val="auto"/>
              </w:rPr>
            </w:pPr>
            <w:r>
              <w:rPr>
                <w:rFonts w:ascii="Arial" w:cs="Arial" w:eastAsia="Arial" w:hAnsi="Arial"/>
                <w:sz w:val="12"/>
                <w:szCs w:val="12"/>
                <w:color w:val="auto"/>
              </w:rPr>
              <w:t>1,912</w:t>
            </w:r>
          </w:p>
        </w:tc>
        <w:tc>
          <w:tcPr>
            <w:tcW w:w="92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2,376</w:t>
            </w:r>
          </w:p>
        </w:tc>
        <w:tc>
          <w:tcPr>
            <w:tcW w:w="8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8,234</w:t>
            </w:r>
          </w:p>
        </w:tc>
        <w:tc>
          <w:tcPr>
            <w:tcW w:w="9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1,823</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1,829</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1,358</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1,661</w:t>
            </w:r>
          </w:p>
        </w:tc>
        <w:tc>
          <w:tcPr>
            <w:tcW w:w="9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6,671</w:t>
            </w:r>
          </w:p>
        </w:tc>
      </w:tr>
      <w:tr>
        <w:trPr>
          <w:trHeight w:val="133"/>
        </w:trPr>
        <w:tc>
          <w:tcPr>
            <w:tcW w:w="1980" w:type="dxa"/>
            <w:vAlign w:val="bottom"/>
          </w:tcPr>
          <w:p>
            <w:pPr>
              <w:ind w:left="20"/>
              <w:spacing w:after="0" w:line="133" w:lineRule="exact"/>
              <w:rPr>
                <w:sz w:val="20"/>
                <w:szCs w:val="20"/>
                <w:color w:val="auto"/>
              </w:rPr>
            </w:pPr>
            <w:r>
              <w:rPr>
                <w:rFonts w:ascii="Arial" w:cs="Arial" w:eastAsia="Arial" w:hAnsi="Arial"/>
                <w:sz w:val="12"/>
                <w:szCs w:val="12"/>
                <w:color w:val="auto"/>
              </w:rPr>
              <w:t>Interest and other income</w:t>
            </w:r>
          </w:p>
        </w:tc>
        <w:tc>
          <w:tcPr>
            <w:tcW w:w="6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1,125</w:t>
            </w:r>
          </w:p>
        </w:tc>
        <w:tc>
          <w:tcPr>
            <w:tcW w:w="96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747</w:t>
            </w:r>
          </w:p>
        </w:tc>
        <w:tc>
          <w:tcPr>
            <w:tcW w:w="880" w:type="dxa"/>
            <w:vAlign w:val="bottom"/>
            <w:shd w:val="clear" w:color="auto" w:fill="E4E3E1"/>
          </w:tcPr>
          <w:p>
            <w:pPr>
              <w:jc w:val="right"/>
              <w:ind w:right="138"/>
              <w:spacing w:after="0" w:line="133" w:lineRule="exact"/>
              <w:rPr>
                <w:sz w:val="20"/>
                <w:szCs w:val="20"/>
                <w:color w:val="auto"/>
              </w:rPr>
            </w:pPr>
            <w:r>
              <w:rPr>
                <w:rFonts w:ascii="Arial" w:cs="Arial" w:eastAsia="Arial" w:hAnsi="Arial"/>
                <w:sz w:val="12"/>
                <w:szCs w:val="12"/>
                <w:color w:val="auto"/>
              </w:rPr>
              <w:t>340</w:t>
            </w:r>
          </w:p>
        </w:tc>
        <w:tc>
          <w:tcPr>
            <w:tcW w:w="920" w:type="dxa"/>
            <w:vAlign w:val="bottom"/>
            <w:shd w:val="clear" w:color="auto" w:fill="E4E3E1"/>
          </w:tcPr>
          <w:p>
            <w:pPr>
              <w:jc w:val="right"/>
              <w:ind w:right="118"/>
              <w:spacing w:after="0" w:line="133" w:lineRule="exact"/>
              <w:rPr>
                <w:sz w:val="20"/>
                <w:szCs w:val="20"/>
                <w:color w:val="auto"/>
              </w:rPr>
            </w:pPr>
            <w:r>
              <w:rPr>
                <w:rFonts w:ascii="Arial" w:cs="Arial" w:eastAsia="Arial" w:hAnsi="Arial"/>
                <w:sz w:val="12"/>
                <w:szCs w:val="12"/>
                <w:color w:val="auto"/>
              </w:rPr>
              <w:t>486</w:t>
            </w:r>
          </w:p>
        </w:tc>
        <w:tc>
          <w:tcPr>
            <w:tcW w:w="8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2,698</w:t>
            </w:r>
          </w:p>
        </w:tc>
        <w:tc>
          <w:tcPr>
            <w:tcW w:w="9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441</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228</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346</w:t>
            </w:r>
          </w:p>
        </w:tc>
        <w:tc>
          <w:tcPr>
            <w:tcW w:w="9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413</w:t>
            </w:r>
          </w:p>
        </w:tc>
        <w:tc>
          <w:tcPr>
            <w:tcW w:w="9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1,428</w:t>
            </w:r>
          </w:p>
        </w:tc>
      </w:tr>
      <w:tr>
        <w:trPr>
          <w:trHeight w:val="13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expense</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224</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270</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302</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312</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1,108</w:t>
            </w: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286</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275</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286</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302</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1,149</w:t>
            </w:r>
          </w:p>
        </w:tc>
      </w:tr>
      <w:tr>
        <w:trPr>
          <w:trHeight w:val="134"/>
        </w:trPr>
        <w:tc>
          <w:tcPr>
            <w:tcW w:w="1980" w:type="dxa"/>
            <w:vAlign w:val="bottom"/>
          </w:tcPr>
          <w:p>
            <w:pPr>
              <w:ind w:left="20"/>
              <w:spacing w:after="0" w:line="134" w:lineRule="exact"/>
              <w:rPr>
                <w:sz w:val="20"/>
                <w:szCs w:val="20"/>
                <w:color w:val="auto"/>
              </w:rPr>
            </w:pPr>
            <w:r>
              <w:rPr>
                <w:rFonts w:ascii="Arial" w:cs="Arial" w:eastAsia="Arial" w:hAnsi="Arial"/>
                <w:sz w:val="12"/>
                <w:szCs w:val="12"/>
                <w:color w:val="auto"/>
              </w:rPr>
              <w:t>Income before taxation</w:t>
            </w:r>
          </w:p>
        </w:tc>
        <w:tc>
          <w:tcPr>
            <w:tcW w:w="620" w:type="dxa"/>
            <w:vAlign w:val="bottom"/>
            <w:shd w:val="clear" w:color="auto" w:fill="E4E3E1"/>
          </w:tcPr>
          <w:p>
            <w:pPr>
              <w:jc w:val="right"/>
              <w:ind w:right="18"/>
              <w:spacing w:after="0" w:line="134" w:lineRule="exact"/>
              <w:rPr>
                <w:sz w:val="20"/>
                <w:szCs w:val="20"/>
                <w:color w:val="auto"/>
              </w:rPr>
            </w:pPr>
            <w:r>
              <w:rPr>
                <w:rFonts w:ascii="Arial" w:cs="Arial" w:eastAsia="Arial" w:hAnsi="Arial"/>
                <w:sz w:val="12"/>
                <w:szCs w:val="12"/>
                <w:color w:val="auto"/>
              </w:rPr>
              <w:t>11,473</w:t>
            </w:r>
          </w:p>
        </w:tc>
        <w:tc>
          <w:tcPr>
            <w:tcW w:w="960" w:type="dxa"/>
            <w:vAlign w:val="bottom"/>
            <w:shd w:val="clear" w:color="auto" w:fill="E4E3E1"/>
          </w:tcPr>
          <w:p>
            <w:pPr>
              <w:jc w:val="right"/>
              <w:ind w:right="118"/>
              <w:spacing w:after="0" w:line="134" w:lineRule="exact"/>
              <w:rPr>
                <w:sz w:val="20"/>
                <w:szCs w:val="20"/>
                <w:color w:val="auto"/>
              </w:rPr>
            </w:pPr>
            <w:r>
              <w:rPr>
                <w:rFonts w:ascii="Arial" w:cs="Arial" w:eastAsia="Arial" w:hAnsi="Arial"/>
                <w:sz w:val="12"/>
                <w:szCs w:val="12"/>
                <w:color w:val="auto"/>
              </w:rPr>
              <w:t>14,226</w:t>
            </w:r>
          </w:p>
        </w:tc>
        <w:tc>
          <w:tcPr>
            <w:tcW w:w="880" w:type="dxa"/>
            <w:vAlign w:val="bottom"/>
            <w:shd w:val="clear" w:color="auto" w:fill="E4E3E1"/>
          </w:tcPr>
          <w:p>
            <w:pPr>
              <w:jc w:val="right"/>
              <w:ind w:right="138"/>
              <w:spacing w:after="0" w:line="134" w:lineRule="exact"/>
              <w:rPr>
                <w:sz w:val="20"/>
                <w:szCs w:val="20"/>
                <w:color w:val="auto"/>
              </w:rPr>
            </w:pPr>
            <w:r>
              <w:rPr>
                <w:rFonts w:ascii="Arial" w:cs="Arial" w:eastAsia="Arial" w:hAnsi="Arial"/>
                <w:sz w:val="12"/>
                <w:szCs w:val="12"/>
                <w:color w:val="auto"/>
              </w:rPr>
              <w:t>11,489</w:t>
            </w:r>
          </w:p>
        </w:tc>
        <w:tc>
          <w:tcPr>
            <w:tcW w:w="920" w:type="dxa"/>
            <w:vAlign w:val="bottom"/>
            <w:shd w:val="clear" w:color="auto" w:fill="E4E3E1"/>
          </w:tcPr>
          <w:p>
            <w:pPr>
              <w:jc w:val="right"/>
              <w:ind w:right="118"/>
              <w:spacing w:after="0" w:line="134" w:lineRule="exact"/>
              <w:rPr>
                <w:sz w:val="20"/>
                <w:szCs w:val="20"/>
                <w:color w:val="auto"/>
              </w:rPr>
            </w:pPr>
            <w:r>
              <w:rPr>
                <w:rFonts w:ascii="Arial" w:cs="Arial" w:eastAsia="Arial" w:hAnsi="Arial"/>
                <w:sz w:val="12"/>
                <w:szCs w:val="12"/>
                <w:color w:val="auto"/>
              </w:rPr>
              <w:t>13,388</w:t>
            </w:r>
          </w:p>
        </w:tc>
        <w:tc>
          <w:tcPr>
            <w:tcW w:w="840" w:type="dxa"/>
            <w:vAlign w:val="bottom"/>
            <w:shd w:val="clear" w:color="auto" w:fill="E4E3E1"/>
          </w:tcPr>
          <w:p>
            <w:pPr>
              <w:jc w:val="right"/>
              <w:ind w:right="18"/>
              <w:spacing w:after="0" w:line="134" w:lineRule="exact"/>
              <w:rPr>
                <w:sz w:val="20"/>
                <w:szCs w:val="20"/>
                <w:color w:val="auto"/>
              </w:rPr>
            </w:pPr>
            <w:r>
              <w:rPr>
                <w:rFonts w:ascii="Arial" w:cs="Arial" w:eastAsia="Arial" w:hAnsi="Arial"/>
                <w:sz w:val="12"/>
                <w:szCs w:val="12"/>
                <w:color w:val="auto"/>
              </w:rPr>
              <w:t>50,576</w:t>
            </w:r>
          </w:p>
        </w:tc>
        <w:tc>
          <w:tcPr>
            <w:tcW w:w="960" w:type="dxa"/>
            <w:vAlign w:val="bottom"/>
          </w:tcPr>
          <w:p>
            <w:pPr>
              <w:jc w:val="right"/>
              <w:ind w:right="98"/>
              <w:spacing w:after="0" w:line="134" w:lineRule="exact"/>
              <w:rPr>
                <w:sz w:val="20"/>
                <w:szCs w:val="20"/>
                <w:color w:val="auto"/>
              </w:rPr>
            </w:pPr>
            <w:r>
              <w:rPr>
                <w:rFonts w:ascii="Arial" w:cs="Arial" w:eastAsia="Arial" w:hAnsi="Arial"/>
                <w:sz w:val="12"/>
                <w:szCs w:val="12"/>
                <w:color w:val="auto"/>
              </w:rPr>
              <w:t>12,326</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12,392</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10,762</w:t>
            </w:r>
          </w:p>
        </w:tc>
        <w:tc>
          <w:tcPr>
            <w:tcW w:w="9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9,148</w:t>
            </w:r>
          </w:p>
        </w:tc>
        <w:tc>
          <w:tcPr>
            <w:tcW w:w="900" w:type="dxa"/>
            <w:vAlign w:val="bottom"/>
          </w:tcPr>
          <w:p>
            <w:pPr>
              <w:jc w:val="right"/>
              <w:ind w:right="98"/>
              <w:spacing w:after="0" w:line="134" w:lineRule="exact"/>
              <w:rPr>
                <w:sz w:val="20"/>
                <w:szCs w:val="20"/>
                <w:color w:val="auto"/>
              </w:rPr>
            </w:pPr>
            <w:r>
              <w:rPr>
                <w:rFonts w:ascii="Arial" w:cs="Arial" w:eastAsia="Arial" w:hAnsi="Arial"/>
                <w:sz w:val="12"/>
                <w:szCs w:val="12"/>
                <w:color w:val="auto"/>
              </w:rPr>
              <w:t>44,628</w:t>
            </w:r>
          </w:p>
        </w:tc>
      </w:tr>
      <w:tr>
        <w:trPr>
          <w:trHeight w:val="13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Taxation</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4,032</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5,415</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4,448</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4,755</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18,650</w:t>
            </w: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5,310</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4,865</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4,507</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3,635</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18,317</w:t>
            </w:r>
          </w:p>
        </w:tc>
      </w:tr>
      <w:tr>
        <w:trPr>
          <w:trHeight w:val="140"/>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Income for the period</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7,441</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8,811</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7,041</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8,633</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31,926</w:t>
            </w: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7,016</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7,527</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6,255</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5,513</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26,311</w:t>
            </w:r>
          </w:p>
        </w:tc>
      </w:tr>
      <w:tr>
        <w:trPr>
          <w:trHeight w:val="134"/>
        </w:trPr>
        <w:tc>
          <w:tcPr>
            <w:tcW w:w="1980" w:type="dxa"/>
            <w:vAlign w:val="bottom"/>
          </w:tcPr>
          <w:p>
            <w:pPr>
              <w:ind w:left="20"/>
              <w:spacing w:after="0" w:line="134" w:lineRule="exact"/>
              <w:rPr>
                <w:sz w:val="20"/>
                <w:szCs w:val="20"/>
                <w:color w:val="auto"/>
              </w:rPr>
            </w:pPr>
            <w:r>
              <w:rPr>
                <w:rFonts w:ascii="Arial" w:cs="Arial" w:eastAsia="Arial" w:hAnsi="Arial"/>
                <w:sz w:val="12"/>
                <w:szCs w:val="12"/>
                <w:color w:val="auto"/>
              </w:rPr>
              <w:t>Income attributable to minority</w:t>
            </w:r>
          </w:p>
        </w:tc>
        <w:tc>
          <w:tcPr>
            <w:tcW w:w="620" w:type="dxa"/>
            <w:vAlign w:val="bottom"/>
            <w:shd w:val="clear" w:color="auto" w:fill="E4E3E1"/>
          </w:tcPr>
          <w:p>
            <w:pPr>
              <w:spacing w:after="0"/>
              <w:rPr>
                <w:sz w:val="11"/>
                <w:szCs w:val="11"/>
                <w:color w:val="auto"/>
              </w:rPr>
            </w:pPr>
          </w:p>
        </w:tc>
        <w:tc>
          <w:tcPr>
            <w:tcW w:w="960" w:type="dxa"/>
            <w:vAlign w:val="bottom"/>
            <w:shd w:val="clear" w:color="auto" w:fill="E4E3E1"/>
          </w:tcPr>
          <w:p>
            <w:pPr>
              <w:spacing w:after="0"/>
              <w:rPr>
                <w:sz w:val="11"/>
                <w:szCs w:val="11"/>
                <w:color w:val="auto"/>
              </w:rPr>
            </w:pPr>
          </w:p>
        </w:tc>
        <w:tc>
          <w:tcPr>
            <w:tcW w:w="880" w:type="dxa"/>
            <w:vAlign w:val="bottom"/>
            <w:shd w:val="clear" w:color="auto" w:fill="E4E3E1"/>
          </w:tcPr>
          <w:p>
            <w:pPr>
              <w:spacing w:after="0"/>
              <w:rPr>
                <w:sz w:val="11"/>
                <w:szCs w:val="11"/>
                <w:color w:val="auto"/>
              </w:rPr>
            </w:pPr>
          </w:p>
        </w:tc>
        <w:tc>
          <w:tcPr>
            <w:tcW w:w="920" w:type="dxa"/>
            <w:vAlign w:val="bottom"/>
            <w:shd w:val="clear" w:color="auto" w:fill="E4E3E1"/>
          </w:tcPr>
          <w:p>
            <w:pPr>
              <w:spacing w:after="0"/>
              <w:rPr>
                <w:sz w:val="11"/>
                <w:szCs w:val="11"/>
                <w:color w:val="auto"/>
              </w:rPr>
            </w:pPr>
          </w:p>
        </w:tc>
        <w:tc>
          <w:tcPr>
            <w:tcW w:w="840" w:type="dxa"/>
            <w:vAlign w:val="bottom"/>
            <w:shd w:val="clear" w:color="auto" w:fill="E4E3E1"/>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9"/>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160</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144</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125</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166</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595</w:t>
            </w: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123</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203</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313</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230</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869</w:t>
            </w:r>
          </w:p>
        </w:tc>
      </w:tr>
      <w:tr>
        <w:trPr>
          <w:trHeight w:val="120"/>
        </w:trPr>
        <w:tc>
          <w:tcPr>
            <w:tcW w:w="198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Income attributable to</w:t>
            </w:r>
          </w:p>
        </w:tc>
        <w:tc>
          <w:tcPr>
            <w:tcW w:w="620" w:type="dxa"/>
            <w:vAlign w:val="bottom"/>
            <w:shd w:val="clear" w:color="auto" w:fill="E4E3E1"/>
          </w:tcPr>
          <w:p>
            <w:pPr>
              <w:spacing w:after="0"/>
              <w:rPr>
                <w:sz w:val="10"/>
                <w:szCs w:val="10"/>
                <w:color w:val="auto"/>
              </w:rPr>
            </w:pPr>
          </w:p>
        </w:tc>
        <w:tc>
          <w:tcPr>
            <w:tcW w:w="960" w:type="dxa"/>
            <w:vAlign w:val="bottom"/>
            <w:shd w:val="clear" w:color="auto" w:fill="E4E3E1"/>
          </w:tcPr>
          <w:p>
            <w:pPr>
              <w:spacing w:after="0"/>
              <w:rPr>
                <w:sz w:val="10"/>
                <w:szCs w:val="10"/>
                <w:color w:val="auto"/>
              </w:rPr>
            </w:pPr>
          </w:p>
        </w:tc>
        <w:tc>
          <w:tcPr>
            <w:tcW w:w="880" w:type="dxa"/>
            <w:vAlign w:val="bottom"/>
            <w:shd w:val="clear" w:color="auto" w:fill="E4E3E1"/>
          </w:tcPr>
          <w:p>
            <w:pPr>
              <w:spacing w:after="0"/>
              <w:rPr>
                <w:sz w:val="10"/>
                <w:szCs w:val="10"/>
                <w:color w:val="auto"/>
              </w:rPr>
            </w:pPr>
          </w:p>
        </w:tc>
        <w:tc>
          <w:tcPr>
            <w:tcW w:w="920" w:type="dxa"/>
            <w:vAlign w:val="bottom"/>
            <w:shd w:val="clear" w:color="auto" w:fill="E4E3E1"/>
          </w:tcPr>
          <w:p>
            <w:pPr>
              <w:spacing w:after="0"/>
              <w:rPr>
                <w:sz w:val="10"/>
                <w:szCs w:val="10"/>
                <w:color w:val="auto"/>
              </w:rPr>
            </w:pPr>
          </w:p>
        </w:tc>
        <w:tc>
          <w:tcPr>
            <w:tcW w:w="840" w:type="dxa"/>
            <w:vAlign w:val="bottom"/>
            <w:shd w:val="clear" w:color="auto" w:fill="E4E3E1"/>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0"/>
        </w:trPr>
        <w:tc>
          <w:tcPr>
            <w:tcW w:w="19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shareholders</w:t>
            </w:r>
          </w:p>
        </w:tc>
        <w:tc>
          <w:tcPr>
            <w:tcW w:w="62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7,281</w:t>
            </w:r>
          </w:p>
        </w:tc>
        <w:tc>
          <w:tcPr>
            <w:tcW w:w="96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8,667</w:t>
            </w:r>
          </w:p>
        </w:tc>
        <w:tc>
          <w:tcPr>
            <w:tcW w:w="880" w:type="dxa"/>
            <w:vAlign w:val="bottom"/>
            <w:tcBorders>
              <w:bottom w:val="single" w:sz="8" w:color="auto"/>
            </w:tcBorders>
            <w:shd w:val="clear" w:color="auto" w:fill="E4E3E1"/>
          </w:tcPr>
          <w:p>
            <w:pPr>
              <w:jc w:val="right"/>
              <w:ind w:right="138"/>
              <w:spacing w:after="0"/>
              <w:rPr>
                <w:sz w:val="20"/>
                <w:szCs w:val="20"/>
                <w:color w:val="auto"/>
              </w:rPr>
            </w:pPr>
            <w:r>
              <w:rPr>
                <w:rFonts w:ascii="Arial" w:cs="Arial" w:eastAsia="Arial" w:hAnsi="Arial"/>
                <w:sz w:val="12"/>
                <w:szCs w:val="12"/>
                <w:color w:val="auto"/>
              </w:rPr>
              <w:t>6,916</w:t>
            </w:r>
          </w:p>
        </w:tc>
        <w:tc>
          <w:tcPr>
            <w:tcW w:w="920" w:type="dxa"/>
            <w:vAlign w:val="bottom"/>
            <w:tcBorders>
              <w:bottom w:val="single" w:sz="8" w:color="auto"/>
            </w:tcBorders>
            <w:shd w:val="clear" w:color="auto" w:fill="E4E3E1"/>
          </w:tcPr>
          <w:p>
            <w:pPr>
              <w:jc w:val="right"/>
              <w:ind w:right="118"/>
              <w:spacing w:after="0"/>
              <w:rPr>
                <w:sz w:val="20"/>
                <w:szCs w:val="20"/>
                <w:color w:val="auto"/>
              </w:rPr>
            </w:pPr>
            <w:r>
              <w:rPr>
                <w:rFonts w:ascii="Arial" w:cs="Arial" w:eastAsia="Arial" w:hAnsi="Arial"/>
                <w:sz w:val="12"/>
                <w:szCs w:val="12"/>
                <w:color w:val="auto"/>
              </w:rPr>
              <w:t>8,467</w:t>
            </w:r>
          </w:p>
        </w:tc>
        <w:tc>
          <w:tcPr>
            <w:tcW w:w="8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31,331</w:t>
            </w:r>
          </w:p>
        </w:tc>
        <w:tc>
          <w:tcPr>
            <w:tcW w:w="9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6,893</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7,324</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5,942</w:t>
            </w:r>
          </w:p>
        </w:tc>
        <w:tc>
          <w:tcPr>
            <w:tcW w:w="9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5,283</w:t>
            </w:r>
          </w:p>
        </w:tc>
        <w:tc>
          <w:tcPr>
            <w:tcW w:w="9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25,442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-1708150</wp:posOffset>
            </wp:positionV>
            <wp:extent cx="282575" cy="7924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575" cy="7924800"/>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2440" w:type="dxa"/>
            <w:vAlign w:val="bottom"/>
            <w:tcBorders>
              <w:right w:val="single" w:sz="8" w:color="FFD204"/>
            </w:tcBorders>
            <w:shd w:val="clear" w:color="auto" w:fill="FFD204"/>
          </w:tcPr>
          <w:p>
            <w:pPr>
              <w:ind w:left="80"/>
              <w:spacing w:after="0"/>
              <w:rPr>
                <w:sz w:val="20"/>
                <w:szCs w:val="20"/>
                <w:color w:val="auto"/>
              </w:rPr>
            </w:pPr>
            <w:r>
              <w:rPr>
                <w:rFonts w:ascii="Arial" w:cs="Arial" w:eastAsia="Arial" w:hAnsi="Arial"/>
                <w:sz w:val="12"/>
                <w:szCs w:val="12"/>
                <w:b w:val="1"/>
                <w:bCs w:val="1"/>
                <w:color w:val="auto"/>
              </w:rPr>
              <w:t>OTHER CONSOLIDATED DATA</w:t>
            </w:r>
          </w:p>
        </w:tc>
        <w:tc>
          <w:tcPr>
            <w:tcW w:w="520" w:type="dxa"/>
            <w:vAlign w:val="bottom"/>
            <w:shd w:val="clear" w:color="auto" w:fill="FFD204"/>
          </w:tcPr>
          <w:p>
            <w:pPr>
              <w:spacing w:after="0"/>
              <w:rPr>
                <w:sz w:val="13"/>
                <w:szCs w:val="13"/>
                <w:color w:val="auto"/>
              </w:rPr>
            </w:pPr>
          </w:p>
        </w:tc>
        <w:tc>
          <w:tcPr>
            <w:tcW w:w="780" w:type="dxa"/>
            <w:vAlign w:val="bottom"/>
            <w:shd w:val="clear" w:color="auto" w:fill="FFD204"/>
          </w:tcPr>
          <w:p>
            <w:pPr>
              <w:spacing w:after="0"/>
              <w:rPr>
                <w:sz w:val="13"/>
                <w:szCs w:val="13"/>
                <w:color w:val="auto"/>
              </w:rPr>
            </w:pPr>
          </w:p>
        </w:tc>
        <w:tc>
          <w:tcPr>
            <w:tcW w:w="660" w:type="dxa"/>
            <w:vAlign w:val="bottom"/>
            <w:shd w:val="clear" w:color="auto" w:fill="FFD204"/>
          </w:tcPr>
          <w:p>
            <w:pPr>
              <w:spacing w:after="0"/>
              <w:rPr>
                <w:sz w:val="13"/>
                <w:szCs w:val="13"/>
                <w:color w:val="auto"/>
              </w:rPr>
            </w:pPr>
          </w:p>
        </w:tc>
        <w:tc>
          <w:tcPr>
            <w:tcW w:w="740" w:type="dxa"/>
            <w:vAlign w:val="bottom"/>
            <w:shd w:val="clear" w:color="auto" w:fill="FFD204"/>
          </w:tcPr>
          <w:p>
            <w:pPr>
              <w:jc w:val="right"/>
              <w:ind w:right="7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440" w:type="dxa"/>
            <w:vAlign w:val="bottom"/>
            <w:tcBorders>
              <w:right w:val="single" w:sz="8" w:color="CECAC6"/>
            </w:tcBorders>
            <w:shd w:val="clear" w:color="auto" w:fill="CECAC6"/>
          </w:tcPr>
          <w:p>
            <w:pPr>
              <w:spacing w:after="0"/>
              <w:rPr>
                <w:sz w:val="11"/>
                <w:szCs w:val="11"/>
                <w:color w:val="auto"/>
              </w:rPr>
            </w:pPr>
          </w:p>
        </w:tc>
        <w:tc>
          <w:tcPr>
            <w:tcW w:w="5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2006</w:t>
            </w:r>
          </w:p>
        </w:tc>
        <w:tc>
          <w:tcPr>
            <w:tcW w:w="66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2005</w:t>
            </w:r>
          </w:p>
        </w:tc>
        <w:tc>
          <w:tcPr>
            <w:tcW w:w="7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2004</w:t>
            </w:r>
          </w:p>
        </w:tc>
      </w:tr>
      <w:tr>
        <w:trPr>
          <w:trHeight w:val="173"/>
        </w:trPr>
        <w:tc>
          <w:tcPr>
            <w:tcW w:w="2440" w:type="dxa"/>
            <w:vAlign w:val="bottom"/>
            <w:tcBorders>
              <w:right w:val="single" w:sz="8" w:color="E4E3E1"/>
            </w:tcBorders>
          </w:tcPr>
          <w:p>
            <w:pPr>
              <w:ind w:left="20"/>
              <w:spacing w:after="0"/>
              <w:rPr>
                <w:sz w:val="20"/>
                <w:szCs w:val="20"/>
                <w:color w:val="auto"/>
              </w:rPr>
            </w:pPr>
            <w:r>
              <w:rPr>
                <w:rFonts w:ascii="Arial" w:cs="Arial" w:eastAsia="Arial" w:hAnsi="Arial"/>
                <w:sz w:val="12"/>
                <w:szCs w:val="12"/>
                <w:color w:val="auto"/>
              </w:rPr>
              <w:t>Cash flow from operating activities</w:t>
            </w:r>
          </w:p>
        </w:tc>
        <w:tc>
          <w:tcPr>
            <w:tcW w:w="52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34,461</w:t>
            </w:r>
          </w:p>
        </w:tc>
        <w:tc>
          <w:tcPr>
            <w:tcW w:w="780" w:type="dxa"/>
            <w:vAlign w:val="bottom"/>
          </w:tcPr>
          <w:p>
            <w:pPr>
              <w:jc w:val="right"/>
              <w:ind w:right="158"/>
              <w:spacing w:after="0"/>
              <w:rPr>
                <w:sz w:val="20"/>
                <w:szCs w:val="20"/>
                <w:color w:val="auto"/>
              </w:rPr>
            </w:pPr>
            <w:r>
              <w:rPr>
                <w:rFonts w:ascii="Arial" w:cs="Arial" w:eastAsia="Arial" w:hAnsi="Arial"/>
                <w:sz w:val="12"/>
                <w:szCs w:val="12"/>
                <w:color w:val="auto"/>
              </w:rPr>
              <w:t>31,696</w:t>
            </w:r>
          </w:p>
        </w:tc>
        <w:tc>
          <w:tcPr>
            <w:tcW w:w="660" w:type="dxa"/>
            <w:vAlign w:val="bottom"/>
          </w:tcPr>
          <w:p>
            <w:pPr>
              <w:jc w:val="right"/>
              <w:ind w:right="118"/>
              <w:spacing w:after="0"/>
              <w:rPr>
                <w:sz w:val="20"/>
                <w:szCs w:val="20"/>
                <w:color w:val="auto"/>
              </w:rPr>
            </w:pPr>
            <w:r>
              <w:rPr>
                <w:rFonts w:ascii="Arial" w:cs="Arial" w:eastAsia="Arial" w:hAnsi="Arial"/>
                <w:sz w:val="12"/>
                <w:szCs w:val="12"/>
                <w:color w:val="auto"/>
              </w:rPr>
              <w:t>30,113</w:t>
            </w:r>
          </w:p>
        </w:tc>
        <w:tc>
          <w:tcPr>
            <w:tcW w:w="740" w:type="dxa"/>
            <w:vAlign w:val="bottom"/>
          </w:tcPr>
          <w:p>
            <w:pPr>
              <w:jc w:val="right"/>
              <w:ind w:right="98"/>
              <w:spacing w:after="0"/>
              <w:rPr>
                <w:sz w:val="20"/>
                <w:szCs w:val="20"/>
                <w:color w:val="auto"/>
              </w:rPr>
            </w:pPr>
            <w:r>
              <w:rPr>
                <w:rFonts w:ascii="Arial" w:cs="Arial" w:eastAsia="Arial" w:hAnsi="Arial"/>
                <w:sz w:val="12"/>
                <w:szCs w:val="12"/>
                <w:color w:val="auto"/>
              </w:rPr>
              <w:t>26,537</w:t>
            </w:r>
          </w:p>
        </w:tc>
      </w:tr>
      <w:tr>
        <w:trPr>
          <w:trHeight w:val="127"/>
        </w:trPr>
        <w:tc>
          <w:tcPr>
            <w:tcW w:w="2440" w:type="dxa"/>
            <w:vAlign w:val="bottom"/>
            <w:tcBorders>
              <w:right w:val="single" w:sz="8" w:color="E4E3E1"/>
            </w:tcBorders>
          </w:tcPr>
          <w:p>
            <w:pPr>
              <w:ind w:left="20"/>
              <w:spacing w:after="0" w:line="128" w:lineRule="exact"/>
              <w:rPr>
                <w:sz w:val="20"/>
                <w:szCs w:val="20"/>
                <w:color w:val="auto"/>
              </w:rPr>
            </w:pPr>
            <w:r>
              <w:rPr>
                <w:rFonts w:ascii="Arial" w:cs="Arial" w:eastAsia="Arial" w:hAnsi="Arial"/>
                <w:sz w:val="12"/>
                <w:szCs w:val="12"/>
                <w:color w:val="auto"/>
              </w:rPr>
              <w:t>Capital expenditure</w:t>
            </w:r>
          </w:p>
        </w:tc>
        <w:tc>
          <w:tcPr>
            <w:tcW w:w="5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24,576</w:t>
            </w:r>
          </w:p>
        </w:tc>
        <w:tc>
          <w:tcPr>
            <w:tcW w:w="7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22,922</w:t>
            </w:r>
          </w:p>
        </w:tc>
        <w:tc>
          <w:tcPr>
            <w:tcW w:w="6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15,904</w:t>
            </w:r>
          </w:p>
        </w:tc>
        <w:tc>
          <w:tcPr>
            <w:tcW w:w="74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13,566</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Cash flow used in investing activities</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14,570</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20,861</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8,761</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5,964</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Dividends paid</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9,204</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8,431</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10,849</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7,655</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Cash flow used in financing activities</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19,393</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13,741</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18,573</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13,592</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Increase/(decrease) in cash and cash</w:t>
            </w:r>
          </w:p>
        </w:tc>
        <w:tc>
          <w:tcPr>
            <w:tcW w:w="520" w:type="dxa"/>
            <w:vAlign w:val="bottom"/>
            <w:shd w:val="clear" w:color="auto" w:fill="E4E3E1"/>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9"/>
        </w:trPr>
        <w:tc>
          <w:tcPr>
            <w:tcW w:w="244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color w:val="auto"/>
              </w:rPr>
              <w:t>equivalents</w:t>
            </w:r>
          </w:p>
        </w:tc>
        <w:tc>
          <w:tcPr>
            <w:tcW w:w="5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654</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(2,728)</w:t>
            </w: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2,529</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7,094</w:t>
            </w:r>
          </w:p>
        </w:tc>
      </w:tr>
      <w:tr>
        <w:trPr>
          <w:trHeight w:val="140"/>
        </w:trPr>
        <w:tc>
          <w:tcPr>
            <w:tcW w:w="2440" w:type="dxa"/>
            <w:vAlign w:val="bottom"/>
            <w:tcBorders>
              <w:right w:val="single" w:sz="8" w:color="E4E3E1"/>
            </w:tcBorders>
          </w:tcPr>
          <w:p>
            <w:pPr>
              <w:ind w:left="20"/>
              <w:spacing w:after="0"/>
              <w:rPr>
                <w:sz w:val="20"/>
                <w:szCs w:val="20"/>
                <w:color w:val="auto"/>
              </w:rPr>
            </w:pPr>
            <w:r>
              <w:rPr>
                <w:rFonts w:ascii="Arial" w:cs="Arial" w:eastAsia="Arial" w:hAnsi="Arial"/>
                <w:sz w:val="12"/>
                <w:szCs w:val="12"/>
                <w:color w:val="auto"/>
              </w:rPr>
              <w:t>Income by segment</w:t>
            </w:r>
          </w:p>
        </w:tc>
        <w:tc>
          <w:tcPr>
            <w:tcW w:w="520" w:type="dxa"/>
            <w:vAlign w:val="bottom"/>
            <w:shd w:val="clear" w:color="auto" w:fill="E4E3E1"/>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27"/>
        </w:trPr>
        <w:tc>
          <w:tcPr>
            <w:tcW w:w="2440" w:type="dxa"/>
            <w:vAlign w:val="bottom"/>
            <w:tcBorders>
              <w:right w:val="single" w:sz="8" w:color="E4E3E1"/>
            </w:tcBorders>
          </w:tcPr>
          <w:p>
            <w:pPr>
              <w:ind w:left="20"/>
              <w:spacing w:after="0" w:line="128" w:lineRule="exact"/>
              <w:rPr>
                <w:sz w:val="20"/>
                <w:szCs w:val="20"/>
                <w:color w:val="auto"/>
              </w:rPr>
            </w:pPr>
            <w:r>
              <w:rPr>
                <w:rFonts w:ascii="Arial" w:cs="Arial" w:eastAsia="Arial" w:hAnsi="Arial"/>
                <w:sz w:val="12"/>
                <w:szCs w:val="12"/>
                <w:color w:val="auto"/>
              </w:rPr>
              <w:t>– Exploration &amp; Production</w:t>
            </w:r>
          </w:p>
        </w:tc>
        <w:tc>
          <w:tcPr>
            <w:tcW w:w="5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14,686</w:t>
            </w:r>
          </w:p>
        </w:tc>
        <w:tc>
          <w:tcPr>
            <w:tcW w:w="7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14,544</w:t>
            </w:r>
          </w:p>
        </w:tc>
        <w:tc>
          <w:tcPr>
            <w:tcW w:w="6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13,577</w:t>
            </w:r>
          </w:p>
        </w:tc>
        <w:tc>
          <w:tcPr>
            <w:tcW w:w="740" w:type="dxa"/>
            <w:vAlign w:val="bottom"/>
          </w:tcPr>
          <w:p>
            <w:pPr>
              <w:jc w:val="right"/>
              <w:ind w:right="98"/>
              <w:spacing w:after="0" w:line="128" w:lineRule="exact"/>
              <w:rPr>
                <w:sz w:val="20"/>
                <w:szCs w:val="20"/>
                <w:color w:val="auto"/>
              </w:rPr>
            </w:pPr>
            <w:r>
              <w:rPr>
                <w:rFonts w:ascii="Arial" w:cs="Arial" w:eastAsia="Arial" w:hAnsi="Arial"/>
                <w:sz w:val="12"/>
                <w:szCs w:val="12"/>
                <w:color w:val="auto"/>
              </w:rPr>
              <w:t>9,522</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 Gas &amp; Power</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2,781</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2,633</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1,378</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1,774</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 Oil Sands</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582</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651</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661</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301</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 Oil Products</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10,439</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7,125</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9,982</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7,597</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 Chemicals</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2,051</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1,064</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991</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1,148</w:t>
            </w:r>
          </w:p>
        </w:tc>
      </w:tr>
      <w:tr>
        <w:trPr>
          <w:trHeight w:val="133"/>
        </w:trPr>
        <w:tc>
          <w:tcPr>
            <w:tcW w:w="244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 Corporate</w:t>
            </w:r>
          </w:p>
        </w:tc>
        <w:tc>
          <w:tcPr>
            <w:tcW w:w="5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1,387</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294</w:t>
            </w:r>
          </w:p>
        </w:tc>
        <w:tc>
          <w:tcPr>
            <w:tcW w:w="6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(328)</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(1,085)</w:t>
            </w:r>
          </w:p>
        </w:tc>
      </w:tr>
      <w:tr>
        <w:trPr>
          <w:trHeight w:val="139"/>
        </w:trPr>
        <w:tc>
          <w:tcPr>
            <w:tcW w:w="244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color w:val="auto"/>
              </w:rPr>
              <w:t>– Minority interest</w:t>
            </w:r>
          </w:p>
        </w:tc>
        <w:tc>
          <w:tcPr>
            <w:tcW w:w="5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(595)</w:t>
            </w: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(869)</w:t>
            </w: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(950)</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(717)</w:t>
            </w:r>
          </w:p>
        </w:tc>
      </w:tr>
      <w:tr>
        <w:trPr>
          <w:trHeight w:val="180"/>
        </w:trPr>
        <w:tc>
          <w:tcPr>
            <w:tcW w:w="244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31,331</w:t>
            </w: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25,442</w:t>
            </w: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25,311</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18,540</w:t>
            </w:r>
          </w:p>
        </w:tc>
      </w:tr>
      <w:tr>
        <w:trPr>
          <w:trHeight w:val="140"/>
        </w:trPr>
        <w:tc>
          <w:tcPr>
            <w:tcW w:w="244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color w:val="auto"/>
              </w:rPr>
              <w:t>Gearing ratio</w:t>
            </w:r>
            <w:r>
              <w:rPr>
                <w:rFonts w:ascii="Arial" w:cs="Arial" w:eastAsia="Arial" w:hAnsi="Arial"/>
                <w:sz w:val="10"/>
                <w:szCs w:val="10"/>
                <w:color w:val="auto"/>
              </w:rPr>
              <w:t>[A]</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16.6%</w:t>
            </w:r>
          </w:p>
        </w:tc>
        <w:tc>
          <w:tcPr>
            <w:tcW w:w="7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14.8%</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17.5%</w:t>
            </w:r>
          </w:p>
        </w:tc>
      </w:tr>
      <w:tr>
        <w:trPr>
          <w:trHeight w:val="146"/>
        </w:trPr>
        <w:tc>
          <w:tcPr>
            <w:tcW w:w="244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color w:val="auto"/>
              </w:rPr>
              <w:t>Dividends – declared $/share</w:t>
            </w:r>
            <w:r>
              <w:rPr>
                <w:rFonts w:ascii="Arial" w:cs="Arial" w:eastAsia="Arial" w:hAnsi="Arial"/>
                <w:sz w:val="10"/>
                <w:szCs w:val="10"/>
                <w:color w:val="auto"/>
              </w:rPr>
              <w:t>[B]</w:t>
            </w:r>
          </w:p>
        </w:tc>
        <w:tc>
          <w:tcPr>
            <w:tcW w:w="5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1.44</w:t>
            </w: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1.27</w:t>
            </w: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w:t>
            </w:r>
            <w:r>
              <w:rPr>
                <w:rFonts w:ascii="Arial" w:cs="Arial" w:eastAsia="Arial" w:hAnsi="Arial"/>
                <w:sz w:val="10"/>
                <w:szCs w:val="10"/>
                <w:color w:val="auto"/>
              </w:rPr>
              <w:t>[C]</w:t>
            </w:r>
          </w:p>
        </w:tc>
      </w:tr>
    </w:tbl>
    <w:p>
      <w:pPr>
        <w:spacing w:after="0" w:line="43" w:lineRule="exact"/>
        <w:rPr>
          <w:sz w:val="20"/>
          <w:szCs w:val="20"/>
          <w:color w:val="auto"/>
        </w:rPr>
      </w:pPr>
    </w:p>
    <w:p>
      <w:pPr>
        <w:ind w:left="200" w:hanging="193"/>
        <w:spacing w:after="0"/>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See Note 19[D] to the Consolidated Financial Statements on page 138.</w:t>
      </w:r>
    </w:p>
    <w:p>
      <w:pPr>
        <w:ind w:left="200" w:hanging="193"/>
        <w:spacing w:after="0" w:line="231" w:lineRule="auto"/>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From 2007 onwards, dividends are declared in US dollars. 2005 and 2006 dividends were declared in euros and translated, for comparison purposes, to US dollars (based on the dollar dividend of American Depositary Receipts converted to ordinary shares in the applicable period).</w:t>
      </w:r>
    </w:p>
    <w:p>
      <w:pPr>
        <w:spacing w:after="0" w:line="1" w:lineRule="exact"/>
        <w:rPr>
          <w:rFonts w:ascii="Arial" w:cs="Arial" w:eastAsia="Arial" w:hAnsi="Arial"/>
          <w:sz w:val="12"/>
          <w:szCs w:val="12"/>
          <w:color w:val="auto"/>
        </w:rPr>
      </w:pPr>
    </w:p>
    <w:p>
      <w:pPr>
        <w:ind w:left="200" w:hanging="193"/>
        <w:spacing w:after="0" w:line="238" w:lineRule="auto"/>
        <w:tabs>
          <w:tab w:leader="none" w:pos="20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Comprises Royal Dutch interim dividend of €0.75 made payable in September 2004 and a second interim dividend of €1.04 made payable in March 2005 as well as a Shell Transport interim dividend of 6.25 pence and a second interim dividend of 10.7 pence that are used to calculate the equivalent dividend on a Royal Dutch Shell basis.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3280" w:type="dxa"/>
            <w:vAlign w:val="bottom"/>
            <w:shd w:val="clear" w:color="auto" w:fill="FFD204"/>
          </w:tcPr>
          <w:p>
            <w:pPr>
              <w:ind w:left="80"/>
              <w:spacing w:after="0"/>
              <w:rPr>
                <w:sz w:val="20"/>
                <w:szCs w:val="20"/>
                <w:color w:val="auto"/>
              </w:rPr>
            </w:pPr>
            <w:r>
              <w:rPr>
                <w:rFonts w:ascii="Arial" w:cs="Arial" w:eastAsia="Arial" w:hAnsi="Arial"/>
                <w:sz w:val="12"/>
                <w:szCs w:val="12"/>
                <w:b w:val="1"/>
                <w:bCs w:val="1"/>
                <w:color w:val="auto"/>
              </w:rPr>
              <w:t>CAPITALISATION TABLE</w:t>
            </w:r>
          </w:p>
        </w:tc>
        <w:tc>
          <w:tcPr>
            <w:tcW w:w="780" w:type="dxa"/>
            <w:vAlign w:val="bottom"/>
            <w:shd w:val="clear" w:color="auto" w:fill="FFD204"/>
          </w:tcPr>
          <w:p>
            <w:pPr>
              <w:spacing w:after="0"/>
              <w:rPr>
                <w:sz w:val="13"/>
                <w:szCs w:val="13"/>
                <w:color w:val="auto"/>
              </w:rPr>
            </w:pPr>
          </w:p>
        </w:tc>
        <w:tc>
          <w:tcPr>
            <w:tcW w:w="1080" w:type="dxa"/>
            <w:vAlign w:val="bottom"/>
            <w:shd w:val="clear" w:color="auto" w:fill="FFD204"/>
          </w:tcPr>
          <w:p>
            <w:pPr>
              <w:jc w:val="right"/>
              <w:ind w:right="9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3280" w:type="dxa"/>
            <w:vAlign w:val="bottom"/>
            <w:shd w:val="clear" w:color="auto" w:fill="CECAC6"/>
          </w:tcPr>
          <w:p>
            <w:pPr>
              <w:spacing w:after="0"/>
              <w:rPr>
                <w:sz w:val="11"/>
                <w:szCs w:val="11"/>
                <w:color w:val="auto"/>
              </w:rPr>
            </w:pPr>
          </w:p>
        </w:tc>
        <w:tc>
          <w:tcPr>
            <w:tcW w:w="7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Dec 31, 2007</w:t>
            </w:r>
          </w:p>
        </w:tc>
        <w:tc>
          <w:tcPr>
            <w:tcW w:w="108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Dec 31, 2006</w:t>
            </w:r>
          </w:p>
        </w:tc>
      </w:tr>
      <w:tr>
        <w:trPr>
          <w:trHeight w:val="17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equity</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123,960</w:t>
            </w: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105,726</w:t>
            </w:r>
          </w:p>
        </w:tc>
      </w:tr>
      <w:tr>
        <w:trPr>
          <w:trHeight w:val="134"/>
        </w:trPr>
        <w:tc>
          <w:tcPr>
            <w:tcW w:w="3280" w:type="dxa"/>
            <w:vAlign w:val="bottom"/>
          </w:tcPr>
          <w:p>
            <w:pPr>
              <w:ind w:left="20"/>
              <w:spacing w:after="0" w:line="134" w:lineRule="exact"/>
              <w:rPr>
                <w:sz w:val="20"/>
                <w:szCs w:val="20"/>
                <w:color w:val="auto"/>
              </w:rPr>
            </w:pPr>
            <w:r>
              <w:rPr>
                <w:rFonts w:ascii="Arial" w:cs="Arial" w:eastAsia="Arial" w:hAnsi="Arial"/>
                <w:sz w:val="12"/>
                <w:szCs w:val="12"/>
                <w:color w:val="auto"/>
              </w:rPr>
              <w:t>Short-term debt</w:t>
            </w:r>
          </w:p>
        </w:tc>
        <w:tc>
          <w:tcPr>
            <w:tcW w:w="78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5,736</w:t>
            </w:r>
          </w:p>
        </w:tc>
        <w:tc>
          <w:tcPr>
            <w:tcW w:w="1080" w:type="dxa"/>
            <w:vAlign w:val="bottom"/>
          </w:tcPr>
          <w:p>
            <w:pPr>
              <w:jc w:val="right"/>
              <w:ind w:right="98"/>
              <w:spacing w:after="0" w:line="134" w:lineRule="exact"/>
              <w:rPr>
                <w:sz w:val="20"/>
                <w:szCs w:val="20"/>
                <w:color w:val="auto"/>
              </w:rPr>
            </w:pPr>
            <w:r>
              <w:rPr>
                <w:rFonts w:ascii="Arial" w:cs="Arial" w:eastAsia="Arial" w:hAnsi="Arial"/>
                <w:sz w:val="12"/>
                <w:szCs w:val="12"/>
                <w:color w:val="auto"/>
              </w:rPr>
              <w:t>6,060</w:t>
            </w:r>
          </w:p>
        </w:tc>
      </w:tr>
      <w:tr>
        <w:trPr>
          <w:trHeight w:val="13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Long-term debt</w:t>
            </w:r>
            <w:r>
              <w:rPr>
                <w:rFonts w:ascii="Arial" w:cs="Arial" w:eastAsia="Arial" w:hAnsi="Arial"/>
                <w:sz w:val="10"/>
                <w:szCs w:val="10"/>
                <w:color w:val="auto"/>
              </w:rPr>
              <w:t>[A]</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9,659</w:t>
            </w: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7,005</w:t>
            </w:r>
          </w:p>
        </w:tc>
      </w:tr>
      <w:tr>
        <w:trPr>
          <w:trHeight w:val="140"/>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Total debt</w:t>
            </w:r>
            <w:r>
              <w:rPr>
                <w:rFonts w:ascii="Arial" w:cs="Arial" w:eastAsia="Arial" w:hAnsi="Arial"/>
                <w:sz w:val="10"/>
                <w:szCs w:val="10"/>
                <w:color w:val="auto"/>
              </w:rPr>
              <w:t>[B]</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15,395</w:t>
            </w: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13,065</w:t>
            </w:r>
          </w:p>
        </w:tc>
      </w:tr>
      <w:tr>
        <w:trPr>
          <w:trHeight w:val="146"/>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capitalisation</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139,355</w:t>
            </w:r>
          </w:p>
        </w:tc>
        <w:tc>
          <w:tcPr>
            <w:tcW w:w="10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118,791</w:t>
            </w:r>
          </w:p>
        </w:tc>
      </w:tr>
    </w:tbl>
    <w:p>
      <w:pPr>
        <w:spacing w:after="0" w:line="43" w:lineRule="exact"/>
        <w:rPr>
          <w:sz w:val="20"/>
          <w:szCs w:val="20"/>
          <w:color w:val="auto"/>
        </w:rPr>
      </w:pPr>
    </w:p>
    <w:p>
      <w:pPr>
        <w:ind w:left="200" w:hanging="194"/>
        <w:spacing w:after="0"/>
        <w:tabs>
          <w:tab w:leader="none" w:pos="200" w:val="left"/>
        </w:tabs>
        <w:numPr>
          <w:ilvl w:val="0"/>
          <w:numId w:val="5"/>
        </w:numPr>
        <w:rPr>
          <w:rFonts w:ascii="Arial" w:cs="Arial" w:eastAsia="Arial" w:hAnsi="Arial"/>
          <w:sz w:val="12"/>
          <w:szCs w:val="12"/>
          <w:color w:val="auto"/>
        </w:rPr>
      </w:pPr>
      <w:r>
        <w:rPr>
          <w:rFonts w:ascii="Arial" w:cs="Arial" w:eastAsia="Arial" w:hAnsi="Arial"/>
          <w:sz w:val="12"/>
          <w:szCs w:val="12"/>
          <w:color w:val="auto"/>
        </w:rPr>
        <w:t>Long-term debt excludes $2.7 billion of certain tolling commitments (2006: $2.7 billion).</w:t>
      </w:r>
    </w:p>
    <w:p>
      <w:pPr>
        <w:ind w:left="200" w:right="480" w:hanging="194"/>
        <w:spacing w:after="0" w:line="249" w:lineRule="auto"/>
        <w:tabs>
          <w:tab w:leader="none" w:pos="200" w:val="left"/>
        </w:tabs>
        <w:numPr>
          <w:ilvl w:val="0"/>
          <w:numId w:val="5"/>
        </w:numPr>
        <w:rPr>
          <w:rFonts w:ascii="Arial" w:cs="Arial" w:eastAsia="Arial" w:hAnsi="Arial"/>
          <w:sz w:val="12"/>
          <w:szCs w:val="12"/>
          <w:color w:val="auto"/>
        </w:rPr>
      </w:pPr>
      <w:r>
        <w:rPr>
          <w:rFonts w:ascii="Arial" w:cs="Arial" w:eastAsia="Arial" w:hAnsi="Arial"/>
          <w:sz w:val="12"/>
          <w:szCs w:val="12"/>
          <w:color w:val="auto"/>
        </w:rPr>
        <w:t>As of December 31, 2007, Shell had outstanding guarantees of $1.9 billion (2006: $2.8 billion), of which $0.6 billion (2006: $2.0 billion) related to project financing.</w:t>
      </w:r>
    </w:p>
    <w:p>
      <w:pPr>
        <w:spacing w:after="0" w:line="2791" w:lineRule="exact"/>
        <w:rPr>
          <w:sz w:val="20"/>
          <w:szCs w:val="20"/>
          <w:color w:val="auto"/>
        </w:rPr>
      </w:pPr>
    </w:p>
    <w:p>
      <w:pPr>
        <w:sectPr>
          <w:pgSz w:w="11900" w:h="16838" w:orient="portrait"/>
          <w:cols w:equalWidth="0" w:num="2">
            <w:col w:w="5140" w:space="440"/>
            <w:col w:w="5160"/>
          </w:cols>
          <w:pgMar w:left="240" w:top="415"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9420"/>
        <w:spacing w:after="0"/>
        <w:tabs>
          <w:tab w:leader="none" w:pos="106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2484755</wp:posOffset>
            </wp:positionV>
            <wp:extent cx="725297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201295</wp:posOffset>
            </wp:positionV>
            <wp:extent cx="3704590" cy="5979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04590" cy="597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00"/>
        <w:spacing w:after="0"/>
        <w:rPr>
          <w:sz w:val="20"/>
          <w:szCs w:val="20"/>
          <w:color w:val="auto"/>
        </w:rPr>
      </w:pPr>
      <w:r>
        <w:rPr>
          <w:rFonts w:ascii="Arial" w:cs="Arial" w:eastAsia="Arial" w:hAnsi="Arial"/>
          <w:sz w:val="36"/>
          <w:szCs w:val="36"/>
          <w:color w:val="auto"/>
        </w:rPr>
        <w:t>Chairman’s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-152400</wp:posOffset>
            </wp:positionV>
            <wp:extent cx="3011170" cy="5666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11170" cy="5666740"/>
                    </a:xfrm>
                    <a:prstGeom prst="rect">
                      <a:avLst/>
                    </a:prstGeom>
                    <a:noFill/>
                  </pic:spPr>
                </pic:pic>
              </a:graphicData>
            </a:graphic>
          </wp:anchor>
        </w:drawing>
      </w:r>
    </w:p>
    <w:p>
      <w:pPr>
        <w:spacing w:after="0" w:line="200" w:lineRule="exact"/>
        <w:rPr>
          <w:sz w:val="20"/>
          <w:szCs w:val="20"/>
          <w:color w:val="auto"/>
        </w:rPr>
      </w:pPr>
    </w:p>
    <w:p>
      <w:pPr>
        <w:jc w:val="both"/>
        <w:ind w:left="700" w:right="4679"/>
        <w:spacing w:after="0" w:line="228" w:lineRule="auto"/>
        <w:rPr>
          <w:sz w:val="20"/>
          <w:szCs w:val="20"/>
          <w:color w:val="auto"/>
        </w:rPr>
      </w:pPr>
      <w:r>
        <w:rPr>
          <w:rFonts w:ascii="Arial" w:cs="Arial" w:eastAsia="Arial" w:hAnsi="Arial"/>
          <w:sz w:val="14"/>
          <w:szCs w:val="14"/>
          <w:color w:val="auto"/>
        </w:rPr>
        <w:t>It has been another dynamic year for the energy industry, and it will be fascinating to see how it develops in the years to come. There has been a step-change in the world’s energy demand, along with rising concern for the environmental impact of fossil fuel use. Many wonder whether energy can be affordable, clean and secure in the coming decades.</w:t>
      </w:r>
    </w:p>
    <w:p>
      <w:pPr>
        <w:spacing w:after="0" w:line="48" w:lineRule="exact"/>
        <w:rPr>
          <w:sz w:val="20"/>
          <w:szCs w:val="20"/>
          <w:color w:val="auto"/>
        </w:rPr>
      </w:pPr>
    </w:p>
    <w:p>
      <w:pPr>
        <w:ind w:left="700" w:right="4599"/>
        <w:spacing w:after="0" w:line="265" w:lineRule="auto"/>
        <w:rPr>
          <w:sz w:val="20"/>
          <w:szCs w:val="20"/>
          <w:color w:val="auto"/>
        </w:rPr>
      </w:pPr>
      <w:r>
        <w:rPr>
          <w:rFonts w:ascii="Arial" w:cs="Arial" w:eastAsia="Arial" w:hAnsi="Arial"/>
          <w:sz w:val="12"/>
          <w:szCs w:val="12"/>
          <w:color w:val="auto"/>
        </w:rPr>
        <w:t>For Shell, three hard truths will determine our business environment. Firstly: demand growth for energy, driven by rising population and living standards. Savings through energy efficiency will help, but net demand growth will be very substantial. Secondly: access to “easy” oil or gas is getting more difficult. It is either already produced or not easily open to international oil companies. Thirdly: the increased use of fossil fuels, especially coal, means emissions of carbon dioxide (CO</w:t>
      </w:r>
      <w:r>
        <w:rPr>
          <w:rFonts w:ascii="Arial" w:cs="Arial" w:eastAsia="Arial" w:hAnsi="Arial"/>
          <w:sz w:val="10"/>
          <w:szCs w:val="10"/>
          <w:color w:val="auto"/>
        </w:rPr>
        <w:t>2</w:t>
      </w:r>
      <w:r>
        <w:rPr>
          <w:rFonts w:ascii="Arial" w:cs="Arial" w:eastAsia="Arial" w:hAnsi="Arial"/>
          <w:sz w:val="12"/>
          <w:szCs w:val="12"/>
          <w:color w:val="auto"/>
        </w:rPr>
        <w:t>) will rise, making it essential to develop solutions to tackle greenhouse gases. Energy from renewable sources will grow, but it is typically more costly than energy generated from fossil fuels.</w:t>
      </w:r>
    </w:p>
    <w:p>
      <w:pPr>
        <w:spacing w:after="0" w:line="20" w:lineRule="exact"/>
        <w:rPr>
          <w:sz w:val="20"/>
          <w:szCs w:val="20"/>
          <w:color w:val="auto"/>
        </w:rPr>
      </w:pPr>
    </w:p>
    <w:p>
      <w:pPr>
        <w:ind w:left="700" w:right="4519"/>
        <w:spacing w:after="0" w:line="245" w:lineRule="auto"/>
        <w:rPr>
          <w:sz w:val="20"/>
          <w:szCs w:val="20"/>
          <w:color w:val="auto"/>
        </w:rPr>
      </w:pPr>
      <w:r>
        <w:rPr>
          <w:rFonts w:ascii="Arial" w:cs="Arial" w:eastAsia="Arial" w:hAnsi="Arial"/>
          <w:sz w:val="13"/>
          <w:szCs w:val="13"/>
          <w:color w:val="auto"/>
        </w:rPr>
        <w:t>In this business environment Shell has a strong strategy based on technology, project management and applying our experience in how to operate with excellence in a responsible way. This enables us to increase our focus on unconventionals, which offer large potential resources but often in environmentally sensitive places. We also continue to focus on downstream refining, base chemicals, clean coal technology and developing at least one substantial business in renewable energy.</w:t>
      </w:r>
    </w:p>
    <w:p>
      <w:pPr>
        <w:spacing w:after="0" w:line="30" w:lineRule="exact"/>
        <w:rPr>
          <w:sz w:val="20"/>
          <w:szCs w:val="20"/>
          <w:color w:val="auto"/>
        </w:rPr>
      </w:pPr>
    </w:p>
    <w:p>
      <w:pPr>
        <w:jc w:val="both"/>
        <w:ind w:left="700" w:right="4599"/>
        <w:spacing w:after="0" w:line="251" w:lineRule="auto"/>
        <w:rPr>
          <w:sz w:val="20"/>
          <w:szCs w:val="20"/>
          <w:color w:val="auto"/>
        </w:rPr>
      </w:pPr>
      <w:r>
        <w:rPr>
          <w:rFonts w:ascii="Arial" w:cs="Arial" w:eastAsia="Arial" w:hAnsi="Arial"/>
          <w:sz w:val="13"/>
          <w:szCs w:val="13"/>
          <w:color w:val="auto"/>
        </w:rPr>
        <w:t>Shell has a clear long-term strategy, an ability to use technology and innovation to find and produce oil and gas – sometimes in highly challenging environments – and to turn them into products that are essential to our everyday lives. Technology and good work practice, quite simply, are part of the DNA of Shell people.</w:t>
      </w:r>
    </w:p>
    <w:p>
      <w:pPr>
        <w:spacing w:after="0" w:line="41" w:lineRule="exact"/>
        <w:rPr>
          <w:sz w:val="20"/>
          <w:szCs w:val="20"/>
          <w:color w:val="auto"/>
        </w:rPr>
      </w:pPr>
    </w:p>
    <w:p>
      <w:pPr>
        <w:ind w:left="700" w:right="4519"/>
        <w:spacing w:after="0" w:line="235" w:lineRule="auto"/>
        <w:rPr>
          <w:sz w:val="20"/>
          <w:szCs w:val="20"/>
          <w:color w:val="auto"/>
        </w:rPr>
      </w:pPr>
      <w:r>
        <w:rPr>
          <w:rFonts w:ascii="Arial" w:cs="Arial" w:eastAsia="Arial" w:hAnsi="Arial"/>
          <w:sz w:val="14"/>
          <w:szCs w:val="14"/>
          <w:color w:val="auto"/>
        </w:rPr>
        <w:t>As Chairman of Royal Dutch Shell plc, I have visited a number of our major projects and operations and seen how we apply our strategy, technology and imagination to meet the challenges I have described.</w:t>
      </w:r>
    </w:p>
    <w:p>
      <w:pPr>
        <w:spacing w:after="0" w:line="33" w:lineRule="exact"/>
        <w:rPr>
          <w:sz w:val="20"/>
          <w:szCs w:val="20"/>
          <w:color w:val="auto"/>
        </w:rPr>
      </w:pPr>
    </w:p>
    <w:p>
      <w:pPr>
        <w:ind w:left="700" w:right="4719"/>
        <w:spacing w:after="0" w:line="226" w:lineRule="auto"/>
        <w:rPr>
          <w:sz w:val="20"/>
          <w:szCs w:val="20"/>
          <w:color w:val="auto"/>
        </w:rPr>
      </w:pPr>
      <w:r>
        <w:rPr>
          <w:rFonts w:ascii="Arial" w:cs="Arial" w:eastAsia="Arial" w:hAnsi="Arial"/>
          <w:sz w:val="14"/>
          <w:szCs w:val="14"/>
          <w:color w:val="auto"/>
        </w:rPr>
        <w:t>For example, our efforts to get the most from the world’s abundant natural gas resources were clear when I visited a North Sea gas production platform, 200 kilometres offshore Aberdeen. Onshore, I met teams from the vast Ormen Lange gas field in Norway and the Corrib gas field project in Ireland. I also saw our real time operations centre at work – one of the advanced ways we keep up round-the-clock monitoring of our global oil and gas production.</w:t>
      </w:r>
    </w:p>
    <w:p>
      <w:pPr>
        <w:spacing w:after="0" w:line="36" w:lineRule="exact"/>
        <w:rPr>
          <w:sz w:val="20"/>
          <w:szCs w:val="20"/>
          <w:color w:val="auto"/>
        </w:rPr>
      </w:pPr>
    </w:p>
    <w:p>
      <w:pPr>
        <w:ind w:left="700" w:right="4559"/>
        <w:spacing w:after="0" w:line="245" w:lineRule="auto"/>
        <w:rPr>
          <w:sz w:val="20"/>
          <w:szCs w:val="20"/>
          <w:color w:val="auto"/>
        </w:rPr>
      </w:pPr>
      <w:r>
        <w:rPr>
          <w:rFonts w:ascii="Arial" w:cs="Arial" w:eastAsia="Arial" w:hAnsi="Arial"/>
          <w:sz w:val="13"/>
          <w:szCs w:val="13"/>
          <w:color w:val="auto"/>
        </w:rPr>
        <w:t>At Sakhalin, I was amazed at the complexity of the world’s largest integrated oil and gas project in one of the harshest environments we face. I visited the Athabasca Oil Sands Project in Canada – now part of our downstream operations and important to our plans to increase production from unconventional sources – and saw the mine expansion under construction. And in Qatar, I was impressed by the scale of the Pearl GTL construction site, which will eventually employ 40,000 workers.</w:t>
      </w:r>
    </w:p>
    <w:p>
      <w:pPr>
        <w:spacing w:after="0" w:line="43" w:lineRule="exact"/>
        <w:rPr>
          <w:sz w:val="20"/>
          <w:szCs w:val="20"/>
          <w:color w:val="auto"/>
        </w:rPr>
      </w:pPr>
    </w:p>
    <w:p>
      <w:pPr>
        <w:ind w:left="700" w:right="4519"/>
        <w:spacing w:after="0" w:line="245" w:lineRule="auto"/>
        <w:rPr>
          <w:sz w:val="20"/>
          <w:szCs w:val="20"/>
          <w:color w:val="auto"/>
        </w:rPr>
      </w:pPr>
      <w:r>
        <w:rPr>
          <w:rFonts w:ascii="Arial" w:cs="Arial" w:eastAsia="Arial" w:hAnsi="Arial"/>
          <w:sz w:val="13"/>
          <w:szCs w:val="13"/>
          <w:color w:val="auto"/>
        </w:rPr>
        <w:t>On another front, the year has seen record high oil prices and volatility. Our spending on key projects has continued to rise. Our shareholders, of course, want to see good returns on our major investments, such as Pearl GTL and Sakhalin II. They expect Shell to be a first-quartile performer in all areas. And they want to see growth in our company, especially in the upstream. I feel we have a capital investment programme and the people to make good progress towards meeting these expectations.</w:t>
      </w:r>
    </w:p>
    <w:p>
      <w:pPr>
        <w:spacing w:after="0" w:line="30" w:lineRule="exact"/>
        <w:rPr>
          <w:sz w:val="20"/>
          <w:szCs w:val="20"/>
          <w:color w:val="auto"/>
        </w:rPr>
      </w:pPr>
    </w:p>
    <w:p>
      <w:pPr>
        <w:ind w:left="700" w:right="4539"/>
        <w:spacing w:after="0" w:line="231" w:lineRule="auto"/>
        <w:rPr>
          <w:sz w:val="20"/>
          <w:szCs w:val="20"/>
          <w:color w:val="auto"/>
        </w:rPr>
      </w:pPr>
      <w:r>
        <w:rPr>
          <w:rFonts w:ascii="Arial" w:cs="Arial" w:eastAsia="Arial" w:hAnsi="Arial"/>
          <w:sz w:val="14"/>
          <w:szCs w:val="14"/>
          <w:color w:val="auto"/>
        </w:rPr>
        <w:t>By continuing to follow our strategy, I believe we can keep delivering what our shareholders want – in 2007, for example, our dividend to shareholders increased 13% on 2006. Equally importantly, we can continue to deliver energy to help the world grow and prosper.</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Jorma Ollila</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Chairman</w:t>
      </w:r>
    </w:p>
    <w:p>
      <w:pPr>
        <w:spacing w:after="0" w:line="45" w:lineRule="exact"/>
        <w:rPr>
          <w:sz w:val="20"/>
          <w:szCs w:val="20"/>
          <w:color w:val="auto"/>
        </w:rPr>
      </w:pPr>
    </w:p>
    <w:p>
      <w:pPr>
        <w:ind w:left="920" w:hanging="224"/>
        <w:spacing w:after="0"/>
        <w:tabs>
          <w:tab w:leader="none" w:pos="920" w:val="left"/>
        </w:tabs>
        <w:numPr>
          <w:ilvl w:val="0"/>
          <w:numId w:val="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477520</wp:posOffset>
            </wp:positionV>
            <wp:extent cx="725297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201295</wp:posOffset>
            </wp:positionV>
            <wp:extent cx="4601210" cy="7028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01210" cy="7028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60"/>
        <w:spacing w:after="0"/>
        <w:rPr>
          <w:sz w:val="20"/>
          <w:szCs w:val="20"/>
          <w:color w:val="auto"/>
        </w:rPr>
      </w:pPr>
      <w:r>
        <w:rPr>
          <w:rFonts w:ascii="Arial" w:cs="Arial" w:eastAsia="Arial" w:hAnsi="Arial"/>
          <w:sz w:val="36"/>
          <w:szCs w:val="36"/>
          <w:color w:val="auto"/>
        </w:rPr>
        <w:t>Chief Executive’s review</w:t>
      </w:r>
    </w:p>
    <w:p>
      <w:pPr>
        <w:spacing w:after="0" w:line="327" w:lineRule="exact"/>
        <w:rPr>
          <w:sz w:val="20"/>
          <w:szCs w:val="20"/>
          <w:color w:val="auto"/>
        </w:rPr>
      </w:pPr>
    </w:p>
    <w:p>
      <w:pPr>
        <w:ind w:left="4260" w:right="120"/>
        <w:spacing w:after="0" w:line="251" w:lineRule="auto"/>
        <w:rPr>
          <w:sz w:val="20"/>
          <w:szCs w:val="20"/>
          <w:color w:val="auto"/>
        </w:rPr>
      </w:pPr>
      <w:r>
        <w:rPr>
          <w:rFonts w:ascii="Arial" w:cs="Arial" w:eastAsia="Arial" w:hAnsi="Arial"/>
          <w:sz w:val="13"/>
          <w:szCs w:val="13"/>
          <w:color w:val="auto"/>
        </w:rPr>
        <w:t>Fittingly for our centenary year, Shell made important strides forward on many fronts in 2007. Our strong focus on delivery and growth again paid off. Our financial performance was satisfactory, with record income of $31.9 billion and the return of $13.4 billion to shareholders. Our reputation generally improved and I would like to express my appreciation to all Shell staff for achieving this.</w:t>
      </w:r>
    </w:p>
    <w:p>
      <w:pPr>
        <w:spacing w:after="0" w:line="14" w:lineRule="exact"/>
        <w:rPr>
          <w:sz w:val="20"/>
          <w:szCs w:val="20"/>
          <w:color w:val="auto"/>
        </w:rPr>
      </w:pPr>
    </w:p>
    <w:p>
      <w:pPr>
        <w:ind w:left="4260" w:right="20"/>
        <w:spacing w:after="0" w:line="226" w:lineRule="auto"/>
        <w:rPr>
          <w:sz w:val="20"/>
          <w:szCs w:val="20"/>
          <w:color w:val="auto"/>
        </w:rPr>
      </w:pPr>
      <w:r>
        <w:rPr>
          <w:rFonts w:ascii="Arial" w:cs="Arial" w:eastAsia="Arial" w:hAnsi="Arial"/>
          <w:sz w:val="14"/>
          <w:szCs w:val="14"/>
          <w:color w:val="auto"/>
        </w:rPr>
        <w:t>Safety, however, is the starting point for everything we do. In 2007, we had the fewest number of recordable incidents ever. We continue to strive for continuous improvement in this area. We suffered fewer fatalities among employees and contractors than the year before, but our aim is to achieve zero fatalities. Our improvements to our safety culture during the year – including two global safety days and a major drive to further improve process safety – should help us towards that goal. But constant effort and awareness are needed too.</w:t>
      </w:r>
    </w:p>
    <w:p>
      <w:pPr>
        <w:spacing w:after="0" w:line="23" w:lineRule="exact"/>
        <w:rPr>
          <w:sz w:val="20"/>
          <w:szCs w:val="20"/>
          <w:color w:val="auto"/>
        </w:rPr>
      </w:pPr>
    </w:p>
    <w:p>
      <w:pPr>
        <w:ind w:left="4260" w:right="200"/>
        <w:spacing w:after="0" w:line="277" w:lineRule="auto"/>
        <w:rPr>
          <w:sz w:val="20"/>
          <w:szCs w:val="20"/>
          <w:color w:val="auto"/>
        </w:rPr>
      </w:pPr>
      <w:r>
        <w:rPr>
          <w:rFonts w:ascii="Arial" w:cs="Arial" w:eastAsia="Arial" w:hAnsi="Arial"/>
          <w:sz w:val="12"/>
          <w:szCs w:val="12"/>
          <w:color w:val="auto"/>
        </w:rPr>
        <w:t>Our strategy of More Upstream, Profitable Downstream is on track. We pushed ahead with major, integrated long-life projects that once in operation will generate cash for decades to come. Of course, we take into account sustainability, including biodiversity and respect for local communities, when constructing and operating all our assets. During the year we also sold assets that did not fit our strategy.</w:t>
      </w:r>
    </w:p>
    <w:p>
      <w:pPr>
        <w:spacing w:after="0" w:line="2" w:lineRule="exact"/>
        <w:rPr>
          <w:sz w:val="20"/>
          <w:szCs w:val="20"/>
          <w:color w:val="auto"/>
        </w:rPr>
      </w:pPr>
    </w:p>
    <w:p>
      <w:pPr>
        <w:ind w:left="4260" w:right="240"/>
        <w:spacing w:after="0" w:line="231" w:lineRule="auto"/>
        <w:rPr>
          <w:sz w:val="20"/>
          <w:szCs w:val="20"/>
          <w:color w:val="auto"/>
        </w:rPr>
      </w:pPr>
      <w:r>
        <w:rPr>
          <w:rFonts w:ascii="Arial" w:cs="Arial" w:eastAsia="Arial" w:hAnsi="Arial"/>
          <w:sz w:val="14"/>
          <w:szCs w:val="14"/>
          <w:color w:val="auto"/>
        </w:rPr>
        <w:t>We welcomed Shell Canada fully into our family with the acquisition of its minority shares. As easy-to-access oil gets rarer, unconventional resources such as Canada’s oil sands will become increasingly important sources of energy. The move will help the Oil Sands business to better integrate bitumen upgrading with our manufacturing operations across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-381000</wp:posOffset>
            </wp:positionV>
            <wp:extent cx="2030095" cy="49396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30095" cy="4939665"/>
                    </a:xfrm>
                    <a:prstGeom prst="rect">
                      <a:avLst/>
                    </a:prstGeom>
                    <a:noFill/>
                  </pic:spPr>
                </pic:pic>
              </a:graphicData>
            </a:graphic>
          </wp:anchor>
        </w:drawing>
      </w:r>
    </w:p>
    <w:p>
      <w:pPr>
        <w:ind w:left="4260" w:right="20"/>
        <w:spacing w:after="0" w:line="231" w:lineRule="auto"/>
        <w:rPr>
          <w:sz w:val="20"/>
          <w:szCs w:val="20"/>
          <w:color w:val="auto"/>
        </w:rPr>
      </w:pPr>
      <w:r>
        <w:rPr>
          <w:rFonts w:ascii="Arial" w:cs="Arial" w:eastAsia="Arial" w:hAnsi="Arial"/>
          <w:sz w:val="14"/>
          <w:szCs w:val="14"/>
          <w:color w:val="auto"/>
        </w:rPr>
        <w:t>In Nigeria, bright spots were the performance of our offshore operations and the completion of a sixth liquefied natural gas (LNG) train. In the Delta region onshore, however, much of our production again remained shut in because of the security situation. Faced with security and funding problems in our onshore joint venture company, we may have to streamline this operation.</w:t>
      </w:r>
    </w:p>
    <w:p>
      <w:pPr>
        <w:spacing w:after="0" w:line="20" w:lineRule="exact"/>
        <w:rPr>
          <w:sz w:val="20"/>
          <w:szCs w:val="20"/>
          <w:color w:val="auto"/>
        </w:rPr>
      </w:pPr>
    </w:p>
    <w:p>
      <w:pPr>
        <w:ind w:left="4260" w:right="400"/>
        <w:spacing w:after="0" w:line="247" w:lineRule="auto"/>
        <w:rPr>
          <w:sz w:val="20"/>
          <w:szCs w:val="20"/>
          <w:color w:val="auto"/>
        </w:rPr>
      </w:pPr>
      <w:r>
        <w:rPr>
          <w:rFonts w:ascii="Arial" w:cs="Arial" w:eastAsia="Arial" w:hAnsi="Arial"/>
          <w:sz w:val="14"/>
          <w:szCs w:val="14"/>
          <w:color w:val="auto"/>
        </w:rPr>
        <w:t>The Sakhalin II venture progressed well and is on course to be a successful mega-project, as we have always believed it would be.</w:t>
      </w:r>
    </w:p>
    <w:p>
      <w:pPr>
        <w:spacing w:after="0" w:line="15" w:lineRule="exact"/>
        <w:rPr>
          <w:sz w:val="20"/>
          <w:szCs w:val="20"/>
          <w:color w:val="auto"/>
        </w:rPr>
      </w:pPr>
    </w:p>
    <w:p>
      <w:pPr>
        <w:ind w:left="4260" w:right="220"/>
        <w:spacing w:after="0" w:line="235" w:lineRule="auto"/>
        <w:rPr>
          <w:sz w:val="20"/>
          <w:szCs w:val="20"/>
          <w:color w:val="auto"/>
        </w:rPr>
      </w:pPr>
      <w:r>
        <w:rPr>
          <w:rFonts w:ascii="Arial" w:cs="Arial" w:eastAsia="Arial" w:hAnsi="Arial"/>
          <w:sz w:val="14"/>
          <w:szCs w:val="14"/>
          <w:color w:val="auto"/>
        </w:rPr>
        <w:t>Our Exploration &amp; Production earnings were slightly up on the year before at $14.7 billion. We made 11 notable discoveries of potential resources and secured rights to more than 43,000 square kilometres of acreage, an area around the size of the Netherlands.</w:t>
      </w:r>
    </w:p>
    <w:p>
      <w:pPr>
        <w:spacing w:after="0" w:line="20" w:lineRule="exact"/>
        <w:rPr>
          <w:sz w:val="20"/>
          <w:szCs w:val="20"/>
          <w:color w:val="auto"/>
        </w:rPr>
      </w:pPr>
    </w:p>
    <w:p>
      <w:pPr>
        <w:ind w:left="4260" w:right="180"/>
        <w:spacing w:after="0" w:line="251" w:lineRule="auto"/>
        <w:rPr>
          <w:sz w:val="20"/>
          <w:szCs w:val="20"/>
          <w:color w:val="auto"/>
        </w:rPr>
      </w:pPr>
      <w:r>
        <w:rPr>
          <w:rFonts w:ascii="Arial" w:cs="Arial" w:eastAsia="Arial" w:hAnsi="Arial"/>
          <w:sz w:val="13"/>
          <w:szCs w:val="13"/>
          <w:color w:val="auto"/>
        </w:rPr>
        <w:t>Our Gas &amp; Power earnings were $2.8 billion, up 6% on the previous year. Sales of LNG were up 9% at 13.18 million tonnes. In Qatar, construction of our major integrated projects, Pearl GTL and Qatargas 4 LNG, made good progress. We are also well under way with new LNG projects in Australia. In the USA, we decided to proceed with the 100 MW phase II expansion of the Mount Storm wind project.</w:t>
      </w:r>
    </w:p>
    <w:p>
      <w:pPr>
        <w:spacing w:after="0" w:line="14" w:lineRule="exact"/>
        <w:rPr>
          <w:sz w:val="20"/>
          <w:szCs w:val="20"/>
          <w:color w:val="auto"/>
        </w:rPr>
      </w:pPr>
    </w:p>
    <w:p>
      <w:pPr>
        <w:ind w:left="4260" w:right="100"/>
        <w:spacing w:after="0" w:line="228" w:lineRule="auto"/>
        <w:rPr>
          <w:sz w:val="20"/>
          <w:szCs w:val="20"/>
          <w:color w:val="auto"/>
        </w:rPr>
      </w:pPr>
      <w:r>
        <w:rPr>
          <w:rFonts w:ascii="Arial" w:cs="Arial" w:eastAsia="Arial" w:hAnsi="Arial"/>
          <w:sz w:val="14"/>
          <w:szCs w:val="14"/>
          <w:color w:val="auto"/>
        </w:rPr>
        <w:t>Our downstream business is hugely important to us, with two out of three Shell people working in our many refineries, chemical plants, supply and distribution, retail operations and, of course, Oil Sands. They performed well in 2007, with total earnings for Oil Sands, Oil Products and Chemicals of $13.1 billion, considerably up on 2006. Trading and Shipping continued to provide significant support to our key businesses.</w:t>
      </w:r>
    </w:p>
    <w:p>
      <w:pPr>
        <w:spacing w:after="0" w:line="21" w:lineRule="exact"/>
        <w:rPr>
          <w:sz w:val="20"/>
          <w:szCs w:val="20"/>
          <w:color w:val="auto"/>
        </w:rPr>
      </w:pPr>
    </w:p>
    <w:p>
      <w:pPr>
        <w:ind w:left="4260" w:right="100"/>
        <w:spacing w:after="0" w:line="235" w:lineRule="auto"/>
        <w:rPr>
          <w:sz w:val="20"/>
          <w:szCs w:val="20"/>
          <w:color w:val="auto"/>
        </w:rPr>
      </w:pPr>
      <w:r>
        <w:rPr>
          <w:rFonts w:ascii="Arial" w:cs="Arial" w:eastAsia="Arial" w:hAnsi="Arial"/>
          <w:sz w:val="14"/>
          <w:szCs w:val="14"/>
          <w:color w:val="auto"/>
        </w:rPr>
        <w:t>We continued to invest in major downstream projects such as the 325,000 barrels per day expansion of the Motiva Port Arthur refinery. In China, our Nanhai petrochemical complex enjoyed a successful first full year of operations.</w:t>
      </w:r>
    </w:p>
    <w:p>
      <w:pPr>
        <w:spacing w:after="0" w:line="20" w:lineRule="exact"/>
        <w:rPr>
          <w:sz w:val="20"/>
          <w:szCs w:val="20"/>
          <w:color w:val="auto"/>
        </w:rPr>
      </w:pPr>
    </w:p>
    <w:p>
      <w:pPr>
        <w:ind w:left="4260" w:right="140"/>
        <w:spacing w:after="0" w:line="285" w:lineRule="auto"/>
        <w:rPr>
          <w:sz w:val="20"/>
          <w:szCs w:val="20"/>
          <w:color w:val="auto"/>
        </w:rPr>
      </w:pPr>
      <w:r>
        <w:rPr>
          <w:rFonts w:ascii="Arial" w:cs="Arial" w:eastAsia="Arial" w:hAnsi="Arial"/>
          <w:sz w:val="12"/>
          <w:szCs w:val="12"/>
          <w:color w:val="auto"/>
        </w:rPr>
        <w:t>Two new partnerships in next-generation biofuels added an exciting momentum to our work in this area. One is to work on developing super-fast enzymes that can speed up the conversion of organic non-food material into ethanol; the other to work on developing algae as a source of vegetable oil for transport fuel.</w:t>
      </w:r>
    </w:p>
    <w:p>
      <w:pPr>
        <w:spacing w:after="0" w:line="1" w:lineRule="exact"/>
        <w:rPr>
          <w:sz w:val="20"/>
          <w:szCs w:val="20"/>
          <w:color w:val="auto"/>
        </w:rPr>
      </w:pPr>
    </w:p>
    <w:p>
      <w:pPr>
        <w:ind w:left="4260" w:right="120"/>
        <w:spacing w:after="0" w:line="225" w:lineRule="auto"/>
        <w:rPr>
          <w:sz w:val="20"/>
          <w:szCs w:val="20"/>
          <w:color w:val="auto"/>
        </w:rPr>
      </w:pPr>
      <w:r>
        <w:rPr>
          <w:rFonts w:ascii="Arial" w:cs="Arial" w:eastAsia="Arial" w:hAnsi="Arial"/>
          <w:sz w:val="14"/>
          <w:szCs w:val="14"/>
          <w:color w:val="auto"/>
        </w:rPr>
        <w:t>Operational excellence, technology and good project management remain central to our efforts to produce more energy from conventional oil and gas and unconventional sources such as oil sands. We must also work to further improve energy efficiency in all our operations, upstream and downstream. Our differentiated fuels, such as V-Power, will continue to help us lead in the products we offer our retail customers. We aim to develop our ability to capture and safely store carbon dioxide underground, and we are working with governments to establish the incentives and policies needed to make this technology viable.</w:t>
      </w:r>
    </w:p>
    <w:p>
      <w:pPr>
        <w:spacing w:after="0" w:line="22" w:lineRule="exact"/>
        <w:rPr>
          <w:sz w:val="20"/>
          <w:szCs w:val="20"/>
          <w:color w:val="auto"/>
        </w:rPr>
      </w:pPr>
    </w:p>
    <w:p>
      <w:pPr>
        <w:ind w:left="4260" w:right="160"/>
        <w:spacing w:after="0" w:line="231" w:lineRule="auto"/>
        <w:rPr>
          <w:sz w:val="20"/>
          <w:szCs w:val="20"/>
          <w:color w:val="auto"/>
        </w:rPr>
      </w:pPr>
      <w:r>
        <w:rPr>
          <w:rFonts w:ascii="Arial" w:cs="Arial" w:eastAsia="Arial" w:hAnsi="Arial"/>
          <w:sz w:val="14"/>
          <w:szCs w:val="14"/>
          <w:color w:val="auto"/>
        </w:rPr>
        <w:t>Our performance in 2007 leaves us in good health and shows our ability to deliver results to our shareholders and partners. We have recruited many new people as an investment for our future, knowing that some of our experienced people will be retiring in the coming years. I would like to thank our people for their hard work and dedication. I am proud of their contribution.</w:t>
      </w:r>
    </w:p>
    <w:p>
      <w:pPr>
        <w:spacing w:after="0" w:line="20" w:lineRule="exact"/>
        <w:rPr>
          <w:sz w:val="20"/>
          <w:szCs w:val="20"/>
          <w:color w:val="auto"/>
        </w:rPr>
      </w:pPr>
    </w:p>
    <w:p>
      <w:pPr>
        <w:jc w:val="both"/>
        <w:ind w:left="4260" w:right="240"/>
        <w:spacing w:after="0" w:line="235" w:lineRule="auto"/>
        <w:rPr>
          <w:sz w:val="20"/>
          <w:szCs w:val="20"/>
          <w:color w:val="auto"/>
        </w:rPr>
      </w:pPr>
      <w:r>
        <w:rPr>
          <w:rFonts w:ascii="Arial" w:cs="Arial" w:eastAsia="Arial" w:hAnsi="Arial"/>
          <w:sz w:val="14"/>
          <w:szCs w:val="14"/>
          <w:color w:val="auto"/>
        </w:rPr>
        <w:t>To meet the challenges we see in our business environment, I believe we have good people and assets, a healthy financial position and a clear strategy. Delivery is on track. My wish is that 2008 is again one of further delivery and growth, achieved in a responsible way.</w:t>
      </w:r>
    </w:p>
    <w:p>
      <w:pPr>
        <w:spacing w:after="0" w:line="176" w:lineRule="exact"/>
        <w:rPr>
          <w:sz w:val="20"/>
          <w:szCs w:val="20"/>
          <w:color w:val="auto"/>
        </w:rPr>
      </w:pPr>
    </w:p>
    <w:p>
      <w:pPr>
        <w:ind w:left="4260"/>
        <w:spacing w:after="0"/>
        <w:rPr>
          <w:sz w:val="20"/>
          <w:szCs w:val="20"/>
          <w:color w:val="auto"/>
        </w:rPr>
      </w:pPr>
      <w:r>
        <w:rPr>
          <w:rFonts w:ascii="Arial" w:cs="Arial" w:eastAsia="Arial" w:hAnsi="Arial"/>
          <w:sz w:val="14"/>
          <w:szCs w:val="14"/>
          <w:b w:val="1"/>
          <w:bCs w:val="1"/>
          <w:color w:val="auto"/>
        </w:rPr>
        <w:t>Jeroen van der Veer</w:t>
      </w:r>
    </w:p>
    <w:p>
      <w:pPr>
        <w:spacing w:after="0" w:line="2" w:lineRule="exact"/>
        <w:rPr>
          <w:sz w:val="20"/>
          <w:szCs w:val="20"/>
          <w:color w:val="auto"/>
        </w:rPr>
      </w:pPr>
    </w:p>
    <w:p>
      <w:pPr>
        <w:ind w:left="4260"/>
        <w:spacing w:after="0"/>
        <w:rPr>
          <w:sz w:val="20"/>
          <w:szCs w:val="20"/>
          <w:color w:val="auto"/>
        </w:rPr>
      </w:pPr>
      <w:r>
        <w:rPr>
          <w:rFonts w:ascii="Arial" w:cs="Arial" w:eastAsia="Arial" w:hAnsi="Arial"/>
          <w:sz w:val="14"/>
          <w:szCs w:val="14"/>
          <w:color w:val="auto"/>
        </w:rPr>
        <w:t>Chief Executive</w:t>
      </w:r>
    </w:p>
    <w:p>
      <w:pPr>
        <w:spacing w:after="0" w:line="294"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480060</wp:posOffset>
            </wp:positionV>
            <wp:extent cx="725297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12" w:name="page13"/>
    <w:bookmarkEnd w:id="1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252970" cy="9229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2970" cy="922972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226695</wp:posOffset>
            </wp:positionV>
            <wp:extent cx="6343650" cy="8153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815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2060" w:type="dxa"/>
        <w:tblCellMar>
          <w:top w:w="0" w:type="dxa"/>
          <w:left w:w="0" w:type="dxa"/>
          <w:bottom w:w="0" w:type="dxa"/>
          <w:right w:w="0" w:type="dxa"/>
        </w:tblCellMar>
      </w:tblPr>
      <w:tr>
        <w:trPr>
          <w:trHeight w:val="191"/>
        </w:trPr>
        <w:tc>
          <w:tcPr>
            <w:tcW w:w="1900" w:type="dxa"/>
            <w:vAlign w:val="bottom"/>
          </w:tcPr>
          <w:p>
            <w:pPr>
              <w:spacing w:after="0"/>
              <w:rPr>
                <w:sz w:val="20"/>
                <w:szCs w:val="20"/>
                <w:color w:val="auto"/>
              </w:rPr>
            </w:pPr>
            <w:r>
              <w:rPr>
                <w:rFonts w:ascii="Arial" w:cs="Arial" w:eastAsia="Arial" w:hAnsi="Arial"/>
                <w:sz w:val="16"/>
                <w:szCs w:val="16"/>
                <w:b w:val="1"/>
                <w:bCs w:val="1"/>
                <w:color w:val="auto"/>
              </w:rPr>
              <w:t>OPERATING AND</w:t>
            </w: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15">
              <w:r>
                <w:rPr>
                  <w:rFonts w:ascii="Arial" w:cs="Arial" w:eastAsia="Arial" w:hAnsi="Arial"/>
                  <w:sz w:val="13"/>
                  <w:szCs w:val="13"/>
                  <w:b w:val="1"/>
                  <w:bCs w:val="1"/>
                  <w:color w:val="0000EE"/>
                  <w:w w:val="96"/>
                </w:rPr>
                <w:t>10</w:t>
              </w:r>
            </w:hyperlink>
          </w:p>
        </w:tc>
        <w:tc>
          <w:tcPr>
            <w:tcW w:w="220" w:type="dxa"/>
            <w:vAlign w:val="bottom"/>
          </w:tcPr>
          <w:p>
            <w:pPr>
              <w:spacing w:after="0"/>
              <w:rPr>
                <w:sz w:val="16"/>
                <w:szCs w:val="16"/>
                <w:color w:val="auto"/>
              </w:rPr>
            </w:pPr>
          </w:p>
        </w:tc>
        <w:tc>
          <w:tcPr>
            <w:tcW w:w="1800" w:type="dxa"/>
            <w:vAlign w:val="bottom"/>
            <w:tcBorders>
              <w:bottom w:val="single" w:sz="8" w:color="0000EE"/>
            </w:tcBorders>
            <w:gridSpan w:val="9"/>
          </w:tcPr>
          <w:p>
            <w:pPr>
              <w:spacing w:after="0"/>
              <w:rPr>
                <w:rFonts w:ascii="Arial" w:cs="Arial" w:eastAsia="Arial" w:hAnsi="Arial"/>
                <w:sz w:val="13"/>
                <w:szCs w:val="13"/>
                <w:color w:val="0000EE"/>
              </w:rPr>
            </w:pPr>
            <w:hyperlink w:anchor="page15">
              <w:r>
                <w:rPr>
                  <w:rFonts w:ascii="Arial" w:cs="Arial" w:eastAsia="Arial" w:hAnsi="Arial"/>
                  <w:sz w:val="13"/>
                  <w:szCs w:val="13"/>
                  <w:color w:val="0000EE"/>
                </w:rPr>
                <w:t>Business and market overview</w:t>
              </w:r>
            </w:hyperlink>
          </w:p>
        </w:tc>
        <w:tc>
          <w:tcPr>
            <w:tcW w:w="240" w:type="dxa"/>
            <w:vAlign w:val="bottom"/>
          </w:tcPr>
          <w:p>
            <w:pPr>
              <w:spacing w:after="0"/>
              <w:rPr>
                <w:sz w:val="16"/>
                <w:szCs w:val="16"/>
                <w:color w:val="auto"/>
              </w:rPr>
            </w:pPr>
          </w:p>
        </w:tc>
        <w:tc>
          <w:tcPr>
            <w:tcW w:w="14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64">
              <w:r>
                <w:rPr>
                  <w:rFonts w:ascii="Arial" w:cs="Arial" w:eastAsia="Arial" w:hAnsi="Arial"/>
                  <w:sz w:val="13"/>
                  <w:szCs w:val="13"/>
                  <w:b w:val="1"/>
                  <w:bCs w:val="1"/>
                  <w:color w:val="0000EE"/>
                  <w:w w:val="82"/>
                </w:rPr>
                <w:t>59</w:t>
              </w:r>
            </w:hyperlink>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0000EE"/>
            </w:tcBorders>
            <w:gridSpan w:val="5"/>
          </w:tcPr>
          <w:p>
            <w:pPr>
              <w:spacing w:after="0"/>
              <w:rPr>
                <w:rFonts w:ascii="Arial" w:cs="Arial" w:eastAsia="Arial" w:hAnsi="Arial"/>
                <w:sz w:val="13"/>
                <w:szCs w:val="13"/>
                <w:color w:val="0000EE"/>
              </w:rPr>
            </w:pPr>
            <w:hyperlink w:anchor="page64">
              <w:r>
                <w:rPr>
                  <w:rFonts w:ascii="Arial" w:cs="Arial" w:eastAsia="Arial" w:hAnsi="Arial"/>
                  <w:sz w:val="13"/>
                  <w:szCs w:val="13"/>
                  <w:color w:val="0000EE"/>
                </w:rPr>
                <w:t>Research and development</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line="167" w:lineRule="exact"/>
              <w:rPr>
                <w:sz w:val="20"/>
                <w:szCs w:val="20"/>
                <w:color w:val="auto"/>
              </w:rPr>
            </w:pPr>
            <w:r>
              <w:rPr>
                <w:rFonts w:ascii="Arial" w:cs="Arial" w:eastAsia="Arial" w:hAnsi="Arial"/>
                <w:sz w:val="16"/>
                <w:szCs w:val="16"/>
                <w:b w:val="1"/>
                <w:bCs w:val="1"/>
                <w:color w:val="auto"/>
              </w:rPr>
              <w:t>FINANCIAL REVIEW</w:t>
            </w:r>
          </w:p>
        </w:tc>
        <w:tc>
          <w:tcPr>
            <w:tcW w:w="160" w:type="dxa"/>
            <w:vAlign w:val="bottom"/>
            <w:tcBorders>
              <w:bottom w:val="single" w:sz="8" w:color="0000EE"/>
            </w:tcBorders>
          </w:tcPr>
          <w:p>
            <w:pPr>
              <w:jc w:val="right"/>
              <w:spacing w:after="0"/>
              <w:rPr>
                <w:rFonts w:ascii="Arial" w:cs="Arial" w:eastAsia="Arial" w:hAnsi="Arial"/>
                <w:sz w:val="13"/>
                <w:szCs w:val="13"/>
                <w:b w:val="1"/>
                <w:bCs w:val="1"/>
                <w:color w:val="0000EE"/>
                <w:w w:val="96"/>
              </w:rPr>
            </w:pPr>
            <w:hyperlink w:anchor="page18">
              <w:r>
                <w:rPr>
                  <w:rFonts w:ascii="Arial" w:cs="Arial" w:eastAsia="Arial" w:hAnsi="Arial"/>
                  <w:sz w:val="13"/>
                  <w:szCs w:val="13"/>
                  <w:b w:val="1"/>
                  <w:bCs w:val="1"/>
                  <w:color w:val="0000EE"/>
                  <w:w w:val="96"/>
                </w:rPr>
                <w:t>13</w:t>
              </w:r>
            </w:hyperlink>
          </w:p>
        </w:tc>
        <w:tc>
          <w:tcPr>
            <w:tcW w:w="220" w:type="dxa"/>
            <w:vAlign w:val="bottom"/>
          </w:tcPr>
          <w:p>
            <w:pPr>
              <w:spacing w:after="0"/>
              <w:rPr>
                <w:sz w:val="14"/>
                <w:szCs w:val="14"/>
                <w:color w:val="auto"/>
              </w:rPr>
            </w:pPr>
          </w:p>
        </w:tc>
        <w:tc>
          <w:tcPr>
            <w:tcW w:w="700" w:type="dxa"/>
            <w:vAlign w:val="bottom"/>
            <w:tcBorders>
              <w:bottom w:val="single" w:sz="8" w:color="0000EE"/>
            </w:tcBorders>
            <w:gridSpan w:val="4"/>
          </w:tcPr>
          <w:p>
            <w:pPr>
              <w:spacing w:after="0"/>
              <w:rPr>
                <w:rFonts w:ascii="Arial" w:cs="Arial" w:eastAsia="Arial" w:hAnsi="Arial"/>
                <w:sz w:val="13"/>
                <w:szCs w:val="13"/>
                <w:color w:val="0000EE"/>
              </w:rPr>
            </w:pPr>
            <w:hyperlink w:anchor="page18">
              <w:r>
                <w:rPr>
                  <w:rFonts w:ascii="Arial" w:cs="Arial" w:eastAsia="Arial" w:hAnsi="Arial"/>
                  <w:sz w:val="13"/>
                  <w:szCs w:val="13"/>
                  <w:color w:val="0000EE"/>
                </w:rPr>
                <w:t>Risk factors</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0000EE"/>
            </w:tcBorders>
          </w:tcPr>
          <w:p>
            <w:pPr>
              <w:jc w:val="right"/>
              <w:spacing w:after="0"/>
              <w:rPr>
                <w:rFonts w:ascii="Arial" w:cs="Arial" w:eastAsia="Arial" w:hAnsi="Arial"/>
                <w:sz w:val="13"/>
                <w:szCs w:val="13"/>
                <w:b w:val="1"/>
                <w:bCs w:val="1"/>
                <w:color w:val="0000EE"/>
                <w:w w:val="82"/>
              </w:rPr>
            </w:pPr>
            <w:hyperlink w:anchor="page65">
              <w:r>
                <w:rPr>
                  <w:rFonts w:ascii="Arial" w:cs="Arial" w:eastAsia="Arial" w:hAnsi="Arial"/>
                  <w:sz w:val="13"/>
                  <w:szCs w:val="13"/>
                  <w:b w:val="1"/>
                  <w:bCs w:val="1"/>
                  <w:color w:val="0000EE"/>
                  <w:w w:val="82"/>
                </w:rPr>
                <w:t>60</w:t>
              </w:r>
            </w:hyperlink>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0000EE"/>
            </w:tcBorders>
            <w:gridSpan w:val="4"/>
          </w:tcPr>
          <w:p>
            <w:pPr>
              <w:spacing w:after="0"/>
              <w:rPr>
                <w:rFonts w:ascii="Arial" w:cs="Arial" w:eastAsia="Arial" w:hAnsi="Arial"/>
                <w:sz w:val="13"/>
                <w:szCs w:val="13"/>
                <w:color w:val="0000EE"/>
              </w:rPr>
            </w:pPr>
            <w:hyperlink w:anchor="page65">
              <w:r>
                <w:rPr>
                  <w:rFonts w:ascii="Arial" w:cs="Arial" w:eastAsia="Arial" w:hAnsi="Arial"/>
                  <w:sz w:val="13"/>
                  <w:szCs w:val="13"/>
                  <w:color w:val="0000EE"/>
                </w:rPr>
                <w:t>Key performance indicators</w:t>
              </w:r>
            </w:hyperlink>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160" w:type="dxa"/>
            <w:vAlign w:val="bottom"/>
          </w:tcPr>
          <w:p>
            <w:pPr>
              <w:jc w:val="right"/>
              <w:spacing w:after="0"/>
              <w:rPr>
                <w:rFonts w:ascii="Arial" w:cs="Arial" w:eastAsia="Arial" w:hAnsi="Arial"/>
                <w:sz w:val="13"/>
                <w:szCs w:val="13"/>
                <w:b w:val="1"/>
                <w:bCs w:val="1"/>
                <w:color w:val="0000EE"/>
                <w:w w:val="96"/>
              </w:rPr>
            </w:pPr>
            <w:hyperlink w:anchor="page21">
              <w:r>
                <w:rPr>
                  <w:rFonts w:ascii="Arial" w:cs="Arial" w:eastAsia="Arial" w:hAnsi="Arial"/>
                  <w:sz w:val="13"/>
                  <w:szCs w:val="13"/>
                  <w:b w:val="1"/>
                  <w:bCs w:val="1"/>
                  <w:color w:val="0000EE"/>
                  <w:w w:val="96"/>
                </w:rPr>
                <w:t>16</w:t>
              </w:r>
            </w:hyperlink>
          </w:p>
        </w:tc>
        <w:tc>
          <w:tcPr>
            <w:tcW w:w="220" w:type="dxa"/>
            <w:vAlign w:val="bottom"/>
          </w:tcPr>
          <w:p>
            <w:pPr>
              <w:spacing w:after="0"/>
              <w:rPr>
                <w:sz w:val="14"/>
                <w:szCs w:val="14"/>
                <w:color w:val="auto"/>
              </w:rPr>
            </w:pPr>
          </w:p>
        </w:tc>
        <w:tc>
          <w:tcPr>
            <w:tcW w:w="1800" w:type="dxa"/>
            <w:vAlign w:val="bottom"/>
            <w:gridSpan w:val="9"/>
          </w:tcPr>
          <w:p>
            <w:pPr>
              <w:spacing w:after="0"/>
              <w:rPr>
                <w:rFonts w:ascii="Arial" w:cs="Arial" w:eastAsia="Arial" w:hAnsi="Arial"/>
                <w:sz w:val="13"/>
                <w:szCs w:val="13"/>
                <w:color w:val="0000EE"/>
              </w:rPr>
            </w:pPr>
            <w:hyperlink w:anchor="page21">
              <w:r>
                <w:rPr>
                  <w:rFonts w:ascii="Arial" w:cs="Arial" w:eastAsia="Arial" w:hAnsi="Arial"/>
                  <w:sz w:val="13"/>
                  <w:szCs w:val="13"/>
                  <w:color w:val="0000EE"/>
                </w:rPr>
                <w:t>Summary of results</w:t>
              </w:r>
            </w:hyperlink>
          </w:p>
        </w:tc>
        <w:tc>
          <w:tcPr>
            <w:tcW w:w="480" w:type="dxa"/>
            <w:vAlign w:val="bottom"/>
            <w:gridSpan w:val="3"/>
          </w:tcPr>
          <w:p>
            <w:pPr>
              <w:jc w:val="right"/>
              <w:ind w:right="100"/>
              <w:spacing w:after="0"/>
              <w:rPr>
                <w:rFonts w:ascii="Arial" w:cs="Arial" w:eastAsia="Arial" w:hAnsi="Arial"/>
                <w:sz w:val="13"/>
                <w:szCs w:val="13"/>
                <w:b w:val="1"/>
                <w:bCs w:val="1"/>
                <w:color w:val="0000EE"/>
              </w:rPr>
            </w:pPr>
            <w:hyperlink w:anchor="page67">
              <w:r>
                <w:rPr>
                  <w:rFonts w:ascii="Arial" w:cs="Arial" w:eastAsia="Arial" w:hAnsi="Arial"/>
                  <w:sz w:val="13"/>
                  <w:szCs w:val="13"/>
                  <w:b w:val="1"/>
                  <w:bCs w:val="1"/>
                  <w:color w:val="0000EE"/>
                </w:rPr>
                <w:t>62</w:t>
              </w:r>
            </w:hyperlink>
          </w:p>
        </w:tc>
        <w:tc>
          <w:tcPr>
            <w:tcW w:w="1900" w:type="dxa"/>
            <w:vAlign w:val="bottom"/>
            <w:gridSpan w:val="7"/>
          </w:tcPr>
          <w:p>
            <w:pPr>
              <w:ind w:left="120"/>
              <w:spacing w:after="0"/>
              <w:rPr>
                <w:rFonts w:ascii="Arial" w:cs="Arial" w:eastAsia="Arial" w:hAnsi="Arial"/>
                <w:sz w:val="13"/>
                <w:szCs w:val="13"/>
                <w:color w:val="0000EE"/>
              </w:rPr>
            </w:pPr>
            <w:hyperlink w:anchor="page67">
              <w:r>
                <w:rPr>
                  <w:rFonts w:ascii="Arial" w:cs="Arial" w:eastAsia="Arial" w:hAnsi="Arial"/>
                  <w:sz w:val="13"/>
                  <w:szCs w:val="13"/>
                  <w:color w:val="0000EE"/>
                </w:rPr>
                <w:t>Liquidity and capital resources</w:t>
              </w:r>
            </w:hyperlink>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Pr>
          <w:p>
            <w:pPr>
              <w:jc w:val="right"/>
              <w:spacing w:after="0" w:line="127" w:lineRule="exact"/>
              <w:rPr>
                <w:rFonts w:ascii="Arial" w:cs="Arial" w:eastAsia="Arial" w:hAnsi="Arial"/>
                <w:sz w:val="13"/>
                <w:szCs w:val="13"/>
                <w:b w:val="1"/>
                <w:bCs w:val="1"/>
                <w:color w:val="0000EE"/>
                <w:w w:val="96"/>
              </w:rPr>
            </w:pPr>
            <w:hyperlink w:anchor="page24">
              <w:r>
                <w:rPr>
                  <w:rFonts w:ascii="Arial" w:cs="Arial" w:eastAsia="Arial" w:hAnsi="Arial"/>
                  <w:sz w:val="13"/>
                  <w:szCs w:val="13"/>
                  <w:b w:val="1"/>
                  <w:bCs w:val="1"/>
                  <w:color w:val="0000EE"/>
                  <w:w w:val="96"/>
                </w:rPr>
                <w:t>19</w:t>
              </w:r>
            </w:hyperlink>
          </w:p>
        </w:tc>
        <w:tc>
          <w:tcPr>
            <w:tcW w:w="220" w:type="dxa"/>
            <w:vAlign w:val="bottom"/>
          </w:tcPr>
          <w:p>
            <w:pPr>
              <w:spacing w:after="0"/>
              <w:rPr>
                <w:sz w:val="11"/>
                <w:szCs w:val="11"/>
                <w:color w:val="auto"/>
              </w:rPr>
            </w:pPr>
          </w:p>
        </w:tc>
        <w:tc>
          <w:tcPr>
            <w:tcW w:w="1800" w:type="dxa"/>
            <w:vAlign w:val="bottom"/>
            <w:gridSpan w:val="9"/>
          </w:tcPr>
          <w:p>
            <w:pPr>
              <w:spacing w:after="0" w:line="127" w:lineRule="exact"/>
              <w:rPr>
                <w:rFonts w:ascii="Arial" w:cs="Arial" w:eastAsia="Arial" w:hAnsi="Arial"/>
                <w:sz w:val="13"/>
                <w:szCs w:val="13"/>
                <w:color w:val="0000EE"/>
              </w:rPr>
            </w:pPr>
            <w:hyperlink w:anchor="page24">
              <w:r>
                <w:rPr>
                  <w:rFonts w:ascii="Arial" w:cs="Arial" w:eastAsia="Arial" w:hAnsi="Arial"/>
                  <w:sz w:val="13"/>
                  <w:szCs w:val="13"/>
                  <w:color w:val="0000EE"/>
                </w:rPr>
                <w:t>Exploration &amp; Production</w:t>
              </w:r>
            </w:hyperlink>
          </w:p>
        </w:tc>
        <w:tc>
          <w:tcPr>
            <w:tcW w:w="240" w:type="dxa"/>
            <w:vAlign w:val="bottom"/>
            <w:vMerge w:val="continue"/>
          </w:tcPr>
          <w:p>
            <w:pPr>
              <w:spacing w:after="0"/>
              <w:rPr>
                <w:sz w:val="11"/>
                <w:szCs w:val="11"/>
                <w:color w:val="auto"/>
              </w:rPr>
            </w:pPr>
          </w:p>
        </w:tc>
        <w:tc>
          <w:tcPr>
            <w:tcW w:w="140" w:type="dxa"/>
            <w:vAlign w:val="bottom"/>
          </w:tcPr>
          <w:p>
            <w:pPr>
              <w:jc w:val="right"/>
              <w:spacing w:after="0" w:line="127" w:lineRule="exact"/>
              <w:rPr>
                <w:rFonts w:ascii="Arial" w:cs="Arial" w:eastAsia="Arial" w:hAnsi="Arial"/>
                <w:sz w:val="13"/>
                <w:szCs w:val="13"/>
                <w:b w:val="1"/>
                <w:bCs w:val="1"/>
                <w:color w:val="0000EE"/>
                <w:w w:val="82"/>
              </w:rPr>
            </w:pPr>
            <w:hyperlink w:anchor="page71">
              <w:r>
                <w:rPr>
                  <w:rFonts w:ascii="Arial" w:cs="Arial" w:eastAsia="Arial" w:hAnsi="Arial"/>
                  <w:sz w:val="13"/>
                  <w:szCs w:val="13"/>
                  <w:b w:val="1"/>
                  <w:bCs w:val="1"/>
                  <w:color w:val="0000EE"/>
                  <w:w w:val="82"/>
                </w:rPr>
                <w:t>66</w:t>
              </w:r>
            </w:hyperlink>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780" w:type="dxa"/>
            <w:vAlign w:val="bottom"/>
            <w:gridSpan w:val="6"/>
          </w:tcPr>
          <w:p>
            <w:pPr>
              <w:spacing w:after="0" w:line="127" w:lineRule="exact"/>
              <w:rPr>
                <w:rFonts w:ascii="Arial" w:cs="Arial" w:eastAsia="Arial" w:hAnsi="Arial"/>
                <w:sz w:val="13"/>
                <w:szCs w:val="13"/>
                <w:color w:val="0000EE"/>
              </w:rPr>
            </w:pPr>
            <w:hyperlink w:anchor="page71">
              <w:r>
                <w:rPr>
                  <w:rFonts w:ascii="Arial" w:cs="Arial" w:eastAsia="Arial" w:hAnsi="Arial"/>
                  <w:sz w:val="13"/>
                  <w:szCs w:val="13"/>
                  <w:color w:val="0000EE"/>
                </w:rPr>
                <w:t>Our people</w:t>
              </w:r>
            </w:hyperlink>
          </w:p>
        </w:tc>
        <w:tc>
          <w:tcPr>
            <w:tcW w:w="0" w:type="dxa"/>
            <w:vAlign w:val="bottom"/>
          </w:tcPr>
          <w:p>
            <w:pPr>
              <w:spacing w:after="0"/>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96"/>
              </w:rPr>
            </w:pPr>
            <w:hyperlink w:anchor="page39">
              <w:r>
                <w:rPr>
                  <w:rFonts w:ascii="Arial" w:cs="Arial" w:eastAsia="Arial" w:hAnsi="Arial"/>
                  <w:sz w:val="13"/>
                  <w:szCs w:val="13"/>
                  <w:b w:val="1"/>
                  <w:bCs w:val="1"/>
                  <w:color w:val="0000EE"/>
                  <w:w w:val="96"/>
                </w:rPr>
                <w:t>34</w:t>
              </w:r>
            </w:hyperlink>
          </w:p>
        </w:tc>
        <w:tc>
          <w:tcPr>
            <w:tcW w:w="220" w:type="dxa"/>
            <w:vAlign w:val="bottom"/>
          </w:tcPr>
          <w:p>
            <w:pPr>
              <w:spacing w:after="0"/>
              <w:rPr>
                <w:sz w:val="11"/>
                <w:szCs w:val="11"/>
                <w:color w:val="auto"/>
              </w:rPr>
            </w:pPr>
          </w:p>
        </w:tc>
        <w:tc>
          <w:tcPr>
            <w:tcW w:w="1460" w:type="dxa"/>
            <w:vAlign w:val="bottom"/>
            <w:tcBorders>
              <w:top w:val="single" w:sz="8" w:color="0000EE"/>
            </w:tcBorders>
            <w:gridSpan w:val="8"/>
          </w:tcPr>
          <w:p>
            <w:pPr>
              <w:spacing w:after="0" w:line="127" w:lineRule="exact"/>
              <w:rPr>
                <w:rFonts w:ascii="Arial" w:cs="Arial" w:eastAsia="Arial" w:hAnsi="Arial"/>
                <w:sz w:val="13"/>
                <w:szCs w:val="13"/>
                <w:color w:val="0000EE"/>
              </w:rPr>
            </w:pPr>
            <w:hyperlink w:anchor="page39">
              <w:r>
                <w:rPr>
                  <w:rFonts w:ascii="Arial" w:cs="Arial" w:eastAsia="Arial" w:hAnsi="Arial"/>
                  <w:sz w:val="13"/>
                  <w:szCs w:val="13"/>
                  <w:color w:val="0000EE"/>
                </w:rPr>
                <w:t>Gas &amp; Power</w:t>
              </w:r>
            </w:hyperlink>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82"/>
              </w:rPr>
            </w:pPr>
            <w:hyperlink w:anchor="page73">
              <w:r>
                <w:rPr>
                  <w:rFonts w:ascii="Arial" w:cs="Arial" w:eastAsia="Arial" w:hAnsi="Arial"/>
                  <w:sz w:val="13"/>
                  <w:szCs w:val="13"/>
                  <w:b w:val="1"/>
                  <w:bCs w:val="1"/>
                  <w:color w:val="0000EE"/>
                  <w:w w:val="82"/>
                </w:rPr>
                <w:t>68</w:t>
              </w:r>
            </w:hyperlink>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0000EE"/>
            </w:tcBorders>
          </w:tcPr>
          <w:p>
            <w:pPr>
              <w:spacing w:after="0" w:line="127" w:lineRule="exact"/>
              <w:rPr>
                <w:rFonts w:ascii="Arial" w:cs="Arial" w:eastAsia="Arial" w:hAnsi="Arial"/>
                <w:sz w:val="13"/>
                <w:szCs w:val="13"/>
                <w:color w:val="0000EE"/>
                <w:w w:val="87"/>
              </w:rPr>
            </w:pPr>
            <w:hyperlink w:anchor="page73">
              <w:r>
                <w:rPr>
                  <w:rFonts w:ascii="Arial" w:cs="Arial" w:eastAsia="Arial" w:hAnsi="Arial"/>
                  <w:sz w:val="13"/>
                  <w:szCs w:val="13"/>
                  <w:color w:val="0000EE"/>
                  <w:w w:val="87"/>
                </w:rPr>
                <w:t>Environment</w:t>
              </w:r>
            </w:hyperlink>
          </w:p>
        </w:tc>
        <w:tc>
          <w:tcPr>
            <w:tcW w:w="1120" w:type="dxa"/>
            <w:vAlign w:val="bottom"/>
            <w:gridSpan w:val="5"/>
          </w:tcPr>
          <w:p>
            <w:pPr>
              <w:ind w:left="120"/>
              <w:spacing w:after="0" w:line="127" w:lineRule="exact"/>
              <w:rPr>
                <w:rFonts w:ascii="Arial" w:cs="Arial" w:eastAsia="Arial" w:hAnsi="Arial"/>
                <w:sz w:val="13"/>
                <w:szCs w:val="13"/>
                <w:color w:val="0000EE"/>
              </w:rPr>
            </w:pPr>
            <w:hyperlink w:anchor="page73">
              <w:r>
                <w:rPr>
                  <w:rFonts w:ascii="Arial" w:cs="Arial" w:eastAsia="Arial" w:hAnsi="Arial"/>
                  <w:sz w:val="13"/>
                  <w:szCs w:val="13"/>
                  <w:color w:val="0000EE"/>
                </w:rPr>
                <w:t>and society</w:t>
              </w:r>
            </w:hyperlink>
          </w:p>
        </w:tc>
        <w:tc>
          <w:tcPr>
            <w:tcW w:w="0" w:type="dxa"/>
            <w:vAlign w:val="bottom"/>
          </w:tcPr>
          <w:p>
            <w:pPr>
              <w:spacing w:after="0"/>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96"/>
              </w:rPr>
            </w:pPr>
            <w:hyperlink w:anchor="page46">
              <w:r>
                <w:rPr>
                  <w:rFonts w:ascii="Arial" w:cs="Arial" w:eastAsia="Arial" w:hAnsi="Arial"/>
                  <w:sz w:val="13"/>
                  <w:szCs w:val="13"/>
                  <w:b w:val="1"/>
                  <w:bCs w:val="1"/>
                  <w:color w:val="0000EE"/>
                  <w:w w:val="96"/>
                </w:rPr>
                <w:t>41</w:t>
              </w:r>
            </w:hyperlink>
          </w:p>
        </w:tc>
        <w:tc>
          <w:tcPr>
            <w:tcW w:w="220" w:type="dxa"/>
            <w:vAlign w:val="bottom"/>
          </w:tcPr>
          <w:p>
            <w:pPr>
              <w:spacing w:after="0"/>
              <w:rPr>
                <w:sz w:val="11"/>
                <w:szCs w:val="11"/>
                <w:color w:val="auto"/>
              </w:rPr>
            </w:pPr>
          </w:p>
        </w:tc>
        <w:tc>
          <w:tcPr>
            <w:tcW w:w="580" w:type="dxa"/>
            <w:vAlign w:val="bottom"/>
            <w:tcBorders>
              <w:top w:val="single" w:sz="8" w:color="0000EE"/>
            </w:tcBorders>
          </w:tcPr>
          <w:p>
            <w:pPr>
              <w:spacing w:after="0" w:line="127" w:lineRule="exact"/>
              <w:rPr>
                <w:rFonts w:ascii="Arial" w:cs="Arial" w:eastAsia="Arial" w:hAnsi="Arial"/>
                <w:sz w:val="13"/>
                <w:szCs w:val="13"/>
                <w:color w:val="0000EE"/>
                <w:w w:val="99"/>
              </w:rPr>
            </w:pPr>
            <w:hyperlink w:anchor="page46">
              <w:r>
                <w:rPr>
                  <w:rFonts w:ascii="Arial" w:cs="Arial" w:eastAsia="Arial" w:hAnsi="Arial"/>
                  <w:sz w:val="13"/>
                  <w:szCs w:val="13"/>
                  <w:color w:val="0000EE"/>
                  <w:w w:val="99"/>
                </w:rPr>
                <w:t>Oil Sands</w:t>
              </w:r>
            </w:hyperlink>
          </w:p>
        </w:tc>
        <w:tc>
          <w:tcPr>
            <w:tcW w:w="200" w:type="dxa"/>
            <w:vAlign w:val="bottom"/>
            <w:tcBorders>
              <w:top w:val="single" w:sz="8" w:color="0000EE"/>
            </w:tcBorders>
            <w:gridSpan w:val="5"/>
          </w:tcPr>
          <w:p>
            <w:pPr>
              <w:spacing w:after="0"/>
              <w:rPr>
                <w:sz w:val="11"/>
                <w:szCs w:val="11"/>
                <w:color w:val="auto"/>
              </w:rPr>
            </w:pPr>
          </w:p>
        </w:tc>
        <w:tc>
          <w:tcPr>
            <w:tcW w:w="1020" w:type="dxa"/>
            <w:vAlign w:val="bottom"/>
            <w:gridSpan w:val="3"/>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82"/>
              </w:rPr>
            </w:pPr>
            <w:hyperlink w:anchor="page77">
              <w:r>
                <w:rPr>
                  <w:rFonts w:ascii="Arial" w:cs="Arial" w:eastAsia="Arial" w:hAnsi="Arial"/>
                  <w:sz w:val="13"/>
                  <w:szCs w:val="13"/>
                  <w:b w:val="1"/>
                  <w:bCs w:val="1"/>
                  <w:color w:val="0000EE"/>
                  <w:w w:val="82"/>
                </w:rPr>
                <w:t>72</w:t>
              </w:r>
            </w:hyperlink>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tcBorders>
              <w:top w:val="single" w:sz="8" w:color="0000EE"/>
            </w:tcBorders>
            <w:gridSpan w:val="3"/>
          </w:tcPr>
          <w:p>
            <w:pPr>
              <w:spacing w:after="0" w:line="127" w:lineRule="exact"/>
              <w:rPr>
                <w:rFonts w:ascii="Arial" w:cs="Arial" w:eastAsia="Arial" w:hAnsi="Arial"/>
                <w:sz w:val="13"/>
                <w:szCs w:val="13"/>
                <w:color w:val="0000EE"/>
              </w:rPr>
            </w:pPr>
            <w:hyperlink w:anchor="page77">
              <w:r>
                <w:rPr>
                  <w:rFonts w:ascii="Arial" w:cs="Arial" w:eastAsia="Arial" w:hAnsi="Arial"/>
                  <w:sz w:val="13"/>
                  <w:szCs w:val="13"/>
                  <w:color w:val="0000EE"/>
                </w:rPr>
                <w:t>Environmental data</w:t>
              </w:r>
            </w:hyperlink>
          </w:p>
        </w:tc>
        <w:tc>
          <w:tcPr>
            <w:tcW w:w="3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40" w:type="dxa"/>
            <w:vAlign w:val="bottom"/>
            <w:gridSpan w:val="4"/>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Pr>
          <w:p>
            <w:pPr>
              <w:jc w:val="right"/>
              <w:spacing w:after="0" w:line="127" w:lineRule="exact"/>
              <w:rPr>
                <w:rFonts w:ascii="Arial" w:cs="Arial" w:eastAsia="Arial" w:hAnsi="Arial"/>
                <w:sz w:val="13"/>
                <w:szCs w:val="13"/>
                <w:b w:val="1"/>
                <w:bCs w:val="1"/>
                <w:color w:val="0000EE"/>
                <w:w w:val="96"/>
              </w:rPr>
            </w:pPr>
            <w:hyperlink w:anchor="page49">
              <w:r>
                <w:rPr>
                  <w:rFonts w:ascii="Arial" w:cs="Arial" w:eastAsia="Arial" w:hAnsi="Arial"/>
                  <w:sz w:val="13"/>
                  <w:szCs w:val="13"/>
                  <w:b w:val="1"/>
                  <w:bCs w:val="1"/>
                  <w:color w:val="0000EE"/>
                  <w:w w:val="96"/>
                </w:rPr>
                <w:t>44</w:t>
              </w:r>
            </w:hyperlink>
          </w:p>
        </w:tc>
        <w:tc>
          <w:tcPr>
            <w:tcW w:w="220" w:type="dxa"/>
            <w:vAlign w:val="bottom"/>
          </w:tcPr>
          <w:p>
            <w:pPr>
              <w:spacing w:after="0"/>
              <w:rPr>
                <w:sz w:val="11"/>
                <w:szCs w:val="11"/>
                <w:color w:val="auto"/>
              </w:rPr>
            </w:pPr>
          </w:p>
        </w:tc>
        <w:tc>
          <w:tcPr>
            <w:tcW w:w="1800" w:type="dxa"/>
            <w:vAlign w:val="bottom"/>
            <w:gridSpan w:val="9"/>
          </w:tcPr>
          <w:p>
            <w:pPr>
              <w:spacing w:after="0" w:line="127" w:lineRule="exact"/>
              <w:rPr>
                <w:rFonts w:ascii="Arial" w:cs="Arial" w:eastAsia="Arial" w:hAnsi="Arial"/>
                <w:sz w:val="13"/>
                <w:szCs w:val="13"/>
                <w:color w:val="0000EE"/>
              </w:rPr>
            </w:pPr>
            <w:hyperlink w:anchor="page49">
              <w:r>
                <w:rPr>
                  <w:rFonts w:ascii="Arial" w:cs="Arial" w:eastAsia="Arial" w:hAnsi="Arial"/>
                  <w:sz w:val="13"/>
                  <w:szCs w:val="13"/>
                  <w:color w:val="0000EE"/>
                </w:rPr>
                <w:t>Oil Products</w:t>
              </w:r>
            </w:hyperlink>
          </w:p>
        </w:tc>
        <w:tc>
          <w:tcPr>
            <w:tcW w:w="240" w:type="dxa"/>
            <w:vAlign w:val="bottom"/>
            <w:vMerge w:val="continue"/>
          </w:tcPr>
          <w:p>
            <w:pPr>
              <w:spacing w:after="0"/>
              <w:rPr>
                <w:sz w:val="11"/>
                <w:szCs w:val="11"/>
                <w:color w:val="auto"/>
              </w:rPr>
            </w:pPr>
          </w:p>
        </w:tc>
        <w:tc>
          <w:tcPr>
            <w:tcW w:w="140" w:type="dxa"/>
            <w:vAlign w:val="bottom"/>
          </w:tcPr>
          <w:p>
            <w:pPr>
              <w:jc w:val="right"/>
              <w:spacing w:after="0" w:line="127" w:lineRule="exact"/>
              <w:rPr>
                <w:rFonts w:ascii="Arial" w:cs="Arial" w:eastAsia="Arial" w:hAnsi="Arial"/>
                <w:sz w:val="13"/>
                <w:szCs w:val="13"/>
                <w:b w:val="1"/>
                <w:bCs w:val="1"/>
                <w:color w:val="0000EE"/>
                <w:w w:val="82"/>
              </w:rPr>
            </w:pPr>
            <w:hyperlink w:anchor="page80">
              <w:r>
                <w:rPr>
                  <w:rFonts w:ascii="Arial" w:cs="Arial" w:eastAsia="Arial" w:hAnsi="Arial"/>
                  <w:sz w:val="13"/>
                  <w:szCs w:val="13"/>
                  <w:b w:val="1"/>
                  <w:bCs w:val="1"/>
                  <w:color w:val="0000EE"/>
                  <w:w w:val="82"/>
                </w:rPr>
                <w:t>75</w:t>
              </w:r>
            </w:hyperlink>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140" w:type="dxa"/>
            <w:vAlign w:val="bottom"/>
            <w:gridSpan w:val="2"/>
          </w:tcPr>
          <w:p>
            <w:pPr>
              <w:spacing w:after="0" w:line="127" w:lineRule="exact"/>
              <w:rPr>
                <w:rFonts w:ascii="Arial" w:cs="Arial" w:eastAsia="Arial" w:hAnsi="Arial"/>
                <w:sz w:val="13"/>
                <w:szCs w:val="13"/>
                <w:color w:val="0000EE"/>
              </w:rPr>
            </w:pPr>
            <w:hyperlink w:anchor="page80">
              <w:r>
                <w:rPr>
                  <w:rFonts w:ascii="Arial" w:cs="Arial" w:eastAsia="Arial" w:hAnsi="Arial"/>
                  <w:sz w:val="13"/>
                  <w:szCs w:val="13"/>
                  <w:color w:val="0000EE"/>
                </w:rPr>
                <w:t>Social data</w:t>
              </w:r>
            </w:hyperlink>
          </w:p>
        </w:tc>
        <w:tc>
          <w:tcPr>
            <w:tcW w:w="6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96"/>
              </w:rPr>
            </w:pPr>
            <w:hyperlink w:anchor="page59">
              <w:r>
                <w:rPr>
                  <w:rFonts w:ascii="Arial" w:cs="Arial" w:eastAsia="Arial" w:hAnsi="Arial"/>
                  <w:sz w:val="13"/>
                  <w:szCs w:val="13"/>
                  <w:b w:val="1"/>
                  <w:bCs w:val="1"/>
                  <w:color w:val="0000EE"/>
                  <w:w w:val="96"/>
                </w:rPr>
                <w:t>54</w:t>
              </w:r>
            </w:hyperlink>
          </w:p>
        </w:tc>
        <w:tc>
          <w:tcPr>
            <w:tcW w:w="220" w:type="dxa"/>
            <w:vAlign w:val="bottom"/>
          </w:tcPr>
          <w:p>
            <w:pPr>
              <w:spacing w:after="0"/>
              <w:rPr>
                <w:sz w:val="11"/>
                <w:szCs w:val="11"/>
                <w:color w:val="auto"/>
              </w:rPr>
            </w:pPr>
          </w:p>
        </w:tc>
        <w:tc>
          <w:tcPr>
            <w:tcW w:w="720" w:type="dxa"/>
            <w:vAlign w:val="bottom"/>
            <w:tcBorders>
              <w:top w:val="single" w:sz="8" w:color="0000EE"/>
            </w:tcBorders>
            <w:gridSpan w:val="5"/>
          </w:tcPr>
          <w:p>
            <w:pPr>
              <w:spacing w:after="0" w:line="127" w:lineRule="exact"/>
              <w:rPr>
                <w:rFonts w:ascii="Arial" w:cs="Arial" w:eastAsia="Arial" w:hAnsi="Arial"/>
                <w:sz w:val="13"/>
                <w:szCs w:val="13"/>
                <w:color w:val="0000EE"/>
              </w:rPr>
            </w:pPr>
            <w:hyperlink w:anchor="page59">
              <w:r>
                <w:rPr>
                  <w:rFonts w:ascii="Arial" w:cs="Arial" w:eastAsia="Arial" w:hAnsi="Arial"/>
                  <w:sz w:val="13"/>
                  <w:szCs w:val="13"/>
                  <w:color w:val="0000EE"/>
                </w:rPr>
                <w:t>Chemicals</w:t>
              </w:r>
            </w:hyperlink>
          </w:p>
        </w:tc>
        <w:tc>
          <w:tcPr>
            <w:tcW w:w="1080" w:type="dxa"/>
            <w:vAlign w:val="bottom"/>
            <w:gridSpan w:val="4"/>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0000EE"/>
            </w:tcBorders>
          </w:tcPr>
          <w:p>
            <w:pPr>
              <w:jc w:val="right"/>
              <w:spacing w:after="0" w:line="127" w:lineRule="exact"/>
              <w:rPr>
                <w:rFonts w:ascii="Arial" w:cs="Arial" w:eastAsia="Arial" w:hAnsi="Arial"/>
                <w:sz w:val="13"/>
                <w:szCs w:val="13"/>
                <w:b w:val="1"/>
                <w:bCs w:val="1"/>
                <w:color w:val="0000EE"/>
                <w:w w:val="82"/>
              </w:rPr>
            </w:pPr>
            <w:hyperlink w:anchor="page81">
              <w:r>
                <w:rPr>
                  <w:rFonts w:ascii="Arial" w:cs="Arial" w:eastAsia="Arial" w:hAnsi="Arial"/>
                  <w:sz w:val="13"/>
                  <w:szCs w:val="13"/>
                  <w:b w:val="1"/>
                  <w:bCs w:val="1"/>
                  <w:color w:val="0000EE"/>
                  <w:w w:val="82"/>
                </w:rPr>
                <w:t>76</w:t>
              </w:r>
            </w:hyperlink>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0000EE"/>
            </w:tcBorders>
          </w:tcPr>
          <w:p>
            <w:pPr>
              <w:spacing w:after="0" w:line="127" w:lineRule="exact"/>
              <w:rPr>
                <w:rFonts w:ascii="Arial" w:cs="Arial" w:eastAsia="Arial" w:hAnsi="Arial"/>
                <w:sz w:val="13"/>
                <w:szCs w:val="13"/>
                <w:color w:val="0000EE"/>
                <w:w w:val="92"/>
              </w:rPr>
            </w:pPr>
            <w:hyperlink w:anchor="page81">
              <w:r>
                <w:rPr>
                  <w:rFonts w:ascii="Arial" w:cs="Arial" w:eastAsia="Arial" w:hAnsi="Arial"/>
                  <w:sz w:val="13"/>
                  <w:szCs w:val="13"/>
                  <w:color w:val="0000EE"/>
                  <w:w w:val="92"/>
                </w:rPr>
                <w:t>Share plans</w:t>
              </w:r>
            </w:hyperlink>
          </w:p>
        </w:tc>
        <w:tc>
          <w:tcPr>
            <w:tcW w:w="1120" w:type="dxa"/>
            <w:vAlign w:val="bottom"/>
            <w:gridSpan w:val="5"/>
          </w:tcPr>
          <w:p>
            <w:pPr>
              <w:ind w:left="80"/>
              <w:spacing w:after="0" w:line="127" w:lineRule="exact"/>
              <w:rPr>
                <w:rFonts w:ascii="Arial" w:cs="Arial" w:eastAsia="Arial" w:hAnsi="Arial"/>
                <w:sz w:val="13"/>
                <w:szCs w:val="13"/>
                <w:color w:val="0000EE"/>
              </w:rPr>
            </w:pPr>
            <w:hyperlink w:anchor="page81">
              <w:r>
                <w:rPr>
                  <w:rFonts w:ascii="Arial" w:cs="Arial" w:eastAsia="Arial" w:hAnsi="Arial"/>
                  <w:sz w:val="13"/>
                  <w:szCs w:val="13"/>
                  <w:color w:val="0000EE"/>
                </w:rPr>
                <w:t>and other matters</w:t>
              </w:r>
            </w:hyperlink>
          </w:p>
        </w:tc>
        <w:tc>
          <w:tcPr>
            <w:tcW w:w="0" w:type="dxa"/>
            <w:vAlign w:val="bottom"/>
          </w:tcPr>
          <w:p>
            <w:pPr>
              <w:spacing w:after="0"/>
              <w:rPr>
                <w:sz w:val="1"/>
                <w:szCs w:val="1"/>
                <w:color w:val="auto"/>
              </w:rPr>
            </w:pPr>
          </w:p>
        </w:tc>
      </w:tr>
      <w:tr>
        <w:trPr>
          <w:trHeight w:val="127"/>
        </w:trPr>
        <w:tc>
          <w:tcPr>
            <w:tcW w:w="1900" w:type="dxa"/>
            <w:vAlign w:val="bottom"/>
          </w:tcPr>
          <w:p>
            <w:pPr>
              <w:spacing w:after="0"/>
              <w:rPr>
                <w:sz w:val="11"/>
                <w:szCs w:val="11"/>
                <w:color w:val="auto"/>
              </w:rPr>
            </w:pPr>
          </w:p>
        </w:tc>
        <w:tc>
          <w:tcPr>
            <w:tcW w:w="160" w:type="dxa"/>
            <w:vAlign w:val="bottom"/>
            <w:tcBorders>
              <w:top w:val="single" w:sz="8" w:color="0000EE"/>
              <w:bottom w:val="single" w:sz="8" w:color="0000EE"/>
            </w:tcBorders>
          </w:tcPr>
          <w:p>
            <w:pPr>
              <w:jc w:val="right"/>
              <w:spacing w:after="0" w:line="127" w:lineRule="exact"/>
              <w:rPr>
                <w:rFonts w:ascii="Arial" w:cs="Arial" w:eastAsia="Arial" w:hAnsi="Arial"/>
                <w:sz w:val="13"/>
                <w:szCs w:val="13"/>
                <w:b w:val="1"/>
                <w:bCs w:val="1"/>
                <w:color w:val="0000EE"/>
                <w:w w:val="96"/>
              </w:rPr>
            </w:pPr>
            <w:hyperlink w:anchor="page63">
              <w:r>
                <w:rPr>
                  <w:rFonts w:ascii="Arial" w:cs="Arial" w:eastAsia="Arial" w:hAnsi="Arial"/>
                  <w:sz w:val="13"/>
                  <w:szCs w:val="13"/>
                  <w:b w:val="1"/>
                  <w:bCs w:val="1"/>
                  <w:color w:val="0000EE"/>
                  <w:w w:val="96"/>
                </w:rPr>
                <w:t>58</w:t>
              </w:r>
            </w:hyperlink>
          </w:p>
        </w:tc>
        <w:tc>
          <w:tcPr>
            <w:tcW w:w="220" w:type="dxa"/>
            <w:vAlign w:val="bottom"/>
          </w:tcPr>
          <w:p>
            <w:pPr>
              <w:spacing w:after="0"/>
              <w:rPr>
                <w:sz w:val="11"/>
                <w:szCs w:val="11"/>
                <w:color w:val="auto"/>
              </w:rPr>
            </w:pPr>
          </w:p>
        </w:tc>
        <w:tc>
          <w:tcPr>
            <w:tcW w:w="600" w:type="dxa"/>
            <w:vAlign w:val="bottom"/>
            <w:tcBorders>
              <w:top w:val="single" w:sz="8" w:color="0000EE"/>
              <w:bottom w:val="single" w:sz="8" w:color="0000EE"/>
            </w:tcBorders>
            <w:gridSpan w:val="2"/>
          </w:tcPr>
          <w:p>
            <w:pPr>
              <w:spacing w:after="0" w:line="127" w:lineRule="exact"/>
              <w:rPr>
                <w:rFonts w:ascii="Arial" w:cs="Arial" w:eastAsia="Arial" w:hAnsi="Arial"/>
                <w:sz w:val="13"/>
                <w:szCs w:val="13"/>
                <w:color w:val="0000EE"/>
              </w:rPr>
            </w:pPr>
            <w:hyperlink w:anchor="page63">
              <w:r>
                <w:rPr>
                  <w:rFonts w:ascii="Arial" w:cs="Arial" w:eastAsia="Arial" w:hAnsi="Arial"/>
                  <w:sz w:val="13"/>
                  <w:szCs w:val="13"/>
                  <w:color w:val="0000EE"/>
                </w:rPr>
                <w:t>Corporate</w:t>
              </w:r>
            </w:hyperlink>
          </w:p>
        </w:tc>
        <w:tc>
          <w:tcPr>
            <w:tcW w:w="20" w:type="dxa"/>
            <w:vAlign w:val="bottom"/>
            <w:tcBorders>
              <w:top w:val="single" w:sz="8" w:color="0000EE"/>
            </w:tcBorders>
          </w:tcPr>
          <w:p>
            <w:pPr>
              <w:spacing w:after="0"/>
              <w:rPr>
                <w:sz w:val="11"/>
                <w:szCs w:val="11"/>
                <w:color w:val="auto"/>
              </w:rPr>
            </w:pPr>
          </w:p>
        </w:tc>
        <w:tc>
          <w:tcPr>
            <w:tcW w:w="1180" w:type="dxa"/>
            <w:vAlign w:val="bottom"/>
            <w:gridSpan w:val="6"/>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6307455</wp:posOffset>
            </wp:positionV>
            <wp:extent cx="725297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3645535" cy="650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45535" cy="650430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OPERATING AND FINANCIAL REVIEW</w:t>
      </w:r>
    </w:p>
    <w:p>
      <w:pPr>
        <w:spacing w:after="0" w:line="198" w:lineRule="exact"/>
        <w:rPr>
          <w:sz w:val="20"/>
          <w:szCs w:val="20"/>
          <w:color w:val="auto"/>
        </w:rPr>
      </w:pPr>
    </w:p>
    <w:p>
      <w:pPr>
        <w:ind w:left="800"/>
        <w:spacing w:after="0"/>
        <w:rPr>
          <w:sz w:val="20"/>
          <w:szCs w:val="20"/>
          <w:color w:val="auto"/>
        </w:rPr>
      </w:pPr>
      <w:r>
        <w:rPr>
          <w:rFonts w:ascii="Arial" w:cs="Arial" w:eastAsia="Arial" w:hAnsi="Arial"/>
          <w:sz w:val="28"/>
          <w:szCs w:val="28"/>
          <w:color w:val="auto"/>
        </w:rPr>
        <w:t>Business and market overview</w:t>
      </w:r>
    </w:p>
    <w:p>
      <w:pPr>
        <w:spacing w:after="0" w:line="226" w:lineRule="exact"/>
        <w:rPr>
          <w:sz w:val="20"/>
          <w:szCs w:val="20"/>
          <w:color w:val="auto"/>
        </w:rPr>
      </w:pPr>
    </w:p>
    <w:p>
      <w:pPr>
        <w:ind w:left="800"/>
        <w:spacing w:after="0" w:line="229" w:lineRule="auto"/>
        <w:rPr>
          <w:sz w:val="20"/>
          <w:szCs w:val="20"/>
          <w:color w:val="auto"/>
        </w:rPr>
      </w:pPr>
      <w:r>
        <w:rPr>
          <w:rFonts w:ascii="Arial" w:cs="Arial" w:eastAsia="Arial" w:hAnsi="Arial"/>
          <w:sz w:val="14"/>
          <w:szCs w:val="14"/>
          <w:b w:val="1"/>
          <w:bCs w:val="1"/>
          <w:color w:val="auto"/>
        </w:rPr>
        <w:t>Royal Dutch Shell consists of the upstream businesses of Exploration &amp; Production and Gas &amp; Power and the downstream businesses of Oil Sands, Oil Products and Chemicals. In 2007, we incorporated our wind and solar activities into the Gas &amp; Power business and our hydrogen and CO</w:t>
      </w:r>
      <w:r>
        <w:rPr>
          <w:rFonts w:ascii="Arial" w:cs="Arial" w:eastAsia="Arial" w:hAnsi="Arial"/>
          <w:sz w:val="12"/>
          <w:szCs w:val="12"/>
          <w:b w:val="1"/>
          <w:bCs w:val="1"/>
          <w:color w:val="auto"/>
        </w:rPr>
        <w:t>2</w:t>
      </w:r>
      <w:r>
        <w:rPr>
          <w:rFonts w:ascii="Arial" w:cs="Arial" w:eastAsia="Arial" w:hAnsi="Arial"/>
          <w:sz w:val="14"/>
          <w:szCs w:val="14"/>
          <w:b w:val="1"/>
          <w:bCs w:val="1"/>
          <w:color w:val="auto"/>
        </w:rPr>
        <w:t xml:space="preserve"> activities into the Oil Products business.</w:t>
      </w:r>
    </w:p>
    <w:p>
      <w:pPr>
        <w:spacing w:after="0" w:line="178" w:lineRule="exact"/>
        <w:rPr>
          <w:sz w:val="20"/>
          <w:szCs w:val="20"/>
          <w:color w:val="auto"/>
        </w:rPr>
      </w:pPr>
    </w:p>
    <w:p>
      <w:pPr>
        <w:ind w:left="800" w:right="40"/>
        <w:spacing w:after="0" w:line="241" w:lineRule="auto"/>
        <w:rPr>
          <w:sz w:val="20"/>
          <w:szCs w:val="20"/>
          <w:color w:val="auto"/>
        </w:rPr>
      </w:pPr>
      <w:r>
        <w:rPr>
          <w:rFonts w:ascii="Arial" w:cs="Arial" w:eastAsia="Arial" w:hAnsi="Arial"/>
          <w:sz w:val="13"/>
          <w:szCs w:val="13"/>
          <w:b w:val="1"/>
          <w:bCs w:val="1"/>
          <w:color w:val="auto"/>
        </w:rPr>
        <w:t>We are active in more than 110 countries and territories worldwide. We are exploring for oil and gas in well-established regions such as the Gulf of Mexico and in frontier territories such as the Beaufort Sea. Key producing areas today are the USA, Europe, Africa and the Middle East. New supplies are being brought on-stream from major projects in challenging frontier environments, such as Sakhalin in Russia and Athabasca in Canada. We are a leader in liquefied natural gas (LNG) and in the large scale commercialisation of gas to liquids (GTL) technology. We have a diverse and well-balanced downstream portfolio of refineries and chemicals plants and are one of the world’s largest distributors of biofuels.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80" w:hanging="283"/>
        <w:spacing w:after="0"/>
        <w:tabs>
          <w:tab w:leader="none" w:pos="1080" w:val="left"/>
        </w:tabs>
        <w:numPr>
          <w:ilvl w:val="0"/>
          <w:numId w:val="7"/>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1188085</wp:posOffset>
            </wp:positionV>
            <wp:extent cx="725297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 DUTCH SHELL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Our strategy of More Upstream, Profitable Downstream remains unchanged. Realising our strategy will increasingly be shaped by what we believe are three hard truths: there has been a step-change in global energy demand as a result of a growing world population and the emerging economies of China and India entering into a more energy-intensive phase of their development; conventional supplies of oil and gas will struggle to keep pace with demand; and emissions of greenhouse gases, such as carbon dioxide (CO</w:t>
      </w:r>
      <w:r>
        <w:rPr>
          <w:rFonts w:ascii="Arial" w:cs="Arial" w:eastAsia="Arial" w:hAnsi="Arial"/>
          <w:sz w:val="12"/>
          <w:szCs w:val="12"/>
          <w:color w:val="auto"/>
        </w:rPr>
        <w:t>2</w:t>
      </w:r>
      <w:r>
        <w:rPr>
          <w:rFonts w:ascii="Arial" w:cs="Arial" w:eastAsia="Arial" w:hAnsi="Arial"/>
          <w:sz w:val="14"/>
          <w:szCs w:val="14"/>
          <w:color w:val="auto"/>
        </w:rPr>
        <w:t>), will continue to rise with increased use of fossil fuels. Against this background Shell is leveraging a strong, wide-ranging energy portfolio and integrated value chains to meet the challenge of providing more energy in a secure and responsible way.</w:t>
      </w:r>
    </w:p>
    <w:p>
      <w:pPr>
        <w:spacing w:after="0" w:line="179"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Against the background of high energy prices, competition for access to resources will remain intense. Cost inflation continues at a high rate, in certain cases exacerbated by a weakening US dollar. Capital cost inflation impacts the upstream and downstream projects alike. Continued focus on project delivery and on operational excellence will be key for success.</w:t>
      </w:r>
    </w:p>
    <w:p>
      <w:pPr>
        <w:spacing w:after="0" w:line="174" w:lineRule="exact"/>
        <w:rPr>
          <w:sz w:val="20"/>
          <w:szCs w:val="20"/>
          <w:color w:val="auto"/>
        </w:rPr>
      </w:pPr>
    </w:p>
    <w:p>
      <w:pPr>
        <w:ind w:right="120"/>
        <w:spacing w:after="0" w:line="247" w:lineRule="auto"/>
        <w:rPr>
          <w:sz w:val="20"/>
          <w:szCs w:val="20"/>
          <w:color w:val="auto"/>
        </w:rPr>
      </w:pPr>
      <w:r>
        <w:rPr>
          <w:rFonts w:ascii="Arial" w:cs="Arial" w:eastAsia="Arial" w:hAnsi="Arial"/>
          <w:sz w:val="13"/>
          <w:szCs w:val="13"/>
          <w:color w:val="auto"/>
        </w:rPr>
        <w:t>In our upstream businesses, we will continue to focus on developing major new projects with long, productive lives. In the downstream businesses, our emphasis will be on sustained cash generation and on continuing to reshape our portfolio with a focus on the faster growing markets of Asia Pacific. We create further value by managing our portfolio and leveraging our proprietary technology and the quality of our people.</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Our strategy seeks to reinforce our position as a leader in the industry and provide investors with a competitive and sustained total shareholder return. In 2008, we expect around 80% of our capital investment will be in upstream and oil sands projects. In downstream, our capital programme will maintain and enhance our competitive position by improving the quality, safety and competitiveness of our refineries and building on our presence in growth markets.</w:t>
      </w:r>
    </w:p>
    <w:p>
      <w:pPr>
        <w:spacing w:after="0" w:line="176" w:lineRule="exact"/>
        <w:rPr>
          <w:sz w:val="20"/>
          <w:szCs w:val="20"/>
          <w:color w:val="auto"/>
        </w:rPr>
      </w:pPr>
    </w:p>
    <w:p>
      <w:pPr>
        <w:ind w:right="220"/>
        <w:spacing w:after="0" w:line="247" w:lineRule="auto"/>
        <w:rPr>
          <w:sz w:val="20"/>
          <w:szCs w:val="20"/>
          <w:color w:val="auto"/>
        </w:rPr>
      </w:pPr>
      <w:r>
        <w:rPr>
          <w:rFonts w:ascii="Arial" w:cs="Arial" w:eastAsia="Arial" w:hAnsi="Arial"/>
          <w:sz w:val="13"/>
          <w:szCs w:val="13"/>
          <w:color w:val="auto"/>
        </w:rPr>
        <w:t>Meeting growing world demand for energy in ways that minimise environmental and social impact is a major challenge for the global energy industry. Shell is committed to improving energy efficiency in its own operations and supporting customers in managing their energy demands. We are also working to create a world leading biofuels business and aim to build a material capability in the capture and storage of CO</w:t>
      </w:r>
      <w:r>
        <w:rPr>
          <w:rFonts w:ascii="Arial" w:cs="Arial" w:eastAsia="Arial" w:hAnsi="Arial"/>
          <w:sz w:val="11"/>
          <w:szCs w:val="11"/>
          <w:color w:val="auto"/>
        </w:rPr>
        <w:t>2</w:t>
      </w:r>
      <w:r>
        <w:rPr>
          <w:rFonts w:ascii="Arial" w:cs="Arial" w:eastAsia="Arial" w:hAnsi="Arial"/>
          <w:sz w:val="13"/>
          <w:szCs w:val="13"/>
          <w:color w:val="auto"/>
        </w:rPr>
        <w:t>.</w:t>
      </w:r>
    </w:p>
    <w:p>
      <w:pPr>
        <w:spacing w:after="0" w:line="17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Our commitment to technology and innovation continues to be at the core of our strategy. As energy projects become more complex and more technically demanding, we believe our technologies and technical expertise will be telling factors in the growth of our business. Shell’s key strengths include the development and application of technology, the financial and project management skills that allow us to undertake large oil and gas projects, and the management of integrated value chains. We also benefit from having a diverse international business portfolio and customer-focused businesses built around the strength of the Shell brand. As such, we are well placed to be preferred partners for governments and other resource holders, now and in the future.</w:t>
      </w:r>
    </w:p>
    <w:p>
      <w:pPr>
        <w:sectPr>
          <w:pgSz w:w="11900" w:h="16838" w:orient="portrait"/>
          <w:cols w:equalWidth="0" w:num="2">
            <w:col w:w="5600" w:space="340"/>
            <w:col w:w="5480"/>
          </w:cols>
          <w:pgMar w:left="240" w:top="415"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67" w:lineRule="exact"/>
        <w:rPr>
          <w:sz w:val="20"/>
          <w:szCs w:val="20"/>
          <w:color w:val="auto"/>
        </w:rPr>
      </w:pPr>
    </w:p>
    <w:p>
      <w:pPr>
        <w:ind w:right="160"/>
        <w:spacing w:after="0" w:line="245" w:lineRule="auto"/>
        <w:rPr>
          <w:sz w:val="20"/>
          <w:szCs w:val="20"/>
          <w:color w:val="auto"/>
        </w:rPr>
      </w:pPr>
      <w:r>
        <w:rPr>
          <w:rFonts w:ascii="Arial" w:cs="Arial" w:eastAsia="Arial" w:hAnsi="Arial"/>
          <w:sz w:val="13"/>
          <w:szCs w:val="13"/>
          <w:color w:val="auto"/>
        </w:rPr>
        <w:t>Despite the US housing slump and bouts of turbulence in international credit and money markets, the ongoing expansion of the global economy remained robust in 2007. At 4.9% in 2007, global growth was down slightly from the 5.0% registered in 2006, but up from 4.4% in 2005. China, India, Russia and other emerging markets accounted for much of global growth in 2007. In contrast, growth in advanced countries slowed with the weakening of the US economy.</w:t>
      </w:r>
    </w:p>
    <w:p>
      <w:pPr>
        <w:spacing w:after="0" w:line="177"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In the USA, growth in 2007 was 2.2%, well below its trend rate. For 2008, the housing downturn and financial strains are likely to continue to weigh on the US economy according to the Federal Reserve.</w:t>
      </w:r>
    </w:p>
    <w:p>
      <w:pPr>
        <w:spacing w:after="0" w:line="180"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European economic growth moderated in 2007 to 2.6% from 2.8% in 2006, as appreciation of the euro reduced the contribution to growth from net exports. Business investment remained firm, buoyed by corporate profits. However, the strong currency and strains in international credit and money markets began to weigh on business and consumer sentiment as the year progressed. These factors point to a possible moderation of growth in 2008 towards its trend rate.</w:t>
      </w:r>
    </w:p>
    <w:p>
      <w:pPr>
        <w:spacing w:after="0" w:line="183"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Growth in the Japanese economy also moderated in 2007 to 1.9%. Growth in domestic demand has been mixed with net exports and business investment holding up well while consumption growth faltered.</w:t>
      </w:r>
    </w:p>
    <w:p>
      <w:pPr>
        <w:spacing w:after="0" w:line="180"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China and India saw continued robust growth in 2007. In China, consumption made a growing contribution to growth as exports slowed. Meanwhile in India, it was domestic demand and the services sector that underpinned the expansion. For 2008, growth in these two countries is expected to ease back from their recent heights, but still to continue apace.</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Global growth is likely to moderate further towards its longer-term trend rate in 2008, with risks slanted toward the downside. The main downside risk remains the potential for a wider and deeper slowdown in US domestic demand. The main upside potential is in the major emerging markets growing more rapidly than expected. As in 2007, these markets have the potential to continue to perform above expectations.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OIL AND NATURAL GAS PRICES</w:t>
      </w:r>
    </w:p>
    <w:p>
      <w:pPr>
        <w:spacing w:after="0" w:line="6"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Brent crude oil prices averaged $72.45 per barrel in 2007 compared with $65.10 in 2006, while West Texas Intermediate (WTI) averaged $72.16 per barrel compared with $66.04 a year earlier. Oil prices increased in 2007 due to a combination of strong world economic growth, political tensions in the Middle East and Nigeria, modest non-OPEC supply growth and OPEC supply restraint, reaching highs of just over $96.00 per barrel for Brent and WTI late December.</w:t>
      </w:r>
    </w:p>
    <w:p>
      <w:pPr>
        <w:spacing w:after="0" w:line="183" w:lineRule="exact"/>
        <w:rPr>
          <w:sz w:val="20"/>
          <w:szCs w:val="20"/>
          <w:color w:val="auto"/>
        </w:rPr>
      </w:pPr>
    </w:p>
    <w:p>
      <w:pPr>
        <w:ind w:right="280"/>
        <w:spacing w:after="0" w:line="235" w:lineRule="auto"/>
        <w:rPr>
          <w:sz w:val="20"/>
          <w:szCs w:val="20"/>
          <w:color w:val="auto"/>
        </w:rPr>
      </w:pPr>
      <w:r>
        <w:rPr>
          <w:rFonts w:ascii="Arial" w:cs="Arial" w:eastAsia="Arial" w:hAnsi="Arial"/>
          <w:sz w:val="14"/>
          <w:szCs w:val="14"/>
          <w:color w:val="auto"/>
        </w:rPr>
        <w:t>We expect oil prices in 2008, on balance, to remain robust with modest non-OPEC supply growth, continuing geopolitical tensions and OPEC supply restraint, but moderated by slower economic growth.</w:t>
      </w:r>
    </w:p>
    <w:p>
      <w:pPr>
        <w:spacing w:after="0" w:line="180"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Henry Hub gas prices in the USA averaged $6.94 per million British thermal units (Btu) in 2007 compared with $6.76 in 2006. Prices moderated as far down as $5.97 per million Btu in September, due to high inventory levels caused by a relatively warm winter and the absence of weather related supply disruptions during the hurricane season. Prices rebounded to $7.01 per million Btu in November with the onset of the winter season.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In the UK, prices at the National Balancing Point averaged 30.02 pence/therm in 2007 compared with 41.93 pence/therm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-198120</wp:posOffset>
            </wp:positionV>
            <wp:extent cx="282575" cy="7477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575" cy="7477125"/>
                    </a:xfrm>
                    <a:prstGeom prst="rect">
                      <a:avLst/>
                    </a:prstGeom>
                    <a:noFill/>
                  </pic:spPr>
                </pic:pic>
              </a:graphicData>
            </a:graphic>
          </wp:anchor>
        </w:drawing>
      </w:r>
    </w:p>
    <w:p>
      <w:pPr>
        <w:spacing w:after="0" w:line="155" w:lineRule="exact"/>
        <w:rPr>
          <w:sz w:val="20"/>
          <w:szCs w:val="20"/>
          <w:color w:val="auto"/>
        </w:rPr>
      </w:pPr>
    </w:p>
    <w:p>
      <w:pPr>
        <w:ind w:right="20"/>
        <w:spacing w:after="0" w:line="225" w:lineRule="auto"/>
        <w:rPr>
          <w:sz w:val="20"/>
          <w:szCs w:val="20"/>
          <w:color w:val="auto"/>
        </w:rPr>
      </w:pPr>
      <w:r>
        <w:rPr>
          <w:rFonts w:ascii="Arial" w:cs="Arial" w:eastAsia="Arial" w:hAnsi="Arial"/>
          <w:sz w:val="14"/>
          <w:szCs w:val="14"/>
          <w:color w:val="auto"/>
        </w:rPr>
        <w:t>The drivers of natural gas prices are more regional in nature than the relatively global nature of crude oil pricing. While the Henry Hub price is a recognised price benchmark in North America, Shell also produces and sells natural gas in other areas that have significantly different supply, demand and regulatory circumstances and therefore pricing structures. Natural gas prices in continental Europe and Asia Pacific are predominantly indexed to oil prices. In both regions, prices have risen reflecting higher oil prices and strong demand.</w:t>
      </w:r>
    </w:p>
    <w:p>
      <w:pPr>
        <w:spacing w:after="0" w:line="188" w:lineRule="exact"/>
        <w:rPr>
          <w:sz w:val="20"/>
          <w:szCs w:val="20"/>
          <w:color w:val="auto"/>
        </w:rPr>
      </w:pPr>
    </w:p>
    <w:p>
      <w:pPr>
        <w:spacing w:after="0" w:line="223" w:lineRule="auto"/>
        <w:rPr>
          <w:sz w:val="20"/>
          <w:szCs w:val="20"/>
          <w:color w:val="auto"/>
        </w:rPr>
      </w:pPr>
      <w:r>
        <w:rPr>
          <w:rFonts w:ascii="Arial" w:cs="Arial" w:eastAsia="Arial" w:hAnsi="Arial"/>
          <w:sz w:val="14"/>
          <w:szCs w:val="14"/>
          <w:b w:val="1"/>
          <w:bCs w:val="1"/>
          <w:color w:val="auto"/>
        </w:rPr>
        <w:t xml:space="preserve">OIL AND NATURAL GAS PRICES FOR INVESTMENT EVALUATION </w:t>
      </w:r>
      <w:r>
        <w:rPr>
          <w:rFonts w:ascii="Arial" w:cs="Arial" w:eastAsia="Arial" w:hAnsi="Arial"/>
          <w:sz w:val="14"/>
          <w:szCs w:val="14"/>
          <w:color w:val="auto"/>
        </w:rPr>
        <w:t>The range of possible future crude oil and natural gas prices used in project and portfolio evaluations within Shell are determined after assessment of short, medium and long-term price drivers under different sets of assumptions. Historical analysis, trends and statistical volatility are part of this assessment, as well as analysis of possible future global and regional economic conditions, geopolitics, OPEC actions, cost of future supply and the balance of supply and demand. Sensitivity analyses are used to test the impact of low price drivers like economic weakness and high investment levels in new production, and high price drivers like strong economic growth and low investment levels in new production. Short-term events, such as relatively warm winters or cool summers, weather and (geo)political related supply disruptions and the resulting effects on demand and inventory levels, contribute to price volatility.</w:t>
      </w:r>
    </w:p>
    <w:p>
      <w:pPr>
        <w:spacing w:after="0" w:line="18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During 2007, Shell used a grid based on low, medium and high oil and gas prices to test the economic performance of long-term projects. The prices utilised were significantly lower than the average market industry prices for 2007. As part of normal business practice, the range of prices used for this purpose continues to be under review and may change.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DOWNSTREAM MARKET TRENDS</w:t>
      </w:r>
    </w:p>
    <w:p>
      <w:pPr>
        <w:spacing w:after="0" w:line="6" w:lineRule="exact"/>
        <w:rPr>
          <w:sz w:val="20"/>
          <w:szCs w:val="20"/>
          <w:color w:val="auto"/>
        </w:rPr>
      </w:pPr>
    </w:p>
    <w:p>
      <w:pPr>
        <w:ind w:right="20"/>
        <w:spacing w:after="0"/>
        <w:rPr>
          <w:sz w:val="20"/>
          <w:szCs w:val="20"/>
          <w:color w:val="auto"/>
        </w:rPr>
      </w:pPr>
      <w:r>
        <w:rPr>
          <w:rFonts w:ascii="Arial" w:cs="Arial" w:eastAsia="Arial" w:hAnsi="Arial"/>
          <w:sz w:val="13"/>
          <w:szCs w:val="13"/>
          <w:color w:val="auto"/>
        </w:rPr>
        <w:t>Industry refining margins remained strong in 2007, particularly in the USA, amid robust global product demand growth. In the absence of any major disruptions, refining margins are expected to trend lower in 2008 than 2007 with new conversion capacities expected to come on-stream and the prospect for potentially slower global economic growth. However, the eventual levels are uncertain and will be strongly influenced by the pace of global economic growth, the effect of persistently high oil prices on product demand and start-up timing of expected refinery expansions.</w:t>
      </w:r>
    </w:p>
    <w:p>
      <w:pPr>
        <w:spacing w:after="0" w:line="180"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demand for petrochemicals in 2008 is expected to increase in line with the growth in the global economy, mainly in Asia Pacific. Globally, new expected industry capacity additions coupled with the prospect of continued high feedstock and energy costs may limit the opportunities for improving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3580" w:type="dxa"/>
        <w:tblCellMar>
          <w:top w:w="0" w:type="dxa"/>
          <w:left w:w="0" w:type="dxa"/>
          <w:bottom w:w="0" w:type="dxa"/>
          <w:right w:w="0" w:type="dxa"/>
        </w:tblCellMar>
      </w:tblPr>
      <w:tr>
        <w:trPr>
          <w:trHeight w:val="161"/>
        </w:trPr>
        <w:tc>
          <w:tcPr>
            <w:tcW w:w="1200" w:type="dxa"/>
            <w:vAlign w:val="bottom"/>
          </w:tcPr>
          <w:p>
            <w:pPr>
              <w:spacing w:after="0"/>
              <w:rPr>
                <w:sz w:val="20"/>
                <w:szCs w:val="20"/>
                <w:color w:val="auto"/>
              </w:rPr>
            </w:pPr>
            <w:r>
              <w:rPr>
                <w:rFonts w:ascii="Arial" w:cs="Arial" w:eastAsia="Arial" w:hAnsi="Arial"/>
                <w:sz w:val="12"/>
                <w:szCs w:val="12"/>
                <w:color w:val="auto"/>
              </w:rPr>
              <w:t>Royal Dutch Shell plc</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1336675</wp:posOffset>
            </wp:positionV>
            <wp:extent cx="725297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BUSINESS AND MARKET OVERVIEW</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ACTIVITIES, INTERESTS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31883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73" w:lineRule="exact"/>
        <w:rPr>
          <w:sz w:val="20"/>
          <w:szCs w:val="20"/>
          <w:color w:val="auto"/>
        </w:rPr>
      </w:pPr>
    </w:p>
    <w:p>
      <w:pPr>
        <w:ind w:right="300"/>
        <w:spacing w:after="0" w:line="239" w:lineRule="auto"/>
        <w:rPr>
          <w:sz w:val="20"/>
          <w:szCs w:val="20"/>
          <w:color w:val="auto"/>
        </w:rPr>
      </w:pPr>
      <w:r>
        <w:rPr>
          <w:rFonts w:ascii="Arial" w:cs="Arial" w:eastAsia="Arial" w:hAnsi="Arial"/>
          <w:sz w:val="13"/>
          <w:szCs w:val="13"/>
          <w:color w:val="auto"/>
        </w:rPr>
        <w:t>Our various activities are conducted in more than 110 countries and territories. Shell constitutes one of the largest independent oil and gas enterprises in the world (by a number of measures, including market capitalisation, operating cash flow and oil and gas production). Oil and gas, by far the largest of our business activities (including the oil and gas related revenues from the Exploration &amp; Production, Gas &amp; Power, Oil Sands and Oil Products segments), accounted for nearly 90% of revenue in 2007. We market oil products in more countries than any other oil company and have a strong position not only in the major industrialised countries but also in the developing ones. The distinctive Shell pecten (a trademark in use since the early part of the twentieth century) and trademarks in which the word Shell appears support this marketing effort throughout the world. Shell also ranks among the world’s major chemical companies (by sales); in 2007, the Chemicals segment accounted for just over 10% of the revenue of Shell.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A summary of revenue of Shell by business segment and by geographical region for the years 2005, 2006 and 2007 is set out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gridSpan w:val="2"/>
            <w:shd w:val="clear" w:color="auto" w:fill="FFD204"/>
          </w:tcPr>
          <w:p>
            <w:pPr>
              <w:jc w:val="right"/>
              <w:ind w:right="38"/>
              <w:spacing w:after="0"/>
              <w:rPr>
                <w:sz w:val="20"/>
                <w:szCs w:val="20"/>
                <w:color w:val="auto"/>
              </w:rPr>
            </w:pPr>
            <w:r>
              <w:rPr>
                <w:rFonts w:ascii="Arial" w:cs="Arial" w:eastAsia="Arial" w:hAnsi="Arial"/>
                <w:sz w:val="12"/>
                <w:szCs w:val="12"/>
                <w:b w:val="1"/>
                <w:bCs w:val="1"/>
                <w:color w:val="auto"/>
              </w:rPr>
              <w:t xml:space="preserve">REVENUE BY BUSINESS SEGMENT </w:t>
            </w:r>
            <w:r>
              <w:rPr>
                <w:rFonts w:ascii="Arial" w:cs="Arial" w:eastAsia="Arial" w:hAnsi="Arial"/>
                <w:sz w:val="12"/>
                <w:szCs w:val="12"/>
                <w:color w:val="auto"/>
              </w:rPr>
              <w:t>(including intersegment sales)</w:t>
            </w:r>
          </w:p>
        </w:tc>
        <w:tc>
          <w:tcPr>
            <w:tcW w:w="940" w:type="dxa"/>
            <w:vAlign w:val="bottom"/>
            <w:shd w:val="clear" w:color="auto" w:fill="FFD204"/>
          </w:tcPr>
          <w:p>
            <w:pPr>
              <w:spacing w:after="0"/>
              <w:rPr>
                <w:sz w:val="19"/>
                <w:szCs w:val="19"/>
                <w:color w:val="auto"/>
              </w:rPr>
            </w:pPr>
          </w:p>
        </w:tc>
        <w:tc>
          <w:tcPr>
            <w:tcW w:w="58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200"/>
        </w:trPr>
        <w:tc>
          <w:tcPr>
            <w:tcW w:w="3460" w:type="dxa"/>
            <w:vAlign w:val="bottom"/>
            <w:tcBorders>
              <w:right w:val="single" w:sz="8" w:color="CECAC6"/>
            </w:tcBorders>
            <w:shd w:val="clear" w:color="auto" w:fill="CECAC6"/>
          </w:tcPr>
          <w:p>
            <w:pPr>
              <w:spacing w:after="0"/>
              <w:rPr>
                <w:sz w:val="17"/>
                <w:szCs w:val="17"/>
                <w:color w:val="auto"/>
              </w:rPr>
            </w:pPr>
          </w:p>
        </w:tc>
        <w:tc>
          <w:tcPr>
            <w:tcW w:w="5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94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2006</w:t>
            </w:r>
          </w:p>
        </w:tc>
        <w:tc>
          <w:tcPr>
            <w:tcW w:w="5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27"/>
        </w:trPr>
        <w:tc>
          <w:tcPr>
            <w:tcW w:w="346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EXPLORATION &amp; PRODUCTION</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14,963</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16,750</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22,865</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38,345</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35,796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20,416</w:t>
            </w:r>
          </w:p>
        </w:tc>
      </w:tr>
      <w:tr>
        <w:trPr>
          <w:trHeight w:val="140"/>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53,308</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52,546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43,281</w:t>
            </w:r>
          </w:p>
        </w:tc>
      </w:tr>
      <w:tr>
        <w:trPr>
          <w:trHeight w:val="134"/>
        </w:trPr>
        <w:tc>
          <w:tcPr>
            <w:tcW w:w="346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highlight w:val="white"/>
              </w:rPr>
              <w:t xml:space="preserve">GAS </w:t>
            </w:r>
            <w:r>
              <w:rPr>
                <w:rFonts w:ascii="Arial" w:cs="Arial" w:eastAsia="Arial" w:hAnsi="Arial"/>
                <w:sz w:val="12"/>
                <w:szCs w:val="12"/>
                <w:color w:val="auto"/>
              </w:rPr>
              <w:t>&amp; POWER</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15,982</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16,035</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14,014</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1,056</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1,303</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1,858</w:t>
            </w:r>
          </w:p>
        </w:tc>
      </w:tr>
      <w:tr>
        <w:trPr>
          <w:trHeight w:val="140"/>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17,038</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17,338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15,872</w:t>
            </w:r>
          </w:p>
        </w:tc>
      </w:tr>
      <w:tr>
        <w:trPr>
          <w:trHeight w:val="134"/>
        </w:trPr>
        <w:tc>
          <w:tcPr>
            <w:tcW w:w="346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highlight w:val="white"/>
              </w:rPr>
              <w:t xml:space="preserve">OIL </w:t>
            </w:r>
            <w:r>
              <w:rPr>
                <w:rFonts w:ascii="Arial" w:cs="Arial" w:eastAsia="Arial" w:hAnsi="Arial"/>
                <w:sz w:val="12"/>
                <w:szCs w:val="12"/>
                <w:color w:val="auto"/>
              </w:rPr>
              <w:t>SANDS</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1,069</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1,159</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1,105</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1,785</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1,340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r>
      <w:tr>
        <w:trPr>
          <w:trHeight w:val="140"/>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2,854</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2,499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2,464</w:t>
            </w:r>
          </w:p>
        </w:tc>
      </w:tr>
      <w:tr>
        <w:trPr>
          <w:trHeight w:val="134"/>
        </w:trPr>
        <w:tc>
          <w:tcPr>
            <w:tcW w:w="346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highlight w:val="white"/>
              </w:rPr>
              <w:t xml:space="preserve">OIL </w:t>
            </w:r>
            <w:r>
              <w:rPr>
                <w:rFonts w:ascii="Arial" w:cs="Arial" w:eastAsia="Arial" w:hAnsi="Arial"/>
                <w:sz w:val="12"/>
                <w:szCs w:val="12"/>
                <w:color w:val="auto"/>
              </w:rPr>
              <w:t>PRODUCTS</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r>
              <w:rPr>
                <w:rFonts w:ascii="Arial" w:cs="Arial" w:eastAsia="Arial" w:hAnsi="Arial"/>
                <w:sz w:val="10"/>
                <w:szCs w:val="10"/>
                <w:color w:val="auto"/>
              </w:rPr>
              <w:t>[A]</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w w:val="96"/>
                <w:shd w:val="clear" w:color="auto" w:fill="E4E3E1"/>
              </w:rPr>
              <w:t>282,665</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248,581</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237,210</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3,407</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2,728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16,643</w:t>
            </w:r>
          </w:p>
        </w:tc>
      </w:tr>
      <w:tr>
        <w:trPr>
          <w:trHeight w:val="140"/>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w w:val="96"/>
                <w:shd w:val="clear" w:color="auto" w:fill="E4E3E1"/>
              </w:rPr>
              <w:t>286,072</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251,309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253,853</w:t>
            </w:r>
          </w:p>
        </w:tc>
      </w:tr>
      <w:tr>
        <w:trPr>
          <w:trHeight w:val="134"/>
        </w:trPr>
        <w:tc>
          <w:tcPr>
            <w:tcW w:w="346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highlight w:val="white"/>
              </w:rPr>
              <w:t>CHEMICALS</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r>
              <w:rPr>
                <w:rFonts w:ascii="Arial" w:cs="Arial" w:eastAsia="Arial" w:hAnsi="Arial"/>
                <w:sz w:val="10"/>
                <w:szCs w:val="10"/>
                <w:color w:val="auto"/>
              </w:rPr>
              <w:t>[B]</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41,046</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36,306</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31,018</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4,865</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4,444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3,978</w:t>
            </w:r>
          </w:p>
        </w:tc>
      </w:tr>
      <w:tr>
        <w:trPr>
          <w:trHeight w:val="140"/>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45,911</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40,750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34,996</w:t>
            </w:r>
          </w:p>
        </w:tc>
      </w:tr>
      <w:tr>
        <w:trPr>
          <w:trHeight w:val="134"/>
        </w:trPr>
        <w:tc>
          <w:tcPr>
            <w:tcW w:w="346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highlight w:val="white"/>
              </w:rPr>
              <w:t>CORPORATE</w:t>
            </w:r>
          </w:p>
        </w:tc>
        <w:tc>
          <w:tcPr>
            <w:tcW w:w="50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3"/>
        </w:trPr>
        <w:tc>
          <w:tcPr>
            <w:tcW w:w="346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Third parties</w:t>
            </w: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57</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14</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519</w:t>
            </w:r>
          </w:p>
        </w:tc>
      </w:tr>
      <w:tr>
        <w:trPr>
          <w:trHeight w:val="139"/>
        </w:trPr>
        <w:tc>
          <w:tcPr>
            <w:tcW w:w="346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Intersegment</w:t>
            </w: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3460" w:type="dxa"/>
            <w:vAlign w:val="bottom"/>
            <w:tcBorders>
              <w:bottom w:val="single" w:sz="8" w:color="auto"/>
              <w:right w:val="single" w:sz="8" w:color="E4E3E1"/>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57</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-1991360</wp:posOffset>
            </wp:positionV>
            <wp:extent cx="4254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-1619250</wp:posOffset>
            </wp:positionV>
            <wp:extent cx="4254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-1247140</wp:posOffset>
            </wp:positionV>
            <wp:extent cx="42545" cy="114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545" cy="1143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-875030</wp:posOffset>
            </wp:positionV>
            <wp:extent cx="42545" cy="1143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45" cy="1143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-502920</wp:posOffset>
            </wp:positionV>
            <wp:extent cx="4254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-130175</wp:posOffset>
            </wp:positionV>
            <wp:extent cx="42545" cy="1143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45" cy="114300"/>
                    </a:xfrm>
                    <a:prstGeom prst="rect">
                      <a:avLst/>
                    </a:prstGeom>
                    <a:noFill/>
                  </pic:spPr>
                </pic:pic>
              </a:graphicData>
            </a:graphic>
          </wp:anchor>
        </w:drawing>
      </w:r>
    </w:p>
    <w:p>
      <w:pPr>
        <w:spacing w:after="0" w:line="29" w:lineRule="exact"/>
        <w:rPr>
          <w:sz w:val="20"/>
          <w:szCs w:val="20"/>
          <w:color w:val="auto"/>
        </w:rPr>
      </w:pPr>
    </w:p>
    <w:p>
      <w:pPr>
        <w:sectPr>
          <w:pgSz w:w="11900" w:h="16838" w:orient="portrait"/>
          <w:cols w:equalWidth="0" w:num="2">
            <w:col w:w="5220" w:space="720"/>
            <w:col w:w="5480"/>
          </w:cols>
          <w:pgMar w:left="240" w:top="415" w:right="239" w:bottom="1440" w:gutter="0" w:footer="0" w:header="0"/>
        </w:sectPr>
      </w:pPr>
    </w:p>
    <w:p>
      <w:pPr>
        <w:ind w:left="5940"/>
        <w:spacing w:after="0"/>
        <w:rPr>
          <w:sz w:val="20"/>
          <w:szCs w:val="20"/>
          <w:color w:val="auto"/>
        </w:rPr>
      </w:pPr>
      <w:r>
        <w:rPr>
          <w:rFonts w:ascii="Arial" w:cs="Arial" w:eastAsia="Arial" w:hAnsi="Arial"/>
          <w:sz w:val="12"/>
          <w:szCs w:val="12"/>
          <w:color w:val="auto"/>
        </w:rPr>
        <w:t>[A]  The figures in this table, which include crude oil sales and non-fuel revenue, are different from</w:t>
      </w:r>
    </w:p>
    <w:tbl>
      <w:tblPr>
        <w:tblLayout w:type="fixed"/>
        <w:tblInd w:w="0" w:type="dxa"/>
        <w:tblCellMar>
          <w:top w:w="0" w:type="dxa"/>
          <w:left w:w="0" w:type="dxa"/>
          <w:bottom w:w="0" w:type="dxa"/>
          <w:right w:w="0" w:type="dxa"/>
        </w:tblCellMar>
      </w:tblPr>
      <w:tr>
        <w:trPr>
          <w:trHeight w:val="133"/>
        </w:trPr>
        <w:tc>
          <w:tcPr>
            <w:tcW w:w="4960" w:type="dxa"/>
            <w:vAlign w:val="bottom"/>
          </w:tcPr>
          <w:p>
            <w:pPr>
              <w:spacing w:after="0"/>
              <w:rPr>
                <w:sz w:val="11"/>
                <w:szCs w:val="11"/>
                <w:color w:val="auto"/>
              </w:rPr>
            </w:pPr>
          </w:p>
        </w:tc>
        <w:tc>
          <w:tcPr>
            <w:tcW w:w="5180" w:type="dxa"/>
            <w:vAlign w:val="bottom"/>
            <w:gridSpan w:val="5"/>
          </w:tcPr>
          <w:p>
            <w:pPr>
              <w:jc w:val="right"/>
              <w:spacing w:after="0" w:line="133" w:lineRule="exact"/>
              <w:rPr>
                <w:sz w:val="20"/>
                <w:szCs w:val="20"/>
                <w:color w:val="auto"/>
              </w:rPr>
            </w:pPr>
            <w:r>
              <w:rPr>
                <w:rFonts w:ascii="Arial" w:cs="Arial" w:eastAsia="Arial" w:hAnsi="Arial"/>
                <w:sz w:val="12"/>
                <w:szCs w:val="12"/>
                <w:color w:val="auto"/>
              </w:rPr>
              <w:t>the table shown on page 52, which excludes these sales and revenues.</w:t>
            </w: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4960" w:type="dxa"/>
            <w:vAlign w:val="bottom"/>
          </w:tcPr>
          <w:p>
            <w:pPr>
              <w:spacing w:after="0"/>
              <w:rPr>
                <w:sz w:val="11"/>
                <w:szCs w:val="11"/>
                <w:color w:val="auto"/>
              </w:rPr>
            </w:pPr>
          </w:p>
        </w:tc>
        <w:tc>
          <w:tcPr>
            <w:tcW w:w="6460" w:type="dxa"/>
            <w:vAlign w:val="bottom"/>
            <w:gridSpan w:val="7"/>
          </w:tcPr>
          <w:p>
            <w:pPr>
              <w:jc w:val="right"/>
              <w:spacing w:after="0" w:line="133" w:lineRule="exact"/>
              <w:rPr>
                <w:sz w:val="20"/>
                <w:szCs w:val="20"/>
                <w:color w:val="auto"/>
              </w:rPr>
            </w:pPr>
            <w:r>
              <w:rPr>
                <w:rFonts w:ascii="Arial" w:cs="Arial" w:eastAsia="Arial" w:hAnsi="Arial"/>
                <w:sz w:val="12"/>
                <w:szCs w:val="12"/>
                <w:color w:val="auto"/>
              </w:rPr>
              <w:t>[B]  The figures in this table, which includes chemical feedstock trading, are different from the table</w:t>
            </w:r>
          </w:p>
        </w:tc>
      </w:tr>
      <w:tr>
        <w:trPr>
          <w:trHeight w:val="148"/>
        </w:trPr>
        <w:tc>
          <w:tcPr>
            <w:tcW w:w="4960" w:type="dxa"/>
            <w:vAlign w:val="bottom"/>
          </w:tcPr>
          <w:p>
            <w:pPr>
              <w:spacing w:after="0"/>
              <w:rPr>
                <w:sz w:val="12"/>
                <w:szCs w:val="12"/>
                <w:color w:val="auto"/>
              </w:rPr>
            </w:pPr>
          </w:p>
        </w:tc>
        <w:tc>
          <w:tcPr>
            <w:tcW w:w="5180" w:type="dxa"/>
            <w:vAlign w:val="bottom"/>
            <w:gridSpan w:val="5"/>
          </w:tcPr>
          <w:p>
            <w:pPr>
              <w:jc w:val="right"/>
              <w:ind w:right="438"/>
              <w:spacing w:after="0"/>
              <w:rPr>
                <w:sz w:val="20"/>
                <w:szCs w:val="20"/>
                <w:color w:val="auto"/>
              </w:rPr>
            </w:pPr>
            <w:r>
              <w:rPr>
                <w:rFonts w:ascii="Arial" w:cs="Arial" w:eastAsia="Arial" w:hAnsi="Arial"/>
                <w:sz w:val="12"/>
                <w:szCs w:val="12"/>
                <w:color w:val="auto"/>
              </w:rPr>
              <w:t>shown on page 56, which excludes chemical feedstock trading.</w:t>
            </w: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364"/>
        </w:trPr>
        <w:tc>
          <w:tcPr>
            <w:tcW w:w="49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33"/>
        </w:trPr>
        <w:tc>
          <w:tcPr>
            <w:tcW w:w="4960" w:type="dxa"/>
            <w:vAlign w:val="bottom"/>
            <w:shd w:val="clear" w:color="auto" w:fill="FFD204"/>
          </w:tcPr>
          <w:p>
            <w:pPr>
              <w:ind w:left="40"/>
              <w:spacing w:after="0" w:line="133" w:lineRule="exact"/>
              <w:rPr>
                <w:sz w:val="20"/>
                <w:szCs w:val="20"/>
                <w:color w:val="auto"/>
              </w:rPr>
            </w:pPr>
            <w:r>
              <w:rPr>
                <w:rFonts w:ascii="Arial" w:cs="Arial" w:eastAsia="Arial" w:hAnsi="Arial"/>
                <w:sz w:val="12"/>
                <w:szCs w:val="12"/>
                <w:b w:val="1"/>
                <w:bCs w:val="1"/>
                <w:color w:val="auto"/>
              </w:rPr>
              <w:t xml:space="preserve">REVENUE BY GEOGRAPHICAL AREA </w:t>
            </w:r>
            <w:r>
              <w:rPr>
                <w:rFonts w:ascii="Arial" w:cs="Arial" w:eastAsia="Arial" w:hAnsi="Arial"/>
                <w:sz w:val="12"/>
                <w:szCs w:val="12"/>
                <w:color w:val="auto"/>
              </w:rPr>
              <w:t>(including intersegment sales)</w:t>
            </w:r>
          </w:p>
        </w:tc>
        <w:tc>
          <w:tcPr>
            <w:tcW w:w="2240" w:type="dxa"/>
            <w:vAlign w:val="bottom"/>
            <w:shd w:val="clear" w:color="auto" w:fill="FFD204"/>
          </w:tcPr>
          <w:p>
            <w:pPr>
              <w:spacing w:after="0"/>
              <w:rPr>
                <w:sz w:val="11"/>
                <w:szCs w:val="11"/>
                <w:color w:val="auto"/>
              </w:rPr>
            </w:pPr>
          </w:p>
        </w:tc>
        <w:tc>
          <w:tcPr>
            <w:tcW w:w="660" w:type="dxa"/>
            <w:vAlign w:val="bottom"/>
            <w:shd w:val="clear" w:color="auto" w:fill="FFD204"/>
          </w:tcPr>
          <w:p>
            <w:pPr>
              <w:spacing w:after="0"/>
              <w:rPr>
                <w:sz w:val="11"/>
                <w:szCs w:val="11"/>
                <w:color w:val="auto"/>
              </w:rPr>
            </w:pPr>
          </w:p>
        </w:tc>
        <w:tc>
          <w:tcPr>
            <w:tcW w:w="660" w:type="dxa"/>
            <w:vAlign w:val="bottom"/>
            <w:shd w:val="clear" w:color="auto" w:fill="FFD204"/>
          </w:tcPr>
          <w:p>
            <w:pPr>
              <w:spacing w:after="0"/>
              <w:rPr>
                <w:sz w:val="11"/>
                <w:szCs w:val="11"/>
                <w:color w:val="auto"/>
              </w:rPr>
            </w:pPr>
          </w:p>
        </w:tc>
        <w:tc>
          <w:tcPr>
            <w:tcW w:w="840" w:type="dxa"/>
            <w:vAlign w:val="bottom"/>
            <w:shd w:val="clear" w:color="auto" w:fill="FFD204"/>
          </w:tcPr>
          <w:p>
            <w:pPr>
              <w:spacing w:after="0"/>
              <w:rPr>
                <w:sz w:val="11"/>
                <w:szCs w:val="11"/>
                <w:color w:val="auto"/>
              </w:rPr>
            </w:pPr>
          </w:p>
        </w:tc>
        <w:tc>
          <w:tcPr>
            <w:tcW w:w="780" w:type="dxa"/>
            <w:vAlign w:val="bottom"/>
            <w:shd w:val="clear" w:color="auto" w:fill="FFD204"/>
          </w:tcPr>
          <w:p>
            <w:pPr>
              <w:spacing w:after="0"/>
              <w:rPr>
                <w:sz w:val="11"/>
                <w:szCs w:val="11"/>
                <w:color w:val="auto"/>
              </w:rPr>
            </w:pPr>
          </w:p>
        </w:tc>
        <w:tc>
          <w:tcPr>
            <w:tcW w:w="580" w:type="dxa"/>
            <w:vAlign w:val="bottom"/>
            <w:shd w:val="clear" w:color="auto" w:fill="FFD204"/>
          </w:tcPr>
          <w:p>
            <w:pPr>
              <w:spacing w:after="0"/>
              <w:rPr>
                <w:sz w:val="11"/>
                <w:szCs w:val="11"/>
                <w:color w:val="auto"/>
              </w:rPr>
            </w:pPr>
          </w:p>
        </w:tc>
        <w:tc>
          <w:tcPr>
            <w:tcW w:w="700" w:type="dxa"/>
            <w:vAlign w:val="bottom"/>
            <w:shd w:val="clear" w:color="auto" w:fill="FFD204"/>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r>
      <w:tr>
        <w:trPr>
          <w:trHeight w:val="200"/>
        </w:trPr>
        <w:tc>
          <w:tcPr>
            <w:tcW w:w="4960" w:type="dxa"/>
            <w:vAlign w:val="bottom"/>
            <w:shd w:val="clear" w:color="auto" w:fill="CECAC6"/>
          </w:tcPr>
          <w:p>
            <w:pPr>
              <w:spacing w:after="0"/>
              <w:rPr>
                <w:sz w:val="17"/>
                <w:szCs w:val="17"/>
                <w:color w:val="auto"/>
              </w:rPr>
            </w:pPr>
          </w:p>
        </w:tc>
        <w:tc>
          <w:tcPr>
            <w:tcW w:w="290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6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w:t>
            </w:r>
          </w:p>
        </w:tc>
        <w:tc>
          <w:tcPr>
            <w:tcW w:w="84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2006</w:t>
            </w:r>
          </w:p>
        </w:tc>
        <w:tc>
          <w:tcPr>
            <w:tcW w:w="7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w:t>
            </w:r>
          </w:p>
        </w:tc>
        <w:tc>
          <w:tcPr>
            <w:tcW w:w="58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2005</w:t>
            </w:r>
          </w:p>
        </w:tc>
        <w:tc>
          <w:tcPr>
            <w:tcW w:w="7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w:t>
            </w:r>
          </w:p>
        </w:tc>
      </w:tr>
      <w:tr>
        <w:trPr>
          <w:trHeight w:val="127"/>
        </w:trPr>
        <w:tc>
          <w:tcPr>
            <w:tcW w:w="4960" w:type="dxa"/>
            <w:vAlign w:val="bottom"/>
          </w:tcPr>
          <w:p>
            <w:pPr>
              <w:spacing w:after="0" w:line="128" w:lineRule="exact"/>
              <w:rPr>
                <w:sz w:val="20"/>
                <w:szCs w:val="20"/>
                <w:color w:val="auto"/>
              </w:rPr>
            </w:pPr>
            <w:r>
              <w:rPr>
                <w:rFonts w:ascii="Arial" w:cs="Arial" w:eastAsia="Arial" w:hAnsi="Arial"/>
                <w:sz w:val="12"/>
                <w:szCs w:val="12"/>
                <w:color w:val="auto"/>
              </w:rPr>
              <w:t>Europe</w:t>
            </w:r>
          </w:p>
        </w:tc>
        <w:tc>
          <w:tcPr>
            <w:tcW w:w="2240" w:type="dxa"/>
            <w:vAlign w:val="bottom"/>
          </w:tcPr>
          <w:p>
            <w:pPr>
              <w:spacing w:after="0"/>
              <w:rPr>
                <w:sz w:val="11"/>
                <w:szCs w:val="11"/>
                <w:color w:val="auto"/>
              </w:rPr>
            </w:pPr>
          </w:p>
        </w:tc>
        <w:tc>
          <w:tcPr>
            <w:tcW w:w="6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148,465</w:t>
            </w:r>
          </w:p>
        </w:tc>
        <w:tc>
          <w:tcPr>
            <w:tcW w:w="6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41.8</w:t>
            </w:r>
          </w:p>
        </w:tc>
        <w:tc>
          <w:tcPr>
            <w:tcW w:w="8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136,307</w:t>
            </w:r>
          </w:p>
        </w:tc>
        <w:tc>
          <w:tcPr>
            <w:tcW w:w="7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42.8</w:t>
            </w:r>
          </w:p>
        </w:tc>
        <w:tc>
          <w:tcPr>
            <w:tcW w:w="58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122,684</w:t>
            </w:r>
          </w:p>
        </w:tc>
        <w:tc>
          <w:tcPr>
            <w:tcW w:w="7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40.0</w:t>
            </w:r>
          </w:p>
        </w:tc>
      </w:tr>
      <w:tr>
        <w:trPr>
          <w:trHeight w:val="133"/>
        </w:trPr>
        <w:tc>
          <w:tcPr>
            <w:tcW w:w="4960" w:type="dxa"/>
            <w:vAlign w:val="bottom"/>
          </w:tcPr>
          <w:p>
            <w:pPr>
              <w:spacing w:after="0" w:line="133" w:lineRule="exact"/>
              <w:rPr>
                <w:sz w:val="20"/>
                <w:szCs w:val="20"/>
                <w:color w:val="auto"/>
              </w:rPr>
            </w:pPr>
            <w:r>
              <w:rPr>
                <w:rFonts w:ascii="Arial" w:cs="Arial" w:eastAsia="Arial" w:hAnsi="Arial"/>
                <w:sz w:val="12"/>
                <w:szCs w:val="12"/>
                <w:color w:val="auto"/>
              </w:rPr>
              <w:t>Africa, Asia, Australia/Oceania</w:t>
            </w:r>
            <w:r>
              <w:rPr>
                <w:rFonts w:ascii="Arial" w:cs="Arial" w:eastAsia="Arial" w:hAnsi="Arial"/>
                <w:sz w:val="10"/>
                <w:szCs w:val="10"/>
                <w:color w:val="auto"/>
              </w:rPr>
              <w:t>[A]</w:t>
            </w:r>
          </w:p>
        </w:tc>
        <w:tc>
          <w:tcPr>
            <w:tcW w:w="2240" w:type="dxa"/>
            <w:vAlign w:val="bottom"/>
          </w:tcPr>
          <w:p>
            <w:pPr>
              <w:spacing w:after="0"/>
              <w:rPr>
                <w:sz w:val="11"/>
                <w:szCs w:val="11"/>
                <w:color w:val="auto"/>
              </w:rPr>
            </w:pP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90,141</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25.3</w:t>
            </w:r>
          </w:p>
        </w:tc>
        <w:tc>
          <w:tcPr>
            <w:tcW w:w="8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76,898</w:t>
            </w:r>
          </w:p>
        </w:tc>
        <w:tc>
          <w:tcPr>
            <w:tcW w:w="7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24.1</w:t>
            </w:r>
          </w:p>
        </w:tc>
        <w:tc>
          <w:tcPr>
            <w:tcW w:w="5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61,388</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20.0</w:t>
            </w:r>
          </w:p>
        </w:tc>
      </w:tr>
      <w:tr>
        <w:trPr>
          <w:trHeight w:val="133"/>
        </w:trPr>
        <w:tc>
          <w:tcPr>
            <w:tcW w:w="496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2240" w:type="dxa"/>
            <w:vAlign w:val="bottom"/>
          </w:tcPr>
          <w:p>
            <w:pPr>
              <w:spacing w:after="0"/>
              <w:rPr>
                <w:sz w:val="11"/>
                <w:szCs w:val="11"/>
                <w:color w:val="auto"/>
              </w:rPr>
            </w:pP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87,548</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24.6</w:t>
            </w:r>
          </w:p>
        </w:tc>
        <w:tc>
          <w:tcPr>
            <w:tcW w:w="8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80,974</w:t>
            </w:r>
          </w:p>
        </w:tc>
        <w:tc>
          <w:tcPr>
            <w:tcW w:w="7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25.4</w:t>
            </w:r>
          </w:p>
        </w:tc>
        <w:tc>
          <w:tcPr>
            <w:tcW w:w="5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101,308</w:t>
            </w:r>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33.0</w:t>
            </w:r>
          </w:p>
        </w:tc>
      </w:tr>
      <w:tr>
        <w:trPr>
          <w:trHeight w:val="139"/>
        </w:trPr>
        <w:tc>
          <w:tcPr>
            <w:tcW w:w="49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Americas</w:t>
            </w:r>
            <w:r>
              <w:rPr>
                <w:rFonts w:ascii="Arial" w:cs="Arial" w:eastAsia="Arial" w:hAnsi="Arial"/>
                <w:sz w:val="10"/>
                <w:szCs w:val="10"/>
                <w:color w:val="auto"/>
              </w:rPr>
              <w:t>[B]</w:t>
            </w:r>
          </w:p>
        </w:tc>
        <w:tc>
          <w:tcPr>
            <w:tcW w:w="2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29,628</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8.3</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24,666</w:t>
            </w: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7.7</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21,351</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7.0</w:t>
            </w:r>
          </w:p>
        </w:tc>
      </w:tr>
      <w:tr>
        <w:trPr>
          <w:trHeight w:val="146"/>
        </w:trPr>
        <w:tc>
          <w:tcPr>
            <w:tcW w:w="49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355,782</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100.0</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318,845</w:t>
            </w: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100.0</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306,731</w:t>
            </w: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4254500</wp:posOffset>
            </wp:positionH>
            <wp:positionV relativeFrom="paragraph">
              <wp:posOffset>-130175</wp:posOffset>
            </wp:positionV>
            <wp:extent cx="4254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54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425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545" cy="50800"/>
                    </a:xfrm>
                    <a:prstGeom prst="rect">
                      <a:avLst/>
                    </a:prstGeom>
                    <a:noFill/>
                  </pic:spPr>
                </pic:pic>
              </a:graphicData>
            </a:graphic>
          </wp:anchor>
        </w:drawing>
        <w:drawing>
          <wp:anchor simplePos="0" relativeHeight="251657728" behindDoc="1" locked="0" layoutInCell="0" allowOverlap="1">
            <wp:simplePos x="0" y="0"/>
            <wp:positionH relativeFrom="column">
              <wp:posOffset>4398010</wp:posOffset>
            </wp:positionH>
            <wp:positionV relativeFrom="paragraph">
              <wp:posOffset>-29210</wp:posOffset>
            </wp:positionV>
            <wp:extent cx="4254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545" cy="50800"/>
                    </a:xfrm>
                    <a:prstGeom prst="rect">
                      <a:avLst/>
                    </a:prstGeom>
                    <a:noFill/>
                  </pic:spPr>
                </pic:pic>
              </a:graphicData>
            </a:graphic>
          </wp:anchor>
        </w:drawing>
      </w:r>
    </w:p>
    <w:p>
      <w:pPr>
        <w:spacing w:after="0" w:line="36" w:lineRule="exact"/>
        <w:rPr>
          <w:sz w:val="20"/>
          <w:szCs w:val="20"/>
          <w:color w:val="auto"/>
        </w:rPr>
      </w:pPr>
    </w:p>
    <w:p>
      <w:pPr>
        <w:spacing w:after="0"/>
        <w:tabs>
          <w:tab w:leader="none" w:pos="260" w:val="left"/>
        </w:tabs>
        <w:rPr>
          <w:sz w:val="20"/>
          <w:szCs w:val="20"/>
          <w:color w:val="auto"/>
        </w:rPr>
      </w:pPr>
      <w:r>
        <w:rPr>
          <w:rFonts w:ascii="Arial" w:cs="Arial" w:eastAsia="Arial" w:hAnsi="Arial"/>
          <w:sz w:val="12"/>
          <w:szCs w:val="12"/>
          <w:color w:val="auto"/>
        </w:rPr>
        <w:t>[A]</w:t>
        <w:tab/>
        <w:t>Also referred to as Other Eastern Hemisphere in this Report.</w:t>
      </w:r>
    </w:p>
    <w:p>
      <w:pPr>
        <w:spacing w:after="0"/>
        <w:tabs>
          <w:tab w:leader="none" w:pos="260" w:val="left"/>
        </w:tabs>
        <w:rPr>
          <w:sz w:val="20"/>
          <w:szCs w:val="20"/>
          <w:color w:val="auto"/>
        </w:rPr>
      </w:pPr>
      <w:r>
        <w:rPr>
          <w:rFonts w:ascii="Arial" w:cs="Arial" w:eastAsia="Arial" w:hAnsi="Arial"/>
          <w:sz w:val="12"/>
          <w:szCs w:val="12"/>
          <w:color w:val="auto"/>
        </w:rPr>
        <w:t>[B]</w:t>
        <w:tab/>
        <w:t>Also referred to as Other Western Hemisphere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0" w:hanging="333"/>
        <w:spacing w:after="0"/>
        <w:tabs>
          <w:tab w:leader="none" w:pos="340" w:val="left"/>
        </w:tabs>
        <w:numPr>
          <w:ilvl w:val="0"/>
          <w:numId w:val="8"/>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68891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9115"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Risk factors</w:t>
      </w:r>
    </w:p>
    <w:p>
      <w:pPr>
        <w:spacing w:after="0" w:line="32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Shell has a single risk-based control framework, the Shell Control Framework (see page 90), to identify and manage risks.</w:t>
      </w:r>
    </w:p>
    <w:p>
      <w:pPr>
        <w:spacing w:after="0" w:line="68"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Shell’s operations and earnings are subject to risks from changing conditions in competitive, economic, political, legal, regulatory, social, industry, business and financial fields. Investors should carefully consider these risks. They could have a material adverse effect separately or in combination on Shell’s results from operations and/or our financial condition.</w:t>
      </w:r>
    </w:p>
    <w:p>
      <w:pPr>
        <w:spacing w:after="0" w:line="186"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b w:val="1"/>
          <w:bCs w:val="1"/>
          <w:color w:val="auto"/>
        </w:rPr>
        <w:t>FLUCTUATING PRICES FOR OIL, NATURAL GAS, OIL PRODUCTS AND CHEMICALS</w:t>
      </w:r>
    </w:p>
    <w:p>
      <w:pPr>
        <w:ind w:right="40"/>
        <w:spacing w:after="0" w:line="242" w:lineRule="auto"/>
        <w:rPr>
          <w:sz w:val="20"/>
          <w:szCs w:val="20"/>
          <w:color w:val="auto"/>
        </w:rPr>
      </w:pPr>
      <w:r>
        <w:rPr>
          <w:rFonts w:ascii="Arial" w:cs="Arial" w:eastAsia="Arial" w:hAnsi="Arial"/>
          <w:sz w:val="13"/>
          <w:szCs w:val="13"/>
          <w:color w:val="auto"/>
        </w:rPr>
        <w:t>Prices of oil, natural gas, oil products and chemicals are affected by supply and demand. Factors that influence these include operational issues, natural disasters, weather, political instability, or conflicts, economic conditions or actions by major oil-exporting countries. Price fluctuations can test our business assumptions, and can affect Shell’s investment decisions, operational performance and financial position.</w:t>
      </w:r>
    </w:p>
    <w:p>
      <w:pPr>
        <w:spacing w:after="0" w:line="18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b w:val="1"/>
          <w:bCs w:val="1"/>
          <w:color w:val="auto"/>
        </w:rPr>
        <w:t>PROJECT DELIVERY AND THE ABILITY TO REPLACE OIL AND GAS AND OIL SANDS RESERVES</w:t>
      </w:r>
    </w:p>
    <w:p>
      <w:pPr>
        <w:spacing w:after="0" w:line="237" w:lineRule="auto"/>
        <w:rPr>
          <w:sz w:val="20"/>
          <w:szCs w:val="20"/>
          <w:color w:val="auto"/>
        </w:rPr>
      </w:pPr>
      <w:r>
        <w:rPr>
          <w:rFonts w:ascii="Arial" w:cs="Arial" w:eastAsia="Arial" w:hAnsi="Arial"/>
          <w:sz w:val="13"/>
          <w:szCs w:val="13"/>
          <w:color w:val="auto"/>
        </w:rPr>
        <w:t>Shell’s future oil and gas and oil sands production depends on the success of very large projects. In developing these projects we face numerous challenges. These include uncertain geology, frontier conditions, availability of new technology and engineering capacity, availability of skilled resources, project delays and potential cost overruns, as well as technical, fiscal, regulatory, political and other conditions. Such potential obstacles may impair our delivery of these projects and, in turn, our operational performance and financial position (including the financial impact from failure to fulfil contractual commitments related to project delivery). Future oil and gas and oil sands production will depend on our access to new reserves through exploration, negotiations with governments and other owners of known reserves, and acquisitions. Failures in exploration or in identifying and finalising transactions to access potential reserves could slow our oil and gas and oil sands production and replacement of reserves. This could weaken our future operational performance and financial position.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6"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We face significant competition in each of our businesses for access to raw materials, including oil and gas and oil sands reserves and refinery feedstock, in the sale of our products to customers, in the development of innovative products and solutions, including the development of new technologies and in our search for employees with the skills and experience we need. Increasingly, we compete with state-run oil and gas companies, particularly in seeking access to reserves. Today, these state-run oil and gas companies control vastly greater quantities of oil and gas reserves than the major publicly-held oil and gas companies. State-run entities have access to significant resources and may be motivated by political or other non-economic factors in their business decisions.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LOSS OF BUSINESS REPUTATION</w:t>
      </w:r>
    </w:p>
    <w:p>
      <w:pPr>
        <w:spacing w:after="0" w:line="6" w:lineRule="exact"/>
        <w:rPr>
          <w:sz w:val="20"/>
          <w:szCs w:val="20"/>
          <w:color w:val="auto"/>
        </w:rPr>
      </w:pPr>
    </w:p>
    <w:p>
      <w:pPr>
        <w:ind w:right="60"/>
        <w:spacing w:after="0" w:line="272" w:lineRule="auto"/>
        <w:rPr>
          <w:sz w:val="20"/>
          <w:szCs w:val="20"/>
          <w:color w:val="auto"/>
        </w:rPr>
      </w:pPr>
      <w:r>
        <w:rPr>
          <w:rFonts w:ascii="Arial" w:cs="Arial" w:eastAsia="Arial" w:hAnsi="Arial"/>
          <w:sz w:val="12"/>
          <w:szCs w:val="12"/>
          <w:color w:val="auto"/>
        </w:rPr>
        <w:t>Shell is one of the world’s leading energy brands. We have a strong corporate reputation, which is important to maintaining our licence to operate and securing new resources. The Shell General Business Principles govern how Shell and our individual companies conduct our affairs. The Shell Code of Conduct describes how the Shell General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Business Principles apply to every Shell employee. Failure – real or perceived – to follow these principles, or any of the risk factors materialising, could harm our reputation, which could impact our licence to operate, damage our brand and affect our operational performance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-711200</wp:posOffset>
            </wp:positionV>
            <wp:extent cx="282575" cy="74771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2575" cy="747712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CLIMATE CHANGE CONCERNS</w:t>
      </w:r>
    </w:p>
    <w:p>
      <w:pPr>
        <w:spacing w:after="0" w:line="6" w:lineRule="exact"/>
        <w:rPr>
          <w:sz w:val="20"/>
          <w:szCs w:val="20"/>
          <w:color w:val="auto"/>
        </w:rPr>
      </w:pPr>
    </w:p>
    <w:p>
      <w:pPr>
        <w:ind w:right="20"/>
        <w:spacing w:after="0" w:line="222" w:lineRule="auto"/>
        <w:rPr>
          <w:sz w:val="20"/>
          <w:szCs w:val="20"/>
          <w:color w:val="auto"/>
        </w:rPr>
      </w:pPr>
      <w:r>
        <w:rPr>
          <w:rFonts w:ascii="Arial" w:cs="Arial" w:eastAsia="Arial" w:hAnsi="Arial"/>
          <w:sz w:val="14"/>
          <w:szCs w:val="14"/>
          <w:color w:val="auto"/>
        </w:rPr>
        <w:t>Emissions of greenhouse gases and associated climate change are real risks to the company and society in general. In the future, in order to help meet the world’s energy demand, we will produce more oil from unconventional sources. Therefore, in the long term, it is expected that the CO</w:t>
      </w:r>
      <w:r>
        <w:rPr>
          <w:rFonts w:ascii="Arial" w:cs="Arial" w:eastAsia="Arial" w:hAnsi="Arial"/>
          <w:sz w:val="12"/>
          <w:szCs w:val="12"/>
          <w:color w:val="auto"/>
        </w:rPr>
        <w:t>2</w:t>
      </w:r>
      <w:r>
        <w:rPr>
          <w:rFonts w:ascii="Arial" w:cs="Arial" w:eastAsia="Arial" w:hAnsi="Arial"/>
          <w:sz w:val="14"/>
          <w:szCs w:val="14"/>
          <w:color w:val="auto"/>
        </w:rPr>
        <w:t xml:space="preserve"> intensity of our production will increase. If we are unable to find CO</w:t>
      </w:r>
      <w:r>
        <w:rPr>
          <w:rFonts w:ascii="Arial" w:cs="Arial" w:eastAsia="Arial" w:hAnsi="Arial"/>
          <w:sz w:val="12"/>
          <w:szCs w:val="12"/>
          <w:color w:val="auto"/>
        </w:rPr>
        <w:t>2</w:t>
      </w:r>
      <w:r>
        <w:rPr>
          <w:rFonts w:ascii="Arial" w:cs="Arial" w:eastAsia="Arial" w:hAnsi="Arial"/>
          <w:sz w:val="14"/>
          <w:szCs w:val="14"/>
          <w:color w:val="auto"/>
        </w:rPr>
        <w:t xml:space="preserve"> solutions for new and existing projects, future government regulation or challenges from society could lead to project delays, additional costs as well as compliance and operational risks. These risks if realised could affect our operational performance and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HEALTH, SAFETY, SECURITY AND ENVIRONMENT (HSSE)</w:t>
      </w:r>
    </w:p>
    <w:p>
      <w:pPr>
        <w:spacing w:after="0" w:line="6" w:lineRule="exact"/>
        <w:rPr>
          <w:sz w:val="20"/>
          <w:szCs w:val="20"/>
          <w:color w:val="auto"/>
        </w:rPr>
      </w:pPr>
    </w:p>
    <w:p>
      <w:pPr>
        <w:ind w:right="140"/>
        <w:spacing w:after="0" w:line="222" w:lineRule="auto"/>
        <w:rPr>
          <w:sz w:val="20"/>
          <w:szCs w:val="20"/>
          <w:color w:val="auto"/>
        </w:rPr>
      </w:pPr>
      <w:r>
        <w:rPr>
          <w:rFonts w:ascii="Arial" w:cs="Arial" w:eastAsia="Arial" w:hAnsi="Arial"/>
          <w:sz w:val="14"/>
          <w:szCs w:val="14"/>
          <w:color w:val="auto"/>
        </w:rPr>
        <w:t>Given the range and complexity of Shell’s daily operations, our potential HSSE risks cover a wide spectrum. These risks include major process safety incidents; failure to comply with approved policies; effects of natural disasters and pandemics; social unrest; civil war and terrorism; exposure to general operational hazards; personal health and safety; and crime. The consequences of such risks materialising can be injuries, loss of life, and environmental harm and disruption to business activities. Depending on their cause and severity, they can affect Shell’s reputation, operational performance and financial position.</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POLITICALLY SENSITIVE OR UNSTABLE COUNTRIES</w:t>
      </w:r>
    </w:p>
    <w:p>
      <w:pPr>
        <w:spacing w:after="0" w:line="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Developments in politics, laws and regulations can affect our operations and earnings. Potential developments include forced divestment of assets; limits on production; import and export restrictions; international conflicts, including war; civil unrest and local security concerns that threaten the safe operation of company facilities; price controls, tax increases and other retroactive tax claims; expropriation of property; cancellation of contract rights; and environmental regulations. It is difficult to predict the timing or severity of these occurrences or their potential effect upon us. If such risks materialise they could affect the employees, reputation, operational performance and financial position of Shell as well as of the Shell companies located in the country concerned.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PARTNERS AND VENTURES</w:t>
      </w:r>
    </w:p>
    <w:p>
      <w:pPr>
        <w:spacing w:after="0" w:line="6"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Many of our major projects and operations are conducted with partners or in joint ventures. Our investment with partners and in joint ventures may reduce our ability to manage risks and costs. We could have limited influence over and control of the behaviours and performance of operations in which Shell is engaged. This could affect our operational performance, financial position and reputation.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 (IT)</w:t>
      </w:r>
    </w:p>
    <w:p>
      <w:pPr>
        <w:spacing w:after="0" w:line="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Growing standardisation, more reliance on global systems, relocation of information technology services and increased regulations lead to a risk that our IT systems may fail to deliver products, services and solutions in a compliant, secure and efficient manner. This could affect Shell’s operational performance and financial position.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AND INNOVATION</w:t>
      </w:r>
    </w:p>
    <w:p>
      <w:pPr>
        <w:spacing w:after="0" w:line="6" w:lineRule="exact"/>
        <w:rPr>
          <w:sz w:val="20"/>
          <w:szCs w:val="20"/>
          <w:color w:val="auto"/>
        </w:rPr>
      </w:pPr>
    </w:p>
    <w:p>
      <w:pPr>
        <w:ind w:right="100"/>
        <w:spacing w:after="0" w:line="234" w:lineRule="auto"/>
        <w:rPr>
          <w:sz w:val="20"/>
          <w:szCs w:val="20"/>
          <w:color w:val="auto"/>
        </w:rPr>
      </w:pPr>
      <w:r>
        <w:rPr>
          <w:rFonts w:ascii="Arial" w:cs="Arial" w:eastAsia="Arial" w:hAnsi="Arial"/>
          <w:sz w:val="14"/>
          <w:szCs w:val="14"/>
          <w:color w:val="auto"/>
        </w:rPr>
        <w:t>Technology and innovation are essential to the delivery of our business strategy. If we do not develop the right technology or do not have access</w:t>
      </w:r>
    </w:p>
    <w:p>
      <w:pPr>
        <w:spacing w:after="0" w:line="200" w:lineRule="exact"/>
        <w:rPr>
          <w:sz w:val="20"/>
          <w:szCs w:val="20"/>
          <w:color w:val="auto"/>
        </w:rPr>
      </w:pPr>
    </w:p>
    <w:p>
      <w:pPr>
        <w:spacing w:after="0" w:line="22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2171700</wp:posOffset>
            </wp:positionV>
            <wp:extent cx="725297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40" w:space="440"/>
            <w:col w:w="5160"/>
          </w:cols>
          <w:pgMar w:left="240" w:top="415" w:right="9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2"/>
        </w:rPr>
        <w:t>RISK FACTORS</w:t>
      </w:r>
    </w:p>
    <w:p>
      <w:pPr>
        <w:spacing w:after="0" w:line="200" w:lineRule="exact"/>
        <w:rPr>
          <w:sz w:val="20"/>
          <w:szCs w:val="20"/>
          <w:color w:val="auto"/>
        </w:rPr>
      </w:pPr>
    </w:p>
    <w:p>
      <w:pPr>
        <w:spacing w:after="0" w:line="221" w:lineRule="exact"/>
        <w:rPr>
          <w:sz w:val="20"/>
          <w:szCs w:val="20"/>
          <w:color w:val="auto"/>
        </w:rPr>
      </w:pPr>
    </w:p>
    <w:p>
      <w:pPr>
        <w:ind w:right="580"/>
        <w:spacing w:after="0" w:line="247" w:lineRule="auto"/>
        <w:rPr>
          <w:sz w:val="20"/>
          <w:szCs w:val="20"/>
          <w:color w:val="auto"/>
        </w:rPr>
      </w:pPr>
      <w:r>
        <w:rPr>
          <w:rFonts w:ascii="Arial" w:cs="Arial" w:eastAsia="Arial" w:hAnsi="Arial"/>
          <w:sz w:val="14"/>
          <w:szCs w:val="14"/>
          <w:color w:val="auto"/>
        </w:rPr>
        <w:t>to it or do not deploy it effectively, it may affect delivery of the strategy as well as our operational performance and financial position.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RESOURCING CHALLENGES</w:t>
      </w:r>
    </w:p>
    <w:p>
      <w:pPr>
        <w:spacing w:after="0" w:line="6" w:lineRule="exact"/>
        <w:rPr>
          <w:sz w:val="20"/>
          <w:szCs w:val="20"/>
          <w:color w:val="auto"/>
        </w:rPr>
      </w:pPr>
    </w:p>
    <w:p>
      <w:pPr>
        <w:ind w:right="340"/>
        <w:spacing w:after="0" w:line="229" w:lineRule="auto"/>
        <w:rPr>
          <w:sz w:val="20"/>
          <w:szCs w:val="20"/>
          <w:color w:val="auto"/>
        </w:rPr>
      </w:pPr>
      <w:r>
        <w:rPr>
          <w:rFonts w:ascii="Arial" w:cs="Arial" w:eastAsia="Arial" w:hAnsi="Arial"/>
          <w:sz w:val="14"/>
          <w:szCs w:val="14"/>
          <w:color w:val="auto"/>
        </w:rPr>
        <w:t>Skilled employees are essential to the successful delivery of our business strategy. We sometimes experience recruitment and retention shortfalls. Such shortfalls could affect our operational performance and financial position.</w:t>
      </w:r>
    </w:p>
    <w:p>
      <w:pPr>
        <w:spacing w:after="0" w:line="185"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b w:val="1"/>
          <w:bCs w:val="1"/>
          <w:color w:val="auto"/>
        </w:rPr>
        <w:t xml:space="preserve">CHANGES IN LEGISLATION AND FISCAL AND REGULATORY POLICIES </w:t>
      </w:r>
      <w:r>
        <w:rPr>
          <w:rFonts w:ascii="Arial" w:cs="Arial" w:eastAsia="Arial" w:hAnsi="Arial"/>
          <w:sz w:val="13"/>
          <w:szCs w:val="13"/>
          <w:color w:val="auto"/>
        </w:rPr>
        <w:t>Changes in legislation, taxation (tax rate or policy), regulation and to policies on re-nationalisation and the seizure of property all pose a risk to our operations and can affect Shell’s operational performance and financial position. In exploration and production activities they affect land tenure, entitlement to produced hydrocarbons, production rates, royalties, pricing, environmental protection, social impact, exports, taxes and foreign exchange.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CURRENCY FLUCTUATIONS AND EXCHANGE CONTROLS</w:t>
      </w:r>
    </w:p>
    <w:p>
      <w:pPr>
        <w:spacing w:after="0" w:line="6" w:lineRule="exact"/>
        <w:rPr>
          <w:sz w:val="20"/>
          <w:szCs w:val="20"/>
          <w:color w:val="auto"/>
        </w:rPr>
      </w:pPr>
    </w:p>
    <w:p>
      <w:pPr>
        <w:ind w:right="440"/>
        <w:spacing w:after="0" w:line="234" w:lineRule="auto"/>
        <w:rPr>
          <w:sz w:val="20"/>
          <w:szCs w:val="20"/>
          <w:color w:val="auto"/>
        </w:rPr>
      </w:pPr>
      <w:r>
        <w:rPr>
          <w:rFonts w:ascii="Arial" w:cs="Arial" w:eastAsia="Arial" w:hAnsi="Arial"/>
          <w:sz w:val="14"/>
          <w:szCs w:val="14"/>
          <w:color w:val="auto"/>
        </w:rPr>
        <w:t>As a global company, changes in currency values and exchange controls could affect our operational performance and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ECONOMIC AND FINANCIAL MARKET CONDITIONS</w:t>
      </w:r>
    </w:p>
    <w:p>
      <w:pPr>
        <w:spacing w:after="0" w:line="6"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Shell companies are subject to differing economic and financial market conditions throughout the world. Political or economic instability affect such markets. If such a risk materialises it could affect our operational performance and financial position.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ESTIMATION OF RESERVES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 estimation of oil and gas and minable oil sands reserves involves subjective judgements and determinations based on available geological, technical, contractual and economic information. It is not an exact calculation. The estimate may change because of new information from production or drilling activities or changes in economic factors. It may also alter because of acquisitions and disposals, new discoveries and extensions of existing fields and mines, as well as the application of improved recovery techniques. Published reserves estimates may also be subject to correction in the application of published rules and guidance.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REMEDIES</w:t>
      </w:r>
    </w:p>
    <w:p>
      <w:pPr>
        <w:spacing w:after="0" w:line="6" w:lineRule="exact"/>
        <w:rPr>
          <w:sz w:val="20"/>
          <w:szCs w:val="20"/>
          <w:color w:val="auto"/>
        </w:rPr>
      </w:pPr>
    </w:p>
    <w:p>
      <w:pPr>
        <w:ind w:right="120"/>
        <w:spacing w:after="0" w:line="239" w:lineRule="auto"/>
        <w:rPr>
          <w:sz w:val="20"/>
          <w:szCs w:val="20"/>
          <w:color w:val="auto"/>
        </w:rPr>
      </w:pPr>
      <w:r>
        <w:rPr>
          <w:rFonts w:ascii="Arial" w:cs="Arial" w:eastAsia="Arial" w:hAnsi="Arial"/>
          <w:sz w:val="13"/>
          <w:szCs w:val="13"/>
          <w:color w:val="auto"/>
        </w:rPr>
        <w:t>Our Articles of Association generally require that most disputes between our shareholders in such capacity and us or our subsidiaries (or our Directors or former Directors) or between us and our Directors or former Directors be exclusively resolved by arbitration in The Hague, the Netherlands under the Rules of Arbitration of the International Chamber of Commerce. Our Articles of Association also provide that if this provision is for any reason determined to be invalid or unenforceable, the dispute may only be brought in the courts of England and Wales. Accordingly, the ability of shareholders to obtain monetary or other relief, including in respect of securities law claims, may be determined in accordance with these provisions. See “Supplementary Information – Control of registrant (unaudited)”.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ANTITRUST AND COMPETITION LAW</w:t>
      </w:r>
    </w:p>
    <w:p>
      <w:pPr>
        <w:spacing w:after="0" w:line="6" w:lineRule="exact"/>
        <w:rPr>
          <w:sz w:val="20"/>
          <w:szCs w:val="20"/>
          <w:color w:val="auto"/>
        </w:rPr>
      </w:pPr>
    </w:p>
    <w:p>
      <w:pPr>
        <w:ind w:right="320"/>
        <w:spacing w:after="0" w:line="242" w:lineRule="auto"/>
        <w:rPr>
          <w:sz w:val="20"/>
          <w:szCs w:val="20"/>
          <w:color w:val="auto"/>
        </w:rPr>
      </w:pPr>
      <w:r>
        <w:rPr>
          <w:rFonts w:ascii="Arial" w:cs="Arial" w:eastAsia="Arial" w:hAnsi="Arial"/>
          <w:sz w:val="13"/>
          <w:szCs w:val="13"/>
          <w:color w:val="auto"/>
        </w:rPr>
        <w:t>Antitrust and competition law apply to Shell companies in the vast majority of countries in which we do business. Shell companies have been fined for violations of antitrust and competition law, including a fine by the European Commission Directorate-General for Competition (EC Competition Authority). Due to the EC Competition Authority’s fining guidelines, any future conviction of Shell companies by the EC</w:t>
      </w:r>
    </w:p>
    <w:p>
      <w:pPr>
        <w:spacing w:after="0" w:line="200" w:lineRule="exact"/>
        <w:rPr>
          <w:sz w:val="20"/>
          <w:szCs w:val="20"/>
          <w:color w:val="auto"/>
        </w:rPr>
      </w:pPr>
    </w:p>
    <w:p>
      <w:pPr>
        <w:spacing w:after="0" w:line="224" w:lineRule="exact"/>
        <w:rPr>
          <w:sz w:val="20"/>
          <w:szCs w:val="20"/>
          <w:color w:val="auto"/>
        </w:rPr>
      </w:pPr>
    </w:p>
    <w:p>
      <w:pPr>
        <w:ind w:left="280" w:hanging="273"/>
        <w:spacing w:after="0"/>
        <w:tabs>
          <w:tab w:leader="none" w:pos="280" w:val="left"/>
        </w:tabs>
        <w:numPr>
          <w:ilvl w:val="0"/>
          <w:numId w:val="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393065</wp:posOffset>
            </wp:positionV>
            <wp:extent cx="725297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Competition Authority could result in enhanced fines. It is not uncommon for persons allegedly injured by antitrust violations to sue for damages. Both of these factors could have a material adverse effect on Shell’s results.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 GOVERNMENT SANCTIONS</w:t>
      </w:r>
    </w:p>
    <w:p>
      <w:pPr>
        <w:spacing w:after="0" w:line="6"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Shell has investments in Iran and Syria and certain operations in Sudan. US laws and regulations identify certain countries, including Iran, Syria and Sudan, as state sponsors of terrorism and currently impose economic sanctions against these countries. Certain activities and transactions in these countries are banned. Breaking these bans can trigger penalties including criminal and civil fines and imprisonment. For Iran, US law sets a limit of $20 million in any 12-month period on certain investments knowingly made in that country, prohibits the transfer of goods or services made with the knowledge that they will contribute materially to that country’s weapons capabilities and authorises sanctions against any company violating these rules (including denial of financings by the US export/import bank, denial of certain export licences, denial of certain government contracts and limits of loans or credits from US financial institutions). However, compliance with this investment limit by European companies is prohibited by Council Regulation No. 2271/96 adopted by the Council of the European Union, which means the statutes conflict with each other in some respects. Shell has exceeded and expects to exceed in the future the US imposed investment limits in Iran. While we seek to comply with legal requirements in our dealings in these countries, it is possible that Shell or persons employed by Shell could be found to be subject to sanctions or other penalties under this legislation in connection with their activities in these countries.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LIABILITY</w:t>
      </w:r>
    </w:p>
    <w:p>
      <w:pPr>
        <w:spacing w:after="0" w:line="6"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Shell companies are exposed to property and liability risks that could affect Shell’s operational performance and financial position. Shell insures itself against most of these risks through its captive insurance companies. These companies reinsure part of their major catastrophe risks with a variety of international insurers. The effect of these arrangements is that uninsured losses for any one incident are unlikely to exceed $550 million.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TRADING AND TREASURY</w:t>
      </w:r>
    </w:p>
    <w:p>
      <w:pPr>
        <w:spacing w:after="0" w:line="6" w:lineRule="exact"/>
        <w:rPr>
          <w:sz w:val="20"/>
          <w:szCs w:val="20"/>
          <w:color w:val="auto"/>
        </w:rPr>
      </w:pPr>
    </w:p>
    <w:p>
      <w:pPr>
        <w:jc w:val="both"/>
        <w:ind w:right="160"/>
        <w:spacing w:after="0" w:line="281" w:lineRule="auto"/>
        <w:rPr>
          <w:sz w:val="20"/>
          <w:szCs w:val="20"/>
          <w:color w:val="auto"/>
        </w:rPr>
      </w:pPr>
      <w:r>
        <w:rPr>
          <w:rFonts w:ascii="Arial" w:cs="Arial" w:eastAsia="Arial" w:hAnsi="Arial"/>
          <w:sz w:val="12"/>
          <w:szCs w:val="12"/>
          <w:color w:val="auto"/>
        </w:rPr>
        <w:t>In the course of normal business activities, we are subject to trading and treasury risks. These include among others exposure to movements in commodity prices, interest rates, and foreign exchange rates, counter party default and various operational risks (see also page 91).</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FUNDS</w:t>
      </w:r>
    </w:p>
    <w:p>
      <w:pPr>
        <w:spacing w:after="0" w:line="6"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The risk regarding pensions is the ability of the pension assets to meet future liabilities, and to fund defined benefit plans going forward. Note 21 to the Consolidated Financial Statements provides further disclosure on retirement benefits. Liabilities associated with and cash funding of pensions can be significant. Should Shell inappropriately value, provide for and/or fund these obligations, there could be a significant impact on our financial performance.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INTERNATIONAL DISPUTES</w:t>
      </w:r>
    </w:p>
    <w:p>
      <w:pPr>
        <w:spacing w:after="0" w:line="6"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Shell companies face litigation and disputes worldwide. From time to time cultural and political factors play a significant role in unprecedented and unanticipated judicial outcomes contrary to local and international law. In addition, certain governments, state and regulatory bodies have, in the opinion of Shell, exceeded their constitutional authority by attempting unilaterally to amend or cancel existing agreements or arrangements and by failing to honour existing contractual commitments and by seeking to adjudicate disputes between private litigants.</w:t>
      </w:r>
    </w:p>
    <w:p>
      <w:pPr>
        <w:sectPr>
          <w:pgSz w:w="11900" w:h="16838" w:orient="portrait"/>
          <w:cols w:equalWidth="0" w:num="2">
            <w:col w:w="5480" w:space="460"/>
            <w:col w:w="5480"/>
          </w:cols>
          <w:pgMar w:left="240" w:top="415"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 WITH US FOREIGN CORRUPT PRACTICES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-93345</wp:posOffset>
            </wp:positionV>
            <wp:extent cx="282575" cy="7019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575" cy="7019925"/>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color w:val="auto"/>
        </w:rPr>
        <w:t>In July 2007, Shell’s US subsidiary, Shell Oil, was contacted by the US Department of</w:t>
      </w:r>
    </w:p>
    <w:p>
      <w:pPr>
        <w:spacing w:after="0" w:line="219" w:lineRule="auto"/>
        <w:rPr>
          <w:sz w:val="20"/>
          <w:szCs w:val="20"/>
          <w:color w:val="auto"/>
        </w:rPr>
      </w:pPr>
      <w:r>
        <w:rPr>
          <w:rFonts w:ascii="Arial" w:cs="Arial" w:eastAsia="Arial" w:hAnsi="Arial"/>
          <w:sz w:val="14"/>
          <w:szCs w:val="14"/>
          <w:color w:val="auto"/>
        </w:rPr>
        <w:t>Justice regarding Shell’s use of the freight forwarding firm Panalpina, Inc and potential</w:t>
      </w:r>
    </w:p>
    <w:p>
      <w:pPr>
        <w:spacing w:after="0" w:line="218" w:lineRule="auto"/>
        <w:rPr>
          <w:sz w:val="20"/>
          <w:szCs w:val="20"/>
          <w:color w:val="auto"/>
        </w:rPr>
      </w:pPr>
      <w:r>
        <w:rPr>
          <w:rFonts w:ascii="Arial" w:cs="Arial" w:eastAsia="Arial" w:hAnsi="Arial"/>
          <w:sz w:val="14"/>
          <w:szCs w:val="14"/>
          <w:color w:val="auto"/>
        </w:rPr>
        <w:t>violations of the US Foreign Corrupt Practices Act (FCPA) as a result of such use.</w:t>
      </w:r>
    </w:p>
    <w:p>
      <w:pPr>
        <w:spacing w:after="0" w:line="218" w:lineRule="auto"/>
        <w:rPr>
          <w:sz w:val="20"/>
          <w:szCs w:val="20"/>
          <w:color w:val="auto"/>
        </w:rPr>
      </w:pPr>
      <w:r>
        <w:rPr>
          <w:rFonts w:ascii="Arial" w:cs="Arial" w:eastAsia="Arial" w:hAnsi="Arial"/>
          <w:sz w:val="14"/>
          <w:szCs w:val="14"/>
          <w:color w:val="auto"/>
        </w:rPr>
        <w:t>Shell has started an internal investigation and is cooperating with the US Department of</w:t>
      </w:r>
    </w:p>
    <w:p>
      <w:pPr>
        <w:spacing w:after="0" w:line="219" w:lineRule="auto"/>
        <w:rPr>
          <w:sz w:val="20"/>
          <w:szCs w:val="20"/>
          <w:color w:val="auto"/>
        </w:rPr>
      </w:pPr>
      <w:r>
        <w:rPr>
          <w:rFonts w:ascii="Arial" w:cs="Arial" w:eastAsia="Arial" w:hAnsi="Arial"/>
          <w:sz w:val="14"/>
          <w:szCs w:val="14"/>
          <w:color w:val="auto"/>
        </w:rPr>
        <w:t>Justice and the United States Securities and Exchange Commission investigations.</w:t>
      </w:r>
    </w:p>
    <w:p>
      <w:pPr>
        <w:spacing w:after="0"/>
        <w:rPr>
          <w:sz w:val="20"/>
          <w:szCs w:val="20"/>
          <w:color w:val="auto"/>
        </w:rPr>
      </w:pPr>
      <w:r>
        <w:rPr>
          <w:rFonts w:ascii="Arial" w:cs="Arial" w:eastAsia="Arial" w:hAnsi="Arial"/>
          <w:sz w:val="14"/>
          <w:szCs w:val="14"/>
          <w:color w:val="auto"/>
        </w:rPr>
        <w:t>While these investigations are ongoing, Shell may face fines and additional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1029970</wp:posOffset>
            </wp:positionV>
            <wp:extent cx="725297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3501390" cy="6664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01390" cy="666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ind w:left="760"/>
        <w:spacing w:after="0"/>
        <w:rPr>
          <w:sz w:val="20"/>
          <w:szCs w:val="20"/>
          <w:color w:val="auto"/>
        </w:rPr>
      </w:pPr>
      <w:r>
        <w:rPr>
          <w:rFonts w:ascii="Arial" w:cs="Arial" w:eastAsia="Arial" w:hAnsi="Arial"/>
          <w:sz w:val="36"/>
          <w:szCs w:val="36"/>
          <w:color w:val="auto"/>
        </w:rPr>
        <w:t>Summary of results</w:t>
      </w:r>
    </w:p>
    <w:p>
      <w:pPr>
        <w:spacing w:after="0" w:line="200" w:lineRule="exact"/>
        <w:rPr>
          <w:sz w:val="20"/>
          <w:szCs w:val="20"/>
          <w:color w:val="auto"/>
        </w:rPr>
      </w:pPr>
    </w:p>
    <w:p>
      <w:pPr>
        <w:spacing w:after="0" w:line="239"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HIGHLIGHTS</w:t>
      </w:r>
    </w:p>
    <w:p>
      <w:pPr>
        <w:spacing w:after="0" w:line="163" w:lineRule="exact"/>
        <w:rPr>
          <w:sz w:val="20"/>
          <w:szCs w:val="20"/>
          <w:color w:val="auto"/>
        </w:rPr>
      </w:pPr>
    </w:p>
    <w:p>
      <w:pPr>
        <w:ind w:left="960" w:hanging="190"/>
        <w:spacing w:after="0"/>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 increased 26%.</w:t>
      </w:r>
    </w:p>
    <w:p>
      <w:pPr>
        <w:spacing w:after="0" w:line="1" w:lineRule="exact"/>
        <w:rPr>
          <w:rFonts w:ascii="Arial" w:cs="Arial" w:eastAsia="Arial" w:hAnsi="Arial"/>
          <w:sz w:val="14"/>
          <w:szCs w:val="14"/>
          <w:b w:val="1"/>
          <w:bCs w:val="1"/>
          <w:color w:val="auto"/>
        </w:rPr>
      </w:pPr>
    </w:p>
    <w:p>
      <w:pPr>
        <w:ind w:left="960" w:hanging="190"/>
        <w:spacing w:after="0" w:line="218" w:lineRule="auto"/>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Dividends to shareholders increased by 13% compared with 2006.</w:t>
      </w:r>
    </w:p>
    <w:p>
      <w:pPr>
        <w:ind w:left="960" w:hanging="190"/>
        <w:spacing w:after="0" w:line="218" w:lineRule="auto"/>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Return on average capital employed of 24.4%.</w:t>
      </w:r>
    </w:p>
    <w:p>
      <w:pPr>
        <w:ind w:left="960" w:hanging="190"/>
        <w:spacing w:after="0" w:line="218" w:lineRule="auto"/>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Cash flow from operations improved by 9% reaching $34.5 billion.</w:t>
      </w:r>
    </w:p>
    <w:p>
      <w:pPr>
        <w:ind w:left="960" w:hanging="190"/>
        <w:spacing w:after="0" w:line="218" w:lineRule="auto"/>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Gross proceeds from divestments were $9.9 billion.</w:t>
      </w:r>
    </w:p>
    <w:p>
      <w:pPr>
        <w:ind w:left="960" w:right="171" w:hanging="190"/>
        <w:spacing w:after="0" w:line="218" w:lineRule="auto"/>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 of the Shell Canada minority interest for a cash payment of $7.1 billion.</w:t>
      </w:r>
    </w:p>
    <w:p>
      <w:pPr>
        <w:ind w:left="960" w:hanging="190"/>
        <w:spacing w:after="0"/>
        <w:tabs>
          <w:tab w:leader="none" w:pos="9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Cash returned to shareholders of $13.4 billion.</w:t>
      </w:r>
    </w:p>
    <w:p>
      <w:pPr>
        <w:spacing w:after="0" w:line="133" w:lineRule="exact"/>
        <w:rPr>
          <w:sz w:val="20"/>
          <w:szCs w:val="20"/>
          <w:color w:val="auto"/>
        </w:rPr>
      </w:pPr>
    </w:p>
    <w:tbl>
      <w:tblPr>
        <w:tblLayout w:type="fixed"/>
        <w:tblInd w:w="780" w:type="dxa"/>
        <w:tblCellMar>
          <w:top w:w="0" w:type="dxa"/>
          <w:left w:w="0" w:type="dxa"/>
          <w:bottom w:w="0" w:type="dxa"/>
          <w:right w:w="0" w:type="dxa"/>
        </w:tblCellMar>
      </w:tblPr>
      <w:tr>
        <w:trPr>
          <w:trHeight w:val="139"/>
        </w:trPr>
        <w:tc>
          <w:tcPr>
            <w:tcW w:w="2820" w:type="dxa"/>
            <w:vAlign w:val="bottom"/>
            <w:tcBorders>
              <w:right w:val="single" w:sz="8" w:color="FFD204"/>
            </w:tcBorders>
            <w:shd w:val="clear" w:color="auto" w:fill="FFD204"/>
          </w:tcPr>
          <w:p>
            <w:pPr>
              <w:ind w:left="60"/>
              <w:spacing w:after="0"/>
              <w:rPr>
                <w:sz w:val="20"/>
                <w:szCs w:val="20"/>
                <w:color w:val="auto"/>
              </w:rPr>
            </w:pPr>
            <w:r>
              <w:rPr>
                <w:rFonts w:ascii="Arial" w:cs="Arial" w:eastAsia="Arial" w:hAnsi="Arial"/>
                <w:sz w:val="12"/>
                <w:szCs w:val="12"/>
                <w:b w:val="1"/>
                <w:bCs w:val="1"/>
                <w:color w:val="auto"/>
              </w:rPr>
              <w:t>EARNINGS</w:t>
            </w:r>
          </w:p>
        </w:tc>
        <w:tc>
          <w:tcPr>
            <w:tcW w:w="440" w:type="dxa"/>
            <w:vAlign w:val="bottom"/>
            <w:shd w:val="clear" w:color="auto" w:fill="FFD204"/>
          </w:tcPr>
          <w:p>
            <w:pPr>
              <w:spacing w:after="0"/>
              <w:rPr>
                <w:sz w:val="12"/>
                <w:szCs w:val="12"/>
                <w:color w:val="auto"/>
              </w:rPr>
            </w:pPr>
          </w:p>
        </w:tc>
        <w:tc>
          <w:tcPr>
            <w:tcW w:w="720" w:type="dxa"/>
            <w:vAlign w:val="bottom"/>
            <w:tcBorders>
              <w:left w:val="single" w:sz="8" w:color="FFD204"/>
            </w:tcBorders>
            <w:shd w:val="clear" w:color="auto" w:fill="FFD204"/>
          </w:tcPr>
          <w:p>
            <w:pPr>
              <w:spacing w:after="0"/>
              <w:rPr>
                <w:sz w:val="12"/>
                <w:szCs w:val="12"/>
                <w:color w:val="auto"/>
              </w:rPr>
            </w:pPr>
          </w:p>
        </w:tc>
        <w:tc>
          <w:tcPr>
            <w:tcW w:w="62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820" w:type="dxa"/>
            <w:vAlign w:val="bottom"/>
            <w:tcBorders>
              <w:right w:val="single" w:sz="8" w:color="CECAC6"/>
            </w:tcBorders>
            <w:shd w:val="clear" w:color="auto" w:fill="CECAC6"/>
          </w:tcPr>
          <w:p>
            <w:pPr>
              <w:spacing w:after="0"/>
              <w:rPr>
                <w:sz w:val="11"/>
                <w:szCs w:val="11"/>
                <w:color w:val="auto"/>
              </w:rPr>
            </w:pPr>
          </w:p>
        </w:tc>
        <w:tc>
          <w:tcPr>
            <w:tcW w:w="4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720" w:type="dxa"/>
            <w:vAlign w:val="bottom"/>
            <w:tcBorders>
              <w:left w:val="single" w:sz="8" w:color="CECAC6"/>
            </w:tcBorders>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2006</w:t>
            </w:r>
          </w:p>
        </w:tc>
        <w:tc>
          <w:tcPr>
            <w:tcW w:w="6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2820" w:type="dxa"/>
            <w:vAlign w:val="bottom"/>
            <w:tcBorders>
              <w:right w:val="single" w:sz="8" w:color="E4E3E1"/>
            </w:tcBorders>
          </w:tcPr>
          <w:p>
            <w:pPr>
              <w:ind w:left="60"/>
              <w:spacing w:after="0" w:line="128" w:lineRule="exact"/>
              <w:rPr>
                <w:sz w:val="20"/>
                <w:szCs w:val="20"/>
                <w:color w:val="auto"/>
              </w:rPr>
            </w:pPr>
            <w:r>
              <w:rPr>
                <w:rFonts w:ascii="Arial" w:cs="Arial" w:eastAsia="Arial" w:hAnsi="Arial"/>
                <w:sz w:val="12"/>
                <w:szCs w:val="12"/>
                <w:color w:val="auto"/>
              </w:rPr>
              <w:t>Income from continuing operations</w:t>
            </w:r>
          </w:p>
        </w:tc>
        <w:tc>
          <w:tcPr>
            <w:tcW w:w="44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shd w:val="clear" w:color="auto" w:fill="E4E3E1"/>
              </w:rPr>
              <w:t>31,926</w:t>
            </w:r>
          </w:p>
        </w:tc>
        <w:tc>
          <w:tcPr>
            <w:tcW w:w="7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26,311</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26,568</w:t>
            </w:r>
          </w:p>
        </w:tc>
      </w:tr>
      <w:tr>
        <w:trPr>
          <w:trHeight w:val="139"/>
        </w:trPr>
        <w:tc>
          <w:tcPr>
            <w:tcW w:w="2820" w:type="dxa"/>
            <w:vAlign w:val="bottom"/>
            <w:tcBorders>
              <w:bottom w:val="single" w:sz="8" w:color="auto"/>
              <w:right w:val="single" w:sz="8" w:color="E4E3E1"/>
            </w:tcBorders>
          </w:tcPr>
          <w:p>
            <w:pPr>
              <w:ind w:left="60"/>
              <w:spacing w:after="0"/>
              <w:rPr>
                <w:sz w:val="20"/>
                <w:szCs w:val="20"/>
                <w:color w:val="auto"/>
              </w:rPr>
            </w:pPr>
            <w:r>
              <w:rPr>
                <w:rFonts w:ascii="Arial" w:cs="Arial" w:eastAsia="Arial" w:hAnsi="Arial"/>
                <w:sz w:val="12"/>
                <w:szCs w:val="12"/>
                <w:color w:val="auto"/>
              </w:rPr>
              <w:t>Income/(loss) from discontinued operations</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w:t>
            </w:r>
          </w:p>
        </w:tc>
      </w:tr>
      <w:tr>
        <w:trPr>
          <w:trHeight w:val="140"/>
        </w:trPr>
        <w:tc>
          <w:tcPr>
            <w:tcW w:w="2820" w:type="dxa"/>
            <w:vAlign w:val="bottom"/>
            <w:tcBorders>
              <w:right w:val="single" w:sz="8" w:color="E4E3E1"/>
            </w:tcBorders>
          </w:tcPr>
          <w:p>
            <w:pPr>
              <w:ind w:left="60"/>
              <w:spacing w:after="0"/>
              <w:rPr>
                <w:sz w:val="20"/>
                <w:szCs w:val="20"/>
                <w:color w:val="auto"/>
              </w:rPr>
            </w:pPr>
            <w:r>
              <w:rPr>
                <w:rFonts w:ascii="Arial" w:cs="Arial" w:eastAsia="Arial" w:hAnsi="Arial"/>
                <w:sz w:val="12"/>
                <w:szCs w:val="12"/>
                <w:b w:val="1"/>
                <w:bCs w:val="1"/>
                <w:color w:val="auto"/>
              </w:rPr>
              <w:t>Income for the period</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b w:val="1"/>
                <w:bCs w:val="1"/>
                <w:color w:val="auto"/>
                <w:shd w:val="clear" w:color="auto" w:fill="E4E3E1"/>
              </w:rPr>
              <w:t>31,926</w:t>
            </w:r>
          </w:p>
        </w:tc>
        <w:tc>
          <w:tcPr>
            <w:tcW w:w="720" w:type="dxa"/>
            <w:vAlign w:val="bottom"/>
          </w:tcPr>
          <w:p>
            <w:pPr>
              <w:jc w:val="right"/>
              <w:ind w:right="38"/>
              <w:spacing w:after="0"/>
              <w:rPr>
                <w:sz w:val="20"/>
                <w:szCs w:val="20"/>
                <w:color w:val="auto"/>
              </w:rPr>
            </w:pPr>
            <w:r>
              <w:rPr>
                <w:rFonts w:ascii="Arial" w:cs="Arial" w:eastAsia="Arial" w:hAnsi="Arial"/>
                <w:sz w:val="12"/>
                <w:szCs w:val="12"/>
                <w:b w:val="1"/>
                <w:bCs w:val="1"/>
                <w:color w:val="auto"/>
              </w:rPr>
              <w:t>26,311</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26,261</w:t>
            </w:r>
          </w:p>
        </w:tc>
      </w:tr>
      <w:tr>
        <w:trPr>
          <w:trHeight w:val="186"/>
        </w:trPr>
        <w:tc>
          <w:tcPr>
            <w:tcW w:w="2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33"/>
        </w:trPr>
        <w:tc>
          <w:tcPr>
            <w:tcW w:w="2820" w:type="dxa"/>
            <w:vAlign w:val="bottom"/>
            <w:tcBorders>
              <w:right w:val="single" w:sz="8" w:color="FFD204"/>
            </w:tcBorders>
            <w:shd w:val="clear" w:color="auto" w:fill="FFD204"/>
          </w:tcPr>
          <w:p>
            <w:pPr>
              <w:ind w:left="60"/>
              <w:spacing w:after="0" w:line="133" w:lineRule="exact"/>
              <w:rPr>
                <w:sz w:val="20"/>
                <w:szCs w:val="20"/>
                <w:color w:val="auto"/>
              </w:rPr>
            </w:pPr>
            <w:r>
              <w:rPr>
                <w:rFonts w:ascii="Arial" w:cs="Arial" w:eastAsia="Arial" w:hAnsi="Arial"/>
                <w:sz w:val="12"/>
                <w:szCs w:val="12"/>
                <w:b w:val="1"/>
                <w:bCs w:val="1"/>
                <w:color w:val="auto"/>
              </w:rPr>
              <w:t>SEGMENT EARNINGS</w:t>
            </w:r>
            <w:r>
              <w:rPr>
                <w:rFonts w:ascii="Arial" w:cs="Arial" w:eastAsia="Arial" w:hAnsi="Arial"/>
                <w:sz w:val="10"/>
                <w:szCs w:val="10"/>
                <w:b w:val="1"/>
                <w:bCs w:val="1"/>
                <w:color w:val="auto"/>
              </w:rPr>
              <w:t>[A]</w:t>
            </w:r>
          </w:p>
        </w:tc>
        <w:tc>
          <w:tcPr>
            <w:tcW w:w="440" w:type="dxa"/>
            <w:vAlign w:val="bottom"/>
            <w:shd w:val="clear" w:color="auto" w:fill="FFD204"/>
          </w:tcPr>
          <w:p>
            <w:pPr>
              <w:spacing w:after="0"/>
              <w:rPr>
                <w:sz w:val="11"/>
                <w:szCs w:val="11"/>
                <w:color w:val="auto"/>
              </w:rPr>
            </w:pPr>
          </w:p>
        </w:tc>
        <w:tc>
          <w:tcPr>
            <w:tcW w:w="720" w:type="dxa"/>
            <w:vAlign w:val="bottom"/>
            <w:tcBorders>
              <w:left w:val="single" w:sz="8" w:color="FFD204"/>
            </w:tcBorders>
            <w:shd w:val="clear" w:color="auto" w:fill="FFD204"/>
          </w:tcPr>
          <w:p>
            <w:pPr>
              <w:spacing w:after="0"/>
              <w:rPr>
                <w:sz w:val="11"/>
                <w:szCs w:val="11"/>
                <w:color w:val="auto"/>
              </w:rPr>
            </w:pPr>
          </w:p>
        </w:tc>
        <w:tc>
          <w:tcPr>
            <w:tcW w:w="620" w:type="dxa"/>
            <w:vAlign w:val="bottom"/>
            <w:shd w:val="clear" w:color="auto" w:fill="FFD204"/>
          </w:tcPr>
          <w:p>
            <w:pPr>
              <w:jc w:val="right"/>
              <w:spacing w:after="0" w:line="133" w:lineRule="exact"/>
              <w:rPr>
                <w:sz w:val="20"/>
                <w:szCs w:val="20"/>
                <w:color w:val="auto"/>
              </w:rPr>
            </w:pPr>
            <w:r>
              <w:rPr>
                <w:rFonts w:ascii="Arial" w:cs="Arial" w:eastAsia="Arial" w:hAnsi="Arial"/>
                <w:sz w:val="12"/>
                <w:szCs w:val="12"/>
                <w:b w:val="1"/>
                <w:bCs w:val="1"/>
                <w:color w:val="auto"/>
              </w:rPr>
              <w:t>$ million</w:t>
            </w:r>
          </w:p>
        </w:tc>
      </w:tr>
      <w:tr>
        <w:trPr>
          <w:trHeight w:val="133"/>
        </w:trPr>
        <w:tc>
          <w:tcPr>
            <w:tcW w:w="2820" w:type="dxa"/>
            <w:vAlign w:val="bottom"/>
            <w:tcBorders>
              <w:right w:val="single" w:sz="8" w:color="CECAC6"/>
            </w:tcBorders>
            <w:shd w:val="clear" w:color="auto" w:fill="CECAC6"/>
          </w:tcPr>
          <w:p>
            <w:pPr>
              <w:spacing w:after="0"/>
              <w:rPr>
                <w:sz w:val="11"/>
                <w:szCs w:val="11"/>
                <w:color w:val="auto"/>
              </w:rPr>
            </w:pPr>
          </w:p>
        </w:tc>
        <w:tc>
          <w:tcPr>
            <w:tcW w:w="4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720" w:type="dxa"/>
            <w:vAlign w:val="bottom"/>
            <w:tcBorders>
              <w:left w:val="single" w:sz="8" w:color="CECAC6"/>
            </w:tcBorders>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c>
          <w:tcPr>
            <w:tcW w:w="6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2820" w:type="dxa"/>
            <w:vAlign w:val="bottom"/>
          </w:tcPr>
          <w:p>
            <w:pPr>
              <w:ind w:left="60"/>
              <w:spacing w:after="0" w:line="128" w:lineRule="exact"/>
              <w:rPr>
                <w:sz w:val="20"/>
                <w:szCs w:val="20"/>
                <w:color w:val="auto"/>
              </w:rPr>
            </w:pPr>
            <w:r>
              <w:rPr>
                <w:rFonts w:ascii="Arial" w:cs="Arial" w:eastAsia="Arial" w:hAnsi="Arial"/>
                <w:sz w:val="12"/>
                <w:szCs w:val="12"/>
                <w:color w:val="auto"/>
              </w:rPr>
              <w:t>Exploration &amp; Production</w:t>
            </w:r>
          </w:p>
        </w:tc>
        <w:tc>
          <w:tcPr>
            <w:tcW w:w="44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shd w:val="clear" w:color="auto" w:fill="E4E3E1"/>
              </w:rPr>
              <w:t>14,686</w:t>
            </w:r>
          </w:p>
        </w:tc>
        <w:tc>
          <w:tcPr>
            <w:tcW w:w="720" w:type="dxa"/>
            <w:vAlign w:val="bottom"/>
            <w:tcBorders>
              <w:left w:val="single" w:sz="8" w:color="E4E3E1"/>
            </w:tcBorders>
          </w:tcPr>
          <w:p>
            <w:pPr>
              <w:jc w:val="right"/>
              <w:ind w:right="18"/>
              <w:spacing w:after="0" w:line="128" w:lineRule="exact"/>
              <w:rPr>
                <w:sz w:val="20"/>
                <w:szCs w:val="20"/>
                <w:color w:val="auto"/>
              </w:rPr>
            </w:pPr>
            <w:r>
              <w:rPr>
                <w:rFonts w:ascii="Arial" w:cs="Arial" w:eastAsia="Arial" w:hAnsi="Arial"/>
                <w:sz w:val="12"/>
                <w:szCs w:val="12"/>
                <w:color w:val="auto"/>
              </w:rPr>
              <w:t>14,544</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13,577</w:t>
            </w:r>
          </w:p>
        </w:tc>
      </w:tr>
      <w:tr>
        <w:trPr>
          <w:trHeight w:val="133"/>
        </w:trPr>
        <w:tc>
          <w:tcPr>
            <w:tcW w:w="2820" w:type="dxa"/>
            <w:vAlign w:val="bottom"/>
          </w:tcPr>
          <w:p>
            <w:pPr>
              <w:ind w:left="60"/>
              <w:spacing w:after="0" w:line="133" w:lineRule="exact"/>
              <w:rPr>
                <w:sz w:val="20"/>
                <w:szCs w:val="20"/>
                <w:color w:val="auto"/>
              </w:rPr>
            </w:pPr>
            <w:r>
              <w:rPr>
                <w:rFonts w:ascii="Arial" w:cs="Arial" w:eastAsia="Arial" w:hAnsi="Arial"/>
                <w:sz w:val="12"/>
                <w:szCs w:val="12"/>
                <w:color w:val="auto"/>
              </w:rPr>
              <w:t>Gas &amp; Power</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2,781</w:t>
            </w:r>
          </w:p>
        </w:tc>
        <w:tc>
          <w:tcPr>
            <w:tcW w:w="720" w:type="dxa"/>
            <w:vAlign w:val="bottom"/>
            <w:tcBorders>
              <w:left w:val="single" w:sz="8" w:color="E4E3E1"/>
            </w:tcBorders>
          </w:tcPr>
          <w:p>
            <w:pPr>
              <w:jc w:val="right"/>
              <w:ind w:right="18"/>
              <w:spacing w:after="0" w:line="133" w:lineRule="exact"/>
              <w:rPr>
                <w:sz w:val="20"/>
                <w:szCs w:val="20"/>
                <w:color w:val="auto"/>
              </w:rPr>
            </w:pPr>
            <w:r>
              <w:rPr>
                <w:rFonts w:ascii="Arial" w:cs="Arial" w:eastAsia="Arial" w:hAnsi="Arial"/>
                <w:sz w:val="12"/>
                <w:szCs w:val="12"/>
                <w:color w:val="auto"/>
              </w:rPr>
              <w:t>2,633</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1,378</w:t>
            </w:r>
          </w:p>
        </w:tc>
      </w:tr>
      <w:tr>
        <w:trPr>
          <w:trHeight w:val="133"/>
        </w:trPr>
        <w:tc>
          <w:tcPr>
            <w:tcW w:w="2820" w:type="dxa"/>
            <w:vAlign w:val="bottom"/>
          </w:tcPr>
          <w:p>
            <w:pPr>
              <w:ind w:left="60"/>
              <w:spacing w:after="0" w:line="133" w:lineRule="exact"/>
              <w:rPr>
                <w:sz w:val="20"/>
                <w:szCs w:val="20"/>
                <w:color w:val="auto"/>
              </w:rPr>
            </w:pPr>
            <w:r>
              <w:rPr>
                <w:rFonts w:ascii="Arial" w:cs="Arial" w:eastAsia="Arial" w:hAnsi="Arial"/>
                <w:sz w:val="12"/>
                <w:szCs w:val="12"/>
                <w:color w:val="auto"/>
              </w:rPr>
              <w:t>Oil Sands</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582</w:t>
            </w:r>
          </w:p>
        </w:tc>
        <w:tc>
          <w:tcPr>
            <w:tcW w:w="720" w:type="dxa"/>
            <w:vAlign w:val="bottom"/>
            <w:tcBorders>
              <w:left w:val="single" w:sz="8" w:color="E4E3E1"/>
            </w:tcBorders>
          </w:tcPr>
          <w:p>
            <w:pPr>
              <w:jc w:val="right"/>
              <w:ind w:right="18"/>
              <w:spacing w:after="0" w:line="133" w:lineRule="exact"/>
              <w:rPr>
                <w:sz w:val="20"/>
                <w:szCs w:val="20"/>
                <w:color w:val="auto"/>
              </w:rPr>
            </w:pPr>
            <w:r>
              <w:rPr>
                <w:rFonts w:ascii="Arial" w:cs="Arial" w:eastAsia="Arial" w:hAnsi="Arial"/>
                <w:sz w:val="12"/>
                <w:szCs w:val="12"/>
                <w:color w:val="auto"/>
              </w:rPr>
              <w:t>651</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661</w:t>
            </w:r>
          </w:p>
        </w:tc>
      </w:tr>
      <w:tr>
        <w:trPr>
          <w:trHeight w:val="133"/>
        </w:trPr>
        <w:tc>
          <w:tcPr>
            <w:tcW w:w="2820" w:type="dxa"/>
            <w:vAlign w:val="bottom"/>
          </w:tcPr>
          <w:p>
            <w:pPr>
              <w:ind w:left="60"/>
              <w:spacing w:after="0" w:line="133" w:lineRule="exact"/>
              <w:rPr>
                <w:sz w:val="20"/>
                <w:szCs w:val="20"/>
                <w:color w:val="auto"/>
              </w:rPr>
            </w:pPr>
            <w:r>
              <w:rPr>
                <w:rFonts w:ascii="Arial" w:cs="Arial" w:eastAsia="Arial" w:hAnsi="Arial"/>
                <w:sz w:val="12"/>
                <w:szCs w:val="12"/>
                <w:color w:val="auto"/>
              </w:rPr>
              <w:t>Oil Products</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10,439</w:t>
            </w:r>
          </w:p>
        </w:tc>
        <w:tc>
          <w:tcPr>
            <w:tcW w:w="720" w:type="dxa"/>
            <w:vAlign w:val="bottom"/>
            <w:tcBorders>
              <w:left w:val="single" w:sz="8" w:color="E4E3E1"/>
            </w:tcBorders>
          </w:tcPr>
          <w:p>
            <w:pPr>
              <w:jc w:val="right"/>
              <w:ind w:right="18"/>
              <w:spacing w:after="0" w:line="133" w:lineRule="exact"/>
              <w:rPr>
                <w:sz w:val="20"/>
                <w:szCs w:val="20"/>
                <w:color w:val="auto"/>
              </w:rPr>
            </w:pPr>
            <w:r>
              <w:rPr>
                <w:rFonts w:ascii="Arial" w:cs="Arial" w:eastAsia="Arial" w:hAnsi="Arial"/>
                <w:sz w:val="12"/>
                <w:szCs w:val="12"/>
                <w:color w:val="auto"/>
              </w:rPr>
              <w:t>7,125</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9,982</w:t>
            </w:r>
          </w:p>
        </w:tc>
      </w:tr>
      <w:tr>
        <w:trPr>
          <w:trHeight w:val="133"/>
        </w:trPr>
        <w:tc>
          <w:tcPr>
            <w:tcW w:w="2820" w:type="dxa"/>
            <w:vAlign w:val="bottom"/>
          </w:tcPr>
          <w:p>
            <w:pPr>
              <w:ind w:left="60"/>
              <w:spacing w:after="0" w:line="133" w:lineRule="exact"/>
              <w:rPr>
                <w:sz w:val="20"/>
                <w:szCs w:val="20"/>
                <w:color w:val="auto"/>
              </w:rPr>
            </w:pPr>
            <w:r>
              <w:rPr>
                <w:rFonts w:ascii="Arial" w:cs="Arial" w:eastAsia="Arial" w:hAnsi="Arial"/>
                <w:sz w:val="12"/>
                <w:szCs w:val="12"/>
                <w:color w:val="auto"/>
              </w:rPr>
              <w:t>Chemicals</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2,051</w:t>
            </w:r>
          </w:p>
        </w:tc>
        <w:tc>
          <w:tcPr>
            <w:tcW w:w="720" w:type="dxa"/>
            <w:vAlign w:val="bottom"/>
            <w:tcBorders>
              <w:left w:val="single" w:sz="8" w:color="E4E3E1"/>
            </w:tcBorders>
          </w:tcPr>
          <w:p>
            <w:pPr>
              <w:jc w:val="right"/>
              <w:ind w:right="18"/>
              <w:spacing w:after="0" w:line="133" w:lineRule="exact"/>
              <w:rPr>
                <w:sz w:val="20"/>
                <w:szCs w:val="20"/>
                <w:color w:val="auto"/>
              </w:rPr>
            </w:pPr>
            <w:r>
              <w:rPr>
                <w:rFonts w:ascii="Arial" w:cs="Arial" w:eastAsia="Arial" w:hAnsi="Arial"/>
                <w:sz w:val="12"/>
                <w:szCs w:val="12"/>
                <w:color w:val="auto"/>
              </w:rPr>
              <w:t>1,064</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991</w:t>
            </w:r>
          </w:p>
        </w:tc>
      </w:tr>
      <w:tr>
        <w:trPr>
          <w:trHeight w:val="139"/>
        </w:trPr>
        <w:tc>
          <w:tcPr>
            <w:tcW w:w="28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Corporate</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1,387</w:t>
            </w:r>
          </w:p>
        </w:tc>
        <w:tc>
          <w:tcPr>
            <w:tcW w:w="720" w:type="dxa"/>
            <w:vAlign w:val="bottom"/>
            <w:tcBorders>
              <w:left w:val="single" w:sz="8" w:color="E4E3E1"/>
              <w:bottom w:val="single" w:sz="8" w:color="auto"/>
            </w:tcBorders>
          </w:tcPr>
          <w:p>
            <w:pPr>
              <w:jc w:val="right"/>
              <w:ind w:right="18"/>
              <w:spacing w:after="0"/>
              <w:rPr>
                <w:sz w:val="20"/>
                <w:szCs w:val="20"/>
                <w:color w:val="auto"/>
              </w:rPr>
            </w:pPr>
            <w:r>
              <w:rPr>
                <w:rFonts w:ascii="Arial" w:cs="Arial" w:eastAsia="Arial" w:hAnsi="Arial"/>
                <w:sz w:val="12"/>
                <w:szCs w:val="12"/>
                <w:color w:val="auto"/>
              </w:rPr>
              <w:t>294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w:t>
            </w:r>
          </w:p>
        </w:tc>
      </w:tr>
      <w:tr>
        <w:trPr>
          <w:trHeight w:val="140"/>
        </w:trPr>
        <w:tc>
          <w:tcPr>
            <w:tcW w:w="2820" w:type="dxa"/>
            <w:vAlign w:val="bottom"/>
          </w:tcPr>
          <w:p>
            <w:pPr>
              <w:ind w:left="60"/>
              <w:spacing w:after="0"/>
              <w:rPr>
                <w:sz w:val="20"/>
                <w:szCs w:val="20"/>
                <w:color w:val="auto"/>
              </w:rPr>
            </w:pPr>
            <w:r>
              <w:rPr>
                <w:rFonts w:ascii="Arial" w:cs="Arial" w:eastAsia="Arial" w:hAnsi="Arial"/>
                <w:sz w:val="12"/>
                <w:szCs w:val="12"/>
                <w:b w:val="1"/>
                <w:bCs w:val="1"/>
                <w:color w:val="auto"/>
              </w:rPr>
              <w:t>Total</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b w:val="1"/>
                <w:bCs w:val="1"/>
                <w:color w:val="auto"/>
                <w:shd w:val="clear" w:color="auto" w:fill="E4E3E1"/>
              </w:rPr>
              <w:t>31,926</w:t>
            </w:r>
          </w:p>
        </w:tc>
        <w:tc>
          <w:tcPr>
            <w:tcW w:w="720" w:type="dxa"/>
            <w:vAlign w:val="bottom"/>
            <w:tcBorders>
              <w:left w:val="single" w:sz="8" w:color="E4E3E1"/>
            </w:tcBorders>
          </w:tcPr>
          <w:p>
            <w:pPr>
              <w:jc w:val="right"/>
              <w:ind w:right="18"/>
              <w:spacing w:after="0"/>
              <w:rPr>
                <w:sz w:val="20"/>
                <w:szCs w:val="20"/>
                <w:color w:val="auto"/>
              </w:rPr>
            </w:pPr>
            <w:r>
              <w:rPr>
                <w:rFonts w:ascii="Arial" w:cs="Arial" w:eastAsia="Arial" w:hAnsi="Arial"/>
                <w:sz w:val="12"/>
                <w:szCs w:val="12"/>
                <w:b w:val="1"/>
                <w:bCs w:val="1"/>
                <w:color w:val="auto"/>
              </w:rPr>
              <w:t>26,311</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26,261</w:t>
            </w:r>
          </w:p>
        </w:tc>
      </w:tr>
    </w:tbl>
    <w:p>
      <w:pPr>
        <w:spacing w:after="0" w:line="87" w:lineRule="exact"/>
        <w:rPr>
          <w:sz w:val="20"/>
          <w:szCs w:val="20"/>
          <w:color w:val="auto"/>
        </w:rPr>
      </w:pPr>
    </w:p>
    <w:p>
      <w:pPr>
        <w:ind w:left="980" w:right="71" w:hanging="208"/>
        <w:spacing w:after="0" w:line="234" w:lineRule="auto"/>
        <w:tabs>
          <w:tab w:leader="none" w:pos="9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With effect from 2007, wind and solar activities, which were previously reported within Other industry segments, are reported within the Gas &amp; Power segment and Oil Sands activities, which were previously reported within the Exploration &amp; Production segment, are reported as a separate segment. Prior period financial statements have been reclassified accordingly. During 2007, the hydrogen and CO</w:t>
      </w:r>
      <w:r>
        <w:rPr>
          <w:rFonts w:ascii="Arial" w:cs="Arial" w:eastAsia="Arial" w:hAnsi="Arial"/>
          <w:sz w:val="10"/>
          <w:szCs w:val="10"/>
          <w:color w:val="auto"/>
        </w:rPr>
        <w:t>2</w:t>
      </w:r>
      <w:r>
        <w:rPr>
          <w:rFonts w:ascii="Arial" w:cs="Arial" w:eastAsia="Arial" w:hAnsi="Arial"/>
          <w:sz w:val="12"/>
          <w:szCs w:val="12"/>
          <w:color w:val="auto"/>
        </w:rPr>
        <w:t xml:space="preserve"> coordination activities were moved from Other industry segments to the Oil Products segment and all other activities within Other industry segments are now reported within the Corporate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040" w:hanging="270"/>
        <w:spacing w:after="0"/>
        <w:tabs>
          <w:tab w:leader="none" w:pos="1040" w:val="left"/>
        </w:tabs>
        <w:numPr>
          <w:ilvl w:val="0"/>
          <w:numId w:val="1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824230</wp:posOffset>
            </wp:positionV>
            <wp:extent cx="725297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3324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2480" cy="8255"/>
                    </a:xfrm>
                    <a:prstGeom prst="rect">
                      <a:avLst/>
                    </a:prstGeom>
                    <a:noFill/>
                  </pic:spPr>
                </pic:pic>
              </a:graphicData>
            </a:graphic>
          </wp:anchor>
        </w:drawing>
      </w:r>
    </w:p>
    <w:p>
      <w:pPr>
        <w:spacing w:after="0" w:line="147" w:lineRule="exact"/>
        <w:rPr>
          <w:sz w:val="20"/>
          <w:szCs w:val="20"/>
          <w:color w:val="auto"/>
        </w:rPr>
      </w:pPr>
    </w:p>
    <w:p>
      <w:pPr>
        <w:ind w:left="9" w:right="140"/>
        <w:spacing w:after="0" w:line="244" w:lineRule="auto"/>
        <w:rPr>
          <w:sz w:val="20"/>
          <w:szCs w:val="20"/>
          <w:color w:val="auto"/>
        </w:rPr>
      </w:pPr>
      <w:r>
        <w:rPr>
          <w:rFonts w:ascii="Arial" w:cs="Arial" w:eastAsia="Arial" w:hAnsi="Arial"/>
          <w:sz w:val="13"/>
          <w:szCs w:val="13"/>
          <w:color w:val="auto"/>
        </w:rPr>
        <w:t>Shell businesses delivered strong operational and financial performance in 2007, resulting in earnings of $31.9 billion. Shell’s healthy financial position allowed it to return</w:t>
      </w:r>
    </w:p>
    <w:p>
      <w:pPr>
        <w:spacing w:after="0" w:line="1" w:lineRule="exact"/>
        <w:rPr>
          <w:sz w:val="20"/>
          <w:szCs w:val="20"/>
          <w:color w:val="auto"/>
        </w:rPr>
      </w:pPr>
    </w:p>
    <w:p>
      <w:pPr>
        <w:ind w:left="9" w:right="20"/>
        <w:spacing w:after="0" w:line="242" w:lineRule="auto"/>
        <w:rPr>
          <w:sz w:val="20"/>
          <w:szCs w:val="20"/>
          <w:color w:val="auto"/>
        </w:rPr>
      </w:pPr>
      <w:r>
        <w:rPr>
          <w:rFonts w:ascii="Arial" w:cs="Arial" w:eastAsia="Arial" w:hAnsi="Arial"/>
          <w:sz w:val="13"/>
          <w:szCs w:val="13"/>
          <w:color w:val="auto"/>
        </w:rPr>
        <w:t>$13.4 billion to shareholders, through dividends and share repurchases, while capital investment reached $27.1 billion (see page 4). Return on average capital employed (ROACE)</w:t>
      </w:r>
      <w:r>
        <w:rPr>
          <w:rFonts w:ascii="Arial" w:cs="Arial" w:eastAsia="Arial" w:hAnsi="Arial"/>
          <w:sz w:val="11"/>
          <w:szCs w:val="11"/>
          <w:b w:val="1"/>
          <w:bCs w:val="1"/>
          <w:color w:val="auto"/>
        </w:rPr>
        <w:t>[A]</w:t>
      </w:r>
      <w:r>
        <w:rPr>
          <w:rFonts w:ascii="Arial" w:cs="Arial" w:eastAsia="Arial" w:hAnsi="Arial"/>
          <w:sz w:val="13"/>
          <w:szCs w:val="13"/>
          <w:color w:val="auto"/>
        </w:rPr>
        <w:t>, at the end of 2007 was 24.4% compared to 23.4% at the end of 2006. Gearing was 16.6% at the end of 2007 compared to 14.8% at the end of 2006. The 2007 dividend increased 13% to $1.44 per share compared to $1.27 in 2006.</w:t>
      </w:r>
    </w:p>
    <w:p>
      <w:pPr>
        <w:spacing w:after="0" w:line="153" w:lineRule="exact"/>
        <w:rPr>
          <w:sz w:val="20"/>
          <w:szCs w:val="20"/>
          <w:color w:val="auto"/>
        </w:rPr>
      </w:pPr>
    </w:p>
    <w:p>
      <w:pPr>
        <w:ind w:left="9"/>
        <w:spacing w:after="0" w:line="241" w:lineRule="auto"/>
        <w:rPr>
          <w:sz w:val="20"/>
          <w:szCs w:val="20"/>
          <w:color w:val="auto"/>
        </w:rPr>
      </w:pPr>
      <w:r>
        <w:rPr>
          <w:rFonts w:ascii="Arial" w:cs="Arial" w:eastAsia="Arial" w:hAnsi="Arial"/>
          <w:sz w:val="13"/>
          <w:szCs w:val="13"/>
          <w:color w:val="auto"/>
        </w:rPr>
        <w:t>The 2007 earnings were up 21% from 2006, which were in line with 2005. The increase in 2007 reflected higher oil and gas prices, the positive impact of increasing crude prices on our inventory, improved chemical margins and substantially higher interest and investment income, offset by lower production volumes, lower realised refining margins and lower trading contribution. In 2007, oil and gas production, including oil sands production, was 3,315 thousand boe/d, compared to 3,473 thousand boe/d in 2006. Production in 2007 reflected a combination of the positive and negative effects of several factors, including new field start-ups, reduced demand for natural gas in Europe, normal field declines, the impact of higher oil prices, and the security situation in Nigeria.</w:t>
      </w:r>
    </w:p>
    <w:p>
      <w:pPr>
        <w:spacing w:after="0" w:line="138" w:lineRule="exact"/>
        <w:rPr>
          <w:sz w:val="20"/>
          <w:szCs w:val="20"/>
          <w:color w:val="auto"/>
        </w:rPr>
      </w:pPr>
    </w:p>
    <w:p>
      <w:pPr>
        <w:ind w:left="9"/>
        <w:spacing w:after="0"/>
        <w:rPr>
          <w:sz w:val="20"/>
          <w:szCs w:val="20"/>
          <w:color w:val="auto"/>
        </w:rPr>
      </w:pPr>
      <w:r>
        <w:rPr>
          <w:rFonts w:ascii="Arial" w:cs="Arial" w:eastAsia="Arial" w:hAnsi="Arial"/>
          <w:sz w:val="14"/>
          <w:szCs w:val="14"/>
          <w:color w:val="auto"/>
        </w:rPr>
        <w:t>Exploration &amp; Production earnings were $14,686 million in 2007 compared with</w:t>
      </w:r>
    </w:p>
    <w:p>
      <w:pPr>
        <w:ind w:left="9" w:right="80"/>
        <w:spacing w:after="0" w:line="239" w:lineRule="auto"/>
        <w:rPr>
          <w:sz w:val="20"/>
          <w:szCs w:val="20"/>
          <w:color w:val="auto"/>
        </w:rPr>
      </w:pPr>
      <w:r>
        <w:rPr>
          <w:rFonts w:ascii="Arial" w:cs="Arial" w:eastAsia="Arial" w:hAnsi="Arial"/>
          <w:sz w:val="13"/>
          <w:szCs w:val="13"/>
          <w:color w:val="auto"/>
        </w:rPr>
        <w:t>$14,544 million in 2006, up 1%. Earnings reflected the impact of higher oil and gas prices, which were partly offset by lower production volumes, higher exploration expenses and higher costs, reflecting current industry conditions. In addition, earnings were lower as Shell’s share of earnings in the Sakhalin II project were reduced, following the partial divestment of the project in April 2007 and the resulting change of Sakhalin II from a fully consolidated subsidiary to an equity-accounted investment (Shell interest 27.5%). In 2006, earnings increased by 7% compared to 2005. This reflected higher oil prices, partly offset by lower production volumes, higher operating costs in line with industry conditions, increased pre-development activity levels and lower US gas prices.</w:t>
      </w:r>
    </w:p>
    <w:p>
      <w:pPr>
        <w:spacing w:after="0" w:line="140" w:lineRule="exact"/>
        <w:rPr>
          <w:sz w:val="20"/>
          <w:szCs w:val="20"/>
          <w:color w:val="auto"/>
        </w:rPr>
      </w:pPr>
    </w:p>
    <w:p>
      <w:pPr>
        <w:ind w:left="9"/>
        <w:spacing w:after="0" w:line="261" w:lineRule="auto"/>
        <w:rPr>
          <w:sz w:val="20"/>
          <w:szCs w:val="20"/>
          <w:color w:val="auto"/>
        </w:rPr>
      </w:pPr>
      <w:r>
        <w:rPr>
          <w:rFonts w:ascii="Arial" w:cs="Arial" w:eastAsia="Arial" w:hAnsi="Arial"/>
          <w:sz w:val="12"/>
          <w:szCs w:val="12"/>
          <w:color w:val="auto"/>
        </w:rPr>
        <w:t>Hydrocarbon prices were higher in 2007 compared with 2006 and 2005. Brent crude prices averaged $72.45 per barrel in 2007 compared with $65.10 in 2006 and $54.55 in 2005. West Texas Intermediate prices averaged $72.16 per barrel in 2007 compared with $66.04 in</w:t>
      </w:r>
    </w:p>
    <w:p>
      <w:pPr>
        <w:spacing w:after="0" w:line="1" w:lineRule="exact"/>
        <w:rPr>
          <w:sz w:val="20"/>
          <w:szCs w:val="20"/>
          <w:color w:val="auto"/>
        </w:rPr>
      </w:pPr>
    </w:p>
    <w:p>
      <w:pPr>
        <w:ind w:left="9"/>
        <w:spacing w:after="0" w:line="239" w:lineRule="auto"/>
        <w:rPr>
          <w:sz w:val="20"/>
          <w:szCs w:val="20"/>
          <w:color w:val="auto"/>
        </w:rPr>
      </w:pPr>
      <w:r>
        <w:rPr>
          <w:rFonts w:ascii="Arial" w:cs="Arial" w:eastAsia="Arial" w:hAnsi="Arial"/>
          <w:sz w:val="13"/>
          <w:szCs w:val="13"/>
          <w:color w:val="auto"/>
        </w:rPr>
        <w:t>2006 and $56.60 in 2005. Shell’s overall realised oil and natural gas liquids (NGL) prices were $67.99 a barrel, compared with $60.64 in 2006 and $50.59 in 2005. In the USA, realised oil and NGL prices averaged $66.49 a barrel, compared with $58.53 in 2006 and $48.94 in 2005. Outside the USA, realised oil and NGL prices averaged $68.24 a barrel compared with $60.99 in 2006 and $50.84 in 2005. Our overall realised gas prices averaged $5.14 per thousand standard cubic feet (scf) in 2007 compared with $5.08 in 2006 and $4.77 in 2005. In the USA, realised gas prices averaged $7.23 per thousand scf, compared with $7.74 in 2006 and $8.43 in 2005. Outside the USA, realised gas prices averaged $4.61 compared with $4.41 in 2006 and $3.84 in 2005.</w:t>
      </w:r>
    </w:p>
    <w:p>
      <w:pPr>
        <w:spacing w:after="0" w:line="153" w:lineRule="exact"/>
        <w:rPr>
          <w:sz w:val="20"/>
          <w:szCs w:val="20"/>
          <w:color w:val="auto"/>
        </w:rPr>
      </w:pPr>
    </w:p>
    <w:p>
      <w:pPr>
        <w:ind w:left="9" w:right="480"/>
        <w:spacing w:after="0" w:line="247" w:lineRule="auto"/>
        <w:rPr>
          <w:sz w:val="20"/>
          <w:szCs w:val="20"/>
          <w:color w:val="auto"/>
        </w:rPr>
      </w:pPr>
      <w:r>
        <w:rPr>
          <w:rFonts w:ascii="Arial" w:cs="Arial" w:eastAsia="Arial" w:hAnsi="Arial"/>
          <w:sz w:val="14"/>
          <w:szCs w:val="14"/>
          <w:color w:val="auto"/>
        </w:rPr>
        <w:t>Gas &amp; Power earnings were up 6% in 2007 reaching $2,781 million, compared with $2,633 million in 2006 and $1,378 million in 2005.</w:t>
      </w:r>
    </w:p>
    <w:p>
      <w:pPr>
        <w:spacing w:after="0" w:line="28" w:lineRule="exact"/>
        <w:rPr>
          <w:sz w:val="20"/>
          <w:szCs w:val="20"/>
          <w:color w:val="auto"/>
        </w:rPr>
      </w:pPr>
    </w:p>
    <w:p>
      <w:pPr>
        <w:ind w:left="229" w:right="60" w:hanging="229"/>
        <w:spacing w:after="0" w:line="238" w:lineRule="auto"/>
        <w:tabs>
          <w:tab w:leader="none" w:pos="229" w:val="left"/>
        </w:tabs>
        <w:numPr>
          <w:ilvl w:val="0"/>
          <w:numId w:val="13"/>
        </w:numPr>
        <w:rPr>
          <w:rFonts w:ascii="Arial" w:cs="Arial" w:eastAsia="Arial" w:hAnsi="Arial"/>
          <w:sz w:val="12"/>
          <w:szCs w:val="12"/>
          <w:color w:val="auto"/>
        </w:rPr>
      </w:pPr>
      <w:r>
        <w:rPr>
          <w:rFonts w:ascii="Arial" w:cs="Arial" w:eastAsia="Arial" w:hAnsi="Arial"/>
          <w:sz w:val="12"/>
          <w:szCs w:val="12"/>
          <w:color w:val="auto"/>
        </w:rPr>
        <w:t>ROACE is defined as income attributable to shareholders adjusted for Shell’s share of interest expense, after tax, as a percentage of Shell’s share of average capital employed for the period. Capital employed consists of total equity, current debt and non-current debt. For more information on ROACE see key performance indicators on pages 60 and 61.</w:t>
      </w:r>
    </w:p>
    <w:p>
      <w:pPr>
        <w:sectPr>
          <w:pgSz w:w="11900" w:h="16838" w:orient="portrait"/>
          <w:cols w:equalWidth="0" w:num="2">
            <w:col w:w="5451" w:space="720"/>
            <w:col w:w="5249"/>
          </w:cols>
          <w:pgMar w:left="240" w:top="41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The 2007 higher earnings reflected increased liquefied natural gas (LNG) sales volumes, strong LNG and gas to liquids (GTL) prices, and a net gain of $275 million mainly related to the sale of common units in Enterprise Products Partners LP. This was partly offset by lower earnings from marketing and trading activities. The increase in 2006 earnings reflected growth in LNG sales volumes, higher realised LNG prices, LNG supply optimisation and strong marketing and trading performance. LNG sales volumes in 2007 of 13.18 million tonnes showed an increase of 9% compared to 12.12 million tonnes in 2006, due to growth in Nigeria. LNG sales volumes in 2006 showed an increase of 14% compared to 10.65 million tonnes in 2005 due to the capacity growth in Nigeria and Oman.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Oil Sands earnings were $582 million compared with $651 million in 2006 and</w:t>
      </w:r>
    </w:p>
    <w:p>
      <w:pPr>
        <w:spacing w:after="0" w:line="239" w:lineRule="auto"/>
        <w:rPr>
          <w:sz w:val="20"/>
          <w:szCs w:val="20"/>
          <w:color w:val="auto"/>
        </w:rPr>
      </w:pPr>
      <w:r>
        <w:rPr>
          <w:rFonts w:ascii="Arial" w:cs="Arial" w:eastAsia="Arial" w:hAnsi="Arial"/>
          <w:sz w:val="13"/>
          <w:szCs w:val="13"/>
          <w:color w:val="auto"/>
        </w:rPr>
        <w:t>$661 million in 2005. Earnings in 2007, compared to 2006, decreased due to an unplanned shutdown in September and a fire in November at the Scotford Upgrader, higher operating and maintenance costs and increased royalty expenses, which were partly offset by the impact of higher oil prices and a favourable tax adjustment of $94 million. Earnings in 2006 decreased compared to 2005, as higher oil prices and a favourable tax adjustment of $120 million were offset by lower production and the first major scheduled turnaround of both the Muskeg River Mine and the Scotford Upgrader. Bitumen production for 2007 was in line with 2006.</w:t>
      </w:r>
    </w:p>
    <w:p>
      <w:pPr>
        <w:spacing w:after="0" w:line="182"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Oil Products earnings in 2007 were $10,439 million, 47% higher than 2006 while 2006 was 29% lower than 2005. The 2007 earnings increase reflected higher marketing margins and benefited from the impact of increasing crude prices on our inventory of</w:t>
      </w:r>
    </w:p>
    <w:p>
      <w:pPr>
        <w:spacing w:after="0" w:line="1" w:lineRule="exact"/>
        <w:rPr>
          <w:sz w:val="20"/>
          <w:szCs w:val="20"/>
          <w:color w:val="auto"/>
        </w:rPr>
      </w:pPr>
    </w:p>
    <w:p>
      <w:pPr>
        <w:ind w:right="200"/>
        <w:spacing w:after="0" w:line="224" w:lineRule="auto"/>
        <w:rPr>
          <w:sz w:val="20"/>
          <w:szCs w:val="20"/>
          <w:color w:val="auto"/>
        </w:rPr>
      </w:pPr>
      <w:r>
        <w:rPr>
          <w:rFonts w:ascii="Arial" w:cs="Arial" w:eastAsia="Arial" w:hAnsi="Arial"/>
          <w:sz w:val="14"/>
          <w:szCs w:val="14"/>
          <w:color w:val="auto"/>
        </w:rPr>
        <w:t>$3,488 million. However, earnings were impacted by lower realised refining margins, a lower trading contribution and higher operating costs. The 2006 earnings decrease reflected reduced refining margins partially offset by higher marketing earnings, higher trading contribution and the favourable impact of price volatility on inventory of $98 million.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Chemicals earnings were $2,051 million compared with $1,064 million in 2006 and</w:t>
      </w:r>
    </w:p>
    <w:p>
      <w:pPr>
        <w:spacing w:after="0" w:line="254" w:lineRule="auto"/>
        <w:rPr>
          <w:sz w:val="20"/>
          <w:szCs w:val="20"/>
          <w:color w:val="auto"/>
        </w:rPr>
      </w:pPr>
      <w:r>
        <w:rPr>
          <w:rFonts w:ascii="Arial" w:cs="Arial" w:eastAsia="Arial" w:hAnsi="Arial"/>
          <w:sz w:val="12"/>
          <w:szCs w:val="12"/>
          <w:color w:val="auto"/>
        </w:rPr>
        <w:t>$991 million in 2005. The impact of price volatility on inventory had favourable effects on 2007 earnings of $369 million compared with an unfavourable effect of $31 million in 2006. The increased earnings in 2007 reflected higher margins, higher earnings from equity-accounted investments and lower fixed costs, which were partly offset by a reduced trading contribution. Earnings in 2005 included $307 million of losses from discontinued operations, related to the sale of Basell. Setting this aside, earnings in 2006 were</w:t>
      </w:r>
    </w:p>
    <w:p>
      <w:pPr>
        <w:spacing w:after="0" w:line="3" w:lineRule="exact"/>
        <w:rPr>
          <w:sz w:val="20"/>
          <w:szCs w:val="20"/>
          <w:color w:val="auto"/>
        </w:rPr>
      </w:pPr>
    </w:p>
    <w:p>
      <w:pPr>
        <w:jc w:val="both"/>
        <w:ind w:right="240"/>
        <w:spacing w:after="0" w:line="307" w:lineRule="auto"/>
        <w:rPr>
          <w:sz w:val="20"/>
          <w:szCs w:val="20"/>
          <w:color w:val="auto"/>
        </w:rPr>
      </w:pPr>
      <w:r>
        <w:rPr>
          <w:rFonts w:ascii="Arial" w:cs="Arial" w:eastAsia="Arial" w:hAnsi="Arial"/>
          <w:sz w:val="12"/>
          <w:szCs w:val="12"/>
          <w:color w:val="auto"/>
        </w:rPr>
        <w:t>$234 million lower than 2005. This was due to lower margins and higher depreciation, partly offset by better earnings from equity-accounted investments and lower taxation.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AND CAPITAL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273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Shell’s strategy to invest in the development of long-term growth projects, primarily in the upstream businesses, explains the most significant changes to the balance sheet in 2007. Property, plant and equipment and equity-accounted investments increased by almost</w:t>
      </w:r>
    </w:p>
    <w:p>
      <w:pPr>
        <w:spacing w:after="0" w:line="1" w:lineRule="exact"/>
        <w:rPr>
          <w:sz w:val="20"/>
          <w:szCs w:val="20"/>
          <w:color w:val="auto"/>
        </w:rPr>
      </w:pPr>
    </w:p>
    <w:p>
      <w:pPr>
        <w:ind w:right="260"/>
        <w:spacing w:after="0" w:line="241" w:lineRule="auto"/>
        <w:rPr>
          <w:sz w:val="20"/>
          <w:szCs w:val="20"/>
          <w:color w:val="auto"/>
        </w:rPr>
      </w:pPr>
      <w:r>
        <w:rPr>
          <w:rFonts w:ascii="Arial" w:cs="Arial" w:eastAsia="Arial" w:hAnsi="Arial"/>
          <w:sz w:val="13"/>
          <w:szCs w:val="13"/>
          <w:color w:val="auto"/>
        </w:rPr>
        <w:t>$9 billion in 2007 as capital investment increased by over 9% in 2007 compared with 2006 reaching $27.1 billion. This was partly offset by depreciation, depletion and amortisation of $13.2 billion. $19.5 billion of the capital investment was dedicated to upstream projects that will primarily deliver organic growth over the long term. These projects include several multi-billion dollar, integrated facilities that should provide significant cash flow for the coming decades.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The capital investment programme in 2007 was primarily funded internally, either from cash from operations of $34.5 billion or with proceeds from divestments of $9.9 billion, with net debt (defined as total debt minus cash) increasing by $1.7 billion to a year-end balance of $8.4 billion. In 2007, Shell paid cash of $7.1 billion for shares in Shell Canada that it did not already own and, as a result, total equity decreased by the same amount. Overall total equity increased by $11.0 billion in 2007 resulting in a year-end balance of $126 billion. Gearing increased from 14.8% at year-end 2006 to 16.6% at year-end 2007. See Note 19[D] to the Consolidated Financial Statements for further discussion on gearing.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-846455</wp:posOffset>
            </wp:positionV>
            <wp:extent cx="282575" cy="65716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2575" cy="657161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2734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147" w:lineRule="exact"/>
        <w:rPr>
          <w:sz w:val="20"/>
          <w:szCs w:val="20"/>
          <w:color w:val="auto"/>
        </w:rPr>
      </w:pPr>
    </w:p>
    <w:p>
      <w:pPr>
        <w:ind w:right="180"/>
        <w:spacing w:after="0" w:line="245" w:lineRule="auto"/>
        <w:rPr>
          <w:sz w:val="20"/>
          <w:szCs w:val="20"/>
          <w:color w:val="auto"/>
        </w:rPr>
      </w:pPr>
      <w:r>
        <w:rPr>
          <w:rFonts w:ascii="Arial" w:cs="Arial" w:eastAsia="Arial" w:hAnsi="Arial"/>
          <w:sz w:val="13"/>
          <w:szCs w:val="13"/>
          <w:color w:val="auto"/>
        </w:rPr>
        <w:t>We want to maintain and enhance our competitive position and provide investors with a competitive and sustained total shareholder return. We plan net capital investment of $26-$27 billion in 2008 (net capital investment represents capital investment, less divestment proceeds). The majority of our capital investment will be in upstream, including LNG and GTL, and oil sands projects. The remainder will be invested in downstream on improving or expanding our oil products and chemicals business.</w:t>
      </w:r>
    </w:p>
    <w:p>
      <w:pPr>
        <w:spacing w:after="0" w:line="177"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color w:val="auto"/>
        </w:rPr>
        <w:t>The production outlook for 2008 is uncertain. However, 2008 production is likely to decline slightly from 2007 levels, if 2007 operating and security conditions in Nigeria continue in 2008, and previously announced disposals are completed. In the long term, Shell expects to be capable of 2-3% per annum production growth on average from 2010, including production from oil, gas and oil sands. Actual growth each year will depend on project start-ups, portfolio management actions and project contracting conditions, among other things. Our investment decision-making will focus on generating value rather than specific reserves or volume targets.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2734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147"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On March 31, 2007, Royal Dutch Shell, through its affiliates, acquired the minority interest in Shell Canada. Shell paid cash of $7.1 billion for the shares in Shell Canada that it did not already own. As a result of this transaction, the Consolidated Financial Statements of Shell as of December 31, 2007, reflect some $7.1 billion decrease in shareholders equity, with a $1,639 million decrease in minority interest, being the book value of the item acquired and the excess of the purchase price over the book value of $5,445 million being taken to retained earnings. In addition to the share purchase price, $0.4 billion of Shell Canada share options were exchanged for a corresponding amount of Shell share options.</w:t>
      </w:r>
    </w:p>
    <w:p>
      <w:pPr>
        <w:spacing w:after="0" w:line="179" w:lineRule="exact"/>
        <w:rPr>
          <w:sz w:val="20"/>
          <w:szCs w:val="20"/>
          <w:color w:val="auto"/>
        </w:rPr>
      </w:pPr>
    </w:p>
    <w:p>
      <w:pPr>
        <w:ind w:right="300"/>
        <w:spacing w:after="0" w:line="244" w:lineRule="auto"/>
        <w:rPr>
          <w:sz w:val="20"/>
          <w:szCs w:val="20"/>
          <w:color w:val="auto"/>
        </w:rPr>
      </w:pPr>
      <w:r>
        <w:rPr>
          <w:rFonts w:ascii="Arial" w:cs="Arial" w:eastAsia="Arial" w:hAnsi="Arial"/>
          <w:sz w:val="13"/>
          <w:szCs w:val="13"/>
          <w:color w:val="auto"/>
        </w:rPr>
        <w:t>On April 18, 2007, Royal Dutch Shell completed the divestment to OAO Gazprom of 50% of its shares in Sakhalin Energy Investment Company Ltd (SEIC), representing</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27.5% of the total outstanding shares, for a sales price of $4.1 billion. Gazprom acquired a 50% interest plus one share, while Shell retains a 27.5% interest, with Mitsui and Mitsubishi holding a 12.5% and 10% interest, respectively. In addition, the Ministry of Natural Resources of the Russian Federation announced its approval of the revised Environmental Action Plan. Additional agreements were also signed with the Russian government, addressing the economic balance of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1799590</wp:posOffset>
            </wp:positionV>
            <wp:extent cx="725297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60" w:space="420"/>
            <w:col w:w="5160"/>
          </w:cols>
          <w:pgMar w:left="240" w:top="415" w:right="9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2"/>
        </w:rPr>
        <w:t>SUMMARY OF RESULTS</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auto"/>
        </w:rPr>
        <w:t>These portfolio actions had the following impact on Shell’s reserves. As a result of the Sakhalin</w:t>
      </w:r>
    </w:p>
    <w:p>
      <w:pPr>
        <w:spacing w:after="0" w:line="9" w:lineRule="exact"/>
        <w:rPr>
          <w:sz w:val="20"/>
          <w:szCs w:val="20"/>
          <w:color w:val="auto"/>
        </w:rPr>
      </w:pPr>
    </w:p>
    <w:p>
      <w:pPr>
        <w:ind w:firstLine="7"/>
        <w:spacing w:after="0" w:line="223" w:lineRule="auto"/>
        <w:tabs>
          <w:tab w:leader="none" w:pos="13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divestment, minority interests were reduced by 658 million boe and 402 million boe of proved reserves were transferred from Shell subsidiaries to the Shell share of equity-accounted investments. In addition, as a result of the acquisition of the minority interest in Shell Canada, minority interests were reduced by 72 million boe associated with Shell Canada’s proved oil and gas reserves and by 250 million boe associated with Shell Canada’s proven minable oil sands reserves.</w:t>
      </w:r>
    </w:p>
    <w:p>
      <w:pPr>
        <w:spacing w:after="0" w:line="18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At the end of the first quarter 2007, 100% of the Sakhalin II project net assets of approximately $15 billion were included in Shell’s balance sheet, offset by a minority interest of $6.7 billion representing the partners’ 45% interest in the project. As a result of the partial divestment, the consolidated financial statements of Shell no longer include the separate assets, liabilities and associated minority interest of the Sakhalin II project. Shell’s asset position in the project is now accounted for as an equity-accounted investment.</w:t>
      </w:r>
    </w:p>
    <w:p>
      <w:pPr>
        <w:spacing w:after="0" w:line="177"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SEIC continues to be the operator of the Sakhalin II project. Gazprom and existing SEIC shareholders entered into an area of mutual interest arrangement, which covers both future Sakhalin area oil and gas exploration and production opportunities, and building of Sakhalin II into a regional oil and LNG hub.</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AND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Please refer to pages 60-61 and 62-65 for discussion of key performance indicators and liquidity and capital resources.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jc w:val="both"/>
        <w:ind w:right="160"/>
        <w:spacing w:after="0" w:line="224" w:lineRule="auto"/>
        <w:rPr>
          <w:sz w:val="20"/>
          <w:szCs w:val="20"/>
          <w:color w:val="auto"/>
        </w:rPr>
      </w:pPr>
      <w:r>
        <w:rPr>
          <w:rFonts w:ascii="Arial" w:cs="Arial" w:eastAsia="Arial" w:hAnsi="Arial"/>
          <w:sz w:val="14"/>
          <w:szCs w:val="14"/>
          <w:color w:val="auto"/>
        </w:rPr>
        <w:t>In 2007, we entered into two exceptional transactions that affected our proved oil and gas and proven minable oil sands reserves position (see pages 17 and 18 for a full description of these transactions):</w:t>
      </w:r>
    </w:p>
    <w:p>
      <w:pPr>
        <w:ind w:left="220" w:hanging="213"/>
        <w:spacing w:after="0" w:line="219" w:lineRule="auto"/>
        <w:tabs>
          <w:tab w:leader="none" w:pos="22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the divestment of 27.5% of our interest in the Sakhalin II project; and</w:t>
      </w:r>
    </w:p>
    <w:p>
      <w:pPr>
        <w:ind w:left="220" w:hanging="213"/>
        <w:spacing w:after="0"/>
        <w:tabs>
          <w:tab w:leader="none" w:pos="22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our acquisition of the 22% minority interest in Shell Canada.</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The effects of these exceptional transactions are complex in the context of our reported reserves position. The purpose of the adjacent table is to set out those effects, together with other changes in our reserves position that occurred during the year, on the same basis as they are evaluated by management. The table presents; the total net proved oil and gas reserves for Shell subsidiaries and the Shell share of equity-accounted investments; the total net proven minable oil sands reserves for Shell subsidiaries; and then eliminates the portion of the reserves that is attributable to the equity held by those with a minority interest in our subsidiaries. The result is the total net proved oil and gas and net proven minable oil sands reserves attributable to Royal Dutch Shell shareholders. We believe it is appropriate to summarise our overall reserves position in this manner as it reflects how we manage our reserve base, and that we do not distinguish between reserves of Shell subsidiaries and equity-accounted investments when making commercial investment decisions. We believe that this summary is necessary in the context of the transactions that occurred in 2007 in order for investors to have a fair and complete understanding of the effects of these transactions on our reserves position.</w:t>
      </w:r>
    </w:p>
    <w:p>
      <w:pPr>
        <w:spacing w:after="0" w:line="200" w:lineRule="exact"/>
        <w:rPr>
          <w:sz w:val="20"/>
          <w:szCs w:val="20"/>
          <w:color w:val="auto"/>
        </w:rPr>
      </w:pPr>
    </w:p>
    <w:p>
      <w:pPr>
        <w:spacing w:after="0" w:line="365" w:lineRule="exact"/>
        <w:rPr>
          <w:sz w:val="20"/>
          <w:szCs w:val="20"/>
          <w:color w:val="auto"/>
        </w:rPr>
      </w:pPr>
    </w:p>
    <w:p>
      <w:pPr>
        <w:ind w:left="280" w:hanging="273"/>
        <w:spacing w:after="0"/>
        <w:tabs>
          <w:tab w:leader="none" w:pos="280" w:val="left"/>
        </w:tabs>
        <w:numPr>
          <w:ilvl w:val="0"/>
          <w:numId w:val="1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As shown in the table below, the material effects of the Sakhalin II divestment and Shell Canada acquisitions, together with other events, on proved oil and gas reserves and proven minable oil sands reserves attributed to Royal Dutch Shell shareholders consisted of the following:</w:t>
      </w:r>
    </w:p>
    <w:p>
      <w:pPr>
        <w:spacing w:after="0" w:line="1" w:lineRule="exact"/>
        <w:rPr>
          <w:sz w:val="20"/>
          <w:szCs w:val="20"/>
          <w:color w:val="auto"/>
        </w:rPr>
      </w:pPr>
    </w:p>
    <w:p>
      <w:pPr>
        <w:ind w:left="220" w:right="60" w:hanging="218"/>
        <w:spacing w:after="0" w:line="235" w:lineRule="auto"/>
        <w:tabs>
          <w:tab w:leader="none" w:pos="22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We reduced the minority interest in our proved oil and gas reserves and our proven minable oil sands reserves from 999 million boe to 17 million boe, mainly as a result of the elimination of the minority interest in Shell Canada (including net proven minable oil sands reserves, 322 million boe) and the minority interest in Sakhalin (658 million boe). The figures quoted above between parentheses are before taking account of 2007 production.</w:t>
      </w:r>
    </w:p>
    <w:p>
      <w:pPr>
        <w:ind w:left="220" w:right="20" w:hanging="218"/>
        <w:spacing w:after="0" w:line="241" w:lineRule="auto"/>
        <w:tabs>
          <w:tab w:leader="none" w:pos="220" w:val="left"/>
        </w:tabs>
        <w:numPr>
          <w:ilvl w:val="0"/>
          <w:numId w:val="17"/>
        </w:numPr>
        <w:rPr>
          <w:rFonts w:ascii="Arial" w:cs="Arial" w:eastAsia="Arial" w:hAnsi="Arial"/>
          <w:sz w:val="13"/>
          <w:szCs w:val="13"/>
          <w:b w:val="1"/>
          <w:bCs w:val="1"/>
          <w:color w:val="auto"/>
        </w:rPr>
      </w:pPr>
      <w:r>
        <w:rPr>
          <w:rFonts w:ascii="Arial" w:cs="Arial" w:eastAsia="Arial" w:hAnsi="Arial"/>
          <w:sz w:val="13"/>
          <w:szCs w:val="13"/>
          <w:color w:val="auto"/>
        </w:rPr>
        <w:t>While proved oil and gas reserves attributable to Royal Dutch Shell shareholders reflected the net reduction of 402 million boe of proved reserves relating to Sakhalin, this was offset by our development programme that yielded organic reserves additions of 1,315 million boe of additional proved oil and gas reserves (comprised of 228 million boe in relation to Shell subsidiaries and 1,087 million boe in relation to Shell’s share of equity-accounted investments) and 6 million boe of additional minable oil sands reserves.</w:t>
      </w:r>
    </w:p>
    <w:p>
      <w:pPr>
        <w:spacing w:after="0" w:line="193" w:lineRule="exact"/>
        <w:rPr>
          <w:sz w:val="20"/>
          <w:szCs w:val="20"/>
          <w:color w:val="auto"/>
        </w:rPr>
      </w:pPr>
    </w:p>
    <w:p>
      <w:pPr>
        <w:ind w:right="80"/>
        <w:spacing w:after="0" w:line="265" w:lineRule="auto"/>
        <w:rPr>
          <w:sz w:val="20"/>
          <w:szCs w:val="20"/>
          <w:color w:val="auto"/>
        </w:rPr>
      </w:pPr>
      <w:r>
        <w:rPr>
          <w:rFonts w:ascii="Arial" w:cs="Arial" w:eastAsia="Arial" w:hAnsi="Arial"/>
          <w:sz w:val="12"/>
          <w:szCs w:val="12"/>
          <w:color w:val="auto"/>
        </w:rPr>
        <w:t>After taking these two events into account, total net proved oil and gas reserves and net proven minable oil sands reserves attributable to Royal Dutch Shell shareholders decreased by</w:t>
      </w:r>
    </w:p>
    <w:p>
      <w:pPr>
        <w:ind w:right="20"/>
        <w:spacing w:after="0" w:line="226" w:lineRule="auto"/>
        <w:rPr>
          <w:sz w:val="20"/>
          <w:szCs w:val="20"/>
          <w:color w:val="auto"/>
        </w:rPr>
      </w:pPr>
      <w:r>
        <w:rPr>
          <w:rFonts w:ascii="Arial" w:cs="Arial" w:eastAsia="Arial" w:hAnsi="Arial"/>
          <w:sz w:val="14"/>
          <w:szCs w:val="14"/>
          <w:color w:val="auto"/>
        </w:rPr>
        <w:t>22 million boe in 2007, from 11,942 million boe to 11,920 million boe, or less than 0.2%. These totals reflect the volume impact of year-end driven price reductions of some 183 million boe for 2007 (largely due to our Qatar GTL project), 59 million boe for 2006 and 60 million boe for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75565</wp:posOffset>
            </wp:positionV>
            <wp:extent cx="42545" cy="1103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2545" cy="110363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shd w:val="clear" w:color="auto" w:fill="FFD204"/>
          </w:tcPr>
          <w:p>
            <w:pPr>
              <w:ind w:left="80"/>
              <w:spacing w:after="0"/>
              <w:rPr>
                <w:sz w:val="20"/>
                <w:szCs w:val="20"/>
                <w:color w:val="auto"/>
              </w:rPr>
            </w:pPr>
            <w:r>
              <w:rPr>
                <w:rFonts w:ascii="Arial" w:cs="Arial" w:eastAsia="Arial" w:hAnsi="Arial"/>
                <w:sz w:val="12"/>
                <w:szCs w:val="12"/>
                <w:b w:val="1"/>
                <w:bCs w:val="1"/>
                <w:color w:val="auto"/>
              </w:rPr>
              <w:t>PROVED AND PROVEN RESERVES (At December 31)</w:t>
            </w:r>
          </w:p>
        </w:tc>
        <w:tc>
          <w:tcPr>
            <w:tcW w:w="200" w:type="dxa"/>
            <w:vAlign w:val="bottom"/>
            <w:shd w:val="clear" w:color="auto" w:fill="FFD204"/>
          </w:tcPr>
          <w:p>
            <w:pPr>
              <w:spacing w:after="0"/>
              <w:rPr>
                <w:sz w:val="13"/>
                <w:szCs w:val="13"/>
                <w:color w:val="auto"/>
              </w:rPr>
            </w:pPr>
          </w:p>
        </w:tc>
        <w:tc>
          <w:tcPr>
            <w:tcW w:w="500" w:type="dxa"/>
            <w:vAlign w:val="bottom"/>
            <w:shd w:val="clear" w:color="auto" w:fill="FFD204"/>
          </w:tcPr>
          <w:p>
            <w:pPr>
              <w:spacing w:after="0"/>
              <w:rPr>
                <w:sz w:val="13"/>
                <w:szCs w:val="13"/>
                <w:color w:val="auto"/>
              </w:rPr>
            </w:pPr>
          </w:p>
        </w:tc>
        <w:tc>
          <w:tcPr>
            <w:tcW w:w="1460" w:type="dxa"/>
            <w:vAlign w:val="bottom"/>
            <w:gridSpan w:val="2"/>
            <w:shd w:val="clear" w:color="auto" w:fill="FFD204"/>
          </w:tcPr>
          <w:p>
            <w:pPr>
              <w:jc w:val="right"/>
              <w:ind w:right="38"/>
              <w:spacing w:after="0"/>
              <w:rPr>
                <w:sz w:val="20"/>
                <w:szCs w:val="20"/>
                <w:color w:val="auto"/>
              </w:rPr>
            </w:pPr>
            <w:r>
              <w:rPr>
                <w:rFonts w:ascii="Arial" w:cs="Arial" w:eastAsia="Arial" w:hAnsi="Arial"/>
                <w:sz w:val="12"/>
                <w:szCs w:val="12"/>
                <w:b w:val="1"/>
                <w:bCs w:val="1"/>
                <w:color w:val="auto"/>
              </w:rPr>
              <w:t>million barrels of</w:t>
            </w:r>
          </w:p>
        </w:tc>
      </w:tr>
      <w:tr>
        <w:trPr>
          <w:trHeight w:val="173"/>
        </w:trPr>
        <w:tc>
          <w:tcPr>
            <w:tcW w:w="3320" w:type="dxa"/>
            <w:vAlign w:val="bottom"/>
            <w:tcBorders>
              <w:bottom w:val="single" w:sz="8" w:color="FFD204"/>
            </w:tcBorders>
            <w:shd w:val="clear" w:color="auto" w:fill="FFD204"/>
          </w:tcPr>
          <w:p>
            <w:pPr>
              <w:spacing w:after="0"/>
              <w:rPr>
                <w:sz w:val="15"/>
                <w:szCs w:val="15"/>
                <w:color w:val="auto"/>
              </w:rPr>
            </w:pPr>
          </w:p>
        </w:tc>
        <w:tc>
          <w:tcPr>
            <w:tcW w:w="200" w:type="dxa"/>
            <w:vAlign w:val="bottom"/>
            <w:tcBorders>
              <w:bottom w:val="single" w:sz="8" w:color="FFD204"/>
            </w:tcBorders>
            <w:shd w:val="clear" w:color="auto" w:fill="FFD204"/>
          </w:tcPr>
          <w:p>
            <w:pPr>
              <w:spacing w:after="0"/>
              <w:rPr>
                <w:sz w:val="15"/>
                <w:szCs w:val="15"/>
                <w:color w:val="auto"/>
              </w:rPr>
            </w:pPr>
          </w:p>
        </w:tc>
        <w:tc>
          <w:tcPr>
            <w:tcW w:w="500" w:type="dxa"/>
            <w:vAlign w:val="bottom"/>
            <w:tcBorders>
              <w:bottom w:val="single" w:sz="8" w:color="FFD204"/>
            </w:tcBorders>
            <w:shd w:val="clear" w:color="auto" w:fill="FFD204"/>
          </w:tcPr>
          <w:p>
            <w:pPr>
              <w:spacing w:after="0"/>
              <w:rPr>
                <w:sz w:val="15"/>
                <w:szCs w:val="15"/>
                <w:color w:val="auto"/>
              </w:rPr>
            </w:pPr>
          </w:p>
        </w:tc>
        <w:tc>
          <w:tcPr>
            <w:tcW w:w="1460" w:type="dxa"/>
            <w:vAlign w:val="bottom"/>
            <w:tcBorders>
              <w:bottom w:val="single" w:sz="8" w:color="FFD204"/>
            </w:tcBorders>
            <w:gridSpan w:val="2"/>
            <w:shd w:val="clear" w:color="auto" w:fill="FFD204"/>
          </w:tcPr>
          <w:p>
            <w:pPr>
              <w:jc w:val="right"/>
              <w:ind w:right="38"/>
              <w:spacing w:after="0"/>
              <w:rPr>
                <w:sz w:val="20"/>
                <w:szCs w:val="20"/>
                <w:color w:val="auto"/>
              </w:rPr>
            </w:pPr>
            <w:r>
              <w:rPr>
                <w:rFonts w:ascii="Arial" w:cs="Arial" w:eastAsia="Arial" w:hAnsi="Arial"/>
                <w:sz w:val="12"/>
                <w:szCs w:val="12"/>
                <w:b w:val="1"/>
                <w:bCs w:val="1"/>
                <w:color w:val="auto"/>
              </w:rPr>
              <w:t>oil equivalent</w:t>
            </w:r>
            <w:r>
              <w:rPr>
                <w:rFonts w:ascii="Arial" w:cs="Arial" w:eastAsia="Arial" w:hAnsi="Arial"/>
                <w:sz w:val="10"/>
                <w:szCs w:val="10"/>
                <w:b w:val="1"/>
                <w:bCs w:val="1"/>
                <w:color w:val="auto"/>
              </w:rPr>
              <w:t>[C]</w:t>
            </w:r>
          </w:p>
        </w:tc>
      </w:tr>
      <w:tr>
        <w:trPr>
          <w:trHeight w:val="193"/>
        </w:trPr>
        <w:tc>
          <w:tcPr>
            <w:tcW w:w="3320" w:type="dxa"/>
            <w:vAlign w:val="bottom"/>
            <w:tcBorders>
              <w:bottom w:val="single" w:sz="8" w:color="CECAC6"/>
            </w:tcBorders>
            <w:shd w:val="clear" w:color="auto" w:fill="CECAC6"/>
          </w:tcPr>
          <w:p>
            <w:pPr>
              <w:spacing w:after="0"/>
              <w:rPr>
                <w:sz w:val="16"/>
                <w:szCs w:val="16"/>
                <w:color w:val="auto"/>
              </w:rPr>
            </w:pPr>
          </w:p>
        </w:tc>
        <w:tc>
          <w:tcPr>
            <w:tcW w:w="700" w:type="dxa"/>
            <w:vAlign w:val="bottom"/>
            <w:tcBorders>
              <w:bottom w:val="single" w:sz="8" w:color="CECAC6"/>
            </w:tcBorders>
            <w:gridSpan w:val="2"/>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820" w:type="dxa"/>
            <w:vAlign w:val="bottom"/>
            <w:tcBorders>
              <w:bottom w:val="single" w:sz="8" w:color="CECAC6"/>
            </w:tcBorders>
            <w:shd w:val="clear" w:color="auto" w:fill="CECAC6"/>
          </w:tcPr>
          <w:p>
            <w:pPr>
              <w:jc w:val="right"/>
              <w:ind w:right="118"/>
              <w:spacing w:after="0"/>
              <w:rPr>
                <w:sz w:val="20"/>
                <w:szCs w:val="20"/>
                <w:color w:val="auto"/>
              </w:rPr>
            </w:pPr>
            <w:r>
              <w:rPr>
                <w:rFonts w:ascii="Arial" w:cs="Arial" w:eastAsia="Arial" w:hAnsi="Arial"/>
                <w:sz w:val="12"/>
                <w:szCs w:val="12"/>
                <w:color w:val="auto"/>
              </w:rPr>
              <w:t>2006</w:t>
            </w:r>
          </w:p>
        </w:tc>
        <w:tc>
          <w:tcPr>
            <w:tcW w:w="640" w:type="dxa"/>
            <w:vAlign w:val="bottom"/>
            <w:tcBorders>
              <w:bottom w:val="single" w:sz="8" w:color="CECAC6"/>
            </w:tcBorders>
            <w:shd w:val="clear" w:color="auto" w:fill="CECAC6"/>
          </w:tcPr>
          <w:p>
            <w:pPr>
              <w:jc w:val="right"/>
              <w:ind w:right="38"/>
              <w:spacing w:after="0"/>
              <w:rPr>
                <w:sz w:val="20"/>
                <w:szCs w:val="20"/>
                <w:color w:val="auto"/>
              </w:rPr>
            </w:pPr>
            <w:r>
              <w:rPr>
                <w:rFonts w:ascii="Arial" w:cs="Arial" w:eastAsia="Arial" w:hAnsi="Arial"/>
                <w:sz w:val="12"/>
                <w:szCs w:val="12"/>
                <w:color w:val="auto"/>
              </w:rPr>
              <w:t>2005</w:t>
            </w:r>
          </w:p>
        </w:tc>
      </w:tr>
      <w:tr>
        <w:trPr>
          <w:trHeight w:val="127"/>
        </w:trPr>
        <w:tc>
          <w:tcPr>
            <w:tcW w:w="33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Total net proved oil and gas reserves</w:t>
            </w:r>
          </w:p>
        </w:tc>
        <w:tc>
          <w:tcPr>
            <w:tcW w:w="200" w:type="dxa"/>
            <w:vAlign w:val="bottom"/>
          </w:tcPr>
          <w:p>
            <w:pPr>
              <w:spacing w:after="0"/>
              <w:rPr>
                <w:sz w:val="11"/>
                <w:szCs w:val="11"/>
                <w:color w:val="auto"/>
              </w:rPr>
            </w:pPr>
          </w:p>
        </w:tc>
        <w:tc>
          <w:tcPr>
            <w:tcW w:w="500" w:type="dxa"/>
            <w:vAlign w:val="bottom"/>
            <w:shd w:val="clear" w:color="auto" w:fill="E4E3E1"/>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3"/>
        </w:trPr>
        <w:tc>
          <w:tcPr>
            <w:tcW w:w="3320" w:type="dxa"/>
            <w:vAlign w:val="bottom"/>
          </w:tcPr>
          <w:p>
            <w:pPr>
              <w:ind w:left="280"/>
              <w:spacing w:after="0" w:line="133" w:lineRule="exact"/>
              <w:rPr>
                <w:sz w:val="20"/>
                <w:szCs w:val="20"/>
                <w:color w:val="auto"/>
              </w:rPr>
            </w:pPr>
            <w:r>
              <w:rPr>
                <w:rFonts w:ascii="Arial" w:cs="Arial" w:eastAsia="Arial" w:hAnsi="Arial"/>
                <w:sz w:val="12"/>
                <w:szCs w:val="12"/>
                <w:color w:val="auto"/>
              </w:rPr>
              <w:t>Shell subsidiaries</w:t>
            </w:r>
          </w:p>
        </w:tc>
        <w:tc>
          <w:tcPr>
            <w:tcW w:w="200" w:type="dxa"/>
            <w:vAlign w:val="bottom"/>
          </w:tcPr>
          <w:p>
            <w:pPr>
              <w:spacing w:after="0"/>
              <w:rPr>
                <w:sz w:val="11"/>
                <w:szCs w:val="11"/>
                <w:color w:val="auto"/>
              </w:rPr>
            </w:pPr>
          </w:p>
        </w:tc>
        <w:tc>
          <w:tcPr>
            <w:tcW w:w="5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6,686</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8,452</w:t>
            </w:r>
          </w:p>
        </w:tc>
        <w:tc>
          <w:tcPr>
            <w:tcW w:w="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7,761</w:t>
            </w:r>
          </w:p>
        </w:tc>
      </w:tr>
      <w:tr>
        <w:trPr>
          <w:trHeight w:val="119"/>
        </w:trPr>
        <w:tc>
          <w:tcPr>
            <w:tcW w:w="3320" w:type="dxa"/>
            <w:vAlign w:val="bottom"/>
          </w:tcPr>
          <w:p>
            <w:pPr>
              <w:ind w:left="280"/>
              <w:spacing w:after="0" w:line="120" w:lineRule="exact"/>
              <w:rPr>
                <w:sz w:val="20"/>
                <w:szCs w:val="20"/>
                <w:color w:val="auto"/>
              </w:rPr>
            </w:pPr>
            <w:r>
              <w:rPr>
                <w:rFonts w:ascii="Arial" w:cs="Arial" w:eastAsia="Arial" w:hAnsi="Arial"/>
                <w:sz w:val="12"/>
                <w:szCs w:val="12"/>
                <w:color w:val="auto"/>
              </w:rPr>
              <w:t>Shell share of equity-accounted investments</w:t>
            </w:r>
          </w:p>
        </w:tc>
        <w:tc>
          <w:tcPr>
            <w:tcW w:w="200" w:type="dxa"/>
            <w:vAlign w:val="bottom"/>
          </w:tcPr>
          <w:p>
            <w:pPr>
              <w:spacing w:after="0"/>
              <w:rPr>
                <w:sz w:val="10"/>
                <w:szCs w:val="10"/>
                <w:color w:val="auto"/>
              </w:rPr>
            </w:pPr>
          </w:p>
        </w:tc>
        <w:tc>
          <w:tcPr>
            <w:tcW w:w="50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rPr>
              <w:t>4,140</w:t>
            </w:r>
          </w:p>
        </w:tc>
        <w:tc>
          <w:tcPr>
            <w:tcW w:w="820" w:type="dxa"/>
            <w:vAlign w:val="bottom"/>
          </w:tcPr>
          <w:p>
            <w:pPr>
              <w:jc w:val="right"/>
              <w:ind w:right="118"/>
              <w:spacing w:after="0" w:line="120" w:lineRule="exact"/>
              <w:rPr>
                <w:sz w:val="20"/>
                <w:szCs w:val="20"/>
                <w:color w:val="auto"/>
              </w:rPr>
            </w:pPr>
            <w:r>
              <w:rPr>
                <w:rFonts w:ascii="Arial" w:cs="Arial" w:eastAsia="Arial" w:hAnsi="Arial"/>
                <w:sz w:val="12"/>
                <w:szCs w:val="12"/>
                <w:color w:val="auto"/>
              </w:rPr>
              <w:t>3,355</w:t>
            </w:r>
          </w:p>
        </w:tc>
        <w:tc>
          <w:tcPr>
            <w:tcW w:w="640" w:type="dxa"/>
            <w:vAlign w:val="bottom"/>
          </w:tcPr>
          <w:p>
            <w:pPr>
              <w:jc w:val="right"/>
              <w:ind w:right="38"/>
              <w:spacing w:after="0" w:line="120" w:lineRule="exact"/>
              <w:rPr>
                <w:sz w:val="20"/>
                <w:szCs w:val="20"/>
                <w:color w:val="auto"/>
              </w:rPr>
            </w:pPr>
            <w:r>
              <w:rPr>
                <w:rFonts w:ascii="Arial" w:cs="Arial" w:eastAsia="Arial" w:hAnsi="Arial"/>
                <w:sz w:val="12"/>
                <w:szCs w:val="12"/>
                <w:color w:val="auto"/>
              </w:rPr>
              <w:t>3,705</w:t>
            </w:r>
          </w:p>
        </w:tc>
      </w:tr>
      <w:tr>
        <w:trPr>
          <w:trHeight w:val="153"/>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Total net proven minable oil sands reserves</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1,111</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1,134</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746</w:t>
            </w:r>
          </w:p>
        </w:tc>
      </w:tr>
      <w:tr>
        <w:trPr>
          <w:trHeight w:val="140"/>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Total net minority interests share of Shell subsidiaries</w:t>
            </w:r>
            <w:r>
              <w:rPr>
                <w:rFonts w:ascii="Arial" w:cs="Arial" w:eastAsia="Arial" w:hAnsi="Arial"/>
                <w:sz w:val="10"/>
                <w:szCs w:val="10"/>
                <w:color w:val="auto"/>
              </w:rPr>
              <w:t>[A]</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17</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999</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900</w:t>
            </w:r>
          </w:p>
        </w:tc>
      </w:tr>
      <w:tr>
        <w:trPr>
          <w:trHeight w:val="120"/>
        </w:trPr>
        <w:tc>
          <w:tcPr>
            <w:tcW w:w="332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Total net proved oil and gas and net proven minable</w:t>
            </w:r>
          </w:p>
        </w:tc>
        <w:tc>
          <w:tcPr>
            <w:tcW w:w="200" w:type="dxa"/>
            <w:vAlign w:val="bottom"/>
          </w:tcPr>
          <w:p>
            <w:pPr>
              <w:spacing w:after="0"/>
              <w:rPr>
                <w:sz w:val="10"/>
                <w:szCs w:val="10"/>
                <w:color w:val="auto"/>
              </w:rPr>
            </w:pPr>
          </w:p>
        </w:tc>
        <w:tc>
          <w:tcPr>
            <w:tcW w:w="500" w:type="dxa"/>
            <w:vAlign w:val="bottom"/>
            <w:shd w:val="clear" w:color="auto" w:fill="E4E3E1"/>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33"/>
        </w:trPr>
        <w:tc>
          <w:tcPr>
            <w:tcW w:w="3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oil sands reserves attributable to Royal Dutch Shell</w:t>
            </w:r>
          </w:p>
        </w:tc>
        <w:tc>
          <w:tcPr>
            <w:tcW w:w="200" w:type="dxa"/>
            <w:vAlign w:val="bottom"/>
          </w:tcPr>
          <w:p>
            <w:pPr>
              <w:spacing w:after="0"/>
              <w:rPr>
                <w:sz w:val="11"/>
                <w:szCs w:val="11"/>
                <w:color w:val="auto"/>
              </w:rPr>
            </w:pPr>
          </w:p>
        </w:tc>
        <w:tc>
          <w:tcPr>
            <w:tcW w:w="500" w:type="dxa"/>
            <w:vAlign w:val="bottom"/>
            <w:shd w:val="clear" w:color="auto" w:fill="E4E3E1"/>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0"/>
        </w:trPr>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 xml:space="preserve">shareholders </w:t>
            </w:r>
            <w:r>
              <w:rPr>
                <w:rFonts w:ascii="Arial" w:cs="Arial" w:eastAsia="Arial" w:hAnsi="Arial"/>
                <w:sz w:val="10"/>
                <w:szCs w:val="10"/>
                <w:color w:val="auto"/>
              </w:rPr>
              <w:t>[B]</w:t>
            </w: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11,920</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11,942</w:t>
            </w:r>
          </w:p>
        </w:tc>
        <w:tc>
          <w:tcPr>
            <w:tcW w:w="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11,312</w:t>
            </w:r>
          </w:p>
        </w:tc>
      </w:tr>
    </w:tbl>
    <w:p>
      <w:pPr>
        <w:spacing w:after="0" w:line="47" w:lineRule="exact"/>
        <w:rPr>
          <w:sz w:val="20"/>
          <w:szCs w:val="20"/>
          <w:color w:val="auto"/>
        </w:rPr>
      </w:pPr>
    </w:p>
    <w:p>
      <w:pPr>
        <w:ind w:left="260" w:right="120" w:hanging="258"/>
        <w:spacing w:after="0" w:line="231" w:lineRule="auto"/>
        <w:tabs>
          <w:tab w:leader="none" w:pos="2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Total of minority interest associated with both net proved oil and gas reserves and net proven minable oil sands reserves.</w:t>
      </w:r>
    </w:p>
    <w:p>
      <w:pPr>
        <w:ind w:left="260" w:right="340" w:hanging="258"/>
        <w:spacing w:after="0" w:line="231" w:lineRule="auto"/>
        <w:tabs>
          <w:tab w:leader="none" w:pos="2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Total of net proved oil and gas reserves and net proven minable oil sands reserves net of minority interests.</w:t>
      </w:r>
    </w:p>
    <w:p>
      <w:pPr>
        <w:ind w:left="260" w:right="140" w:hanging="258"/>
        <w:spacing w:after="0" w:line="249" w:lineRule="auto"/>
        <w:tabs>
          <w:tab w:leader="none" w:pos="2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For this purpose, natural gas has been converted to barrels of oil equivalent using a factor of 5,800 standard cubic feet per barrel.</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Investors should note that the above summary is presented to illustrate the complex effects of the two transactions that occurred during 2007. This summary should be read in the context of our Supplementary Information – Oil and gas (unaudited) and Supplementary Information – Oil sands (unaudited). This presentation has been included because we believe it is material to an investor’s understanding of our reserves position and the changes in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1077595</wp:posOffset>
            </wp:positionV>
            <wp:extent cx="725297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3332480" cy="6115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32480" cy="6115050"/>
                    </a:xfrm>
                    <a:prstGeom prst="rect">
                      <a:avLst/>
                    </a:prstGeom>
                    <a:noFill/>
                  </pic:spPr>
                </pic:pic>
              </a:graphicData>
            </a:graphic>
          </wp:anchor>
        </w:drawing>
        <w:drawing>
          <wp:anchor simplePos="0" relativeHeight="251657728" behindDoc="1" locked="0" layoutInCell="0" allowOverlap="1">
            <wp:simplePos x="0" y="0"/>
            <wp:positionH relativeFrom="column">
              <wp:posOffset>7032625</wp:posOffset>
            </wp:positionH>
            <wp:positionV relativeFrom="paragraph">
              <wp:posOffset>358775</wp:posOffset>
            </wp:positionV>
            <wp:extent cx="282575" cy="73583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2575" cy="735838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40"/>
        <w:spacing w:after="0"/>
        <w:rPr>
          <w:sz w:val="20"/>
          <w:szCs w:val="20"/>
          <w:color w:val="auto"/>
        </w:rPr>
      </w:pPr>
      <w:r>
        <w:rPr>
          <w:rFonts w:ascii="Arial" w:cs="Arial" w:eastAsia="Arial" w:hAnsi="Arial"/>
          <w:sz w:val="36"/>
          <w:szCs w:val="36"/>
          <w:color w:val="auto"/>
        </w:rPr>
        <w:t>Exploration &amp; Production</w:t>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HIGHLIGHTS</w:t>
      </w:r>
    </w:p>
    <w:p>
      <w:pPr>
        <w:spacing w:after="0" w:line="163" w:lineRule="exact"/>
        <w:rPr>
          <w:sz w:val="20"/>
          <w:szCs w:val="20"/>
          <w:color w:val="auto"/>
        </w:rPr>
      </w:pPr>
    </w:p>
    <w:p>
      <w:pPr>
        <w:ind w:left="240" w:hanging="100"/>
        <w:spacing w:after="0"/>
        <w:tabs>
          <w:tab w:leader="none" w:pos="2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Record segment earnings of $14.7 billion.</w:t>
      </w:r>
    </w:p>
    <w:p>
      <w:pPr>
        <w:spacing w:after="0" w:line="14" w:lineRule="exact"/>
        <w:rPr>
          <w:rFonts w:ascii="Arial" w:cs="Arial" w:eastAsia="Arial" w:hAnsi="Arial"/>
          <w:sz w:val="14"/>
          <w:szCs w:val="14"/>
          <w:b w:val="1"/>
          <w:bCs w:val="1"/>
          <w:color w:val="auto"/>
        </w:rPr>
      </w:pPr>
    </w:p>
    <w:p>
      <w:pPr>
        <w:ind w:left="240" w:right="220" w:hanging="100"/>
        <w:spacing w:after="0" w:line="235"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Production of 3.2 million barrels of oil equivalent (boe) per day (excluding oil sands) despite the continuing security issues in Nigeria.</w:t>
      </w:r>
    </w:p>
    <w:p>
      <w:pPr>
        <w:ind w:left="240" w:hanging="100"/>
        <w:spacing w:after="0" w:line="238" w:lineRule="auto"/>
        <w:tabs>
          <w:tab w:leader="none" w:pos="2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Another successful year for exploration: 11 notable discoveries.</w:t>
      </w:r>
    </w:p>
    <w:p>
      <w:pPr>
        <w:ind w:left="240" w:right="180" w:hanging="100"/>
        <w:spacing w:after="0" w:line="218" w:lineRule="auto"/>
        <w:tabs>
          <w:tab w:leader="none" w:pos="2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Began execution of several major projects, including Gumusut-Kakap, Shell’s first deep-water project in Malaysia, and Qarn Alam in Oman, one of the world’s largest thermal enhanced oil recovery projects.</w:t>
      </w:r>
    </w:p>
    <w:p>
      <w:pPr>
        <w:ind w:left="240" w:right="380" w:hanging="100"/>
        <w:spacing w:after="0" w:line="218" w:lineRule="auto"/>
        <w:tabs>
          <w:tab w:leader="none" w:pos="24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New ‘flagship’ upstream projects (Perdido in the Gulf of Mexico; BC-10 in Brazil; Qatar GTL and Qatargas 4) progressing well.</w:t>
      </w:r>
    </w:p>
    <w:p>
      <w:pPr>
        <w:ind w:left="240" w:right="320" w:hanging="100"/>
        <w:spacing w:after="0" w:line="235"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Started production from a number of new fields, including Ormen Lange in Norway, Deimos in the Gulf of Mexico and Changbei in China.</w:t>
      </w:r>
    </w:p>
    <w:p>
      <w:pPr>
        <w:ind w:left="240" w:right="180" w:hanging="100"/>
        <w:spacing w:after="0" w:line="254" w:lineRule="auto"/>
        <w:tabs>
          <w:tab w:leader="none" w:pos="240" w:val="left"/>
        </w:tabs>
        <w:numPr>
          <w:ilvl w:val="0"/>
          <w:numId w:val="19"/>
        </w:numPr>
        <w:rPr>
          <w:rFonts w:ascii="Arial" w:cs="Arial" w:eastAsia="Arial" w:hAnsi="Arial"/>
          <w:sz w:val="12"/>
          <w:szCs w:val="12"/>
          <w:b w:val="1"/>
          <w:bCs w:val="1"/>
          <w:color w:val="auto"/>
        </w:rPr>
      </w:pPr>
      <w:r>
        <w:rPr>
          <w:rFonts w:ascii="Arial" w:cs="Arial" w:eastAsia="Arial" w:hAnsi="Arial"/>
          <w:sz w:val="12"/>
          <w:szCs w:val="12"/>
          <w:b w:val="1"/>
          <w:bCs w:val="1"/>
          <w:color w:val="auto"/>
        </w:rPr>
        <w:t>Stabilised future of Sakhalin II and Kashagan projects and continuity of production-sharing agreements, agreeing partial divestments to Gazprom and KazMunaiGas respectively, along with some modification of future terms.</w:t>
      </w:r>
    </w:p>
    <w:p>
      <w:pPr>
        <w:spacing w:after="0" w:line="1" w:lineRule="exact"/>
        <w:rPr>
          <w:rFonts w:ascii="Arial" w:cs="Arial" w:eastAsia="Arial" w:hAnsi="Arial"/>
          <w:sz w:val="12"/>
          <w:szCs w:val="12"/>
          <w:b w:val="1"/>
          <w:bCs w:val="1"/>
          <w:color w:val="auto"/>
        </w:rPr>
      </w:pPr>
    </w:p>
    <w:p>
      <w:pPr>
        <w:ind w:left="240" w:right="460" w:hanging="100"/>
        <w:spacing w:after="0" w:line="265" w:lineRule="auto"/>
        <w:tabs>
          <w:tab w:leader="none" w:pos="240" w:val="left"/>
        </w:tabs>
        <w:numPr>
          <w:ilvl w:val="0"/>
          <w:numId w:val="19"/>
        </w:numPr>
        <w:rPr>
          <w:rFonts w:ascii="Arial" w:cs="Arial" w:eastAsia="Arial" w:hAnsi="Arial"/>
          <w:sz w:val="13"/>
          <w:szCs w:val="13"/>
          <w:b w:val="1"/>
          <w:bCs w:val="1"/>
          <w:color w:val="auto"/>
        </w:rPr>
      </w:pPr>
      <w:r>
        <w:rPr>
          <w:rFonts w:ascii="Arial" w:cs="Arial" w:eastAsia="Arial" w:hAnsi="Arial"/>
          <w:sz w:val="13"/>
          <w:szCs w:val="13"/>
          <w:b w:val="1"/>
          <w:bCs w:val="1"/>
          <w:color w:val="auto"/>
        </w:rPr>
        <w:t>Sustained portfolio rationalisation, reaching agreement on divestments in Norway, Austria, the North Sea in the UK and the USA.</w:t>
      </w:r>
    </w:p>
    <w:p>
      <w:pPr>
        <w:spacing w:after="0" w:line="110" w:lineRule="exact"/>
        <w:rPr>
          <w:sz w:val="20"/>
          <w:szCs w:val="20"/>
          <w:color w:val="auto"/>
        </w:rPr>
      </w:pPr>
    </w:p>
    <w:tbl>
      <w:tblPr>
        <w:tblLayout w:type="fixed"/>
        <w:tblInd w:w="140" w:type="dxa"/>
        <w:tblCellMar>
          <w:top w:w="0" w:type="dxa"/>
          <w:left w:w="0" w:type="dxa"/>
          <w:bottom w:w="0" w:type="dxa"/>
          <w:right w:w="0" w:type="dxa"/>
        </w:tblCellMar>
      </w:tblPr>
      <w:tr>
        <w:trPr>
          <w:trHeight w:val="139"/>
        </w:trPr>
        <w:tc>
          <w:tcPr>
            <w:tcW w:w="3020" w:type="dxa"/>
            <w:vAlign w:val="bottom"/>
            <w:tcBorders>
              <w:right w:val="single" w:sz="8" w:color="005696"/>
            </w:tcBorders>
            <w:shd w:val="clear" w:color="auto" w:fill="005696"/>
          </w:tcPr>
          <w:p>
            <w:pPr>
              <w:ind w:left="80"/>
              <w:spacing w:after="0"/>
              <w:rPr>
                <w:sz w:val="20"/>
                <w:szCs w:val="20"/>
                <w:color w:val="auto"/>
              </w:rPr>
            </w:pPr>
            <w:r>
              <w:rPr>
                <w:rFonts w:ascii="Arial" w:cs="Arial" w:eastAsia="Arial" w:hAnsi="Arial"/>
                <w:sz w:val="12"/>
                <w:szCs w:val="12"/>
                <w:b w:val="1"/>
                <w:bCs w:val="1"/>
                <w:color w:val="FFFFFF"/>
              </w:rPr>
              <w:t>EARNINGS</w:t>
            </w:r>
            <w:r>
              <w:rPr>
                <w:rFonts w:ascii="Arial" w:cs="Arial" w:eastAsia="Arial" w:hAnsi="Arial"/>
                <w:sz w:val="10"/>
                <w:szCs w:val="10"/>
                <w:b w:val="1"/>
                <w:bCs w:val="1"/>
                <w:color w:val="FFFFFF"/>
              </w:rPr>
              <w:t>[A]</w:t>
            </w:r>
          </w:p>
        </w:tc>
        <w:tc>
          <w:tcPr>
            <w:tcW w:w="480" w:type="dxa"/>
            <w:vAlign w:val="bottom"/>
            <w:shd w:val="clear" w:color="auto" w:fill="005696"/>
          </w:tcPr>
          <w:p>
            <w:pPr>
              <w:spacing w:after="0"/>
              <w:rPr>
                <w:sz w:val="12"/>
                <w:szCs w:val="12"/>
                <w:color w:val="auto"/>
              </w:rPr>
            </w:pPr>
          </w:p>
        </w:tc>
        <w:tc>
          <w:tcPr>
            <w:tcW w:w="820" w:type="dxa"/>
            <w:vAlign w:val="bottom"/>
            <w:shd w:val="clear" w:color="auto" w:fill="005696"/>
          </w:tcPr>
          <w:p>
            <w:pPr>
              <w:spacing w:after="0"/>
              <w:rPr>
                <w:sz w:val="12"/>
                <w:szCs w:val="12"/>
                <w:color w:val="auto"/>
              </w:rPr>
            </w:pPr>
          </w:p>
        </w:tc>
        <w:tc>
          <w:tcPr>
            <w:tcW w:w="660" w:type="dxa"/>
            <w:vAlign w:val="bottom"/>
            <w:shd w:val="clear" w:color="auto" w:fill="005696"/>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3020" w:type="dxa"/>
            <w:vAlign w:val="bottom"/>
            <w:tcBorders>
              <w:right w:val="single" w:sz="8" w:color="CECAC6"/>
            </w:tcBorders>
            <w:shd w:val="clear" w:color="auto" w:fill="CECAC6"/>
          </w:tcPr>
          <w:p>
            <w:pPr>
              <w:spacing w:after="0"/>
              <w:rPr>
                <w:sz w:val="11"/>
                <w:szCs w:val="11"/>
                <w:color w:val="auto"/>
              </w:rPr>
            </w:pPr>
          </w:p>
        </w:tc>
        <w:tc>
          <w:tcPr>
            <w:tcW w:w="4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2006</w:t>
            </w:r>
          </w:p>
        </w:tc>
        <w:tc>
          <w:tcPr>
            <w:tcW w:w="66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302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Revenue (including intersegment sales)</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53,308</w:t>
            </w:r>
          </w:p>
        </w:tc>
        <w:tc>
          <w:tcPr>
            <w:tcW w:w="8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52,546</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43,281</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Purchases (including change in inventories)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(3,935)</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(2,710)</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(1,121)</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Exploration</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(1,712)</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(1,562)</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(1,286)</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Depreciation</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(9,338)</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(8,672)</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(7,973)</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Operating expenses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w w:val="89"/>
              </w:rPr>
              <w:t>(11,458)</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(11,000)</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(8,631)</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3,583</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3,075</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4,112</w:t>
            </w:r>
          </w:p>
        </w:tc>
      </w:tr>
      <w:tr>
        <w:trPr>
          <w:trHeight w:val="133"/>
        </w:trPr>
        <w:tc>
          <w:tcPr>
            <w:tcW w:w="30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Other income/(expense)</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(390)</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(316)</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(282)</w:t>
            </w:r>
          </w:p>
        </w:tc>
      </w:tr>
      <w:tr>
        <w:trPr>
          <w:trHeight w:val="139"/>
        </w:trPr>
        <w:tc>
          <w:tcPr>
            <w:tcW w:w="30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Taxation</w:t>
            </w:r>
          </w:p>
        </w:tc>
        <w:tc>
          <w:tcPr>
            <w:tcW w:w="4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w w:val="89"/>
              </w:rPr>
              <w:t>(15,372)</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(16,817)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(14,523)</w:t>
            </w:r>
          </w:p>
        </w:tc>
      </w:tr>
      <w:tr>
        <w:trPr>
          <w:trHeight w:val="134"/>
        </w:trPr>
        <w:tc>
          <w:tcPr>
            <w:tcW w:w="302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rPr>
              <w:t>Segment earnings from continuing operations</w:t>
            </w:r>
          </w:p>
        </w:tc>
        <w:tc>
          <w:tcPr>
            <w:tcW w:w="48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14,686</w:t>
            </w:r>
          </w:p>
        </w:tc>
        <w:tc>
          <w:tcPr>
            <w:tcW w:w="820" w:type="dxa"/>
            <w:vAlign w:val="bottom"/>
          </w:tcPr>
          <w:p>
            <w:pPr>
              <w:jc w:val="right"/>
              <w:ind w:right="78"/>
              <w:spacing w:after="0" w:line="134" w:lineRule="exact"/>
              <w:rPr>
                <w:sz w:val="20"/>
                <w:szCs w:val="20"/>
                <w:color w:val="auto"/>
              </w:rPr>
            </w:pPr>
            <w:r>
              <w:rPr>
                <w:rFonts w:ascii="Arial" w:cs="Arial" w:eastAsia="Arial" w:hAnsi="Arial"/>
                <w:sz w:val="12"/>
                <w:szCs w:val="12"/>
                <w:color w:val="auto"/>
              </w:rPr>
              <w:t>14,544</w:t>
            </w:r>
          </w:p>
        </w:tc>
        <w:tc>
          <w:tcPr>
            <w:tcW w:w="660" w:type="dxa"/>
            <w:vAlign w:val="bottom"/>
          </w:tcPr>
          <w:p>
            <w:pPr>
              <w:jc w:val="right"/>
              <w:spacing w:after="0" w:line="134" w:lineRule="exact"/>
              <w:rPr>
                <w:sz w:val="20"/>
                <w:szCs w:val="20"/>
                <w:color w:val="auto"/>
              </w:rPr>
            </w:pPr>
            <w:r>
              <w:rPr>
                <w:rFonts w:ascii="Arial" w:cs="Arial" w:eastAsia="Arial" w:hAnsi="Arial"/>
                <w:sz w:val="12"/>
                <w:szCs w:val="12"/>
                <w:color w:val="auto"/>
              </w:rPr>
              <w:t>13,577</w:t>
            </w:r>
          </w:p>
        </w:tc>
      </w:tr>
      <w:tr>
        <w:trPr>
          <w:trHeight w:val="139"/>
        </w:trPr>
        <w:tc>
          <w:tcPr>
            <w:tcW w:w="30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Income/(loss) from discontinued operations</w:t>
            </w:r>
          </w:p>
        </w:tc>
        <w:tc>
          <w:tcPr>
            <w:tcW w:w="4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020" w:type="dxa"/>
            <w:vAlign w:val="bottom"/>
            <w:tcBorders>
              <w:right w:val="single" w:sz="8" w:color="E4E3E1"/>
            </w:tcBorders>
          </w:tcPr>
          <w:p>
            <w:pPr>
              <w:spacing w:after="0"/>
              <w:rPr>
                <w:sz w:val="20"/>
                <w:szCs w:val="20"/>
                <w:color w:val="auto"/>
              </w:rPr>
            </w:pPr>
            <w:r>
              <w:rPr>
                <w:rFonts w:ascii="Arial" w:cs="Arial" w:eastAsia="Arial" w:hAnsi="Arial"/>
                <w:sz w:val="12"/>
                <w:szCs w:val="12"/>
                <w:b w:val="1"/>
                <w:bCs w:val="1"/>
                <w:color w:val="auto"/>
              </w:rPr>
              <w:t>Segment earnings</w:t>
            </w:r>
          </w:p>
        </w:tc>
        <w:tc>
          <w:tcPr>
            <w:tcW w:w="480" w:type="dxa"/>
            <w:vAlign w:val="bottom"/>
            <w:shd w:val="clear" w:color="auto" w:fill="E4E3E1"/>
          </w:tcPr>
          <w:p>
            <w:pPr>
              <w:jc w:val="right"/>
              <w:spacing w:after="0"/>
              <w:rPr>
                <w:sz w:val="20"/>
                <w:szCs w:val="20"/>
                <w:color w:val="auto"/>
              </w:rPr>
            </w:pPr>
            <w:r>
              <w:rPr>
                <w:rFonts w:ascii="Arial" w:cs="Arial" w:eastAsia="Arial" w:hAnsi="Arial"/>
                <w:sz w:val="12"/>
                <w:szCs w:val="12"/>
                <w:b w:val="1"/>
                <w:bCs w:val="1"/>
                <w:color w:val="auto"/>
              </w:rPr>
              <w:t>14,686</w:t>
            </w:r>
          </w:p>
        </w:tc>
        <w:tc>
          <w:tcPr>
            <w:tcW w:w="820" w:type="dxa"/>
            <w:vAlign w:val="bottom"/>
          </w:tcPr>
          <w:p>
            <w:pPr>
              <w:jc w:val="right"/>
              <w:ind w:right="78"/>
              <w:spacing w:after="0"/>
              <w:rPr>
                <w:sz w:val="20"/>
                <w:szCs w:val="20"/>
                <w:color w:val="auto"/>
              </w:rPr>
            </w:pPr>
            <w:r>
              <w:rPr>
                <w:rFonts w:ascii="Arial" w:cs="Arial" w:eastAsia="Arial" w:hAnsi="Arial"/>
                <w:sz w:val="12"/>
                <w:szCs w:val="12"/>
                <w:b w:val="1"/>
                <w:bCs w:val="1"/>
                <w:color w:val="auto"/>
              </w:rPr>
              <w:t>14,544</w:t>
            </w: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13,577</w:t>
            </w:r>
          </w:p>
        </w:tc>
      </w:tr>
    </w:tbl>
    <w:p>
      <w:pPr>
        <w:spacing w:after="0" w:line="61" w:lineRule="exact"/>
        <w:rPr>
          <w:sz w:val="20"/>
          <w:szCs w:val="20"/>
          <w:color w:val="auto"/>
        </w:rPr>
      </w:pPr>
    </w:p>
    <w:p>
      <w:pPr>
        <w:ind w:left="340" w:right="20" w:hanging="200"/>
        <w:spacing w:after="0" w:line="23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from 2007, the Oil Sands earnings are disclosed separately. Previously these were reported as part of Exploration &amp; Production earnings. For comparison purposes, 2006 and 2005 earnings have been reclassified accordingly, resulting in a reduction of $651 million in 2006 and $661 million in 2005.</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2"/>
          <w:szCs w:val="12"/>
          <w:b w:val="1"/>
          <w:bCs w:val="1"/>
          <w:color w:val="FFFFFF"/>
        </w:rPr>
        <w:t>COUNTRIES IN WHICH EXPLORATION &amp; PRODUCTION HAS OPERATIONS</w:t>
      </w:r>
    </w:p>
    <w:tbl>
      <w:tblPr>
        <w:tblLayout w:type="fixed"/>
        <w:tblInd w:w="140" w:type="dxa"/>
        <w:tblCellMar>
          <w:top w:w="0" w:type="dxa"/>
          <w:left w:w="0" w:type="dxa"/>
          <w:bottom w:w="0" w:type="dxa"/>
          <w:right w:w="0" w:type="dxa"/>
        </w:tblCellMar>
      </w:tblPr>
      <w:tr>
        <w:trPr>
          <w:trHeight w:val="128"/>
        </w:trPr>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Europe</w:t>
            </w:r>
          </w:p>
        </w:tc>
        <w:tc>
          <w:tcPr>
            <w:tcW w:w="8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Africa</w:t>
            </w:r>
          </w:p>
        </w:tc>
        <w:tc>
          <w:tcPr>
            <w:tcW w:w="11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Middle East</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Asia Pacific</w:t>
            </w:r>
          </w:p>
        </w:tc>
        <w:tc>
          <w:tcPr>
            <w:tcW w:w="8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USA</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Denmark</w:t>
            </w:r>
          </w:p>
        </w:tc>
        <w:tc>
          <w:tcPr>
            <w:tcW w:w="880" w:type="dxa"/>
            <w:vAlign w:val="bottom"/>
          </w:tcPr>
          <w:p>
            <w:pPr>
              <w:ind w:left="80"/>
              <w:spacing w:after="0"/>
              <w:rPr>
                <w:sz w:val="20"/>
                <w:szCs w:val="20"/>
                <w:color w:val="auto"/>
              </w:rPr>
            </w:pPr>
            <w:r>
              <w:rPr>
                <w:rFonts w:ascii="Arial" w:cs="Arial" w:eastAsia="Arial" w:hAnsi="Arial"/>
                <w:sz w:val="12"/>
                <w:szCs w:val="12"/>
                <w:color w:val="auto"/>
              </w:rPr>
              <w:t>Algeria</w:t>
            </w:r>
          </w:p>
        </w:tc>
        <w:tc>
          <w:tcPr>
            <w:tcW w:w="1120" w:type="dxa"/>
            <w:vAlign w:val="bottom"/>
          </w:tcPr>
          <w:p>
            <w:pPr>
              <w:ind w:left="200"/>
              <w:spacing w:after="0"/>
              <w:rPr>
                <w:sz w:val="20"/>
                <w:szCs w:val="20"/>
                <w:color w:val="auto"/>
              </w:rPr>
            </w:pPr>
            <w:r>
              <w:rPr>
                <w:rFonts w:ascii="Arial" w:cs="Arial" w:eastAsia="Arial" w:hAnsi="Arial"/>
                <w:sz w:val="12"/>
                <w:szCs w:val="12"/>
                <w:b w:val="1"/>
                <w:bCs w:val="1"/>
                <w:color w:val="auto"/>
              </w:rPr>
              <w:t>Russia, CIS</w:t>
            </w:r>
            <w:r>
              <w:rPr>
                <w:rFonts w:ascii="Arial" w:cs="Arial" w:eastAsia="Arial" w:hAnsi="Arial"/>
                <w:sz w:val="10"/>
                <w:szCs w:val="10"/>
                <w:b w:val="1"/>
                <w:bCs w:val="1"/>
                <w:color w:val="auto"/>
              </w:rPr>
              <w:t>[A]</w:t>
            </w:r>
          </w:p>
        </w:tc>
        <w:tc>
          <w:tcPr>
            <w:tcW w:w="940" w:type="dxa"/>
            <w:vAlign w:val="bottom"/>
          </w:tcPr>
          <w:p>
            <w:pPr>
              <w:ind w:left="80"/>
              <w:spacing w:after="0"/>
              <w:rPr>
                <w:sz w:val="20"/>
                <w:szCs w:val="20"/>
                <w:color w:val="auto"/>
              </w:rPr>
            </w:pPr>
            <w:r>
              <w:rPr>
                <w:rFonts w:ascii="Arial" w:cs="Arial" w:eastAsia="Arial" w:hAnsi="Arial"/>
                <w:sz w:val="12"/>
                <w:szCs w:val="12"/>
                <w:color w:val="auto"/>
              </w:rPr>
              <w:t>Australia</w:t>
            </w: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19"/>
        </w:trPr>
        <w:tc>
          <w:tcPr>
            <w:tcW w:w="980" w:type="dxa"/>
            <w:vAlign w:val="bottom"/>
          </w:tcPr>
          <w:p>
            <w:pPr>
              <w:spacing w:after="0" w:line="120" w:lineRule="exact"/>
              <w:rPr>
                <w:sz w:val="20"/>
                <w:szCs w:val="20"/>
                <w:color w:val="auto"/>
              </w:rPr>
            </w:pPr>
            <w:r>
              <w:rPr>
                <w:rFonts w:ascii="Arial" w:cs="Arial" w:eastAsia="Arial" w:hAnsi="Arial"/>
                <w:sz w:val="12"/>
                <w:szCs w:val="12"/>
                <w:color w:val="auto"/>
              </w:rPr>
              <w:t>Germany</w:t>
            </w:r>
          </w:p>
        </w:tc>
        <w:tc>
          <w:tcPr>
            <w:tcW w:w="880" w:type="dxa"/>
            <w:vAlign w:val="bottom"/>
          </w:tcPr>
          <w:p>
            <w:pPr>
              <w:ind w:left="80"/>
              <w:spacing w:after="0" w:line="120" w:lineRule="exact"/>
              <w:rPr>
                <w:sz w:val="20"/>
                <w:szCs w:val="20"/>
                <w:color w:val="auto"/>
              </w:rPr>
            </w:pPr>
            <w:r>
              <w:rPr>
                <w:rFonts w:ascii="Arial" w:cs="Arial" w:eastAsia="Arial" w:hAnsi="Arial"/>
                <w:sz w:val="12"/>
                <w:szCs w:val="12"/>
                <w:color w:val="auto"/>
              </w:rPr>
              <w:t>Cameroon</w:t>
            </w:r>
          </w:p>
        </w:tc>
        <w:tc>
          <w:tcPr>
            <w:tcW w:w="1120" w:type="dxa"/>
            <w:vAlign w:val="bottom"/>
          </w:tcPr>
          <w:p>
            <w:pPr>
              <w:ind w:left="200"/>
              <w:spacing w:after="0" w:line="120" w:lineRule="exact"/>
              <w:rPr>
                <w:sz w:val="20"/>
                <w:szCs w:val="20"/>
                <w:color w:val="auto"/>
              </w:rPr>
            </w:pPr>
            <w:r>
              <w:rPr>
                <w:rFonts w:ascii="Arial" w:cs="Arial" w:eastAsia="Arial" w:hAnsi="Arial"/>
                <w:sz w:val="12"/>
                <w:szCs w:val="12"/>
                <w:color w:val="auto"/>
              </w:rPr>
              <w:t>Abu Dhabi</w:t>
            </w:r>
          </w:p>
        </w:tc>
        <w:tc>
          <w:tcPr>
            <w:tcW w:w="940" w:type="dxa"/>
            <w:vAlign w:val="bottom"/>
          </w:tcPr>
          <w:p>
            <w:pPr>
              <w:ind w:left="80"/>
              <w:spacing w:after="0" w:line="120" w:lineRule="exact"/>
              <w:rPr>
                <w:sz w:val="20"/>
                <w:szCs w:val="20"/>
                <w:color w:val="auto"/>
              </w:rPr>
            </w:pPr>
            <w:r>
              <w:rPr>
                <w:rFonts w:ascii="Arial" w:cs="Arial" w:eastAsia="Arial" w:hAnsi="Arial"/>
                <w:sz w:val="12"/>
                <w:szCs w:val="12"/>
                <w:color w:val="auto"/>
              </w:rPr>
              <w:t>Brunei</w:t>
            </w: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Ireland</w:t>
            </w: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Gabon</w:t>
            </w: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Azerbaijan</w:t>
            </w:r>
          </w:p>
        </w:tc>
        <w:tc>
          <w:tcPr>
            <w:tcW w:w="940" w:type="dxa"/>
            <w:vAlign w:val="bottom"/>
          </w:tcPr>
          <w:p>
            <w:pPr>
              <w:ind w:left="80"/>
              <w:spacing w:after="0" w:line="133" w:lineRule="exact"/>
              <w:rPr>
                <w:sz w:val="20"/>
                <w:szCs w:val="20"/>
                <w:color w:val="auto"/>
              </w:rPr>
            </w:pPr>
            <w:r>
              <w:rPr>
                <w:rFonts w:ascii="Arial" w:cs="Arial" w:eastAsia="Arial" w:hAnsi="Arial"/>
                <w:sz w:val="12"/>
                <w:szCs w:val="12"/>
                <w:color w:val="auto"/>
              </w:rPr>
              <w:t>China</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Western</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Italy</w:t>
            </w:r>
          </w:p>
        </w:tc>
        <w:tc>
          <w:tcPr>
            <w:tcW w:w="880" w:type="dxa"/>
            <w:vAlign w:val="bottom"/>
          </w:tcPr>
          <w:p>
            <w:pPr>
              <w:ind w:left="80"/>
              <w:spacing w:after="0"/>
              <w:rPr>
                <w:sz w:val="20"/>
                <w:szCs w:val="20"/>
                <w:color w:val="auto"/>
              </w:rPr>
            </w:pPr>
            <w:r>
              <w:rPr>
                <w:rFonts w:ascii="Arial" w:cs="Arial" w:eastAsia="Arial" w:hAnsi="Arial"/>
                <w:sz w:val="12"/>
                <w:szCs w:val="12"/>
                <w:color w:val="auto"/>
              </w:rPr>
              <w:t>Libya</w:t>
            </w:r>
          </w:p>
        </w:tc>
        <w:tc>
          <w:tcPr>
            <w:tcW w:w="1120" w:type="dxa"/>
            <w:vAlign w:val="bottom"/>
          </w:tcPr>
          <w:p>
            <w:pPr>
              <w:ind w:left="200"/>
              <w:spacing w:after="0"/>
              <w:rPr>
                <w:sz w:val="20"/>
                <w:szCs w:val="20"/>
                <w:color w:val="auto"/>
              </w:rPr>
            </w:pPr>
            <w:r>
              <w:rPr>
                <w:rFonts w:ascii="Arial" w:cs="Arial" w:eastAsia="Arial" w:hAnsi="Arial"/>
                <w:sz w:val="12"/>
                <w:szCs w:val="12"/>
                <w:color w:val="auto"/>
              </w:rPr>
              <w:t>Egypt</w:t>
            </w:r>
          </w:p>
        </w:tc>
        <w:tc>
          <w:tcPr>
            <w:tcW w:w="940" w:type="dxa"/>
            <w:vAlign w:val="bottom"/>
          </w:tcPr>
          <w:p>
            <w:pPr>
              <w:ind w:left="80"/>
              <w:spacing w:after="0"/>
              <w:rPr>
                <w:sz w:val="20"/>
                <w:szCs w:val="20"/>
                <w:color w:val="auto"/>
              </w:rPr>
            </w:pPr>
            <w:r>
              <w:rPr>
                <w:rFonts w:ascii="Arial" w:cs="Arial" w:eastAsia="Arial" w:hAnsi="Arial"/>
                <w:sz w:val="12"/>
                <w:szCs w:val="12"/>
                <w:color w:val="auto"/>
              </w:rPr>
              <w:t>Malaysia</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Hemisphere</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The Netherlands</w:t>
            </w: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Nigeria</w:t>
            </w: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Iran</w:t>
            </w:r>
          </w:p>
        </w:tc>
        <w:tc>
          <w:tcPr>
            <w:tcW w:w="940" w:type="dxa"/>
            <w:vAlign w:val="bottom"/>
          </w:tcPr>
          <w:p>
            <w:pPr>
              <w:ind w:left="80"/>
              <w:spacing w:after="0" w:line="133" w:lineRule="exact"/>
              <w:rPr>
                <w:sz w:val="20"/>
                <w:szCs w:val="20"/>
                <w:color w:val="auto"/>
              </w:rPr>
            </w:pPr>
            <w:r>
              <w:rPr>
                <w:rFonts w:ascii="Arial" w:cs="Arial" w:eastAsia="Arial" w:hAnsi="Arial"/>
                <w:sz w:val="12"/>
                <w:szCs w:val="12"/>
                <w:color w:val="auto"/>
              </w:rPr>
              <w:t>New Zealand</w:t>
            </w:r>
          </w:p>
        </w:tc>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Argentina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Norway</w:t>
            </w:r>
          </w:p>
        </w:tc>
        <w:tc>
          <w:tcPr>
            <w:tcW w:w="880" w:type="dxa"/>
            <w:vAlign w:val="bottom"/>
          </w:tcPr>
          <w:p>
            <w:pPr>
              <w:ind w:left="80"/>
              <w:spacing w:after="0" w:line="133" w:lineRule="exact"/>
              <w:rPr>
                <w:sz w:val="20"/>
                <w:szCs w:val="20"/>
                <w:color w:val="auto"/>
              </w:rPr>
            </w:pPr>
            <w:r>
              <w:rPr>
                <w:rFonts w:ascii="Arial" w:cs="Arial" w:eastAsia="Arial" w:hAnsi="Arial"/>
                <w:sz w:val="12"/>
                <w:szCs w:val="12"/>
                <w:color w:val="auto"/>
              </w:rPr>
              <w:t>Tunisia</w:t>
            </w: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Kazakhstan</w:t>
            </w:r>
          </w:p>
        </w:tc>
        <w:tc>
          <w:tcPr>
            <w:tcW w:w="940" w:type="dxa"/>
            <w:vAlign w:val="bottom"/>
          </w:tcPr>
          <w:p>
            <w:pPr>
              <w:ind w:left="80"/>
              <w:spacing w:after="0" w:line="133" w:lineRule="exact"/>
              <w:rPr>
                <w:sz w:val="20"/>
                <w:szCs w:val="20"/>
                <w:color w:val="auto"/>
              </w:rPr>
            </w:pPr>
            <w:r>
              <w:rPr>
                <w:rFonts w:ascii="Arial" w:cs="Arial" w:eastAsia="Arial" w:hAnsi="Arial"/>
                <w:sz w:val="12"/>
                <w:szCs w:val="12"/>
                <w:color w:val="auto"/>
              </w:rPr>
              <w:t>Philippines</w:t>
            </w:r>
          </w:p>
        </w:tc>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Brazil</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Ukraine</w:t>
            </w:r>
          </w:p>
        </w:tc>
        <w:tc>
          <w:tcPr>
            <w:tcW w:w="88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Oman</w:t>
            </w:r>
          </w:p>
        </w:tc>
        <w:tc>
          <w:tcPr>
            <w:tcW w:w="94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Canada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UK</w:t>
            </w:r>
          </w:p>
        </w:tc>
        <w:tc>
          <w:tcPr>
            <w:tcW w:w="88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Pakistan</w:t>
            </w:r>
          </w:p>
        </w:tc>
        <w:tc>
          <w:tcPr>
            <w:tcW w:w="94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Colombia</w:t>
            </w: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Qatar</w:t>
            </w:r>
          </w:p>
        </w:tc>
        <w:tc>
          <w:tcPr>
            <w:tcW w:w="94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color w:val="auto"/>
              </w:rPr>
              <w:t>Venezuela</w:t>
            </w: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Russia</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200"/>
              <w:spacing w:after="0" w:line="133" w:lineRule="exact"/>
              <w:rPr>
                <w:sz w:val="20"/>
                <w:szCs w:val="20"/>
                <w:color w:val="auto"/>
              </w:rPr>
            </w:pPr>
            <w:r>
              <w:rPr>
                <w:rFonts w:ascii="Arial" w:cs="Arial" w:eastAsia="Arial" w:hAnsi="Arial"/>
                <w:sz w:val="12"/>
                <w:szCs w:val="12"/>
                <w:color w:val="auto"/>
              </w:rPr>
              <w:t>Saudi Arabia</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2"/>
                <w:szCs w:val="12"/>
                <w:color w:val="auto"/>
              </w:rPr>
              <w:t>Syria</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 Commonwealth of Independent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28333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33370" cy="8255"/>
                    </a:xfrm>
                    <a:prstGeom prst="rect">
                      <a:avLst/>
                    </a:prstGeom>
                    <a:noFill/>
                  </pic:spPr>
                </pic:pic>
              </a:graphicData>
            </a:graphic>
          </wp:anchor>
        </w:drawing>
      </w:r>
    </w:p>
    <w:p>
      <w:pPr>
        <w:spacing w:after="0" w:line="147" w:lineRule="exact"/>
        <w:rPr>
          <w:sz w:val="20"/>
          <w:szCs w:val="20"/>
          <w:color w:val="auto"/>
        </w:rPr>
      </w:pPr>
    </w:p>
    <w:p>
      <w:pPr>
        <w:jc w:val="both"/>
        <w:ind w:right="379"/>
        <w:spacing w:after="0" w:line="235" w:lineRule="auto"/>
        <w:rPr>
          <w:sz w:val="20"/>
          <w:szCs w:val="20"/>
          <w:color w:val="auto"/>
        </w:rPr>
      </w:pPr>
      <w:r>
        <w:rPr>
          <w:rFonts w:ascii="Arial" w:cs="Arial" w:eastAsia="Arial" w:hAnsi="Arial"/>
          <w:sz w:val="14"/>
          <w:szCs w:val="14"/>
          <w:color w:val="auto"/>
        </w:rPr>
        <w:t>Exploration &amp; Production explores for and extracts oil and gas. Together with Gas &amp; Power and Oil Sands it builds and operates the infrastructure necessary to deliver these hydrocarbons to market.</w:t>
      </w:r>
    </w:p>
    <w:p>
      <w:pPr>
        <w:spacing w:after="0" w:line="180" w:lineRule="exact"/>
        <w:rPr>
          <w:sz w:val="20"/>
          <w:szCs w:val="20"/>
          <w:color w:val="auto"/>
        </w:rPr>
      </w:pPr>
    </w:p>
    <w:p>
      <w:pPr>
        <w:ind w:right="359"/>
        <w:spacing w:after="0" w:line="243" w:lineRule="auto"/>
        <w:rPr>
          <w:sz w:val="20"/>
          <w:szCs w:val="20"/>
          <w:color w:val="auto"/>
        </w:rPr>
      </w:pPr>
      <w:r>
        <w:rPr>
          <w:rFonts w:ascii="Arial" w:cs="Arial" w:eastAsia="Arial" w:hAnsi="Arial"/>
          <w:sz w:val="13"/>
          <w:szCs w:val="13"/>
          <w:color w:val="auto"/>
        </w:rPr>
        <w:t>Our business is active in 37 countries with an average of 18,000 employees in 2007. We carry out many of our activities with a diverse range of joint venture partners and have on average over 220,000 people (employees, joint venture staff and contractors) engaged daily in our operations, based on hours worked. We are investing strongly for future growth, with some $15.6 billion (excluding the contribution of minority partners in Sakhalin II of $0.3 billion) of capital investment in 2007.</w:t>
      </w:r>
    </w:p>
    <w:p>
      <w:pPr>
        <w:spacing w:after="0" w:line="179" w:lineRule="exact"/>
        <w:rPr>
          <w:sz w:val="20"/>
          <w:szCs w:val="20"/>
          <w:color w:val="auto"/>
        </w:rPr>
      </w:pPr>
    </w:p>
    <w:p>
      <w:pPr>
        <w:ind w:right="459"/>
        <w:spacing w:after="0" w:line="247" w:lineRule="auto"/>
        <w:rPr>
          <w:sz w:val="20"/>
          <w:szCs w:val="20"/>
          <w:color w:val="auto"/>
        </w:rPr>
      </w:pPr>
      <w:r>
        <w:rPr>
          <w:rFonts w:ascii="Arial" w:cs="Arial" w:eastAsia="Arial" w:hAnsi="Arial"/>
          <w:sz w:val="13"/>
          <w:szCs w:val="13"/>
          <w:color w:val="auto"/>
        </w:rPr>
        <w:t>Production is a key indicator of our short to medium-term operational performance, in terms of reliability of existing assets and on time delivery of new wells and projects. Longer term, a key strategic goal is the increase in surplus cash generation through accessing and unlocking new resources and growing production whilst sustaining strong unit cash generation.</w:t>
      </w:r>
    </w:p>
    <w:p>
      <w:pPr>
        <w:spacing w:after="0" w:line="176" w:lineRule="exact"/>
        <w:rPr>
          <w:sz w:val="20"/>
          <w:szCs w:val="20"/>
          <w:color w:val="auto"/>
        </w:rPr>
      </w:pPr>
    </w:p>
    <w:p>
      <w:pPr>
        <w:ind w:right="679"/>
        <w:spacing w:after="0" w:line="247" w:lineRule="auto"/>
        <w:rPr>
          <w:sz w:val="20"/>
          <w:szCs w:val="20"/>
          <w:color w:val="auto"/>
        </w:rPr>
      </w:pPr>
      <w:r>
        <w:rPr>
          <w:rFonts w:ascii="Arial" w:cs="Arial" w:eastAsia="Arial" w:hAnsi="Arial"/>
          <w:sz w:val="14"/>
          <w:szCs w:val="14"/>
          <w:color w:val="auto"/>
        </w:rPr>
        <w:t>Our investment decision-making focuses on generating value rather than specific reserves or volume targets.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28333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3370" cy="8255"/>
                    </a:xfrm>
                    <a:prstGeom prst="rect">
                      <a:avLst/>
                    </a:prstGeom>
                    <a:noFill/>
                  </pic:spPr>
                </pic:pic>
              </a:graphicData>
            </a:graphic>
          </wp:anchor>
        </w:drawing>
      </w:r>
    </w:p>
    <w:p>
      <w:pPr>
        <w:spacing w:after="0" w:line="147" w:lineRule="exact"/>
        <w:rPr>
          <w:sz w:val="20"/>
          <w:szCs w:val="20"/>
          <w:color w:val="auto"/>
        </w:rPr>
      </w:pPr>
    </w:p>
    <w:p>
      <w:pPr>
        <w:ind w:right="359"/>
        <w:spacing w:after="0" w:line="238" w:lineRule="auto"/>
        <w:rPr>
          <w:sz w:val="20"/>
          <w:szCs w:val="20"/>
          <w:color w:val="auto"/>
        </w:rPr>
      </w:pPr>
      <w:r>
        <w:rPr>
          <w:rFonts w:ascii="Arial" w:cs="Arial" w:eastAsia="Arial" w:hAnsi="Arial"/>
          <w:sz w:val="13"/>
          <w:szCs w:val="13"/>
          <w:color w:val="auto"/>
        </w:rPr>
        <w:t>Segment earnings in 2007 were $14,686 million, 1% higher than in 2006 and 8% higher than in 2005. The increase in 2007 from 2006 was mainly driven by the impact of higher realised oil and gas prices on revenues and gains from divestments. This was partly offset by lower production volumes, higher exploration expenses (mainly from increased well write-offs and other exploration costs partly offset by lower seismic cost), higher costs (reflecting current industry conditions) and an exceptional charge related to our Nigerian operations. In addition, earnings were impacted by our reduced share in the profits from the Sakhalin II project, as a consequence of the partial divestment in the second quarter 2007. Segment earnings in 2006 were $14,544 million, 7% higher than in 2005 due to higher realised oil prices, partly offset by the impact of lower US gas prices, marginally lower production volumes and higher operating costs (reflecting industry conditions), increased pre-development activity levels and higher maintenance costs (including increased spending on technical integrity).</w:t>
      </w:r>
    </w:p>
    <w:p>
      <w:pPr>
        <w:spacing w:after="0" w:line="187" w:lineRule="exact"/>
        <w:rPr>
          <w:sz w:val="20"/>
          <w:szCs w:val="20"/>
          <w:color w:val="auto"/>
        </w:rPr>
      </w:pPr>
    </w:p>
    <w:p>
      <w:pPr>
        <w:ind w:right="479"/>
        <w:spacing w:after="0" w:line="239" w:lineRule="auto"/>
        <w:rPr>
          <w:sz w:val="20"/>
          <w:szCs w:val="20"/>
          <w:color w:val="auto"/>
        </w:rPr>
      </w:pPr>
      <w:r>
        <w:rPr>
          <w:rFonts w:ascii="Arial" w:cs="Arial" w:eastAsia="Arial" w:hAnsi="Arial"/>
          <w:sz w:val="13"/>
          <w:szCs w:val="13"/>
          <w:color w:val="auto"/>
        </w:rPr>
        <w:t>Earnings in 2007 included net gains of $1,102 million compared with net gains of $521 million in 2006 and $1,662 million in 2005. The net gains in 2007 mainly related to the divestment of assets in Norway, Austria, Russia, Australia and the Netherlands and various taxation credits, which were partially offset by the mark-to-market valuation of certain UK gas contracts and a $716 million charge mainly relating to the onshore assets in Nigeria, including impairments and provisions arising from the funding and security situation. The net gains in 2006 mainly related to the mark-to-market valuation of certain UK gas contracts and divestment gains. The net gains in 2005 were almost entirely related to the divestment of pipeline assets in the Netherlands, as various taxation credits and other divestments were almost offset by a net charge relating to the mark-to-market valuation of certain gas contracts in the UK.</w:t>
      </w:r>
    </w:p>
    <w:p>
      <w:pPr>
        <w:spacing w:after="0" w:line="290" w:lineRule="exact"/>
        <w:rPr>
          <w:sz w:val="20"/>
          <w:szCs w:val="20"/>
          <w:color w:val="auto"/>
        </w:rPr>
      </w:pPr>
    </w:p>
    <w:p>
      <w:pPr>
        <w:jc w:val="right"/>
        <w:ind w:right="339"/>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1782445</wp:posOffset>
            </wp:positionV>
            <wp:extent cx="725297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20" w:space="280"/>
            <w:col w:w="4819"/>
          </w:cols>
          <w:pgMar w:left="240" w:top="415"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EXPLORATION &amp; PRODUCTION</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In 2007, the business environment for the exploration and production industry continued to be characterised by increasing oil prices (Brent average price in 2007 was $72.45 per barrel, up 11% from $65.10 per barrel in 2006) and activity levels. Associated with these increased prices, we saw tightness in the supply of oilfield goods and services, cost escalation and strong competition for new opportunities. Looking forward, we believe that the world will continue to experience a strong growth in energy demand due to population growth and economic development, and that after 2015 supplies of easy-to-access oil and gas will be increasingly challenged to keep up with demand.</w:t>
      </w:r>
    </w:p>
    <w:p>
      <w:pPr>
        <w:spacing w:after="0" w:line="183" w:lineRule="exact"/>
        <w:rPr>
          <w:sz w:val="20"/>
          <w:szCs w:val="20"/>
          <w:color w:val="auto"/>
        </w:rPr>
      </w:pPr>
    </w:p>
    <w:p>
      <w:pPr>
        <w:ind w:right="160"/>
        <w:spacing w:after="0"/>
        <w:rPr>
          <w:sz w:val="20"/>
          <w:szCs w:val="20"/>
          <w:color w:val="auto"/>
        </w:rPr>
      </w:pPr>
      <w:r>
        <w:rPr>
          <w:rFonts w:ascii="Arial" w:cs="Arial" w:eastAsia="Arial" w:hAnsi="Arial"/>
          <w:sz w:val="13"/>
          <w:szCs w:val="13"/>
          <w:color w:val="auto"/>
        </w:rPr>
        <w:t>The Exploration &amp; Production strategy pursued consistently for the last four years remains unchanged and delivery is on track. We recognise that access to new resources continues to become more difficult as a result of host government requirements and strong competition for more conventional resources. Our strategy has four portfolio themes:</w:t>
      </w:r>
    </w:p>
    <w:p>
      <w:pPr>
        <w:ind w:left="160" w:right="60" w:hanging="153"/>
        <w:spacing w:after="0" w:line="218" w:lineRule="auto"/>
        <w:tabs>
          <w:tab w:leader="none" w:pos="16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Sustaining our heartlands, i.e. our core countries that have the available infrastructure, expertise and remaining growth potential for Shell to sustain strong operational performance and support continued investment;</w:t>
      </w:r>
    </w:p>
    <w:p>
      <w:pPr>
        <w:ind w:left="160" w:hanging="153"/>
        <w:spacing w:after="0" w:line="238" w:lineRule="auto"/>
        <w:tabs>
          <w:tab w:leader="none" w:pos="16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Focusing on new oil and gas projects where technology is a differentiator;</w:t>
      </w:r>
    </w:p>
    <w:p>
      <w:pPr>
        <w:ind w:left="160" w:hanging="153"/>
        <w:spacing w:after="0" w:line="238" w:lineRule="auto"/>
        <w:tabs>
          <w:tab w:leader="none" w:pos="16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Building integrated gas opportunities; and</w:t>
      </w:r>
    </w:p>
    <w:p>
      <w:pPr>
        <w:ind w:left="160" w:hanging="153"/>
        <w:spacing w:after="0"/>
        <w:tabs>
          <w:tab w:leader="none" w:pos="16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Unlocking unconventional oil and gas resources.</w:t>
      </w:r>
    </w:p>
    <w:p>
      <w:pPr>
        <w:spacing w:after="0" w:line="213"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For all of these themes, we seek portfolio opportunities that offer more upside potential, through more oil price exposure, and/or through securing additional scope for recovery from appraisal or the application of new technology.</w:t>
      </w:r>
    </w:p>
    <w:p>
      <w:pPr>
        <w:spacing w:after="0" w:line="180"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We continue to pursue an aggressive exploration programme to add more acreage in support of these themes. Our emphasis remains on drilling large exploration prospects, in selected basins and targeting under-explored areas with significant potential. We will also invest in organic growth, open up new positions and make selective acquisitions, divestments and asset swaps as a means to expand and revitalise our asset portfolio. In terms of our existing portfolio, we will continue to focus on production and project delivery, cost performance and operational excellence.</w:t>
      </w:r>
    </w:p>
    <w:p>
      <w:pPr>
        <w:spacing w:after="0" w:line="182" w:lineRule="exact"/>
        <w:rPr>
          <w:sz w:val="20"/>
          <w:szCs w:val="20"/>
          <w:color w:val="auto"/>
        </w:rPr>
      </w:pPr>
    </w:p>
    <w:p>
      <w:pPr>
        <w:ind w:right="320"/>
        <w:spacing w:after="0" w:line="235" w:lineRule="auto"/>
        <w:rPr>
          <w:sz w:val="20"/>
          <w:szCs w:val="20"/>
          <w:color w:val="auto"/>
        </w:rPr>
      </w:pPr>
      <w:r>
        <w:rPr>
          <w:rFonts w:ascii="Arial" w:cs="Arial" w:eastAsia="Arial" w:hAnsi="Arial"/>
          <w:sz w:val="14"/>
          <w:szCs w:val="14"/>
          <w:color w:val="auto"/>
        </w:rPr>
        <w:t>Shell seeks to sustain long-term production from our existing heartlands. This includes production from core countries such as Australia, Brunei, Canada, Denmark, Malaysia, the Netherlands, Nigeria, Norway, Oman, UK and USA.</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3"/>
          <w:szCs w:val="13"/>
          <w:color w:val="auto"/>
        </w:rPr>
        <w:t>We will look for further and stronger integrated gas positions such as in onshore USA, Europe, the Middle East, Russia, Africa and Australia. We will look to extend our leadership position in LNG, leveraging our presence across the natural gas value chain from exploration to production and markets, to maximise the value from our integrated gas projects. Examples of key project activity in this area include Sakhalin II in Russia, Nigeria LNG, Angel in North West Shelf, Australia and Qatargas 4. With respect to Nigeria, the impact of community disturbances in the western Delta continues to present a challenge. While we have achieved some success with restoring production in the western Delta, the security situation remains an ongoing risk to our business in Nigeria, not only affecting current production levels but also our ability to grow production in the future. It is difficult to work safely to repair damage to existing assets and construct new facilities. This situation will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80" w:hanging="273"/>
        <w:spacing w:after="0"/>
        <w:tabs>
          <w:tab w:leader="none" w:pos="280" w:val="left"/>
        </w:tabs>
        <w:numPr>
          <w:ilvl w:val="0"/>
          <w:numId w:val="2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be closely monitored throughout 2008. Deep-water Nigeria production continues to perform well and has good prospects for future growth.</w:t>
      </w:r>
    </w:p>
    <w:p>
      <w:pPr>
        <w:spacing w:after="0" w:line="175"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Leveraging technology is central to our strategy and we continue to increase our investment in research and development (R&amp;D) and technology piloting. We remain focused on the development and application of technology as a key differentiator in securing access to good upstream opportunities and then delivering more value from them.</w:t>
      </w:r>
    </w:p>
    <w:p>
      <w:pPr>
        <w:spacing w:after="0" w:line="174"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Such areas of focus include deep-water, enhanced oil recovery, tight gas, contaminated gas, heavy oil and GTL conversion. To build on our existing strengths, we have shifted our R&amp;D emphasis further to subsurface and unconventional oil and gas technologies. For instance, in Canada, strengthened by the acquisition of the Shell Canada minority shares, we are maturing a variety of heavy oil opportunities. In the US Gulf of Mexico and Brazil, technology is key to the delivery of the Perdido and BC-10 deep-water projects respectively and in Qatar we are delivering the industry’s largest GTL facility. Across these themes we are increasing our portfolio of long-life projects, establishing new producing assets with low natural decline rates and high cash generation, especially at higher oil and gas prices.</w:t>
      </w:r>
    </w:p>
    <w:p>
      <w:pPr>
        <w:spacing w:after="0" w:line="181"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Our focus on the reduction of costs will be sustained through optimised management of the supply chain and simplifying and standardising processes globally. We will continue to strengthen our capabilities in project delivery. Having people in place with the requisite skills is vital to the successful delivery of our strategy: in 2007 we recruited over 1,100 technical professionals in the upstream.</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In 2007, hydrocarbon production (excluding production from oil sands) was 3,234 thousand boe per day. This was 5% lower than in 2006 and 6% lower than in 2005. Lower production in 2007 when compared with 2006 is attributable to field declines, divested volumes, one-off contractual settlements, and lower performance of non-operated assets, which were partly offset by new fields production and ramp-up volumes. The underlying production trend was down 2% compared with 2006 (excluding price impacts of production-sharing contracts (PSCs), divestments and one-off contractual settlements).</w:t>
      </w:r>
    </w:p>
    <w:p>
      <w:pPr>
        <w:spacing w:after="0" w:line="179"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color w:val="auto"/>
        </w:rPr>
        <w:t>Field declines affecting oil production were seen in the USA, Brunei, Oman, Nigeria, Norway and UK during 2007. Operational shutdowns in the UK also impacted production levels. Similarly, natural gas production was impacted by declining fields in Malaysia, USA, UK and Canada as well as by lower seasonal demand in northwest Europe.</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2"/>
          <w:szCs w:val="12"/>
          <w:color w:val="auto"/>
        </w:rPr>
        <w:t>The effect of declining fields was partly offset by production from new fields. In China, Shell and PetroChina started commercial production and gas delivery from the Changbei gas field (Shell interest 50%). Located on the edge of the Maowusu desert in the Ordos Basin, it is the largest onshore Exploration &amp; Production co-operative development Shell has had in China.</w:t>
      </w:r>
    </w:p>
    <w:p>
      <w:pPr>
        <w:spacing w:after="0" w:line="158"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Shell achieved first offshore gas from the Pohokura field (Shell interest 48%) in New Zealand. This follows the delivery of onshore gas achieved in September 2006. First production was also delivered from the Deimos (Shell interest 71.5%) discovery in the Gulf of Mexico Mars Basin with an expected peak production for Phase 1 of 30,000 boe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1092835</wp:posOffset>
            </wp:positionV>
            <wp:extent cx="725297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In Norway, first gas was produced from the Ormen Lange field (Shell interest 17%). Production will increase gradually, reaching a peak of 70 million standard cubic metres per day – enough to meet as much as 20% of the UK’s gas needs. On December 1, 2007, Shell took over the operatorship of the Ormen Lange field from Norsk Hydro and we are also responsible for the second phase of the field development, which involves the installation of additional subsea templates, drilling of further gas wells and eventually field compression.</w:t>
      </w:r>
    </w:p>
    <w:p>
      <w:pPr>
        <w:spacing w:after="0" w:line="164" w:lineRule="exact"/>
        <w:rPr>
          <w:sz w:val="20"/>
          <w:szCs w:val="20"/>
          <w:color w:val="auto"/>
        </w:rPr>
      </w:pPr>
    </w:p>
    <w:p>
      <w:pPr>
        <w:ind w:right="20"/>
        <w:spacing w:after="0" w:line="328" w:lineRule="auto"/>
        <w:rPr>
          <w:sz w:val="20"/>
          <w:szCs w:val="20"/>
          <w:color w:val="auto"/>
        </w:rPr>
      </w:pPr>
      <w:r>
        <w:rPr>
          <w:rFonts w:ascii="Arial" w:cs="Arial" w:eastAsia="Arial" w:hAnsi="Arial"/>
          <w:sz w:val="12"/>
          <w:szCs w:val="12"/>
          <w:color w:val="auto"/>
        </w:rPr>
        <w:t>Production also increased from Erha in Nigeria, E8 and B12 in Malaysia, West Salym in Russia, Pohokura (onshore) in New Zealand, Merganser in the UK and Enfield in Australia.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324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32480" cy="8255"/>
                    </a:xfrm>
                    <a:prstGeom prst="rect">
                      <a:avLst/>
                    </a:prstGeom>
                    <a:noFill/>
                  </pic:spPr>
                </pic:pic>
              </a:graphicData>
            </a:graphic>
          </wp:anchor>
        </w:drawing>
      </w:r>
    </w:p>
    <w:p>
      <w:pPr>
        <w:spacing w:after="0" w:line="14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Oil prices increased in 2007 with Brent and West Texas Intermediate crude prices 11% and 9% higher than in 2006, respectively. Shell’s overall realised oil and natural gas liquids (NGL) prices were $67.99 a barrel, compared with $60.64 in 2006 and $50.59 in 2005. In the USA, realised oil and NGL prices averaged $66.49 a barrel, compared with $58.53 in 2006 and $48.94 in 2005. Outside the USA, realised oil and NGL prices averaged $68.24 a barrel compared with $60.99 in 2006 and $50.84 in 2005. Realised prices differ from published crude oil prices because the quality, and therefore price, of actual crude oil produced differs from the quoted blends. In general, Shell produces crude oil of a somewhat lower quality than the quoted blends. Our overall realised gas prices (excluding equity-accounted investments) in Exploration &amp; Production averaged $5.14 per thousand standard cubic feet (scf) in 2007 compared with $5.08 in 2006 and $4.77 in 2005. In the USA, realised gas prices averaged $7.23 per thousand scf, compared with $7.74 in 2006 and $8.43 in 2005. Outside the USA, realised gas prices averaged $4.61 compared with $4.41 in 2006 and $3.84 in 2005.</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 AND 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324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32480" cy="8255"/>
                    </a:xfrm>
                    <a:prstGeom prst="rect">
                      <a:avLst/>
                    </a:prstGeom>
                    <a:noFill/>
                  </pic:spPr>
                </pic:pic>
              </a:graphicData>
            </a:graphic>
          </wp:anchor>
        </w:drawing>
      </w:r>
    </w:p>
    <w:p>
      <w:pPr>
        <w:spacing w:after="0" w:line="14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Capital investment in 2007 decreased 1% to $15.6 billion (excluding the contribution of our minority partners in Sakhalin II of $0.3 billion, up to the date of the partial divestment of our interest in Sakhalin II in April 2007) relative to 2006 (see Summary of results, page 17). This included exploration expenditure of $4.0 billion of which $807 million relates to the acquisition of new acreage. Included in the exploration expenditure are $594 million of mainly drilling costs associated with maturing fields for which Shell has taken a final investment decision but, for which no proved reserves have yet been recorded. In 2006, capital investment was $15.7 billion and $10.5 billion in 2005 (excluding the contribution of the minority partners in Sakhalin II of $1.4 billion and $1.3 billion respectively).</w:t>
      </w:r>
    </w:p>
    <w:p>
      <w:pPr>
        <w:spacing w:after="0" w:line="18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Shell took the final investment decision to proceed with a number of major projects in 2007. Together with our partners PETRONAS, ConocoPhillips and Murphy Oil Corporation, we decided to proceed with the development of the Gumusut-Kakap (Shell interest 33%) deep-water block offshore Sabah in Malaysia.</w:t>
      </w:r>
    </w:p>
    <w:p>
      <w:pPr>
        <w:spacing w:after="0" w:line="179" w:lineRule="exact"/>
        <w:rPr>
          <w:sz w:val="20"/>
          <w:szCs w:val="20"/>
          <w:color w:val="auto"/>
        </w:rPr>
      </w:pPr>
    </w:p>
    <w:p>
      <w:pPr>
        <w:ind w:right="200"/>
        <w:spacing w:after="0" w:line="235" w:lineRule="auto"/>
        <w:rPr>
          <w:sz w:val="20"/>
          <w:szCs w:val="20"/>
          <w:color w:val="auto"/>
        </w:rPr>
      </w:pPr>
      <w:r>
        <w:rPr>
          <w:rFonts w:ascii="Arial" w:cs="Arial" w:eastAsia="Arial" w:hAnsi="Arial"/>
          <w:sz w:val="14"/>
          <w:szCs w:val="14"/>
          <w:color w:val="auto"/>
        </w:rPr>
        <w:t>In Brunei, our joint venture company, Brunei Shell Petroleum (BSP), decided to proceed with the Champion West Phase 3B/3C project (Shell interest 50%) and with the Bugan Phase 2 project (Shell interest 50%).</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In Oman, our joint venture company with the Omani government, Petroleum Development Oman, decided to proceed with the Qarn Alam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project (Shell interest 34%), one of the largest thermal enhanced oil recovery (EOR) projects in the world. It involves injecting steam in a fractured carbonate reservoir and is expected to increase the recovery factor in this complex reservoir by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3400425</wp:posOffset>
            </wp:positionH>
            <wp:positionV relativeFrom="paragraph">
              <wp:posOffset>-245745</wp:posOffset>
            </wp:positionV>
            <wp:extent cx="282575" cy="67919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2575" cy="6791960"/>
                    </a:xfrm>
                    <a:prstGeom prst="rect">
                      <a:avLst/>
                    </a:prstGeom>
                    <a:noFill/>
                  </pic:spPr>
                </pic:pic>
              </a:graphicData>
            </a:graphic>
          </wp:anchor>
        </w:drawing>
      </w:r>
    </w:p>
    <w:p>
      <w:pPr>
        <w:spacing w:after="0" w:line="159"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A final investment decision was also taken to proceed with Valhall Redevelopment (Shell interest 28.1%) in Norway, which is aimed at delivering new facilities with fewer offshore staff and enabling production until the end of the licence period in 2028.</w:t>
      </w:r>
    </w:p>
    <w:p>
      <w:pPr>
        <w:spacing w:after="0" w:line="167"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Shell, through its exploration and production joint venture in the Netherlands, Nederlandse Aardolie Maatschappij B.V. (NAM), has taken the decision to resume oil production in Schoonebeek (Shell interest 30%), northwest Europe’s largest onshore oil field, through the use of steam-injection EOR technology. NAM expects to produce some 100 to 120 million barrels of oil in the coming 25 years increasing oil reserves in the Netherlands.</w:t>
      </w:r>
    </w:p>
    <w:p>
      <w:pPr>
        <w:spacing w:after="0" w:line="183"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color w:val="auto"/>
        </w:rPr>
        <w:t>Shell signed a PSC with PETRONAS, gaining a 30% interest in the Kebabangan Cluster gas fields in Sabah, Malaysia.</w:t>
      </w:r>
    </w:p>
    <w:p>
      <w:pPr>
        <w:spacing w:after="0" w:line="175"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In Australia, Shell agreed to sell a 25% interest in the NT/P48 Permit, which includes the Evans Shoal joint venture in the Timor Sea, offshore Northern Territory, to PETRONAS.</w:t>
      </w:r>
    </w:p>
    <w:p>
      <w:pPr>
        <w:spacing w:after="0" w:line="180"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In China, we acquired a 55% equity interest in a coalbed methane venture in Shanxi Province from Verona Development Corporation.</w:t>
      </w:r>
    </w:p>
    <w:p>
      <w:pPr>
        <w:spacing w:after="0" w:line="175" w:lineRule="exact"/>
        <w:rPr>
          <w:sz w:val="20"/>
          <w:szCs w:val="20"/>
          <w:color w:val="auto"/>
        </w:rPr>
      </w:pPr>
    </w:p>
    <w:p>
      <w:pPr>
        <w:ind w:right="320"/>
        <w:spacing w:after="0" w:line="328" w:lineRule="auto"/>
        <w:rPr>
          <w:sz w:val="20"/>
          <w:szCs w:val="20"/>
          <w:color w:val="auto"/>
        </w:rPr>
      </w:pPr>
      <w:r>
        <w:rPr>
          <w:rFonts w:ascii="Arial" w:cs="Arial" w:eastAsia="Arial" w:hAnsi="Arial"/>
          <w:sz w:val="12"/>
          <w:szCs w:val="12"/>
          <w:color w:val="auto"/>
        </w:rPr>
        <w:t>The Exploration &amp; Production business made significant progress on its portfolio rationalisation programme in 2007, generating $5.4 billion of divestment proceeds.</w:t>
      </w:r>
    </w:p>
    <w:p>
      <w:pPr>
        <w:spacing w:after="0" w:line="129"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In Norway, we completed the sale to E.ON Ruhrgas Norge AS of our 28% equity interest in the undeveloped Skarv and Idun fields.</w:t>
      </w:r>
    </w:p>
    <w:p>
      <w:pPr>
        <w:spacing w:after="0" w:line="175"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Shell also completed the divestment of its 25% equity holding in Austrian oil and gas producer, Rohöl-Aufsuchungs AG (RAG).</w:t>
      </w:r>
    </w:p>
    <w:p>
      <w:pPr>
        <w:spacing w:after="0" w:line="175"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Earlier in the year, we announced our intention to sell our equity interests in a number of northern North Sea assets, and mature NAM operated offshore assets in the NOGAT (Noordelijke Offshore Gas Transport) area of the southern North Sea. At the end of 2007, Shell reached an agreement with Fairfield Energy and Mitsubishi Corporation for the sale of the Dunlin Cluster in the North Sea covering the Dunlin, Dunlin South West, Osprey and Merlin fields.</w:t>
      </w:r>
    </w:p>
    <w:p>
      <w:pPr>
        <w:spacing w:after="0" w:line="183"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In the USA, Shell completed the sale of leases in Barnett Shale in the Fort Worth Basin, Texas to Pioneer Natural Resources and Fayetteville Shale in the Arkoma Basin, Arkansas to Constellation Energy Commodities Group. Shell also completed the sale of the Wilcox properties in South Texas to Comstock Resources Inc. and North Padre Island 969 and West Cameron 565 assets in the Gulf of Mexico to Peregrine Oil. In addition, Shell reached an agreement with Marubeni Corporation for the sale of Boomvang fields.</w:t>
      </w:r>
    </w:p>
    <w:p>
      <w:pPr>
        <w:spacing w:after="0" w:line="182" w:lineRule="exact"/>
        <w:rPr>
          <w:sz w:val="20"/>
          <w:szCs w:val="20"/>
          <w:color w:val="auto"/>
        </w:rPr>
      </w:pPr>
    </w:p>
    <w:p>
      <w:pPr>
        <w:ind w:right="400"/>
        <w:spacing w:after="0" w:line="235" w:lineRule="auto"/>
        <w:rPr>
          <w:sz w:val="20"/>
          <w:szCs w:val="20"/>
          <w:color w:val="auto"/>
        </w:rPr>
      </w:pPr>
      <w:r>
        <w:rPr>
          <w:rFonts w:ascii="Arial" w:cs="Arial" w:eastAsia="Arial" w:hAnsi="Arial"/>
          <w:sz w:val="14"/>
          <w:szCs w:val="14"/>
          <w:color w:val="auto"/>
        </w:rPr>
        <w:t>In Egypt, Shell completed the sale of a 33% equity interest in the Northeast Mediterranean Deepwater (NEMed) concession located offshore Egypt to ONGC Videsh Ltd (OVL).</w:t>
      </w:r>
    </w:p>
    <w:p>
      <w:pPr>
        <w:spacing w:after="0" w:line="18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1841500</wp:posOffset>
            </wp:positionV>
            <wp:extent cx="725297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240" w:space="480"/>
            <w:col w:w="5020"/>
          </w:cols>
          <w:pgMar w:left="240" w:top="415" w:right="9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color w:val="F68933"/>
        </w:rPr>
        <w:t>EXPLORATION &amp; PRODUCTION</w:t>
      </w:r>
    </w:p>
    <w:p>
      <w:pPr>
        <w:spacing w:after="0" w:line="200" w:lineRule="exact"/>
        <w:rPr>
          <w:sz w:val="20"/>
          <w:szCs w:val="20"/>
          <w:color w:val="auto"/>
        </w:rPr>
      </w:pPr>
    </w:p>
    <w:p>
      <w:pPr>
        <w:spacing w:after="0" w:line="217"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Shell sold 45% of the newly created Shell Technology Ventures Fund 1 B.V. (STV), an energy technology fund, to Coller Capital. Shell will remain the majority shareholder in the fund, which will focus on investing in non-exclusive Shell and third-party exploration and production technologies.</w:t>
      </w:r>
    </w:p>
    <w:p>
      <w:pPr>
        <w:spacing w:after="0" w:line="179" w:lineRule="exact"/>
        <w:rPr>
          <w:sz w:val="20"/>
          <w:szCs w:val="20"/>
          <w:color w:val="auto"/>
        </w:rPr>
      </w:pPr>
    </w:p>
    <w:p>
      <w:pPr>
        <w:jc w:val="both"/>
        <w:ind w:right="180"/>
        <w:spacing w:after="0" w:line="328" w:lineRule="auto"/>
        <w:rPr>
          <w:sz w:val="20"/>
          <w:szCs w:val="20"/>
          <w:color w:val="auto"/>
        </w:rPr>
      </w:pPr>
      <w:r>
        <w:rPr>
          <w:rFonts w:ascii="Arial" w:cs="Arial" w:eastAsia="Arial" w:hAnsi="Arial"/>
          <w:sz w:val="12"/>
          <w:szCs w:val="12"/>
          <w:color w:val="auto"/>
        </w:rPr>
        <w:t>In Russia, Shell and its partners completed the divestment to OAO Gazprom of 50% of their interest plus one share in the Sakhalin II project in Russia (see Summary of results, page 17).</w:t>
      </w:r>
    </w:p>
    <w:p>
      <w:pPr>
        <w:spacing w:after="0" w:line="129" w:lineRule="exact"/>
        <w:rPr>
          <w:sz w:val="20"/>
          <w:szCs w:val="20"/>
          <w:color w:val="auto"/>
        </w:rPr>
      </w:pPr>
    </w:p>
    <w:p>
      <w:pPr>
        <w:ind w:right="220"/>
        <w:spacing w:after="0" w:line="291" w:lineRule="auto"/>
        <w:rPr>
          <w:sz w:val="20"/>
          <w:szCs w:val="20"/>
          <w:color w:val="auto"/>
        </w:rPr>
      </w:pPr>
      <w:r>
        <w:rPr>
          <w:rFonts w:ascii="Arial" w:cs="Arial" w:eastAsia="Arial" w:hAnsi="Arial"/>
          <w:sz w:val="12"/>
          <w:szCs w:val="12"/>
          <w:color w:val="auto"/>
        </w:rPr>
        <w:t>Also in Russia, a strategic cooperation agreement was concluded between Shell and Rosneft Open Joint Stock Company. Moreover, Shell reached an agreement with JSC Tatneft for a strategic partnership on heavy oil development and other potential joint activities.</w:t>
      </w:r>
    </w:p>
    <w:p>
      <w:pPr>
        <w:spacing w:after="0" w:line="151"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In early 2008, the international members of the Kashagan consortium have agreed to sell their participating interests proportionally (if the sale is concluded, Shell interest would decrease from 18.52% to 16.81%), allowing Kazakhstan’s national oil company’s, KazMunaiGas (KMG), stake to increase to match that of the four major shareholders. The agreement includes a value transfer package from the consortium to the Kazakhstan authorities, provides for an increased role of KMG in operations and for a review and enhancement of the operating model. The agreement also provides the conditions for the continuity and stability of the project going forward.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34759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73"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During 2007, we participated in 314 successful exploratory wells (wells drilled outside proved area). These included exploration discoveries in Australia, Brunei, Egypt, Germany, Kazakhstan, Malaysia, the Netherlands, Nigeria, Oman and the USA. Discoveries will be evaluated in order to establish the extent of the volumes they contain. Of these, 11 are considered notable discoveries.</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In 2007, we added new acreage to our portfolio mainly from exploration licences in Australia, Canada, China, Colombia, Gabon, Germany, Syria, Tunisia and the USA (Gulf of Mexico, onshore and Alaska). In the Gulf of Mexico, Shell was the highest bidder on three blocks in Lease sale 204 and on 67 blocks in Lease sale 205, adding significant acreage to the Shell portfolio. Overall, our acreage in 2007 decreased slightly when compared with 2006 mainly due to a combination of divestments, relinquishments and licence expiry of acreage in various countries, largely offset by the acreage additions in locations noted above.</w:t>
      </w:r>
    </w:p>
    <w:p>
      <w:pPr>
        <w:spacing w:after="0" w:line="179" w:lineRule="exact"/>
        <w:rPr>
          <w:sz w:val="20"/>
          <w:szCs w:val="20"/>
          <w:color w:val="auto"/>
        </w:rPr>
      </w:pPr>
    </w:p>
    <w:p>
      <w:pPr>
        <w:jc w:val="both"/>
        <w:ind w:right="60"/>
        <w:spacing w:after="0" w:line="260" w:lineRule="auto"/>
        <w:rPr>
          <w:sz w:val="20"/>
          <w:szCs w:val="20"/>
          <w:color w:val="auto"/>
        </w:rPr>
      </w:pPr>
      <w:r>
        <w:rPr>
          <w:rFonts w:ascii="Arial" w:cs="Arial" w:eastAsia="Arial" w:hAnsi="Arial"/>
          <w:sz w:val="13"/>
          <w:szCs w:val="13"/>
          <w:color w:val="auto"/>
        </w:rPr>
        <w:t>In early 2008, Shell was announced as the apparent high bidder on 275 of the 302 blocks it bid in Lease Sale 193. The blocks are located in the Chukchi Sea, offshore Alaska, and their award is pending review and final decision by the US Minerals Management Service.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ind w:right="100"/>
        <w:spacing w:after="0" w:line="269" w:lineRule="auto"/>
        <w:rPr>
          <w:sz w:val="20"/>
          <w:szCs w:val="20"/>
          <w:color w:val="auto"/>
        </w:rPr>
      </w:pPr>
      <w:r>
        <w:rPr>
          <w:rFonts w:ascii="Arial" w:cs="Arial" w:eastAsia="Arial" w:hAnsi="Arial"/>
          <w:sz w:val="12"/>
          <w:szCs w:val="12"/>
          <w:color w:val="auto"/>
        </w:rPr>
        <w:t>The Shell Exploration &amp; Production Technology organisation is responsible for the research, development and application of integrated technology solutions for Shell operating businesses and assets around the world. The primary objectives are to select, develop and implement technologies that enable Shell operating businesses and assets to successfully discover and produce greater levels of hydrocarbons, to achieve continuous improvement in cost-efficiency and performance; to increase operational safety and to reduce environmental impact.</w:t>
      </w:r>
    </w:p>
    <w:p>
      <w:pPr>
        <w:spacing w:after="0" w:line="169" w:lineRule="exact"/>
        <w:rPr>
          <w:sz w:val="20"/>
          <w:szCs w:val="20"/>
          <w:color w:val="auto"/>
        </w:rPr>
      </w:pPr>
    </w:p>
    <w:p>
      <w:pPr>
        <w:ind w:left="280" w:hanging="273"/>
        <w:spacing w:after="0"/>
        <w:tabs>
          <w:tab w:leader="none" w:pos="280" w:val="left"/>
        </w:tabs>
        <w:numPr>
          <w:ilvl w:val="0"/>
          <w:numId w:val="23"/>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Exploration &amp; Production research and development (R&amp;D) is carried out in two main laboratory locations: Rijswijk (the Netherlands) and Houston (Texas, USA). Additional technology facilities are in Oman, Qatar, Oslo (Norway), Calgary (Canada) and Bangalore (India). In-house teams and facilities are used in the research and development of proprietary exploration and production technologies along with service industry and/or academic capabilities where applicable.</w:t>
      </w:r>
    </w:p>
    <w:p>
      <w:pPr>
        <w:spacing w:after="0" w:line="18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primary focus of the R&amp;D work, with increasing emphasis on the subsurface and unconventionals, is in the following areas: enhanced subsurface imaging; reservoir characterisation and surveillance; smart reservoir management; improving hydrocarbon recovery efficiency; reducing the cost of wells and facilities; enabling the development of ultra-deep water fields; separation and utilisation of contaminated gas; recovery of unconventional hydrocarbons; and developing solutions for the capture and sequestration of CO</w:t>
      </w:r>
      <w:r>
        <w:rPr>
          <w:rFonts w:ascii="Arial" w:cs="Arial" w:eastAsia="Arial" w:hAnsi="Arial"/>
          <w:sz w:val="11"/>
          <w:szCs w:val="11"/>
          <w:color w:val="auto"/>
        </w:rPr>
        <w:t>2</w:t>
      </w:r>
      <w:r>
        <w:rPr>
          <w:rFonts w:ascii="Arial" w:cs="Arial" w:eastAsia="Arial" w:hAnsi="Arial"/>
          <w:sz w:val="13"/>
          <w:szCs w:val="13"/>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34759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73" w:lineRule="exact"/>
        <w:rPr>
          <w:sz w:val="20"/>
          <w:szCs w:val="20"/>
          <w:color w:val="auto"/>
        </w:rPr>
      </w:pPr>
    </w:p>
    <w:p>
      <w:pPr>
        <w:ind w:right="20"/>
        <w:spacing w:after="0" w:line="263" w:lineRule="auto"/>
        <w:rPr>
          <w:sz w:val="20"/>
          <w:szCs w:val="20"/>
          <w:color w:val="auto"/>
        </w:rPr>
      </w:pPr>
      <w:r>
        <w:rPr>
          <w:rFonts w:ascii="Arial" w:cs="Arial" w:eastAsia="Arial" w:hAnsi="Arial"/>
          <w:sz w:val="12"/>
          <w:szCs w:val="12"/>
          <w:color w:val="auto"/>
        </w:rPr>
        <w:t>Shell subsidiaries and equity-accounted investments are involved in the exploration for and production of crude oil and natural gas and operate under a broad range of laws and regulations that change over time. These cover virtually all aspects of exploration and production activities, including matters such as land tenure, entitlement to produced hydrocarbons, production rates, royalties, pricing, environmental protection, social impact, exports, taxes and foreign exchange.</w:t>
      </w:r>
    </w:p>
    <w:p>
      <w:pPr>
        <w:spacing w:after="0" w:line="2" w:lineRule="exact"/>
        <w:rPr>
          <w:sz w:val="20"/>
          <w:szCs w:val="20"/>
          <w:color w:val="auto"/>
        </w:rPr>
      </w:pPr>
    </w:p>
    <w:p>
      <w:pPr>
        <w:spacing w:after="0" w:line="235" w:lineRule="auto"/>
        <w:rPr>
          <w:sz w:val="20"/>
          <w:szCs w:val="20"/>
          <w:color w:val="auto"/>
        </w:rPr>
      </w:pPr>
      <w:r>
        <w:rPr>
          <w:rFonts w:ascii="Arial" w:cs="Arial" w:eastAsia="Arial" w:hAnsi="Arial"/>
          <w:sz w:val="13"/>
          <w:szCs w:val="13"/>
          <w:color w:val="auto"/>
        </w:rPr>
        <w:t>The conditions of the leases, licences and contracts under which oil and gas interests are held vary from country to country. In almost all cases (outside North America), the legal agreements generally are granted by or entered into with a government, government entity or state oil company, and the exploration risk practically always rests with the oil company. In North America, these agreements may also be with private parties who own mineral interests. Of these agreements, the following are most relevant to Shell’s interests:</w:t>
      </w:r>
    </w:p>
    <w:p>
      <w:pPr>
        <w:spacing w:after="0" w:line="1" w:lineRule="exact"/>
        <w:rPr>
          <w:sz w:val="20"/>
          <w:szCs w:val="20"/>
          <w:color w:val="auto"/>
        </w:rPr>
      </w:pPr>
    </w:p>
    <w:p>
      <w:pPr>
        <w:ind w:left="220" w:right="20" w:hanging="218"/>
        <w:spacing w:after="0" w:line="219" w:lineRule="auto"/>
        <w:tabs>
          <w:tab w:leader="none" w:pos="220" w:val="left"/>
        </w:tabs>
        <w:numPr>
          <w:ilvl w:val="0"/>
          <w:numId w:val="24"/>
        </w:numPr>
        <w:rPr>
          <w:rFonts w:ascii="Arial" w:cs="Arial" w:eastAsia="Arial" w:hAnsi="Arial"/>
          <w:sz w:val="14"/>
          <w:szCs w:val="14"/>
          <w:b w:val="1"/>
          <w:bCs w:val="1"/>
          <w:color w:val="auto"/>
        </w:rPr>
      </w:pPr>
      <w:r>
        <w:rPr>
          <w:rFonts w:ascii="Arial" w:cs="Arial" w:eastAsia="Arial" w:hAnsi="Arial"/>
          <w:sz w:val="14"/>
          <w:szCs w:val="14"/>
          <w:color w:val="auto"/>
        </w:rPr>
        <w:t>Licences (or concessions), which entitle the holder to explore for hydrocarbons and exploit any commercial discoveries. Under a licence, the holder bears the risk of exploration, development and production activities and of financing these activities. In principle, the licence holder is entitled to the totality of production minus any royalties in kind. The state or state oil company may sometimes enter as a joint venture partner sharing the rights and obligations of the licence but usually without sharing the exploration risk. In a few cases, the state oil company or agency has an option to purchase a certain share of production. The lease agreement, typical in North America, is generally the same except for treatment of royalties paid in cash.</w:t>
      </w:r>
    </w:p>
    <w:p>
      <w:pPr>
        <w:spacing w:after="0" w:line="1" w:lineRule="exact"/>
        <w:rPr>
          <w:rFonts w:ascii="Arial" w:cs="Arial" w:eastAsia="Arial" w:hAnsi="Arial"/>
          <w:sz w:val="14"/>
          <w:szCs w:val="14"/>
          <w:b w:val="1"/>
          <w:bCs w:val="1"/>
          <w:color w:val="auto"/>
        </w:rPr>
      </w:pPr>
    </w:p>
    <w:p>
      <w:pPr>
        <w:ind w:left="220" w:right="40" w:hanging="218"/>
        <w:spacing w:after="0"/>
        <w:tabs>
          <w:tab w:leader="none" w:pos="220" w:val="left"/>
        </w:tabs>
        <w:numPr>
          <w:ilvl w:val="0"/>
          <w:numId w:val="24"/>
        </w:numPr>
        <w:rPr>
          <w:rFonts w:ascii="Arial" w:cs="Arial" w:eastAsia="Arial" w:hAnsi="Arial"/>
          <w:sz w:val="14"/>
          <w:szCs w:val="14"/>
          <w:b w:val="1"/>
          <w:bCs w:val="1"/>
          <w:color w:val="auto"/>
        </w:rPr>
      </w:pPr>
      <w:r>
        <w:rPr>
          <w:rFonts w:ascii="Arial" w:cs="Arial" w:eastAsia="Arial" w:hAnsi="Arial"/>
          <w:sz w:val="14"/>
          <w:szCs w:val="14"/>
          <w:color w:val="auto"/>
        </w:rPr>
        <w:t>PSCs entered into with a state or state oil company oblige the oil company, as contractor, to provide all the financing generally, and bear the risk of exploration, development and production activities in exchange for a share of the production. Usually this share consists of a fixed or variable part, which is reserved for the recovery of contractor’s cost (cost oil); the remainder is split with the state or state oil company on a fixed or volume/revenue-dependent basis. In some cases, the state oil company will participate in the rights and obligations of the contractor and will share in the costs of development and production. Such participation can be across the venture or on a per field basis. Additionally, as the price of oil or gas increases above certain pre-determined levels, the Shell group’s entitlement share of production would normally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1073150</wp:posOffset>
            </wp:positionV>
            <wp:extent cx="725297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60" w:space="480"/>
            <w:col w:w="5460"/>
          </w:cols>
          <w:pgMar w:left="240" w:top="415"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Shell’s exploration and production interests, including acreage holdings and statistics on wells drilled, are shown on page 28.</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PROVED RESERVES</w:t>
      </w:r>
    </w:p>
    <w:p>
      <w:pPr>
        <w:spacing w:after="0" w:line="8"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Details of Shell subsidiaries’ and the Shell share of equity-accounted investments’ estimated net proved reserves are summarised in the following table and are set out under the heading “Supplementary Information – Oil and gas (unaudited)” on pages 163 to 169. Oil and gas reserves cannot be measured exactly since estimation of reserves involves subjective judgement. Estimates remain subject to revision. It should be noted that totals are further influenced by acquisition and divestment activities. Proved reserves are shown net of any quantities of crude oil or natural gas that are expected to be taken by others as royalties in kind but do not exclude quantities related to royalties expected to be paid in cash (except in North America and in other situations in which the royalty quantities are owned by others) or those related to fixed margin contracts. Proved reserves include certain quantities of crude oil or natural gas that will be produced under arrangements which involve Shell subsidiaries in upstream risks and rewards but do not transfer title of the product to those companies.</w:t>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During 2007, proved developed and undeveloped reserves of Shell subsidiaries were reduced by a total of 880 million boe, consisting of a decrease of 9 million barrels of oil and natural gas liquids and a reduction of 5,056 thousand million scf of natural gas (in each case before taking account of production). The reduction to proved developed and undeveloped reserves consisted of reductions of 145 million boe from revisions and</w:t>
      </w:r>
    </w:p>
    <w:p>
      <w:pPr>
        <w:ind w:right="100"/>
        <w:spacing w:after="0" w:line="224" w:lineRule="auto"/>
        <w:rPr>
          <w:sz w:val="20"/>
          <w:szCs w:val="20"/>
          <w:color w:val="auto"/>
        </w:rPr>
      </w:pPr>
      <w:r>
        <w:rPr>
          <w:rFonts w:ascii="Arial" w:cs="Arial" w:eastAsia="Arial" w:hAnsi="Arial"/>
          <w:sz w:val="14"/>
          <w:szCs w:val="14"/>
          <w:color w:val="auto"/>
        </w:rPr>
        <w:t>1,108 million boe from acquisitions and divestments, and additions of 340 million boe from extensions and discoveries and additions of 33 million boe from improved recovery. There was a net addition of 624 million boe to proved developed reserves and a net reduction of 1,504 million boe to proved undeveloped reserves (before taking account of production).</w:t>
      </w:r>
    </w:p>
    <w:p>
      <w:pPr>
        <w:spacing w:after="0" w:line="182"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During the same period, the Shell share of proved developed and undeveloped reserves additions by equity-accounted investments, that are in addition to the additions to the reserves by Shell subsidiaries described above, represented an increase of 1,080 million boe, consisting of an increase of 251 million barrels of oil and natural gas liquids and an increase of 4,807 thousand million scf of natural gas (in each case before taking account of production). The Shell share of changes to proved developed and undeveloped reserves by equity-accounted investments consisted of 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increase of 548 million boe from revisions, an increase of 26 million boe from improved recovery, an increase of 513 million boe from extensions and discoveries and a decrease of 7 million boe as a result of acquisitions and divestments. There was a net addition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-273685</wp:posOffset>
            </wp:positionV>
            <wp:extent cx="282575" cy="5886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2575" cy="5886450"/>
                    </a:xfrm>
                    <a:prstGeom prst="rect">
                      <a:avLst/>
                    </a:prstGeom>
                    <a:noFill/>
                  </pic:spPr>
                </pic:pic>
              </a:graphicData>
            </a:graphic>
          </wp:anchor>
        </w:drawing>
      </w:r>
    </w:p>
    <w:p>
      <w:pPr>
        <w:ind w:right="340"/>
        <w:spacing w:after="0" w:line="234" w:lineRule="auto"/>
        <w:rPr>
          <w:sz w:val="20"/>
          <w:szCs w:val="20"/>
          <w:color w:val="auto"/>
        </w:rPr>
      </w:pPr>
      <w:r>
        <w:rPr>
          <w:rFonts w:ascii="Arial" w:cs="Arial" w:eastAsia="Arial" w:hAnsi="Arial"/>
          <w:sz w:val="14"/>
          <w:szCs w:val="14"/>
          <w:color w:val="auto"/>
        </w:rPr>
        <w:t>251 million boe to proved developed reserves and a net addition of 829 million boe to proved undeveloped reserves (before taking account of production).</w:t>
      </w:r>
    </w:p>
    <w:p>
      <w:pPr>
        <w:spacing w:after="0" w:line="180"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color w:val="auto"/>
        </w:rPr>
        <w:t>Details of the main proved reserves changes during 2007 are provided in the section entitled “Supplementary Information – Oil and gas (unaudited)”.</w:t>
      </w:r>
    </w:p>
    <w:p>
      <w:pPr>
        <w:spacing w:after="0" w:line="175"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At December 31, 2007, after taking account of Shell subsidiaries’ 2007 net additions to proved developed and undeveloped reserves and production, total proved reserves for Shell subsidiaries were 21% lower than at December 31, 2006. At the same date, after taking into account the Shell share of equity-accounted investments’ net additions and production, the Shell share of total proved developed and undeveloped reserves of equity-accounted investments was 23% higher than at December 31, 2006.</w:t>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In April 2007, Shell along with its partners, completed the divestment to OAO Gazprom of a 50% interest (plus one share) in the Sakhalin II project in Russia. Royal Dutch Shell diluted its stake in the project from 55% to 27.5%. As a result of this divestment, proved developed and undeveloped reserves associated with minority interests reduced by a total of 658 million boe and 402 million boe of proved developed and undeveloped reserves were moved from Shell subsidiaries to equity-accounted investments.</w:t>
      </w:r>
    </w:p>
    <w:p>
      <w:pPr>
        <w:spacing w:after="0" w:line="177"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As a result of the acquisition during 2007 of the Shell Canada minority interest, minority interests were reduced by 72 million boe.</w:t>
      </w:r>
    </w:p>
    <w:p>
      <w:pPr>
        <w:spacing w:after="0" w:line="175"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If the agreement currently under discussion with KazMunaiGas is concluded, resulting in Shell’s interest in the north Caspian PSC declining from 18.52% to 16.81%, Shell’s proved reserves would decrease by approximately 36 million barrels of oil equivalent.</w:t>
      </w:r>
    </w:p>
    <w:p>
      <w:pPr>
        <w:spacing w:after="0" w:line="167"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 addition to proved conventional liquids and natural gas reserves, Shell has considerable interests in proven oil sands reserves in Canada associated with the Athabasca Oil Sands Project. Since SEC regulations define these reserves as mining-related and not part of conventional oil and gas reserves, these are presented separately to the conventional oil and gas reserves in the Oil Sands section of this Operating and Financial Review.</w:t>
      </w:r>
    </w:p>
    <w:p>
      <w:pPr>
        <w:spacing w:after="0" w:line="200" w:lineRule="exact"/>
        <w:rPr>
          <w:sz w:val="20"/>
          <w:szCs w:val="20"/>
          <w:color w:val="auto"/>
        </w:rPr>
      </w:pPr>
    </w:p>
    <w:p>
      <w:pPr>
        <w:sectPr>
          <w:pgSz w:w="11900" w:h="16838" w:orient="portrait"/>
          <w:cols w:equalWidth="0" w:num="2">
            <w:col w:w="5200" w:space="440"/>
            <w:col w:w="522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440"/>
        <w:spacing w:after="0"/>
        <w:tabs>
          <w:tab w:leader="none" w:pos="107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1621790</wp:posOffset>
            </wp:positionV>
            <wp:extent cx="725297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EXPLORATION &amp; PRODUCTION</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shd w:val="clear" w:color="auto" w:fill="0066A5"/>
          </w:tcPr>
          <w:p>
            <w:pPr>
              <w:ind w:left="40"/>
              <w:spacing w:after="0"/>
              <w:rPr>
                <w:sz w:val="20"/>
                <w:szCs w:val="20"/>
                <w:color w:val="auto"/>
              </w:rPr>
            </w:pPr>
            <w:r>
              <w:rPr>
                <w:rFonts w:ascii="Arial" w:cs="Arial" w:eastAsia="Arial" w:hAnsi="Arial"/>
                <w:sz w:val="12"/>
                <w:szCs w:val="12"/>
                <w:b w:val="1"/>
                <w:bCs w:val="1"/>
                <w:color w:val="FFFFFF"/>
              </w:rPr>
              <w:t>PROVED DEVELOPED AND UNDEVELOPED RESERVES (At December 31)</w:t>
            </w:r>
          </w:p>
        </w:tc>
        <w:tc>
          <w:tcPr>
            <w:tcW w:w="2580" w:type="dxa"/>
            <w:vAlign w:val="bottom"/>
            <w:gridSpan w:val="3"/>
            <w:shd w:val="clear" w:color="auto" w:fill="0066A5"/>
          </w:tcPr>
          <w:p>
            <w:pPr>
              <w:jc w:val="right"/>
              <w:spacing w:after="0"/>
              <w:rPr>
                <w:sz w:val="20"/>
                <w:szCs w:val="20"/>
                <w:color w:val="auto"/>
              </w:rPr>
            </w:pPr>
            <w:r>
              <w:rPr>
                <w:rFonts w:ascii="Arial" w:cs="Arial" w:eastAsia="Arial" w:hAnsi="Arial"/>
                <w:sz w:val="12"/>
                <w:szCs w:val="12"/>
                <w:b w:val="1"/>
                <w:bCs w:val="1"/>
                <w:color w:val="FFFFFF"/>
              </w:rPr>
              <w:t>million barrels of oil equivalent[A]</w:t>
            </w:r>
          </w:p>
        </w:tc>
      </w:tr>
      <w:tr>
        <w:trPr>
          <w:trHeight w:val="133"/>
        </w:trPr>
        <w:tc>
          <w:tcPr>
            <w:tcW w:w="8840" w:type="dxa"/>
            <w:vAlign w:val="bottom"/>
            <w:shd w:val="clear" w:color="auto" w:fill="CECAC6"/>
          </w:tcPr>
          <w:p>
            <w:pPr>
              <w:spacing w:after="0"/>
              <w:rPr>
                <w:sz w:val="11"/>
                <w:szCs w:val="11"/>
                <w:color w:val="auto"/>
              </w:rPr>
            </w:pPr>
          </w:p>
        </w:tc>
        <w:tc>
          <w:tcPr>
            <w:tcW w:w="6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24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2006</w:t>
            </w:r>
          </w:p>
        </w:tc>
        <w:tc>
          <w:tcPr>
            <w:tcW w:w="6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86"/>
        </w:trPr>
        <w:tc>
          <w:tcPr>
            <w:tcW w:w="8840" w:type="dxa"/>
            <w:vAlign w:val="bottom"/>
          </w:tcPr>
          <w:p>
            <w:pPr>
              <w:spacing w:after="0"/>
              <w:rPr>
                <w:sz w:val="20"/>
                <w:szCs w:val="20"/>
                <w:color w:val="auto"/>
              </w:rPr>
            </w:pPr>
            <w:r>
              <w:rPr>
                <w:rFonts w:ascii="Arial" w:cs="Arial" w:eastAsia="Arial" w:hAnsi="Arial"/>
                <w:sz w:val="12"/>
                <w:szCs w:val="12"/>
                <w:color w:val="auto"/>
              </w:rPr>
              <w:t>Shell subsidiaries</w:t>
            </w:r>
          </w:p>
        </w:tc>
        <w:tc>
          <w:tcPr>
            <w:tcW w:w="6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6,686</w:t>
            </w:r>
          </w:p>
        </w:tc>
        <w:tc>
          <w:tcPr>
            <w:tcW w:w="1240" w:type="dxa"/>
            <w:vAlign w:val="bottom"/>
          </w:tcPr>
          <w:p>
            <w:pPr>
              <w:jc w:val="right"/>
              <w:ind w:right="258"/>
              <w:spacing w:after="0"/>
              <w:rPr>
                <w:sz w:val="20"/>
                <w:szCs w:val="20"/>
                <w:color w:val="auto"/>
              </w:rPr>
            </w:pPr>
            <w:r>
              <w:rPr>
                <w:rFonts w:ascii="Arial" w:cs="Arial" w:eastAsia="Arial" w:hAnsi="Arial"/>
                <w:sz w:val="12"/>
                <w:szCs w:val="12"/>
                <w:color w:val="auto"/>
              </w:rPr>
              <w:t>8,452</w:t>
            </w:r>
          </w:p>
        </w:tc>
        <w:tc>
          <w:tcPr>
            <w:tcW w:w="680" w:type="dxa"/>
            <w:vAlign w:val="bottom"/>
          </w:tcPr>
          <w:p>
            <w:pPr>
              <w:jc w:val="right"/>
              <w:spacing w:after="0"/>
              <w:rPr>
                <w:sz w:val="20"/>
                <w:szCs w:val="20"/>
                <w:color w:val="auto"/>
              </w:rPr>
            </w:pPr>
            <w:r>
              <w:rPr>
                <w:rFonts w:ascii="Arial" w:cs="Arial" w:eastAsia="Arial" w:hAnsi="Arial"/>
                <w:sz w:val="12"/>
                <w:szCs w:val="12"/>
                <w:color w:val="auto"/>
              </w:rPr>
              <w:t>7,761</w:t>
            </w:r>
          </w:p>
        </w:tc>
      </w:tr>
      <w:tr>
        <w:trPr>
          <w:trHeight w:val="186"/>
        </w:trPr>
        <w:tc>
          <w:tcPr>
            <w:tcW w:w="8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Shell share of equity-accounted investments</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4,140</w:t>
            </w: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3,355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3,705</w:t>
            </w:r>
          </w:p>
        </w:tc>
      </w:tr>
    </w:tbl>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shd w:val="clear" w:color="auto" w:fill="0066A5"/>
          </w:tcPr>
          <w:p>
            <w:pPr>
              <w:ind w:left="40"/>
              <w:spacing w:after="0"/>
              <w:rPr>
                <w:sz w:val="20"/>
                <w:szCs w:val="20"/>
                <w:color w:val="auto"/>
              </w:rPr>
            </w:pPr>
            <w:r>
              <w:rPr>
                <w:rFonts w:ascii="Arial" w:cs="Arial" w:eastAsia="Arial" w:hAnsi="Arial"/>
                <w:sz w:val="12"/>
                <w:szCs w:val="12"/>
                <w:b w:val="1"/>
                <w:bCs w:val="1"/>
                <w:color w:val="FFFFFF"/>
              </w:rPr>
              <w:t>PROVED DEVELOPED AND UNDEVELOPED RESERVES</w:t>
            </w:r>
          </w:p>
        </w:tc>
        <w:tc>
          <w:tcPr>
            <w:tcW w:w="1080" w:type="dxa"/>
            <w:vAlign w:val="bottom"/>
            <w:shd w:val="clear" w:color="auto" w:fill="0066A5"/>
          </w:tcPr>
          <w:p>
            <w:pPr>
              <w:spacing w:after="0"/>
              <w:rPr>
                <w:sz w:val="16"/>
                <w:szCs w:val="16"/>
                <w:color w:val="auto"/>
              </w:rPr>
            </w:pPr>
          </w:p>
        </w:tc>
        <w:tc>
          <w:tcPr>
            <w:tcW w:w="860" w:type="dxa"/>
            <w:vAlign w:val="bottom"/>
            <w:shd w:val="clear" w:color="auto" w:fill="0066A5"/>
          </w:tcPr>
          <w:p>
            <w:pPr>
              <w:spacing w:after="0"/>
              <w:rPr>
                <w:sz w:val="16"/>
                <w:szCs w:val="16"/>
                <w:color w:val="auto"/>
              </w:rPr>
            </w:pPr>
          </w:p>
        </w:tc>
        <w:tc>
          <w:tcPr>
            <w:tcW w:w="980" w:type="dxa"/>
            <w:vAlign w:val="bottom"/>
            <w:shd w:val="clear" w:color="auto" w:fill="0066A5"/>
          </w:tcPr>
          <w:p>
            <w:pPr>
              <w:spacing w:after="0"/>
              <w:rPr>
                <w:sz w:val="16"/>
                <w:szCs w:val="16"/>
                <w:color w:val="auto"/>
              </w:rPr>
            </w:pPr>
          </w:p>
        </w:tc>
        <w:tc>
          <w:tcPr>
            <w:tcW w:w="1480" w:type="dxa"/>
            <w:vAlign w:val="bottom"/>
            <w:shd w:val="clear" w:color="auto" w:fill="0066A5"/>
          </w:tcPr>
          <w:p>
            <w:pPr>
              <w:spacing w:after="0"/>
              <w:rPr>
                <w:sz w:val="16"/>
                <w:szCs w:val="16"/>
                <w:color w:val="auto"/>
              </w:rPr>
            </w:pPr>
          </w:p>
        </w:tc>
        <w:tc>
          <w:tcPr>
            <w:tcW w:w="2600" w:type="dxa"/>
            <w:vAlign w:val="bottom"/>
            <w:gridSpan w:val="3"/>
            <w:shd w:val="clear" w:color="auto" w:fill="0066A5"/>
          </w:tcPr>
          <w:p>
            <w:pPr>
              <w:jc w:val="right"/>
              <w:spacing w:after="0"/>
              <w:rPr>
                <w:sz w:val="20"/>
                <w:szCs w:val="20"/>
                <w:color w:val="auto"/>
              </w:rPr>
            </w:pPr>
            <w:r>
              <w:rPr>
                <w:rFonts w:ascii="Arial" w:cs="Arial" w:eastAsia="Arial" w:hAnsi="Arial"/>
                <w:sz w:val="12"/>
                <w:szCs w:val="12"/>
                <w:b w:val="1"/>
                <w:bCs w:val="1"/>
                <w:color w:val="FFFFFF"/>
              </w:rPr>
              <w:t>million barrels of oil equivalent[A]</w:t>
            </w:r>
          </w:p>
        </w:tc>
      </w:tr>
      <w:tr>
        <w:trPr>
          <w:trHeight w:val="169"/>
        </w:trPr>
        <w:tc>
          <w:tcPr>
            <w:tcW w:w="4420" w:type="dxa"/>
            <w:vAlign w:val="bottom"/>
            <w:shd w:val="clear" w:color="auto" w:fill="CECAC6"/>
          </w:tcPr>
          <w:p>
            <w:pPr>
              <w:spacing w:after="0"/>
              <w:rPr>
                <w:sz w:val="14"/>
                <w:szCs w:val="14"/>
                <w:color w:val="auto"/>
              </w:rPr>
            </w:pPr>
          </w:p>
        </w:tc>
        <w:tc>
          <w:tcPr>
            <w:tcW w:w="1080" w:type="dxa"/>
            <w:vAlign w:val="bottom"/>
            <w:shd w:val="clear" w:color="auto" w:fill="CECAC6"/>
          </w:tcPr>
          <w:p>
            <w:pPr>
              <w:spacing w:after="0"/>
              <w:rPr>
                <w:sz w:val="14"/>
                <w:szCs w:val="14"/>
                <w:color w:val="auto"/>
              </w:rPr>
            </w:pPr>
          </w:p>
        </w:tc>
        <w:tc>
          <w:tcPr>
            <w:tcW w:w="860" w:type="dxa"/>
            <w:vAlign w:val="bottom"/>
            <w:shd w:val="clear" w:color="auto" w:fill="CECAC6"/>
          </w:tcPr>
          <w:p>
            <w:pPr>
              <w:spacing w:after="0"/>
              <w:rPr>
                <w:sz w:val="14"/>
                <w:szCs w:val="14"/>
                <w:color w:val="auto"/>
              </w:rPr>
            </w:pPr>
          </w:p>
        </w:tc>
        <w:tc>
          <w:tcPr>
            <w:tcW w:w="980" w:type="dxa"/>
            <w:vAlign w:val="bottom"/>
            <w:shd w:val="clear" w:color="auto" w:fill="CECAC6"/>
          </w:tcPr>
          <w:p>
            <w:pPr>
              <w:spacing w:after="0"/>
              <w:rPr>
                <w:sz w:val="14"/>
                <w:szCs w:val="14"/>
                <w:color w:val="auto"/>
              </w:rPr>
            </w:pPr>
          </w:p>
        </w:tc>
        <w:tc>
          <w:tcPr>
            <w:tcW w:w="148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Eastern Hemisphere</w:t>
            </w:r>
          </w:p>
        </w:tc>
        <w:tc>
          <w:tcPr>
            <w:tcW w:w="1920" w:type="dxa"/>
            <w:vAlign w:val="bottom"/>
            <w:gridSpan w:val="2"/>
            <w:shd w:val="clear" w:color="auto" w:fill="CECAC6"/>
          </w:tcPr>
          <w:p>
            <w:pPr>
              <w:jc w:val="right"/>
              <w:ind w:right="258"/>
              <w:spacing w:after="0"/>
              <w:rPr>
                <w:sz w:val="20"/>
                <w:szCs w:val="20"/>
                <w:color w:val="auto"/>
              </w:rPr>
            </w:pPr>
            <w:r>
              <w:rPr>
                <w:rFonts w:ascii="Arial" w:cs="Arial" w:eastAsia="Arial" w:hAnsi="Arial"/>
                <w:sz w:val="12"/>
                <w:szCs w:val="12"/>
                <w:color w:val="auto"/>
              </w:rPr>
              <w:t>Western Hemisphere</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r>
      <w:tr>
        <w:trPr>
          <w:trHeight w:val="217"/>
        </w:trPr>
        <w:tc>
          <w:tcPr>
            <w:tcW w:w="4420" w:type="dxa"/>
            <w:vAlign w:val="bottom"/>
            <w:shd w:val="clear" w:color="auto" w:fill="CECAC6"/>
          </w:tcPr>
          <w:p>
            <w:pPr>
              <w:spacing w:after="0"/>
              <w:rPr>
                <w:sz w:val="18"/>
                <w:szCs w:val="18"/>
                <w:color w:val="auto"/>
              </w:rPr>
            </w:pPr>
          </w:p>
        </w:tc>
        <w:tc>
          <w:tcPr>
            <w:tcW w:w="1080" w:type="dxa"/>
            <w:vAlign w:val="bottom"/>
            <w:shd w:val="clear" w:color="auto" w:fill="CECAC6"/>
          </w:tcPr>
          <w:p>
            <w:pPr>
              <w:spacing w:after="0"/>
              <w:rPr>
                <w:sz w:val="18"/>
                <w:szCs w:val="18"/>
                <w:color w:val="auto"/>
              </w:rPr>
            </w:pPr>
          </w:p>
        </w:tc>
        <w:tc>
          <w:tcPr>
            <w:tcW w:w="860" w:type="dxa"/>
            <w:vAlign w:val="bottom"/>
            <w:shd w:val="clear" w:color="auto" w:fill="CECAC6"/>
          </w:tcPr>
          <w:p>
            <w:pPr>
              <w:spacing w:after="0"/>
              <w:rPr>
                <w:sz w:val="18"/>
                <w:szCs w:val="18"/>
                <w:color w:val="auto"/>
              </w:rPr>
            </w:pPr>
          </w:p>
        </w:tc>
        <w:tc>
          <w:tcPr>
            <w:tcW w:w="980" w:type="dxa"/>
            <w:vAlign w:val="bottom"/>
            <w:shd w:val="clear" w:color="auto" w:fill="CECAC6"/>
          </w:tcPr>
          <w:p>
            <w:pPr>
              <w:spacing w:after="0"/>
              <w:rPr>
                <w:sz w:val="18"/>
                <w:szCs w:val="18"/>
                <w:color w:val="auto"/>
              </w:rPr>
            </w:pPr>
          </w:p>
        </w:tc>
        <w:tc>
          <w:tcPr>
            <w:tcW w:w="148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Middle East,</w:t>
            </w:r>
          </w:p>
        </w:tc>
        <w:tc>
          <w:tcPr>
            <w:tcW w:w="940" w:type="dxa"/>
            <w:vAlign w:val="bottom"/>
            <w:shd w:val="clear" w:color="auto" w:fill="CECAC6"/>
          </w:tcPr>
          <w:p>
            <w:pPr>
              <w:spacing w:after="0"/>
              <w:rPr>
                <w:sz w:val="18"/>
                <w:szCs w:val="18"/>
                <w:color w:val="auto"/>
              </w:rPr>
            </w:pPr>
          </w:p>
        </w:tc>
        <w:tc>
          <w:tcPr>
            <w:tcW w:w="980" w:type="dxa"/>
            <w:vAlign w:val="bottom"/>
            <w:shd w:val="clear" w:color="auto" w:fill="CECAC6"/>
          </w:tcPr>
          <w:p>
            <w:pPr>
              <w:spacing w:after="0"/>
              <w:rPr>
                <w:sz w:val="18"/>
                <w:szCs w:val="18"/>
                <w:color w:val="auto"/>
              </w:rPr>
            </w:pPr>
          </w:p>
        </w:tc>
        <w:tc>
          <w:tcPr>
            <w:tcW w:w="680" w:type="dxa"/>
            <w:vAlign w:val="bottom"/>
            <w:shd w:val="clear" w:color="auto" w:fill="CECAC6"/>
          </w:tcPr>
          <w:p>
            <w:pPr>
              <w:spacing w:after="0"/>
              <w:rPr>
                <w:sz w:val="18"/>
                <w:szCs w:val="18"/>
                <w:color w:val="auto"/>
              </w:rPr>
            </w:pPr>
          </w:p>
        </w:tc>
      </w:tr>
      <w:tr>
        <w:trPr>
          <w:trHeight w:val="186"/>
        </w:trPr>
        <w:tc>
          <w:tcPr>
            <w:tcW w:w="4420" w:type="dxa"/>
            <w:vAlign w:val="bottom"/>
            <w:shd w:val="clear" w:color="auto" w:fill="CECAC6"/>
          </w:tcPr>
          <w:p>
            <w:pPr>
              <w:spacing w:after="0"/>
              <w:rPr>
                <w:sz w:val="16"/>
                <w:szCs w:val="16"/>
                <w:color w:val="auto"/>
              </w:rPr>
            </w:pPr>
          </w:p>
        </w:tc>
        <w:tc>
          <w:tcPr>
            <w:tcW w:w="108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Europe</w:t>
            </w:r>
          </w:p>
        </w:tc>
        <w:tc>
          <w:tcPr>
            <w:tcW w:w="86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9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Asia Pacific</w:t>
            </w:r>
            <w:r>
              <w:rPr>
                <w:rFonts w:ascii="Arial" w:cs="Arial" w:eastAsia="Arial" w:hAnsi="Arial"/>
                <w:sz w:val="12"/>
                <w:szCs w:val="12"/>
                <w:b w:val="1"/>
                <w:bCs w:val="1"/>
                <w:color w:val="auto"/>
              </w:rPr>
              <w:t>[C]</w:t>
            </w:r>
          </w:p>
        </w:tc>
        <w:tc>
          <w:tcPr>
            <w:tcW w:w="148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[D]</w:t>
            </w:r>
          </w:p>
        </w:tc>
        <w:tc>
          <w:tcPr>
            <w:tcW w:w="940" w:type="dxa"/>
            <w:vAlign w:val="bottom"/>
            <w:shd w:val="clear" w:color="auto" w:fill="CECAC6"/>
          </w:tcPr>
          <w:p>
            <w:pPr>
              <w:jc w:val="right"/>
              <w:ind w:right="298"/>
              <w:spacing w:after="0"/>
              <w:rPr>
                <w:sz w:val="20"/>
                <w:szCs w:val="20"/>
                <w:color w:val="auto"/>
              </w:rPr>
            </w:pPr>
            <w:r>
              <w:rPr>
                <w:rFonts w:ascii="Arial" w:cs="Arial" w:eastAsia="Arial" w:hAnsi="Arial"/>
                <w:sz w:val="12"/>
                <w:szCs w:val="12"/>
                <w:color w:val="auto"/>
              </w:rPr>
              <w:t>USA</w:t>
            </w:r>
          </w:p>
        </w:tc>
        <w:tc>
          <w:tcPr>
            <w:tcW w:w="98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Other</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r>
      <w:tr>
        <w:trPr>
          <w:trHeight w:val="169"/>
        </w:trPr>
        <w:tc>
          <w:tcPr>
            <w:tcW w:w="4420" w:type="dxa"/>
            <w:vAlign w:val="bottom"/>
          </w:tcPr>
          <w:p>
            <w:pPr>
              <w:spacing w:after="0"/>
              <w:rPr>
                <w:sz w:val="20"/>
                <w:szCs w:val="20"/>
                <w:color w:val="auto"/>
              </w:rPr>
            </w:pPr>
            <w:r>
              <w:rPr>
                <w:rFonts w:ascii="Arial" w:cs="Arial" w:eastAsia="Arial" w:hAnsi="Arial"/>
                <w:sz w:val="12"/>
                <w:szCs w:val="12"/>
                <w:color w:val="auto"/>
              </w:rPr>
              <w:t>Proved developed and undeveloped reserves</w:t>
            </w: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2"/>
                <w:szCs w:val="12"/>
                <w:color w:val="auto"/>
              </w:rPr>
              <w:t>Shell subsidiaries</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2"/>
                <w:szCs w:val="12"/>
                <w:color w:val="auto"/>
              </w:rPr>
              <w:t>At January 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1,565</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1,135</w:t>
            </w:r>
          </w:p>
        </w:tc>
        <w:tc>
          <w:tcPr>
            <w:tcW w:w="980" w:type="dxa"/>
            <w:vAlign w:val="bottom"/>
          </w:tcPr>
          <w:p>
            <w:pPr>
              <w:jc w:val="right"/>
              <w:spacing w:after="0"/>
              <w:rPr>
                <w:sz w:val="20"/>
                <w:szCs w:val="20"/>
                <w:color w:val="auto"/>
              </w:rPr>
            </w:pPr>
            <w:r>
              <w:rPr>
                <w:rFonts w:ascii="Arial" w:cs="Arial" w:eastAsia="Arial" w:hAnsi="Arial"/>
                <w:sz w:val="12"/>
                <w:szCs w:val="12"/>
                <w:color w:val="auto"/>
              </w:rPr>
              <w:t>1,102</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3,424</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851</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375</w:t>
            </w:r>
          </w:p>
        </w:tc>
        <w:tc>
          <w:tcPr>
            <w:tcW w:w="680" w:type="dxa"/>
            <w:vAlign w:val="bottom"/>
          </w:tcPr>
          <w:p>
            <w:pPr>
              <w:jc w:val="right"/>
              <w:spacing w:after="0"/>
              <w:rPr>
                <w:sz w:val="20"/>
                <w:szCs w:val="20"/>
                <w:color w:val="auto"/>
              </w:rPr>
            </w:pPr>
            <w:r>
              <w:rPr>
                <w:rFonts w:ascii="Arial" w:cs="Arial" w:eastAsia="Arial" w:hAnsi="Arial"/>
                <w:sz w:val="12"/>
                <w:szCs w:val="12"/>
                <w:color w:val="auto"/>
              </w:rPr>
              <w:t>8,452</w:t>
            </w:r>
          </w:p>
        </w:tc>
      </w:tr>
      <w:tr>
        <w:trPr>
          <w:trHeight w:val="186"/>
        </w:trPr>
        <w:tc>
          <w:tcPr>
            <w:tcW w:w="4420" w:type="dxa"/>
            <w:vAlign w:val="bottom"/>
          </w:tcPr>
          <w:p>
            <w:pPr>
              <w:spacing w:after="0"/>
              <w:rPr>
                <w:sz w:val="20"/>
                <w:szCs w:val="20"/>
                <w:color w:val="auto"/>
              </w:rPr>
            </w:pPr>
            <w:r>
              <w:rPr>
                <w:rFonts w:ascii="Arial" w:cs="Arial" w:eastAsia="Arial" w:hAnsi="Arial"/>
                <w:sz w:val="12"/>
                <w:szCs w:val="12"/>
                <w:color w:val="auto"/>
              </w:rPr>
              <w:t>At December 31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1,460</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841</w:t>
            </w:r>
          </w:p>
        </w:tc>
        <w:tc>
          <w:tcPr>
            <w:tcW w:w="980" w:type="dxa"/>
            <w:vAlign w:val="bottom"/>
          </w:tcPr>
          <w:p>
            <w:pPr>
              <w:jc w:val="right"/>
              <w:spacing w:after="0"/>
              <w:rPr>
                <w:sz w:val="20"/>
                <w:szCs w:val="20"/>
                <w:color w:val="auto"/>
              </w:rPr>
            </w:pPr>
            <w:r>
              <w:rPr>
                <w:rFonts w:ascii="Arial" w:cs="Arial" w:eastAsia="Arial" w:hAnsi="Arial"/>
                <w:sz w:val="12"/>
                <w:szCs w:val="12"/>
                <w:color w:val="auto"/>
              </w:rPr>
              <w:t>1,064</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2,176</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801</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344</w:t>
            </w:r>
          </w:p>
        </w:tc>
        <w:tc>
          <w:tcPr>
            <w:tcW w:w="680" w:type="dxa"/>
            <w:vAlign w:val="bottom"/>
          </w:tcPr>
          <w:p>
            <w:pPr>
              <w:jc w:val="right"/>
              <w:spacing w:after="0"/>
              <w:rPr>
                <w:sz w:val="20"/>
                <w:szCs w:val="20"/>
                <w:color w:val="auto"/>
              </w:rPr>
            </w:pPr>
            <w:r>
              <w:rPr>
                <w:rFonts w:ascii="Arial" w:cs="Arial" w:eastAsia="Arial" w:hAnsi="Arial"/>
                <w:sz w:val="12"/>
                <w:szCs w:val="12"/>
                <w:color w:val="auto"/>
              </w:rPr>
              <w:t>6,686</w:t>
            </w:r>
          </w:p>
        </w:tc>
      </w:tr>
      <w:tr>
        <w:trPr>
          <w:trHeight w:val="160"/>
        </w:trPr>
        <w:tc>
          <w:tcPr>
            <w:tcW w:w="4420" w:type="dxa"/>
            <w:vAlign w:val="bottom"/>
          </w:tcPr>
          <w:p>
            <w:pPr>
              <w:spacing w:after="0"/>
              <w:rPr>
                <w:sz w:val="20"/>
                <w:szCs w:val="20"/>
                <w:color w:val="auto"/>
              </w:rPr>
            </w:pPr>
            <w:r>
              <w:rPr>
                <w:rFonts w:ascii="Arial" w:cs="Arial" w:eastAsia="Arial" w:hAnsi="Arial"/>
                <w:sz w:val="12"/>
                <w:szCs w:val="12"/>
                <w:color w:val="auto"/>
              </w:rPr>
              <w:t>Shell share of equity-accounted investments</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2"/>
                <w:szCs w:val="12"/>
                <w:color w:val="auto"/>
              </w:rPr>
              <w:t>At January 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2,064</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558</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387</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313</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33</w:t>
            </w:r>
          </w:p>
        </w:tc>
        <w:tc>
          <w:tcPr>
            <w:tcW w:w="680" w:type="dxa"/>
            <w:vAlign w:val="bottom"/>
          </w:tcPr>
          <w:p>
            <w:pPr>
              <w:jc w:val="right"/>
              <w:spacing w:after="0"/>
              <w:rPr>
                <w:sz w:val="20"/>
                <w:szCs w:val="20"/>
                <w:color w:val="auto"/>
              </w:rPr>
            </w:pPr>
            <w:r>
              <w:rPr>
                <w:rFonts w:ascii="Arial" w:cs="Arial" w:eastAsia="Arial" w:hAnsi="Arial"/>
                <w:sz w:val="12"/>
                <w:szCs w:val="12"/>
                <w:color w:val="auto"/>
              </w:rPr>
              <w:t>3,355</w:t>
            </w:r>
          </w:p>
        </w:tc>
      </w:tr>
      <w:tr>
        <w:trPr>
          <w:trHeight w:val="177"/>
        </w:trPr>
        <w:tc>
          <w:tcPr>
            <w:tcW w:w="4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w:t>
            </w: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2,022</w:t>
            </w: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w:t>
            </w:r>
          </w:p>
        </w:tc>
        <w:tc>
          <w:tcPr>
            <w:tcW w:w="14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1,247</w:t>
            </w: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299</w:t>
            </w: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4,140</w:t>
            </w:r>
          </w:p>
        </w:tc>
      </w:tr>
      <w:tr>
        <w:trPr>
          <w:trHeight w:val="176"/>
        </w:trPr>
        <w:tc>
          <w:tcPr>
            <w:tcW w:w="4420" w:type="dxa"/>
            <w:vAlign w:val="bottom"/>
          </w:tcPr>
          <w:p>
            <w:pPr>
              <w:spacing w:after="0"/>
              <w:rPr>
                <w:sz w:val="20"/>
                <w:szCs w:val="20"/>
                <w:color w:val="auto"/>
              </w:rPr>
            </w:pPr>
            <w:r>
              <w:rPr>
                <w:rFonts w:ascii="Arial" w:cs="Arial" w:eastAsia="Arial" w:hAnsi="Arial"/>
                <w:sz w:val="12"/>
                <w:szCs w:val="12"/>
                <w:color w:val="auto"/>
              </w:rPr>
              <w:t>Proved developed reserves</w:t>
            </w: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6"/>
        </w:trPr>
        <w:tc>
          <w:tcPr>
            <w:tcW w:w="4420" w:type="dxa"/>
            <w:vAlign w:val="bottom"/>
          </w:tcPr>
          <w:p>
            <w:pPr>
              <w:spacing w:after="0"/>
              <w:rPr>
                <w:sz w:val="20"/>
                <w:szCs w:val="20"/>
                <w:color w:val="auto"/>
              </w:rPr>
            </w:pPr>
            <w:r>
              <w:rPr>
                <w:rFonts w:ascii="Arial" w:cs="Arial" w:eastAsia="Arial" w:hAnsi="Arial"/>
                <w:sz w:val="12"/>
                <w:szCs w:val="12"/>
                <w:color w:val="auto"/>
              </w:rPr>
              <w:t>Shell subsidiaries</w:t>
            </w: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2"/>
                <w:szCs w:val="12"/>
                <w:color w:val="auto"/>
              </w:rPr>
              <w:t>At January 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1,089</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478</w:t>
            </w:r>
          </w:p>
        </w:tc>
        <w:tc>
          <w:tcPr>
            <w:tcW w:w="980" w:type="dxa"/>
            <w:vAlign w:val="bottom"/>
          </w:tcPr>
          <w:p>
            <w:pPr>
              <w:jc w:val="right"/>
              <w:spacing w:after="0"/>
              <w:rPr>
                <w:sz w:val="20"/>
                <w:szCs w:val="20"/>
                <w:color w:val="auto"/>
              </w:rPr>
            </w:pPr>
            <w:r>
              <w:rPr>
                <w:rFonts w:ascii="Arial" w:cs="Arial" w:eastAsia="Arial" w:hAnsi="Arial"/>
                <w:sz w:val="12"/>
                <w:szCs w:val="12"/>
                <w:color w:val="auto"/>
              </w:rPr>
              <w:t>482</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409</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463</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238</w:t>
            </w:r>
          </w:p>
        </w:tc>
        <w:tc>
          <w:tcPr>
            <w:tcW w:w="680" w:type="dxa"/>
            <w:vAlign w:val="bottom"/>
          </w:tcPr>
          <w:p>
            <w:pPr>
              <w:jc w:val="right"/>
              <w:spacing w:after="0"/>
              <w:rPr>
                <w:sz w:val="20"/>
                <w:szCs w:val="20"/>
                <w:color w:val="auto"/>
              </w:rPr>
            </w:pPr>
            <w:r>
              <w:rPr>
                <w:rFonts w:ascii="Arial" w:cs="Arial" w:eastAsia="Arial" w:hAnsi="Arial"/>
                <w:sz w:val="12"/>
                <w:szCs w:val="12"/>
                <w:color w:val="auto"/>
              </w:rPr>
              <w:t>3,159</w:t>
            </w:r>
          </w:p>
        </w:tc>
      </w:tr>
      <w:tr>
        <w:trPr>
          <w:trHeight w:val="186"/>
        </w:trPr>
        <w:tc>
          <w:tcPr>
            <w:tcW w:w="4420" w:type="dxa"/>
            <w:vAlign w:val="bottom"/>
          </w:tcPr>
          <w:p>
            <w:pPr>
              <w:spacing w:after="0"/>
              <w:rPr>
                <w:sz w:val="20"/>
                <w:szCs w:val="20"/>
                <w:color w:val="auto"/>
              </w:rPr>
            </w:pPr>
            <w:r>
              <w:rPr>
                <w:rFonts w:ascii="Arial" w:cs="Arial" w:eastAsia="Arial" w:hAnsi="Arial"/>
                <w:sz w:val="12"/>
                <w:szCs w:val="12"/>
                <w:color w:val="auto"/>
              </w:rPr>
              <w:t>At December 31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1,019</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456</w:t>
            </w:r>
          </w:p>
        </w:tc>
        <w:tc>
          <w:tcPr>
            <w:tcW w:w="980" w:type="dxa"/>
            <w:vAlign w:val="bottom"/>
          </w:tcPr>
          <w:p>
            <w:pPr>
              <w:jc w:val="right"/>
              <w:spacing w:after="0"/>
              <w:rPr>
                <w:sz w:val="20"/>
                <w:szCs w:val="20"/>
                <w:color w:val="auto"/>
              </w:rPr>
            </w:pPr>
            <w:r>
              <w:rPr>
                <w:rFonts w:ascii="Arial" w:cs="Arial" w:eastAsia="Arial" w:hAnsi="Arial"/>
                <w:sz w:val="12"/>
                <w:szCs w:val="12"/>
                <w:color w:val="auto"/>
              </w:rPr>
              <w:t>477</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303</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413</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229</w:t>
            </w:r>
          </w:p>
        </w:tc>
        <w:tc>
          <w:tcPr>
            <w:tcW w:w="680" w:type="dxa"/>
            <w:vAlign w:val="bottom"/>
          </w:tcPr>
          <w:p>
            <w:pPr>
              <w:jc w:val="right"/>
              <w:spacing w:after="0"/>
              <w:rPr>
                <w:sz w:val="20"/>
                <w:szCs w:val="20"/>
                <w:color w:val="auto"/>
              </w:rPr>
            </w:pPr>
            <w:r>
              <w:rPr>
                <w:rFonts w:ascii="Arial" w:cs="Arial" w:eastAsia="Arial" w:hAnsi="Arial"/>
                <w:sz w:val="12"/>
                <w:szCs w:val="12"/>
                <w:color w:val="auto"/>
              </w:rPr>
              <w:t>2,897</w:t>
            </w:r>
          </w:p>
        </w:tc>
      </w:tr>
      <w:tr>
        <w:trPr>
          <w:trHeight w:val="160"/>
        </w:trPr>
        <w:tc>
          <w:tcPr>
            <w:tcW w:w="4420" w:type="dxa"/>
            <w:vAlign w:val="bottom"/>
          </w:tcPr>
          <w:p>
            <w:pPr>
              <w:spacing w:after="0"/>
              <w:rPr>
                <w:sz w:val="20"/>
                <w:szCs w:val="20"/>
                <w:color w:val="auto"/>
              </w:rPr>
            </w:pPr>
            <w:r>
              <w:rPr>
                <w:rFonts w:ascii="Arial" w:cs="Arial" w:eastAsia="Arial" w:hAnsi="Arial"/>
                <w:sz w:val="12"/>
                <w:szCs w:val="12"/>
                <w:color w:val="auto"/>
              </w:rPr>
              <w:t>Shell share of equity-accounted investments</w:t>
            </w: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13"/>
        </w:trPr>
        <w:tc>
          <w:tcPr>
            <w:tcW w:w="4420" w:type="dxa"/>
            <w:vAlign w:val="bottom"/>
          </w:tcPr>
          <w:p>
            <w:pPr>
              <w:spacing w:after="0"/>
              <w:rPr>
                <w:sz w:val="20"/>
                <w:szCs w:val="20"/>
                <w:color w:val="auto"/>
              </w:rPr>
            </w:pPr>
            <w:r>
              <w:rPr>
                <w:rFonts w:ascii="Arial" w:cs="Arial" w:eastAsia="Arial" w:hAnsi="Arial"/>
                <w:sz w:val="12"/>
                <w:szCs w:val="12"/>
                <w:color w:val="auto"/>
              </w:rPr>
              <w:t>At January 1</w:t>
            </w:r>
          </w:p>
        </w:tc>
        <w:tc>
          <w:tcPr>
            <w:tcW w:w="1080" w:type="dxa"/>
            <w:vAlign w:val="bottom"/>
          </w:tcPr>
          <w:p>
            <w:pPr>
              <w:jc w:val="right"/>
              <w:ind w:right="138"/>
              <w:spacing w:after="0"/>
              <w:rPr>
                <w:sz w:val="20"/>
                <w:szCs w:val="20"/>
                <w:color w:val="auto"/>
              </w:rPr>
            </w:pPr>
            <w:r>
              <w:rPr>
                <w:rFonts w:ascii="Arial" w:cs="Arial" w:eastAsia="Arial" w:hAnsi="Arial"/>
                <w:sz w:val="12"/>
                <w:szCs w:val="12"/>
                <w:color w:val="auto"/>
              </w:rPr>
              <w:t>1,705</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349</w:t>
            </w:r>
          </w:p>
        </w:tc>
        <w:tc>
          <w:tcPr>
            <w:tcW w:w="1480" w:type="dxa"/>
            <w:vAlign w:val="bottom"/>
          </w:tcPr>
          <w:p>
            <w:pPr>
              <w:jc w:val="right"/>
              <w:ind w:right="258"/>
              <w:spacing w:after="0"/>
              <w:rPr>
                <w:sz w:val="20"/>
                <w:szCs w:val="20"/>
                <w:color w:val="auto"/>
              </w:rPr>
            </w:pPr>
            <w:r>
              <w:rPr>
                <w:rFonts w:ascii="Arial" w:cs="Arial" w:eastAsia="Arial" w:hAnsi="Arial"/>
                <w:sz w:val="12"/>
                <w:szCs w:val="12"/>
                <w:color w:val="auto"/>
              </w:rPr>
              <w:t>350</w:t>
            </w:r>
          </w:p>
        </w:tc>
        <w:tc>
          <w:tcPr>
            <w:tcW w:w="940" w:type="dxa"/>
            <w:vAlign w:val="bottom"/>
          </w:tcPr>
          <w:p>
            <w:pPr>
              <w:jc w:val="right"/>
              <w:ind w:right="298"/>
              <w:spacing w:after="0"/>
              <w:rPr>
                <w:sz w:val="20"/>
                <w:szCs w:val="20"/>
                <w:color w:val="auto"/>
              </w:rPr>
            </w:pPr>
            <w:r>
              <w:rPr>
                <w:rFonts w:ascii="Arial" w:cs="Arial" w:eastAsia="Arial" w:hAnsi="Arial"/>
                <w:sz w:val="12"/>
                <w:szCs w:val="12"/>
                <w:color w:val="auto"/>
              </w:rPr>
              <w:t>257</w:t>
            </w:r>
          </w:p>
        </w:tc>
        <w:tc>
          <w:tcPr>
            <w:tcW w:w="980" w:type="dxa"/>
            <w:vAlign w:val="bottom"/>
          </w:tcPr>
          <w:p>
            <w:pPr>
              <w:jc w:val="right"/>
              <w:ind w:right="258"/>
              <w:spacing w:after="0"/>
              <w:rPr>
                <w:sz w:val="20"/>
                <w:szCs w:val="20"/>
                <w:color w:val="auto"/>
              </w:rPr>
            </w:pPr>
            <w:r>
              <w:rPr>
                <w:rFonts w:ascii="Arial" w:cs="Arial" w:eastAsia="Arial" w:hAnsi="Arial"/>
                <w:sz w:val="12"/>
                <w:szCs w:val="12"/>
                <w:color w:val="auto"/>
              </w:rPr>
              <w:t>24</w:t>
            </w:r>
          </w:p>
        </w:tc>
        <w:tc>
          <w:tcPr>
            <w:tcW w:w="680" w:type="dxa"/>
            <w:vAlign w:val="bottom"/>
          </w:tcPr>
          <w:p>
            <w:pPr>
              <w:jc w:val="right"/>
              <w:spacing w:after="0"/>
              <w:rPr>
                <w:sz w:val="20"/>
                <w:szCs w:val="20"/>
                <w:color w:val="auto"/>
              </w:rPr>
            </w:pPr>
            <w:r>
              <w:rPr>
                <w:rFonts w:ascii="Arial" w:cs="Arial" w:eastAsia="Arial" w:hAnsi="Arial"/>
                <w:sz w:val="12"/>
                <w:szCs w:val="12"/>
                <w:color w:val="auto"/>
              </w:rPr>
              <w:t>2,685</w:t>
            </w:r>
          </w:p>
        </w:tc>
      </w:tr>
      <w:tr>
        <w:trPr>
          <w:trHeight w:val="184"/>
        </w:trPr>
        <w:tc>
          <w:tcPr>
            <w:tcW w:w="4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w:t>
            </w:r>
          </w:p>
        </w:tc>
        <w:tc>
          <w:tcPr>
            <w:tcW w:w="10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1,653</w:t>
            </w:r>
          </w:p>
        </w:tc>
        <w:tc>
          <w:tcPr>
            <w:tcW w:w="8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w:t>
            </w:r>
          </w:p>
        </w:tc>
        <w:tc>
          <w:tcPr>
            <w:tcW w:w="14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343</w:t>
            </w:r>
          </w:p>
        </w:tc>
        <w:tc>
          <w:tcPr>
            <w:tcW w:w="9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239</w:t>
            </w:r>
          </w:p>
        </w:tc>
        <w:tc>
          <w:tcPr>
            <w:tcW w:w="9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2947670</wp:posOffset>
            </wp:positionH>
            <wp:positionV relativeFrom="paragraph">
              <wp:posOffset>-2054860</wp:posOffset>
            </wp:positionV>
            <wp:extent cx="4305300" cy="3638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05300" cy="363855"/>
                    </a:xfrm>
                    <a:prstGeom prst="rect">
                      <a:avLst/>
                    </a:prstGeom>
                    <a:noFill/>
                  </pic:spPr>
                </pic:pic>
              </a:graphicData>
            </a:graphic>
          </wp:anchor>
        </w:drawing>
      </w:r>
    </w:p>
    <w:p>
      <w:pPr>
        <w:ind w:left="280" w:hanging="273"/>
        <w:spacing w:after="0"/>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For this purpose natural gas has been converted to barrels of oil equivalent using a factor of 5,800 standard cubic feet per barrel.</w:t>
      </w:r>
    </w:p>
    <w:p>
      <w:pPr>
        <w:ind w:left="280" w:hanging="273"/>
        <w:spacing w:after="0" w:line="231" w:lineRule="auto"/>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Excludes Egypt.</w:t>
      </w:r>
    </w:p>
    <w:p>
      <w:pPr>
        <w:ind w:left="280" w:hanging="273"/>
        <w:spacing w:after="0" w:line="231" w:lineRule="auto"/>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Excludes Sakhalin.</w:t>
      </w:r>
    </w:p>
    <w:p>
      <w:pPr>
        <w:ind w:left="280" w:hanging="273"/>
        <w:spacing w:after="0"/>
        <w:tabs>
          <w:tab w:leader="none" w:pos="2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Includes Caspian region, Egypt and Sakhalin.</w:t>
      </w:r>
    </w:p>
    <w:p>
      <w:pPr>
        <w:spacing w:after="0" w:line="213" w:lineRule="exact"/>
        <w:rPr>
          <w:sz w:val="20"/>
          <w:szCs w:val="20"/>
          <w:color w:val="auto"/>
        </w:rPr>
      </w:pPr>
    </w:p>
    <w:p>
      <w:pPr>
        <w:ind w:left="280" w:hanging="273"/>
        <w:spacing w:after="0"/>
        <w:tabs>
          <w:tab w:leader="none" w:pos="280"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shd w:val="clear" w:color="auto" w:fill="005696"/>
          </w:tcPr>
          <w:p>
            <w:pPr>
              <w:ind w:left="40"/>
              <w:spacing w:after="0"/>
              <w:rPr>
                <w:sz w:val="20"/>
                <w:szCs w:val="20"/>
                <w:color w:val="auto"/>
              </w:rPr>
            </w:pPr>
            <w:r>
              <w:rPr>
                <w:rFonts w:ascii="Arial" w:cs="Arial" w:eastAsia="Arial" w:hAnsi="Arial"/>
                <w:sz w:val="12"/>
                <w:szCs w:val="12"/>
                <w:b w:val="1"/>
                <w:bCs w:val="1"/>
                <w:color w:val="FFFFFF"/>
              </w:rPr>
              <w:t>CAPITAL EXPENDITURE AND EXPLORATION EXPENSE OF SHELL SUBSIDIARIES BY GEOGRAPHICAL AREA[A]</w:t>
            </w:r>
          </w:p>
        </w:tc>
        <w:tc>
          <w:tcPr>
            <w:tcW w:w="760" w:type="dxa"/>
            <w:vAlign w:val="bottom"/>
            <w:shd w:val="clear" w:color="auto" w:fill="005696"/>
          </w:tcPr>
          <w:p>
            <w:pPr>
              <w:spacing w:after="0"/>
              <w:rPr>
                <w:sz w:val="16"/>
                <w:szCs w:val="16"/>
                <w:color w:val="auto"/>
              </w:rPr>
            </w:pPr>
          </w:p>
        </w:tc>
        <w:tc>
          <w:tcPr>
            <w:tcW w:w="1560" w:type="dxa"/>
            <w:vAlign w:val="bottom"/>
            <w:shd w:val="clear" w:color="auto" w:fill="005696"/>
          </w:tcPr>
          <w:p>
            <w:pPr>
              <w:spacing w:after="0"/>
              <w:rPr>
                <w:sz w:val="16"/>
                <w:szCs w:val="16"/>
                <w:color w:val="auto"/>
              </w:rPr>
            </w:pPr>
          </w:p>
        </w:tc>
        <w:tc>
          <w:tcPr>
            <w:tcW w:w="980" w:type="dxa"/>
            <w:vAlign w:val="bottom"/>
            <w:shd w:val="clear" w:color="auto" w:fill="005696"/>
          </w:tcPr>
          <w:p>
            <w:pPr>
              <w:jc w:val="right"/>
              <w:ind w:right="3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420" w:type="dxa"/>
            <w:vAlign w:val="bottom"/>
            <w:shd w:val="clear" w:color="auto" w:fill="CECAC6"/>
          </w:tcPr>
          <w:p>
            <w:pPr>
              <w:spacing w:after="0"/>
              <w:rPr>
                <w:sz w:val="11"/>
                <w:szCs w:val="11"/>
                <w:color w:val="auto"/>
              </w:rPr>
            </w:pPr>
          </w:p>
        </w:tc>
        <w:tc>
          <w:tcPr>
            <w:tcW w:w="76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560" w:type="dxa"/>
            <w:vAlign w:val="bottom"/>
            <w:shd w:val="clear" w:color="auto" w:fill="CECAC6"/>
          </w:tcPr>
          <w:p>
            <w:pPr>
              <w:jc w:val="right"/>
              <w:ind w:right="338"/>
              <w:spacing w:after="0" w:line="133" w:lineRule="exact"/>
              <w:rPr>
                <w:sz w:val="20"/>
                <w:szCs w:val="20"/>
                <w:color w:val="auto"/>
              </w:rPr>
            </w:pPr>
            <w:r>
              <w:rPr>
                <w:rFonts w:ascii="Arial" w:cs="Arial" w:eastAsia="Arial" w:hAnsi="Arial"/>
                <w:sz w:val="12"/>
                <w:szCs w:val="12"/>
                <w:color w:val="auto"/>
              </w:rPr>
              <w:t>2006</w:t>
            </w:r>
          </w:p>
        </w:tc>
        <w:tc>
          <w:tcPr>
            <w:tcW w:w="9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213"/>
        </w:trPr>
        <w:tc>
          <w:tcPr>
            <w:tcW w:w="7420" w:type="dxa"/>
            <w:vAlign w:val="bottom"/>
          </w:tcPr>
          <w:p>
            <w:pPr>
              <w:ind w:left="20"/>
              <w:spacing w:after="0"/>
              <w:rPr>
                <w:sz w:val="20"/>
                <w:szCs w:val="20"/>
                <w:color w:val="auto"/>
              </w:rPr>
            </w:pPr>
            <w:r>
              <w:rPr>
                <w:rFonts w:ascii="Arial" w:cs="Arial" w:eastAsia="Arial" w:hAnsi="Arial"/>
                <w:sz w:val="12"/>
                <w:szCs w:val="12"/>
                <w:color w:val="auto"/>
              </w:rPr>
              <w:t>Europe</w:t>
            </w:r>
          </w:p>
        </w:tc>
        <w:tc>
          <w:tcPr>
            <w:tcW w:w="760" w:type="dxa"/>
            <w:vAlign w:val="bottom"/>
            <w:shd w:val="clear" w:color="auto" w:fill="E4E3E1"/>
          </w:tcPr>
          <w:p>
            <w:pPr>
              <w:ind w:left="340"/>
              <w:spacing w:after="0"/>
              <w:rPr>
                <w:sz w:val="20"/>
                <w:szCs w:val="20"/>
                <w:color w:val="auto"/>
              </w:rPr>
            </w:pPr>
            <w:r>
              <w:rPr>
                <w:rFonts w:ascii="Arial" w:cs="Arial" w:eastAsia="Arial" w:hAnsi="Arial"/>
                <w:sz w:val="12"/>
                <w:szCs w:val="12"/>
                <w:color w:val="auto"/>
              </w:rPr>
              <w:t>2,767</w:t>
            </w:r>
          </w:p>
        </w:tc>
        <w:tc>
          <w:tcPr>
            <w:tcW w:w="1560" w:type="dxa"/>
            <w:vAlign w:val="bottom"/>
          </w:tcPr>
          <w:p>
            <w:pPr>
              <w:jc w:val="right"/>
              <w:ind w:right="338"/>
              <w:spacing w:after="0"/>
              <w:rPr>
                <w:sz w:val="20"/>
                <w:szCs w:val="20"/>
                <w:color w:val="auto"/>
              </w:rPr>
            </w:pPr>
            <w:r>
              <w:rPr>
                <w:rFonts w:ascii="Arial" w:cs="Arial" w:eastAsia="Arial" w:hAnsi="Arial"/>
                <w:sz w:val="12"/>
                <w:szCs w:val="12"/>
                <w:color w:val="auto"/>
              </w:rPr>
              <w:t>2,684</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1,991</w:t>
            </w:r>
          </w:p>
        </w:tc>
      </w:tr>
      <w:tr>
        <w:trPr>
          <w:trHeight w:val="186"/>
        </w:trPr>
        <w:tc>
          <w:tcPr>
            <w:tcW w:w="7420" w:type="dxa"/>
            <w:vAlign w:val="bottom"/>
          </w:tcPr>
          <w:p>
            <w:pPr>
              <w:ind w:left="20"/>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760" w:type="dxa"/>
            <w:vAlign w:val="bottom"/>
            <w:shd w:val="clear" w:color="auto" w:fill="E4E3E1"/>
          </w:tcPr>
          <w:p>
            <w:pPr>
              <w:ind w:left="340"/>
              <w:spacing w:after="0"/>
              <w:rPr>
                <w:sz w:val="20"/>
                <w:szCs w:val="20"/>
                <w:color w:val="auto"/>
              </w:rPr>
            </w:pPr>
            <w:r>
              <w:rPr>
                <w:rFonts w:ascii="Arial" w:cs="Arial" w:eastAsia="Arial" w:hAnsi="Arial"/>
                <w:sz w:val="12"/>
                <w:szCs w:val="12"/>
                <w:color w:val="auto"/>
              </w:rPr>
              <w:t>1,895</w:t>
            </w:r>
          </w:p>
        </w:tc>
        <w:tc>
          <w:tcPr>
            <w:tcW w:w="1560" w:type="dxa"/>
            <w:vAlign w:val="bottom"/>
          </w:tcPr>
          <w:p>
            <w:pPr>
              <w:jc w:val="right"/>
              <w:ind w:right="338"/>
              <w:spacing w:after="0"/>
              <w:rPr>
                <w:sz w:val="20"/>
                <w:szCs w:val="20"/>
                <w:color w:val="auto"/>
              </w:rPr>
            </w:pPr>
            <w:r>
              <w:rPr>
                <w:rFonts w:ascii="Arial" w:cs="Arial" w:eastAsia="Arial" w:hAnsi="Arial"/>
                <w:sz w:val="12"/>
                <w:szCs w:val="12"/>
                <w:color w:val="auto"/>
              </w:rPr>
              <w:t>1,840</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1,937</w:t>
            </w:r>
          </w:p>
        </w:tc>
      </w:tr>
      <w:tr>
        <w:trPr>
          <w:trHeight w:val="193"/>
        </w:trPr>
        <w:tc>
          <w:tcPr>
            <w:tcW w:w="7420" w:type="dxa"/>
            <w:vAlign w:val="bottom"/>
          </w:tcPr>
          <w:p>
            <w:pPr>
              <w:ind w:left="20"/>
              <w:spacing w:after="0"/>
              <w:rPr>
                <w:sz w:val="20"/>
                <w:szCs w:val="20"/>
                <w:color w:val="auto"/>
              </w:rPr>
            </w:pPr>
            <w:r>
              <w:rPr>
                <w:rFonts w:ascii="Arial" w:cs="Arial" w:eastAsia="Arial" w:hAnsi="Arial"/>
                <w:sz w:val="12"/>
                <w:szCs w:val="12"/>
                <w:color w:val="auto"/>
              </w:rPr>
              <w:t>Asia Pacific</w:t>
            </w:r>
            <w:r>
              <w:rPr>
                <w:rFonts w:ascii="Arial" w:cs="Arial" w:eastAsia="Arial" w:hAnsi="Arial"/>
                <w:sz w:val="12"/>
                <w:szCs w:val="12"/>
                <w:b w:val="1"/>
                <w:bCs w:val="1"/>
                <w:color w:val="auto"/>
              </w:rPr>
              <w:t>[C]</w:t>
            </w:r>
          </w:p>
        </w:tc>
        <w:tc>
          <w:tcPr>
            <w:tcW w:w="760" w:type="dxa"/>
            <w:vAlign w:val="bottom"/>
            <w:shd w:val="clear" w:color="auto" w:fill="E4E3E1"/>
          </w:tcPr>
          <w:p>
            <w:pPr>
              <w:ind w:left="340"/>
              <w:spacing w:after="0"/>
              <w:rPr>
                <w:sz w:val="20"/>
                <w:szCs w:val="20"/>
                <w:color w:val="auto"/>
              </w:rPr>
            </w:pPr>
            <w:r>
              <w:rPr>
                <w:rFonts w:ascii="Arial" w:cs="Arial" w:eastAsia="Arial" w:hAnsi="Arial"/>
                <w:sz w:val="12"/>
                <w:szCs w:val="12"/>
                <w:color w:val="auto"/>
              </w:rPr>
              <w:t>1,326</w:t>
            </w:r>
          </w:p>
        </w:tc>
        <w:tc>
          <w:tcPr>
            <w:tcW w:w="1560" w:type="dxa"/>
            <w:vAlign w:val="bottom"/>
          </w:tcPr>
          <w:p>
            <w:pPr>
              <w:jc w:val="right"/>
              <w:ind w:right="338"/>
              <w:spacing w:after="0"/>
              <w:rPr>
                <w:sz w:val="20"/>
                <w:szCs w:val="20"/>
                <w:color w:val="auto"/>
              </w:rPr>
            </w:pPr>
            <w:r>
              <w:rPr>
                <w:rFonts w:ascii="Arial" w:cs="Arial" w:eastAsia="Arial" w:hAnsi="Arial"/>
                <w:sz w:val="12"/>
                <w:szCs w:val="12"/>
                <w:color w:val="auto"/>
              </w:rPr>
              <w:t>1,264</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1,067</w:t>
            </w:r>
          </w:p>
        </w:tc>
      </w:tr>
      <w:tr>
        <w:trPr>
          <w:trHeight w:val="189"/>
        </w:trPr>
        <w:tc>
          <w:tcPr>
            <w:tcW w:w="7420" w:type="dxa"/>
            <w:vAlign w:val="bottom"/>
          </w:tcPr>
          <w:p>
            <w:pPr>
              <w:ind w:left="20"/>
              <w:spacing w:after="0"/>
              <w:rPr>
                <w:sz w:val="20"/>
                <w:szCs w:val="20"/>
                <w:color w:val="auto"/>
              </w:rPr>
            </w:pPr>
            <w:r>
              <w:rPr>
                <w:rFonts w:ascii="Arial" w:cs="Arial" w:eastAsia="Arial" w:hAnsi="Arial"/>
                <w:sz w:val="12"/>
                <w:szCs w:val="12"/>
                <w:color w:val="auto"/>
              </w:rPr>
              <w:t>Middle East, Russia, CIS</w:t>
            </w:r>
            <w:r>
              <w:rPr>
                <w:rFonts w:ascii="Arial" w:cs="Arial" w:eastAsia="Arial" w:hAnsi="Arial"/>
                <w:sz w:val="12"/>
                <w:szCs w:val="12"/>
                <w:b w:val="1"/>
                <w:bCs w:val="1"/>
                <w:color w:val="auto"/>
              </w:rPr>
              <w:t>[D]</w:t>
            </w:r>
          </w:p>
        </w:tc>
        <w:tc>
          <w:tcPr>
            <w:tcW w:w="760" w:type="dxa"/>
            <w:vAlign w:val="bottom"/>
            <w:shd w:val="clear" w:color="auto" w:fill="E4E3E1"/>
          </w:tcPr>
          <w:p>
            <w:pPr>
              <w:ind w:left="340"/>
              <w:spacing w:after="0"/>
              <w:rPr>
                <w:sz w:val="20"/>
                <w:szCs w:val="20"/>
                <w:color w:val="auto"/>
              </w:rPr>
            </w:pPr>
            <w:r>
              <w:rPr>
                <w:rFonts w:ascii="Arial" w:cs="Arial" w:eastAsia="Arial" w:hAnsi="Arial"/>
                <w:sz w:val="12"/>
                <w:szCs w:val="12"/>
                <w:color w:val="auto"/>
              </w:rPr>
              <w:t>3,515</w:t>
            </w:r>
          </w:p>
        </w:tc>
        <w:tc>
          <w:tcPr>
            <w:tcW w:w="1560" w:type="dxa"/>
            <w:vAlign w:val="bottom"/>
          </w:tcPr>
          <w:p>
            <w:pPr>
              <w:jc w:val="right"/>
              <w:ind w:right="338"/>
              <w:spacing w:after="0"/>
              <w:rPr>
                <w:sz w:val="20"/>
                <w:szCs w:val="20"/>
                <w:color w:val="auto"/>
              </w:rPr>
            </w:pPr>
            <w:r>
              <w:rPr>
                <w:rFonts w:ascii="Arial" w:cs="Arial" w:eastAsia="Arial" w:hAnsi="Arial"/>
                <w:sz w:val="12"/>
                <w:szCs w:val="12"/>
                <w:color w:val="auto"/>
              </w:rPr>
              <w:t>4,528</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3,844</w:t>
            </w:r>
          </w:p>
        </w:tc>
      </w:tr>
      <w:tr>
        <w:trPr>
          <w:trHeight w:val="186"/>
        </w:trPr>
        <w:tc>
          <w:tcPr>
            <w:tcW w:w="7420" w:type="dxa"/>
            <w:vAlign w:val="bottom"/>
          </w:tcPr>
          <w:p>
            <w:pPr>
              <w:ind w:left="20"/>
              <w:spacing w:after="0"/>
              <w:rPr>
                <w:sz w:val="20"/>
                <w:szCs w:val="20"/>
                <w:color w:val="auto"/>
              </w:rPr>
            </w:pPr>
            <w:r>
              <w:rPr>
                <w:rFonts w:ascii="Arial" w:cs="Arial" w:eastAsia="Arial" w:hAnsi="Arial"/>
                <w:sz w:val="12"/>
                <w:szCs w:val="12"/>
                <w:color w:val="auto"/>
              </w:rPr>
              <w:t>USA</w:t>
            </w:r>
          </w:p>
        </w:tc>
        <w:tc>
          <w:tcPr>
            <w:tcW w:w="760" w:type="dxa"/>
            <w:vAlign w:val="bottom"/>
            <w:shd w:val="clear" w:color="auto" w:fill="E4E3E1"/>
          </w:tcPr>
          <w:p>
            <w:pPr>
              <w:ind w:left="340"/>
              <w:spacing w:after="0"/>
              <w:rPr>
                <w:sz w:val="20"/>
                <w:szCs w:val="20"/>
                <w:color w:val="auto"/>
              </w:rPr>
            </w:pPr>
            <w:r>
              <w:rPr>
                <w:rFonts w:ascii="Arial" w:cs="Arial" w:eastAsia="Arial" w:hAnsi="Arial"/>
                <w:sz w:val="12"/>
                <w:szCs w:val="12"/>
                <w:color w:val="auto"/>
              </w:rPr>
              <w:t>3,873</w:t>
            </w:r>
          </w:p>
        </w:tc>
        <w:tc>
          <w:tcPr>
            <w:tcW w:w="1560" w:type="dxa"/>
            <w:vAlign w:val="bottom"/>
          </w:tcPr>
          <w:p>
            <w:pPr>
              <w:jc w:val="right"/>
              <w:ind w:right="338"/>
              <w:spacing w:after="0"/>
              <w:rPr>
                <w:sz w:val="20"/>
                <w:szCs w:val="20"/>
                <w:color w:val="auto"/>
              </w:rPr>
            </w:pPr>
            <w:r>
              <w:rPr>
                <w:rFonts w:ascii="Arial" w:cs="Arial" w:eastAsia="Arial" w:hAnsi="Arial"/>
                <w:sz w:val="12"/>
                <w:szCs w:val="12"/>
                <w:color w:val="auto"/>
              </w:rPr>
              <w:t>2,306</w:t>
            </w:r>
          </w:p>
        </w:tc>
        <w:tc>
          <w:tcPr>
            <w:tcW w:w="980" w:type="dxa"/>
            <w:vAlign w:val="bottom"/>
          </w:tcPr>
          <w:p>
            <w:pPr>
              <w:jc w:val="right"/>
              <w:ind w:right="38"/>
              <w:spacing w:after="0"/>
              <w:rPr>
                <w:sz w:val="20"/>
                <w:szCs w:val="20"/>
                <w:color w:val="auto"/>
              </w:rPr>
            </w:pPr>
            <w:r>
              <w:rPr>
                <w:rFonts w:ascii="Arial" w:cs="Arial" w:eastAsia="Arial" w:hAnsi="Arial"/>
                <w:sz w:val="12"/>
                <w:szCs w:val="12"/>
                <w:color w:val="auto"/>
              </w:rPr>
              <w:t>1,486</w:t>
            </w:r>
          </w:p>
        </w:tc>
      </w:tr>
      <w:tr>
        <w:trPr>
          <w:trHeight w:val="177"/>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Western Hemisphere</w:t>
            </w:r>
          </w:p>
        </w:tc>
        <w:tc>
          <w:tcPr>
            <w:tcW w:w="760" w:type="dxa"/>
            <w:vAlign w:val="bottom"/>
            <w:tcBorders>
              <w:bottom w:val="single" w:sz="8" w:color="auto"/>
            </w:tcBorders>
            <w:shd w:val="clear" w:color="auto" w:fill="E4E3E1"/>
          </w:tcPr>
          <w:p>
            <w:pPr>
              <w:ind w:left="340"/>
              <w:spacing w:after="0"/>
              <w:rPr>
                <w:sz w:val="20"/>
                <w:szCs w:val="20"/>
                <w:color w:val="auto"/>
              </w:rPr>
            </w:pPr>
            <w:r>
              <w:rPr>
                <w:rFonts w:ascii="Arial" w:cs="Arial" w:eastAsia="Arial" w:hAnsi="Arial"/>
                <w:sz w:val="12"/>
                <w:szCs w:val="12"/>
                <w:color w:val="auto"/>
              </w:rPr>
              <w:t>1,462</w:t>
            </w:r>
          </w:p>
        </w:tc>
        <w:tc>
          <w:tcPr>
            <w:tcW w:w="15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4,100</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1,074</w:t>
            </w:r>
          </w:p>
        </w:tc>
      </w:tr>
      <w:tr>
        <w:trPr>
          <w:trHeight w:val="20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14,838</w:t>
            </w:r>
          </w:p>
        </w:tc>
        <w:tc>
          <w:tcPr>
            <w:tcW w:w="15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16,722</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-955040</wp:posOffset>
            </wp:positionV>
            <wp:extent cx="282575" cy="63436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2575" cy="6343650"/>
                    </a:xfrm>
                    <a:prstGeom prst="rect">
                      <a:avLst/>
                    </a:prstGeom>
                    <a:noFill/>
                  </pic:spPr>
                </pic:pic>
              </a:graphicData>
            </a:graphic>
          </wp:anchor>
        </w:drawing>
      </w:r>
    </w:p>
    <w:p>
      <w:pPr>
        <w:spacing w:after="0" w:line="1" w:lineRule="exact"/>
        <w:rPr>
          <w:sz w:val="20"/>
          <w:szCs w:val="20"/>
          <w:color w:val="auto"/>
        </w:rPr>
      </w:pPr>
    </w:p>
    <w:p>
      <w:pPr>
        <w:ind w:left="280" w:right="40" w:hanging="273"/>
        <w:spacing w:after="0"/>
        <w:tabs>
          <w:tab w:leader="none" w:pos="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Capital expenditure is the cost of acquiring property, plant and equipment, and – following the successful efforts method in accounting for exploration costs – includes exploration drilling costs capitalised pending determination of commercial reserves. In the case of major capital projects, the related interest cost is included until these are placed in service. Exploration expense is the cost of geological and geophysical surveys and of other exploratory work charged to income as incurred. Exploration expense excludes depreciation and release of currency translation differences.</w:t>
      </w:r>
    </w:p>
    <w:p>
      <w:pPr>
        <w:spacing w:after="0" w:line="118" w:lineRule="exact"/>
        <w:rPr>
          <w:rFonts w:ascii="Arial" w:cs="Arial" w:eastAsia="Arial" w:hAnsi="Arial"/>
          <w:sz w:val="12"/>
          <w:szCs w:val="12"/>
          <w:color w:val="auto"/>
        </w:rPr>
      </w:pPr>
    </w:p>
    <w:p>
      <w:pPr>
        <w:ind w:left="280" w:hanging="273"/>
        <w:spacing w:after="0" w:line="231" w:lineRule="auto"/>
        <w:tabs>
          <w:tab w:leader="none" w:pos="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Excludes Egypt.</w:t>
      </w:r>
    </w:p>
    <w:p>
      <w:pPr>
        <w:ind w:left="280" w:hanging="273"/>
        <w:spacing w:after="0" w:line="231" w:lineRule="auto"/>
        <w:tabs>
          <w:tab w:leader="none" w:pos="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Excludes Sakhalin.</w:t>
      </w:r>
    </w:p>
    <w:p>
      <w:pPr>
        <w:ind w:left="280" w:hanging="273"/>
        <w:spacing w:after="0"/>
        <w:tabs>
          <w:tab w:leader="none" w:pos="28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Includes Caspian region, Egypt and, up to April 2007, Sakhalin.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shd w:val="clear" w:color="auto" w:fill="005696"/>
          </w:tcPr>
          <w:p>
            <w:pPr>
              <w:ind w:left="40"/>
              <w:spacing w:after="0"/>
              <w:rPr>
                <w:sz w:val="20"/>
                <w:szCs w:val="20"/>
                <w:color w:val="auto"/>
              </w:rPr>
            </w:pPr>
            <w:r>
              <w:rPr>
                <w:rFonts w:ascii="Arial" w:cs="Arial" w:eastAsia="Arial" w:hAnsi="Arial"/>
                <w:sz w:val="12"/>
                <w:szCs w:val="12"/>
                <w:b w:val="1"/>
                <w:bCs w:val="1"/>
                <w:color w:val="FFFFFF"/>
              </w:rPr>
              <w:t>AVERAGE PRODUCTION COSTS OF SHELL SUBSIDIARIES BY GEOGRAPHICAL AREA[A][E]</w:t>
            </w:r>
          </w:p>
        </w:tc>
        <w:tc>
          <w:tcPr>
            <w:tcW w:w="760" w:type="dxa"/>
            <w:vAlign w:val="bottom"/>
            <w:shd w:val="clear" w:color="auto" w:fill="005696"/>
          </w:tcPr>
          <w:p>
            <w:pPr>
              <w:spacing w:after="0"/>
              <w:rPr>
                <w:sz w:val="16"/>
                <w:szCs w:val="16"/>
                <w:color w:val="auto"/>
              </w:rPr>
            </w:pPr>
          </w:p>
        </w:tc>
        <w:tc>
          <w:tcPr>
            <w:tcW w:w="2540" w:type="dxa"/>
            <w:vAlign w:val="bottom"/>
            <w:gridSpan w:val="2"/>
            <w:shd w:val="clear" w:color="auto" w:fill="005696"/>
          </w:tcPr>
          <w:p>
            <w:pPr>
              <w:jc w:val="right"/>
              <w:ind w:right="38"/>
              <w:spacing w:after="0"/>
              <w:rPr>
                <w:sz w:val="20"/>
                <w:szCs w:val="20"/>
                <w:color w:val="auto"/>
              </w:rPr>
            </w:pPr>
            <w:r>
              <w:rPr>
                <w:rFonts w:ascii="Arial" w:cs="Arial" w:eastAsia="Arial" w:hAnsi="Arial"/>
                <w:sz w:val="12"/>
                <w:szCs w:val="12"/>
                <w:b w:val="1"/>
                <w:bCs w:val="1"/>
                <w:color w:val="FFFFFF"/>
              </w:rPr>
              <w:t>$/barrel of oil equivalent</w:t>
            </w:r>
          </w:p>
        </w:tc>
      </w:tr>
      <w:tr>
        <w:trPr>
          <w:trHeight w:val="133"/>
        </w:trPr>
        <w:tc>
          <w:tcPr>
            <w:tcW w:w="7420" w:type="dxa"/>
            <w:vAlign w:val="bottom"/>
            <w:shd w:val="clear" w:color="auto" w:fill="CECAC6"/>
          </w:tcPr>
          <w:p>
            <w:pPr>
              <w:spacing w:after="0"/>
              <w:rPr>
                <w:sz w:val="11"/>
                <w:szCs w:val="11"/>
                <w:color w:val="auto"/>
              </w:rPr>
            </w:pPr>
          </w:p>
        </w:tc>
        <w:tc>
          <w:tcPr>
            <w:tcW w:w="760" w:type="dxa"/>
            <w:vAlign w:val="bottom"/>
            <w:shd w:val="clear" w:color="auto" w:fill="CECAC6"/>
          </w:tcPr>
          <w:p>
            <w:pPr>
              <w:ind w:left="380"/>
              <w:spacing w:after="0" w:line="133" w:lineRule="exact"/>
              <w:rPr>
                <w:sz w:val="20"/>
                <w:szCs w:val="20"/>
                <w:color w:val="auto"/>
              </w:rPr>
            </w:pPr>
            <w:r>
              <w:rPr>
                <w:rFonts w:ascii="Arial" w:cs="Arial" w:eastAsia="Arial" w:hAnsi="Arial"/>
                <w:sz w:val="12"/>
                <w:szCs w:val="12"/>
                <w:color w:val="auto"/>
              </w:rPr>
              <w:t>2007</w:t>
            </w:r>
          </w:p>
        </w:tc>
        <w:tc>
          <w:tcPr>
            <w:tcW w:w="16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8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213"/>
        </w:trPr>
        <w:tc>
          <w:tcPr>
            <w:tcW w:w="7420" w:type="dxa"/>
            <w:vAlign w:val="bottom"/>
          </w:tcPr>
          <w:p>
            <w:pPr>
              <w:ind w:left="20"/>
              <w:spacing w:after="0"/>
              <w:rPr>
                <w:sz w:val="20"/>
                <w:szCs w:val="20"/>
                <w:color w:val="auto"/>
              </w:rPr>
            </w:pPr>
            <w:r>
              <w:rPr>
                <w:rFonts w:ascii="Arial" w:cs="Arial" w:eastAsia="Arial" w:hAnsi="Arial"/>
                <w:sz w:val="12"/>
                <w:szCs w:val="12"/>
                <w:color w:val="auto"/>
              </w:rPr>
              <w:t>Europe</w:t>
            </w:r>
          </w:p>
        </w:tc>
        <w:tc>
          <w:tcPr>
            <w:tcW w:w="760" w:type="dxa"/>
            <w:vAlign w:val="bottom"/>
            <w:shd w:val="clear" w:color="auto" w:fill="E4E3E1"/>
          </w:tcPr>
          <w:p>
            <w:pPr>
              <w:ind w:left="400"/>
              <w:spacing w:after="0"/>
              <w:rPr>
                <w:sz w:val="20"/>
                <w:szCs w:val="20"/>
                <w:color w:val="auto"/>
              </w:rPr>
            </w:pPr>
            <w:r>
              <w:rPr>
                <w:rFonts w:ascii="Arial" w:cs="Arial" w:eastAsia="Arial" w:hAnsi="Arial"/>
                <w:sz w:val="12"/>
                <w:szCs w:val="12"/>
                <w:color w:val="auto"/>
              </w:rPr>
              <w:t>9.15</w:t>
            </w:r>
          </w:p>
        </w:tc>
        <w:tc>
          <w:tcPr>
            <w:tcW w:w="1660" w:type="dxa"/>
            <w:vAlign w:val="bottom"/>
          </w:tcPr>
          <w:p>
            <w:pPr>
              <w:jc w:val="right"/>
              <w:ind w:right="438"/>
              <w:spacing w:after="0"/>
              <w:rPr>
                <w:sz w:val="20"/>
                <w:szCs w:val="20"/>
                <w:color w:val="auto"/>
              </w:rPr>
            </w:pPr>
            <w:r>
              <w:rPr>
                <w:rFonts w:ascii="Arial" w:cs="Arial" w:eastAsia="Arial" w:hAnsi="Arial"/>
                <w:sz w:val="12"/>
                <w:szCs w:val="12"/>
                <w:color w:val="auto"/>
              </w:rPr>
              <w:t>7.56</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6.03</w:t>
            </w:r>
          </w:p>
        </w:tc>
      </w:tr>
      <w:tr>
        <w:trPr>
          <w:trHeight w:val="186"/>
        </w:trPr>
        <w:tc>
          <w:tcPr>
            <w:tcW w:w="7420" w:type="dxa"/>
            <w:vAlign w:val="bottom"/>
          </w:tcPr>
          <w:p>
            <w:pPr>
              <w:ind w:left="20"/>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760" w:type="dxa"/>
            <w:vAlign w:val="bottom"/>
            <w:shd w:val="clear" w:color="auto" w:fill="E4E3E1"/>
          </w:tcPr>
          <w:p>
            <w:pPr>
              <w:ind w:left="400"/>
              <w:spacing w:after="0"/>
              <w:rPr>
                <w:sz w:val="20"/>
                <w:szCs w:val="20"/>
                <w:color w:val="auto"/>
              </w:rPr>
            </w:pPr>
            <w:r>
              <w:rPr>
                <w:rFonts w:ascii="Arial" w:cs="Arial" w:eastAsia="Arial" w:hAnsi="Arial"/>
                <w:sz w:val="12"/>
                <w:szCs w:val="12"/>
                <w:color w:val="auto"/>
              </w:rPr>
              <w:t>7.85</w:t>
            </w:r>
          </w:p>
        </w:tc>
        <w:tc>
          <w:tcPr>
            <w:tcW w:w="1660" w:type="dxa"/>
            <w:vAlign w:val="bottom"/>
          </w:tcPr>
          <w:p>
            <w:pPr>
              <w:jc w:val="right"/>
              <w:ind w:right="438"/>
              <w:spacing w:after="0"/>
              <w:rPr>
                <w:sz w:val="20"/>
                <w:szCs w:val="20"/>
                <w:color w:val="auto"/>
              </w:rPr>
            </w:pPr>
            <w:r>
              <w:rPr>
                <w:rFonts w:ascii="Arial" w:cs="Arial" w:eastAsia="Arial" w:hAnsi="Arial"/>
                <w:sz w:val="12"/>
                <w:szCs w:val="12"/>
                <w:color w:val="auto"/>
              </w:rPr>
              <w:t>5.60</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4.13</w:t>
            </w:r>
          </w:p>
        </w:tc>
      </w:tr>
      <w:tr>
        <w:trPr>
          <w:trHeight w:val="193"/>
        </w:trPr>
        <w:tc>
          <w:tcPr>
            <w:tcW w:w="7420" w:type="dxa"/>
            <w:vAlign w:val="bottom"/>
          </w:tcPr>
          <w:p>
            <w:pPr>
              <w:ind w:left="20"/>
              <w:spacing w:after="0"/>
              <w:rPr>
                <w:sz w:val="20"/>
                <w:szCs w:val="20"/>
                <w:color w:val="auto"/>
              </w:rPr>
            </w:pPr>
            <w:r>
              <w:rPr>
                <w:rFonts w:ascii="Arial" w:cs="Arial" w:eastAsia="Arial" w:hAnsi="Arial"/>
                <w:sz w:val="12"/>
                <w:szCs w:val="12"/>
                <w:color w:val="auto"/>
              </w:rPr>
              <w:t>Asia Pacific</w:t>
            </w:r>
            <w:r>
              <w:rPr>
                <w:rFonts w:ascii="Arial" w:cs="Arial" w:eastAsia="Arial" w:hAnsi="Arial"/>
                <w:sz w:val="12"/>
                <w:szCs w:val="12"/>
                <w:b w:val="1"/>
                <w:bCs w:val="1"/>
                <w:color w:val="auto"/>
              </w:rPr>
              <w:t>[C]</w:t>
            </w:r>
          </w:p>
        </w:tc>
        <w:tc>
          <w:tcPr>
            <w:tcW w:w="760" w:type="dxa"/>
            <w:vAlign w:val="bottom"/>
            <w:shd w:val="clear" w:color="auto" w:fill="E4E3E1"/>
          </w:tcPr>
          <w:p>
            <w:pPr>
              <w:ind w:left="400"/>
              <w:spacing w:after="0"/>
              <w:rPr>
                <w:sz w:val="20"/>
                <w:szCs w:val="20"/>
                <w:color w:val="auto"/>
              </w:rPr>
            </w:pPr>
            <w:r>
              <w:rPr>
                <w:rFonts w:ascii="Arial" w:cs="Arial" w:eastAsia="Arial" w:hAnsi="Arial"/>
                <w:sz w:val="12"/>
                <w:szCs w:val="12"/>
                <w:color w:val="auto"/>
              </w:rPr>
              <w:t>4.31</w:t>
            </w:r>
          </w:p>
        </w:tc>
        <w:tc>
          <w:tcPr>
            <w:tcW w:w="1660" w:type="dxa"/>
            <w:vAlign w:val="bottom"/>
          </w:tcPr>
          <w:p>
            <w:pPr>
              <w:jc w:val="right"/>
              <w:ind w:right="438"/>
              <w:spacing w:after="0"/>
              <w:rPr>
                <w:sz w:val="20"/>
                <w:szCs w:val="20"/>
                <w:color w:val="auto"/>
              </w:rPr>
            </w:pPr>
            <w:r>
              <w:rPr>
                <w:rFonts w:ascii="Arial" w:cs="Arial" w:eastAsia="Arial" w:hAnsi="Arial"/>
                <w:sz w:val="12"/>
                <w:szCs w:val="12"/>
                <w:color w:val="auto"/>
              </w:rPr>
              <w:t>3.35</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2.94</w:t>
            </w:r>
          </w:p>
        </w:tc>
      </w:tr>
      <w:tr>
        <w:trPr>
          <w:trHeight w:val="189"/>
        </w:trPr>
        <w:tc>
          <w:tcPr>
            <w:tcW w:w="7420" w:type="dxa"/>
            <w:vAlign w:val="bottom"/>
          </w:tcPr>
          <w:p>
            <w:pPr>
              <w:ind w:left="20"/>
              <w:spacing w:after="0"/>
              <w:rPr>
                <w:sz w:val="20"/>
                <w:szCs w:val="20"/>
                <w:color w:val="auto"/>
              </w:rPr>
            </w:pPr>
            <w:r>
              <w:rPr>
                <w:rFonts w:ascii="Arial" w:cs="Arial" w:eastAsia="Arial" w:hAnsi="Arial"/>
                <w:sz w:val="12"/>
                <w:szCs w:val="12"/>
                <w:color w:val="auto"/>
              </w:rPr>
              <w:t>Middle East, Russia, CIS</w:t>
            </w:r>
            <w:r>
              <w:rPr>
                <w:rFonts w:ascii="Arial" w:cs="Arial" w:eastAsia="Arial" w:hAnsi="Arial"/>
                <w:sz w:val="12"/>
                <w:szCs w:val="12"/>
                <w:b w:val="1"/>
                <w:bCs w:val="1"/>
                <w:color w:val="auto"/>
              </w:rPr>
              <w:t>[D]</w:t>
            </w:r>
          </w:p>
        </w:tc>
        <w:tc>
          <w:tcPr>
            <w:tcW w:w="760" w:type="dxa"/>
            <w:vAlign w:val="bottom"/>
            <w:shd w:val="clear" w:color="auto" w:fill="E4E3E1"/>
          </w:tcPr>
          <w:p>
            <w:pPr>
              <w:ind w:left="400"/>
              <w:spacing w:after="0"/>
              <w:rPr>
                <w:sz w:val="20"/>
                <w:szCs w:val="20"/>
                <w:color w:val="auto"/>
              </w:rPr>
            </w:pPr>
            <w:r>
              <w:rPr>
                <w:rFonts w:ascii="Arial" w:cs="Arial" w:eastAsia="Arial" w:hAnsi="Arial"/>
                <w:sz w:val="12"/>
                <w:szCs w:val="12"/>
                <w:color w:val="auto"/>
              </w:rPr>
              <w:t>8.79</w:t>
            </w:r>
          </w:p>
        </w:tc>
        <w:tc>
          <w:tcPr>
            <w:tcW w:w="1660" w:type="dxa"/>
            <w:vAlign w:val="bottom"/>
          </w:tcPr>
          <w:p>
            <w:pPr>
              <w:jc w:val="right"/>
              <w:ind w:right="438"/>
              <w:spacing w:after="0"/>
              <w:rPr>
                <w:sz w:val="20"/>
                <w:szCs w:val="20"/>
                <w:color w:val="auto"/>
              </w:rPr>
            </w:pPr>
            <w:r>
              <w:rPr>
                <w:rFonts w:ascii="Arial" w:cs="Arial" w:eastAsia="Arial" w:hAnsi="Arial"/>
                <w:sz w:val="12"/>
                <w:szCs w:val="12"/>
                <w:color w:val="auto"/>
              </w:rPr>
              <w:t>7.83</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6.21</w:t>
            </w:r>
          </w:p>
        </w:tc>
      </w:tr>
      <w:tr>
        <w:trPr>
          <w:trHeight w:val="186"/>
        </w:trPr>
        <w:tc>
          <w:tcPr>
            <w:tcW w:w="7420" w:type="dxa"/>
            <w:vAlign w:val="bottom"/>
          </w:tcPr>
          <w:p>
            <w:pPr>
              <w:ind w:left="20"/>
              <w:spacing w:after="0"/>
              <w:rPr>
                <w:sz w:val="20"/>
                <w:szCs w:val="20"/>
                <w:color w:val="auto"/>
              </w:rPr>
            </w:pPr>
            <w:r>
              <w:rPr>
                <w:rFonts w:ascii="Arial" w:cs="Arial" w:eastAsia="Arial" w:hAnsi="Arial"/>
                <w:sz w:val="12"/>
                <w:szCs w:val="12"/>
                <w:color w:val="auto"/>
              </w:rPr>
              <w:t>USA</w:t>
            </w:r>
          </w:p>
        </w:tc>
        <w:tc>
          <w:tcPr>
            <w:tcW w:w="760" w:type="dxa"/>
            <w:vAlign w:val="bottom"/>
            <w:shd w:val="clear" w:color="auto" w:fill="E4E3E1"/>
          </w:tcPr>
          <w:p>
            <w:pPr>
              <w:ind w:left="400"/>
              <w:spacing w:after="0"/>
              <w:rPr>
                <w:sz w:val="20"/>
                <w:szCs w:val="20"/>
                <w:color w:val="auto"/>
              </w:rPr>
            </w:pPr>
            <w:r>
              <w:rPr>
                <w:rFonts w:ascii="Arial" w:cs="Arial" w:eastAsia="Arial" w:hAnsi="Arial"/>
                <w:sz w:val="12"/>
                <w:szCs w:val="12"/>
                <w:color w:val="auto"/>
              </w:rPr>
              <w:t>8.35</w:t>
            </w:r>
          </w:p>
        </w:tc>
        <w:tc>
          <w:tcPr>
            <w:tcW w:w="1660" w:type="dxa"/>
            <w:vAlign w:val="bottom"/>
          </w:tcPr>
          <w:p>
            <w:pPr>
              <w:jc w:val="right"/>
              <w:ind w:right="438"/>
              <w:spacing w:after="0"/>
              <w:rPr>
                <w:sz w:val="20"/>
                <w:szCs w:val="20"/>
                <w:color w:val="auto"/>
              </w:rPr>
            </w:pPr>
            <w:r>
              <w:rPr>
                <w:rFonts w:ascii="Arial" w:cs="Arial" w:eastAsia="Arial" w:hAnsi="Arial"/>
                <w:sz w:val="12"/>
                <w:szCs w:val="12"/>
                <w:color w:val="auto"/>
              </w:rPr>
              <w:t>8.08</w:t>
            </w:r>
          </w:p>
        </w:tc>
        <w:tc>
          <w:tcPr>
            <w:tcW w:w="880" w:type="dxa"/>
            <w:vAlign w:val="bottom"/>
          </w:tcPr>
          <w:p>
            <w:pPr>
              <w:jc w:val="right"/>
              <w:ind w:right="38"/>
              <w:spacing w:after="0"/>
              <w:rPr>
                <w:sz w:val="20"/>
                <w:szCs w:val="20"/>
                <w:color w:val="auto"/>
              </w:rPr>
            </w:pPr>
            <w:r>
              <w:rPr>
                <w:rFonts w:ascii="Arial" w:cs="Arial" w:eastAsia="Arial" w:hAnsi="Arial"/>
                <w:sz w:val="12"/>
                <w:szCs w:val="12"/>
                <w:color w:val="auto"/>
              </w:rPr>
              <w:t>6.57</w:t>
            </w:r>
          </w:p>
        </w:tc>
      </w:tr>
      <w:tr>
        <w:trPr>
          <w:trHeight w:val="177"/>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Western Hemisphere</w:t>
            </w:r>
          </w:p>
        </w:tc>
        <w:tc>
          <w:tcPr>
            <w:tcW w:w="760" w:type="dxa"/>
            <w:vAlign w:val="bottom"/>
            <w:tcBorders>
              <w:bottom w:val="single" w:sz="8" w:color="auto"/>
            </w:tcBorders>
            <w:shd w:val="clear" w:color="auto" w:fill="E4E3E1"/>
          </w:tcPr>
          <w:p>
            <w:pPr>
              <w:ind w:left="340"/>
              <w:spacing w:after="0"/>
              <w:rPr>
                <w:sz w:val="20"/>
                <w:szCs w:val="20"/>
                <w:color w:val="auto"/>
              </w:rPr>
            </w:pPr>
            <w:r>
              <w:rPr>
                <w:rFonts w:ascii="Arial" w:cs="Arial" w:eastAsia="Arial" w:hAnsi="Arial"/>
                <w:sz w:val="12"/>
                <w:szCs w:val="12"/>
                <w:color w:val="auto"/>
              </w:rPr>
              <w:t>14.35</w:t>
            </w: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11.03</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8.45</w:t>
            </w:r>
          </w:p>
        </w:tc>
      </w:tr>
      <w:tr>
        <w:trPr>
          <w:trHeight w:val="200"/>
        </w:trPr>
        <w:tc>
          <w:tcPr>
            <w:tcW w:w="74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ind w:left="400"/>
              <w:spacing w:after="0"/>
              <w:rPr>
                <w:sz w:val="20"/>
                <w:szCs w:val="20"/>
                <w:color w:val="auto"/>
              </w:rPr>
            </w:pPr>
            <w:r>
              <w:rPr>
                <w:rFonts w:ascii="Arial" w:cs="Arial" w:eastAsia="Arial" w:hAnsi="Arial"/>
                <w:sz w:val="12"/>
                <w:szCs w:val="12"/>
                <w:color w:val="auto"/>
              </w:rPr>
              <w:t>8.27</w:t>
            </w:r>
          </w:p>
        </w:tc>
        <w:tc>
          <w:tcPr>
            <w:tcW w:w="16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6.95</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5.54</w:t>
            </w:r>
          </w:p>
        </w:tc>
      </w:tr>
    </w:tbl>
    <w:p>
      <w:pPr>
        <w:spacing w:after="0" w:line="16" w:lineRule="exact"/>
        <w:rPr>
          <w:sz w:val="20"/>
          <w:szCs w:val="20"/>
          <w:color w:val="auto"/>
        </w:rPr>
      </w:pPr>
    </w:p>
    <w:p>
      <w:pPr>
        <w:ind w:left="280" w:hanging="273"/>
        <w:spacing w:after="0"/>
        <w:tabs>
          <w:tab w:leader="none" w:pos="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Natural gas has been converted to crude oil equivalent using a factor of 5,800 standard cubic feet per barrel.</w:t>
      </w:r>
    </w:p>
    <w:p>
      <w:pPr>
        <w:ind w:left="280" w:hanging="273"/>
        <w:spacing w:after="0" w:line="231" w:lineRule="auto"/>
        <w:tabs>
          <w:tab w:leader="none" w:pos="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Excludes Egypt.</w:t>
      </w:r>
    </w:p>
    <w:p>
      <w:pPr>
        <w:ind w:left="280" w:hanging="273"/>
        <w:spacing w:after="0" w:line="231" w:lineRule="auto"/>
        <w:tabs>
          <w:tab w:leader="none" w:pos="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Excludes Sakhalin.</w:t>
      </w:r>
    </w:p>
    <w:p>
      <w:pPr>
        <w:ind w:left="280" w:hanging="273"/>
        <w:spacing w:after="0" w:line="231" w:lineRule="auto"/>
        <w:tabs>
          <w:tab w:leader="none" w:pos="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Caspian region, Egypt and, up to April 2007, Sakhalin.</w:t>
      </w:r>
    </w:p>
    <w:p>
      <w:pPr>
        <w:ind w:left="280" w:hanging="273"/>
        <w:spacing w:after="0"/>
        <w:tabs>
          <w:tab w:leader="none" w:pos="28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Production costs exclude royalty payments of $1,804 million in 2007, $1,569 million in 2006 and $1,940 million in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2281555</wp:posOffset>
            </wp:positionV>
            <wp:extent cx="725297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8981D"/>
        </w:rPr>
        <w:t>EXPLORATION &amp;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shd w:val="clear" w:color="auto" w:fill="005696"/>
          </w:tcPr>
          <w:p>
            <w:pPr>
              <w:ind w:left="40"/>
              <w:spacing w:after="0"/>
              <w:rPr>
                <w:sz w:val="20"/>
                <w:szCs w:val="20"/>
                <w:color w:val="auto"/>
              </w:rPr>
            </w:pPr>
            <w:r>
              <w:rPr>
                <w:rFonts w:ascii="Arial" w:cs="Arial" w:eastAsia="Arial" w:hAnsi="Arial"/>
                <w:sz w:val="12"/>
                <w:szCs w:val="12"/>
                <w:b w:val="1"/>
                <w:bCs w:val="1"/>
                <w:color w:val="FFFFFF"/>
              </w:rPr>
              <w:t>CRUDE OIL AND NATURAL GAS LIQUIDS</w:t>
            </w:r>
          </w:p>
        </w:tc>
        <w:tc>
          <w:tcPr>
            <w:tcW w:w="440" w:type="dxa"/>
            <w:vAlign w:val="bottom"/>
            <w:shd w:val="clear" w:color="auto" w:fill="005696"/>
          </w:tcPr>
          <w:p>
            <w:pPr>
              <w:spacing w:after="0"/>
              <w:rPr>
                <w:sz w:val="13"/>
                <w:szCs w:val="13"/>
                <w:color w:val="auto"/>
              </w:rPr>
            </w:pPr>
          </w:p>
        </w:tc>
        <w:tc>
          <w:tcPr>
            <w:tcW w:w="820" w:type="dxa"/>
            <w:vAlign w:val="bottom"/>
            <w:shd w:val="clear" w:color="auto" w:fill="005696"/>
          </w:tcPr>
          <w:p>
            <w:pPr>
              <w:spacing w:after="0"/>
              <w:rPr>
                <w:sz w:val="13"/>
                <w:szCs w:val="13"/>
                <w:color w:val="auto"/>
              </w:rPr>
            </w:pPr>
          </w:p>
        </w:tc>
        <w:tc>
          <w:tcPr>
            <w:tcW w:w="560" w:type="dxa"/>
            <w:vAlign w:val="bottom"/>
            <w:shd w:val="clear" w:color="auto" w:fill="005696"/>
          </w:tcPr>
          <w:p>
            <w:pPr>
              <w:spacing w:after="0"/>
              <w:rPr>
                <w:sz w:val="13"/>
                <w:szCs w:val="13"/>
                <w:color w:val="auto"/>
              </w:rPr>
            </w:pPr>
          </w:p>
        </w:tc>
      </w:tr>
      <w:tr>
        <w:trPr>
          <w:trHeight w:val="153"/>
        </w:trPr>
        <w:tc>
          <w:tcPr>
            <w:tcW w:w="3660" w:type="dxa"/>
            <w:vAlign w:val="bottom"/>
            <w:shd w:val="clear" w:color="auto" w:fill="005696"/>
          </w:tcPr>
          <w:p>
            <w:pPr>
              <w:ind w:left="40"/>
              <w:spacing w:after="0"/>
              <w:rPr>
                <w:sz w:val="20"/>
                <w:szCs w:val="20"/>
                <w:color w:val="auto"/>
              </w:rPr>
            </w:pPr>
            <w:r>
              <w:rPr>
                <w:rFonts w:ascii="Arial" w:cs="Arial" w:eastAsia="Arial" w:hAnsi="Arial"/>
                <w:sz w:val="12"/>
                <w:szCs w:val="12"/>
                <w:b w:val="1"/>
                <w:bCs w:val="1"/>
                <w:color w:val="FFFFFF"/>
              </w:rPr>
              <w:t>PRODUCTION[A]</w:t>
            </w:r>
          </w:p>
        </w:tc>
        <w:tc>
          <w:tcPr>
            <w:tcW w:w="440" w:type="dxa"/>
            <w:vAlign w:val="bottom"/>
            <w:shd w:val="clear" w:color="auto" w:fill="005696"/>
          </w:tcPr>
          <w:p>
            <w:pPr>
              <w:spacing w:after="0"/>
              <w:rPr>
                <w:sz w:val="13"/>
                <w:szCs w:val="13"/>
                <w:color w:val="auto"/>
              </w:rPr>
            </w:pPr>
          </w:p>
        </w:tc>
        <w:tc>
          <w:tcPr>
            <w:tcW w:w="1380" w:type="dxa"/>
            <w:vAlign w:val="bottom"/>
            <w:gridSpan w:val="2"/>
            <w:shd w:val="clear" w:color="auto" w:fill="005696"/>
          </w:tcPr>
          <w:p>
            <w:pPr>
              <w:jc w:val="right"/>
              <w:spacing w:after="0"/>
              <w:rPr>
                <w:sz w:val="20"/>
                <w:szCs w:val="20"/>
                <w:color w:val="auto"/>
              </w:rPr>
            </w:pPr>
            <w:r>
              <w:rPr>
                <w:rFonts w:ascii="Arial" w:cs="Arial" w:eastAsia="Arial" w:hAnsi="Arial"/>
                <w:sz w:val="12"/>
                <w:szCs w:val="12"/>
                <w:b w:val="1"/>
                <w:bCs w:val="1"/>
                <w:color w:val="FFFFFF"/>
              </w:rPr>
              <w:t>thousand barrels/day</w:t>
            </w:r>
          </w:p>
        </w:tc>
      </w:tr>
      <w:tr>
        <w:trPr>
          <w:trHeight w:val="173"/>
        </w:trPr>
        <w:tc>
          <w:tcPr>
            <w:tcW w:w="3660" w:type="dxa"/>
            <w:vAlign w:val="bottom"/>
            <w:shd w:val="clear" w:color="auto" w:fill="CECAC6"/>
          </w:tcPr>
          <w:p>
            <w:pPr>
              <w:spacing w:after="0"/>
              <w:rPr>
                <w:sz w:val="15"/>
                <w:szCs w:val="15"/>
                <w:color w:val="auto"/>
              </w:rPr>
            </w:pPr>
          </w:p>
        </w:tc>
        <w:tc>
          <w:tcPr>
            <w:tcW w:w="4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8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2006</w:t>
            </w:r>
          </w:p>
        </w:tc>
        <w:tc>
          <w:tcPr>
            <w:tcW w:w="5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67"/>
        </w:trPr>
        <w:tc>
          <w:tcPr>
            <w:tcW w:w="3660" w:type="dxa"/>
            <w:vAlign w:val="bottom"/>
          </w:tcPr>
          <w:p>
            <w:pPr>
              <w:spacing w:after="0"/>
              <w:rPr>
                <w:sz w:val="20"/>
                <w:szCs w:val="20"/>
                <w:color w:val="auto"/>
              </w:rPr>
            </w:pPr>
            <w:r>
              <w:rPr>
                <w:rFonts w:ascii="Arial" w:cs="Arial" w:eastAsia="Arial" w:hAnsi="Arial"/>
                <w:sz w:val="12"/>
                <w:szCs w:val="12"/>
                <w:b w:val="1"/>
                <w:bCs w:val="1"/>
                <w:color w:val="auto"/>
              </w:rPr>
              <w:t>Europe</w:t>
            </w:r>
          </w:p>
        </w:tc>
        <w:tc>
          <w:tcPr>
            <w:tcW w:w="440" w:type="dxa"/>
            <w:vAlign w:val="bottom"/>
            <w:shd w:val="clear" w:color="auto" w:fill="E4E3E1"/>
          </w:tcPr>
          <w:p>
            <w:pPr>
              <w:spacing w:after="0"/>
              <w:rPr>
                <w:sz w:val="14"/>
                <w:szCs w:val="14"/>
                <w:color w:val="auto"/>
              </w:rPr>
            </w:pPr>
          </w:p>
        </w:tc>
        <w:tc>
          <w:tcPr>
            <w:tcW w:w="8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UK</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183</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223</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250</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Denmark</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126</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134</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143</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Norway</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69</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85</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107</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Italy</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35</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44</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The Netherlands</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6</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r>
      <w:tr>
        <w:trPr>
          <w:trHeight w:val="13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Germany</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Europe</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423</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496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w:t>
            </w:r>
          </w:p>
        </w:tc>
      </w:tr>
      <w:tr>
        <w:trPr>
          <w:trHeight w:val="120"/>
        </w:trPr>
        <w:tc>
          <w:tcPr>
            <w:tcW w:w="3660" w:type="dxa"/>
            <w:vAlign w:val="bottom"/>
          </w:tcPr>
          <w:p>
            <w:pPr>
              <w:spacing w:after="0" w:line="120" w:lineRule="exact"/>
              <w:rPr>
                <w:sz w:val="20"/>
                <w:szCs w:val="20"/>
                <w:color w:val="auto"/>
              </w:rPr>
            </w:pPr>
            <w:r>
              <w:rPr>
                <w:rFonts w:ascii="Arial" w:cs="Arial" w:eastAsia="Arial" w:hAnsi="Arial"/>
                <w:sz w:val="12"/>
                <w:szCs w:val="12"/>
                <w:b w:val="1"/>
                <w:bCs w:val="1"/>
                <w:color w:val="auto"/>
              </w:rPr>
              <w:t>Other Eastern Hemisphere</w:t>
            </w:r>
          </w:p>
        </w:tc>
        <w:tc>
          <w:tcPr>
            <w:tcW w:w="440" w:type="dxa"/>
            <w:vAlign w:val="bottom"/>
            <w:shd w:val="clear" w:color="auto" w:fill="E4E3E1"/>
          </w:tcPr>
          <w:p>
            <w:pPr>
              <w:spacing w:after="0"/>
              <w:rPr>
                <w:sz w:val="10"/>
                <w:szCs w:val="10"/>
                <w:color w:val="auto"/>
              </w:rPr>
            </w:pPr>
          </w:p>
        </w:tc>
        <w:tc>
          <w:tcPr>
            <w:tcW w:w="82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7"/>
        </w:trPr>
        <w:tc>
          <w:tcPr>
            <w:tcW w:w="3660" w:type="dxa"/>
            <w:vAlign w:val="bottom"/>
          </w:tcPr>
          <w:p>
            <w:pPr>
              <w:spacing w:after="0"/>
              <w:rPr>
                <w:sz w:val="20"/>
                <w:szCs w:val="20"/>
                <w:color w:val="auto"/>
              </w:rPr>
            </w:pPr>
            <w:r>
              <w:rPr>
                <w:rFonts w:ascii="Arial" w:cs="Arial" w:eastAsia="Arial" w:hAnsi="Arial"/>
                <w:sz w:val="12"/>
                <w:szCs w:val="12"/>
                <w:b w:val="1"/>
                <w:bCs w:val="1"/>
                <w:color w:val="auto"/>
              </w:rPr>
              <w:t>Africa</w:t>
            </w:r>
          </w:p>
        </w:tc>
        <w:tc>
          <w:tcPr>
            <w:tcW w:w="440" w:type="dxa"/>
            <w:vAlign w:val="bottom"/>
            <w:shd w:val="clear" w:color="auto" w:fill="E4E3E1"/>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Nigeria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287</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293</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324</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Gabon</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31</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32</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36</w:t>
            </w:r>
          </w:p>
        </w:tc>
      </w:tr>
      <w:tr>
        <w:trPr>
          <w:trHeight w:val="13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Cameroon</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14</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Africa</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332</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339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2"/>
                <w:szCs w:val="12"/>
                <w:b w:val="1"/>
                <w:bCs w:val="1"/>
                <w:color w:val="auto"/>
              </w:rPr>
              <w:t>Asia Pacific</w:t>
            </w:r>
          </w:p>
        </w:tc>
        <w:tc>
          <w:tcPr>
            <w:tcW w:w="440" w:type="dxa"/>
            <w:vAlign w:val="bottom"/>
            <w:shd w:val="clear" w:color="auto" w:fill="E4E3E1"/>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Brunei</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92</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104</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95</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Australia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58</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57</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53</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Malaysia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42</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42</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41</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China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17</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20</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20</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New Zealand</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13</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14</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r>
      <w:tr>
        <w:trPr>
          <w:trHeight w:val="13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Others</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Asia Pacific</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227</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242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228</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2"/>
                <w:szCs w:val="12"/>
                <w:b w:val="1"/>
                <w:bCs w:val="1"/>
                <w:color w:val="auto"/>
              </w:rPr>
              <w:t>Middle East, Russia, CIS</w:t>
            </w:r>
          </w:p>
        </w:tc>
        <w:tc>
          <w:tcPr>
            <w:tcW w:w="440" w:type="dxa"/>
            <w:vAlign w:val="bottom"/>
            <w:shd w:val="clear" w:color="auto" w:fill="E4E3E1"/>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Oman</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191</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202</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214</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Abu Dhabi</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146</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147</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134</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Russia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51</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52</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35</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Syria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24</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30</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36</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Egypt</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11</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r>
      <w:tr>
        <w:trPr>
          <w:trHeight w:val="139"/>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Others</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Middle East, Russia, CIS</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433</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455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Other Eastern Hemisphere</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992</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1,036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1,044</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USA</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324</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322</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w:t>
            </w: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2"/>
                <w:szCs w:val="12"/>
                <w:b w:val="1"/>
                <w:bCs w:val="1"/>
                <w:color w:val="auto"/>
              </w:rPr>
              <w:t>Other Western Hemisphere</w:t>
            </w:r>
          </w:p>
        </w:tc>
        <w:tc>
          <w:tcPr>
            <w:tcW w:w="440" w:type="dxa"/>
            <w:vAlign w:val="bottom"/>
            <w:shd w:val="clear" w:color="auto" w:fill="E4E3E1"/>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Canada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47</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38</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39</w:t>
            </w:r>
          </w:p>
        </w:tc>
      </w:tr>
      <w:tr>
        <w:trPr>
          <w:trHeight w:val="133"/>
        </w:trPr>
        <w:tc>
          <w:tcPr>
            <w:tcW w:w="3660" w:type="dxa"/>
            <w:vAlign w:val="bottom"/>
          </w:tcPr>
          <w:p>
            <w:pPr>
              <w:spacing w:after="0" w:line="133" w:lineRule="exact"/>
              <w:rPr>
                <w:sz w:val="20"/>
                <w:szCs w:val="20"/>
                <w:color w:val="auto"/>
              </w:rPr>
            </w:pPr>
            <w:r>
              <w:rPr>
                <w:rFonts w:ascii="Arial" w:cs="Arial" w:eastAsia="Arial" w:hAnsi="Arial"/>
                <w:sz w:val="12"/>
                <w:szCs w:val="12"/>
                <w:color w:val="auto"/>
              </w:rPr>
              <w:t>Venezuela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9</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31</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r>
      <w:tr>
        <w:trPr>
          <w:trHeight w:val="119"/>
        </w:trPr>
        <w:tc>
          <w:tcPr>
            <w:tcW w:w="3660" w:type="dxa"/>
            <w:vAlign w:val="bottom"/>
          </w:tcPr>
          <w:p>
            <w:pPr>
              <w:spacing w:after="0" w:line="120" w:lineRule="exact"/>
              <w:rPr>
                <w:sz w:val="20"/>
                <w:szCs w:val="20"/>
                <w:color w:val="auto"/>
              </w:rPr>
            </w:pPr>
            <w:r>
              <w:rPr>
                <w:rFonts w:ascii="Arial" w:cs="Arial" w:eastAsia="Arial" w:hAnsi="Arial"/>
                <w:sz w:val="12"/>
                <w:szCs w:val="12"/>
                <w:color w:val="auto"/>
              </w:rPr>
              <w:t>Brazil</w:t>
            </w:r>
          </w:p>
        </w:tc>
        <w:tc>
          <w:tcPr>
            <w:tcW w:w="44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rPr>
              <w:t>22</w:t>
            </w:r>
          </w:p>
        </w:tc>
        <w:tc>
          <w:tcPr>
            <w:tcW w:w="820" w:type="dxa"/>
            <w:vAlign w:val="bottom"/>
          </w:tcPr>
          <w:p>
            <w:pPr>
              <w:jc w:val="right"/>
              <w:ind w:right="118"/>
              <w:spacing w:after="0" w:line="120" w:lineRule="exact"/>
              <w:rPr>
                <w:sz w:val="20"/>
                <w:szCs w:val="20"/>
                <w:color w:val="auto"/>
              </w:rPr>
            </w:pPr>
            <w:r>
              <w:rPr>
                <w:rFonts w:ascii="Arial" w:cs="Arial" w:eastAsia="Arial" w:hAnsi="Arial"/>
                <w:sz w:val="12"/>
                <w:szCs w:val="12"/>
                <w:color w:val="auto"/>
              </w:rPr>
              <w:t>25</w:t>
            </w:r>
          </w:p>
        </w:tc>
        <w:tc>
          <w:tcPr>
            <w:tcW w:w="560" w:type="dxa"/>
            <w:vAlign w:val="bottom"/>
          </w:tcPr>
          <w:p>
            <w:pPr>
              <w:jc w:val="right"/>
              <w:spacing w:after="0" w:line="120" w:lineRule="exact"/>
              <w:rPr>
                <w:sz w:val="20"/>
                <w:szCs w:val="20"/>
                <w:color w:val="auto"/>
              </w:rPr>
            </w:pPr>
            <w:r>
              <w:rPr>
                <w:rFonts w:ascii="Arial" w:cs="Arial" w:eastAsia="Arial" w:hAnsi="Arial"/>
                <w:sz w:val="12"/>
                <w:szCs w:val="12"/>
                <w:color w:val="auto"/>
              </w:rPr>
              <w:t>26</w:t>
            </w:r>
          </w:p>
        </w:tc>
      </w:tr>
      <w:tr>
        <w:trPr>
          <w:trHeight w:val="153"/>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Others</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b w:val="1"/>
                <w:bCs w:val="1"/>
                <w:color w:val="auto"/>
              </w:rPr>
              <w:t>[B]</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40"/>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Other Western Hemisphere</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79</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94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r>
      <w:tr>
        <w:trPr>
          <w:trHeight w:val="146"/>
        </w:trPr>
        <w:tc>
          <w:tcPr>
            <w:tcW w:w="3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Grand total</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1,818</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1,948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1,998</w:t>
            </w:r>
          </w:p>
        </w:tc>
      </w:tr>
      <w:tr>
        <w:trPr>
          <w:trHeight w:val="147"/>
        </w:trPr>
        <w:tc>
          <w:tcPr>
            <w:tcW w:w="3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73"/>
        </w:trPr>
        <w:tc>
          <w:tcPr>
            <w:tcW w:w="3660" w:type="dxa"/>
            <w:vAlign w:val="bottom"/>
            <w:shd w:val="clear" w:color="auto" w:fill="005696"/>
          </w:tcPr>
          <w:p>
            <w:pPr>
              <w:spacing w:after="0"/>
              <w:rPr>
                <w:sz w:val="15"/>
                <w:szCs w:val="15"/>
                <w:color w:val="auto"/>
              </w:rPr>
            </w:pPr>
          </w:p>
        </w:tc>
        <w:tc>
          <w:tcPr>
            <w:tcW w:w="440" w:type="dxa"/>
            <w:vAlign w:val="bottom"/>
            <w:shd w:val="clear" w:color="auto" w:fill="005696"/>
          </w:tcPr>
          <w:p>
            <w:pPr>
              <w:spacing w:after="0"/>
              <w:rPr>
                <w:sz w:val="15"/>
                <w:szCs w:val="15"/>
                <w:color w:val="auto"/>
              </w:rPr>
            </w:pPr>
          </w:p>
        </w:tc>
        <w:tc>
          <w:tcPr>
            <w:tcW w:w="1380" w:type="dxa"/>
            <w:vAlign w:val="bottom"/>
            <w:gridSpan w:val="2"/>
            <w:shd w:val="clear" w:color="auto" w:fill="005696"/>
          </w:tcPr>
          <w:p>
            <w:pPr>
              <w:jc w:val="right"/>
              <w:spacing w:after="0"/>
              <w:rPr>
                <w:sz w:val="20"/>
                <w:szCs w:val="20"/>
                <w:color w:val="auto"/>
              </w:rPr>
            </w:pPr>
            <w:r>
              <w:rPr>
                <w:rFonts w:ascii="Arial" w:cs="Arial" w:eastAsia="Arial" w:hAnsi="Arial"/>
                <w:sz w:val="12"/>
                <w:szCs w:val="12"/>
                <w:b w:val="1"/>
                <w:bCs w:val="1"/>
                <w:color w:val="FFFFFF"/>
              </w:rPr>
              <w:t>million tonnes a year</w:t>
            </w:r>
          </w:p>
        </w:tc>
      </w:tr>
      <w:tr>
        <w:trPr>
          <w:trHeight w:val="140"/>
        </w:trPr>
        <w:tc>
          <w:tcPr>
            <w:tcW w:w="36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Metric equivalent</w:t>
            </w:r>
          </w:p>
        </w:tc>
        <w:tc>
          <w:tcPr>
            <w:tcW w:w="440" w:type="dxa"/>
            <w:vAlign w:val="bottom"/>
            <w:tcBorders>
              <w:bottom w:val="single" w:sz="8" w:color="auto"/>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91</w:t>
            </w:r>
          </w:p>
        </w:tc>
        <w:tc>
          <w:tcPr>
            <w:tcW w:w="820" w:type="dxa"/>
            <w:vAlign w:val="bottom"/>
            <w:tcBorders>
              <w:bottom w:val="single" w:sz="8" w:color="auto"/>
            </w:tcBorders>
          </w:tcPr>
          <w:p>
            <w:pPr>
              <w:jc w:val="right"/>
              <w:ind w:right="118"/>
              <w:spacing w:after="0" w:line="133" w:lineRule="exact"/>
              <w:rPr>
                <w:sz w:val="20"/>
                <w:szCs w:val="20"/>
                <w:color w:val="auto"/>
              </w:rPr>
            </w:pPr>
            <w:r>
              <w:rPr>
                <w:rFonts w:ascii="Arial" w:cs="Arial" w:eastAsia="Arial" w:hAnsi="Arial"/>
                <w:sz w:val="12"/>
                <w:szCs w:val="12"/>
                <w:color w:val="auto"/>
              </w:rPr>
              <w:t>97</w:t>
            </w: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100</w:t>
            </w:r>
          </w:p>
        </w:tc>
      </w:tr>
    </w:tbl>
    <w:p>
      <w:pPr>
        <w:spacing w:after="0" w:line="74" w:lineRule="exact"/>
        <w:rPr>
          <w:sz w:val="20"/>
          <w:szCs w:val="20"/>
          <w:color w:val="auto"/>
        </w:rPr>
      </w:pPr>
    </w:p>
    <w:p>
      <w:pPr>
        <w:ind w:left="220" w:right="100" w:hanging="213"/>
        <w:spacing w:after="0" w:line="231" w:lineRule="auto"/>
        <w:tabs>
          <w:tab w:leader="none" w:pos="2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Of Shell subsidiaries, plus share of equity-accounted investments, and including natural gas liquids (share of equity-accounted investments is assumed to be equivalent to Shell interest). Oil sands and royalty purchases are excluded. In those countries where PSCs operate, the figures shown represent the entitlements of the subsidiaries concerned under those contracts.</w:t>
      </w:r>
    </w:p>
    <w:p>
      <w:pPr>
        <w:spacing w:after="0" w:line="1" w:lineRule="exact"/>
        <w:rPr>
          <w:rFonts w:ascii="Arial" w:cs="Arial" w:eastAsia="Arial" w:hAnsi="Arial"/>
          <w:sz w:val="12"/>
          <w:szCs w:val="12"/>
          <w:color w:val="auto"/>
        </w:rPr>
      </w:pPr>
    </w:p>
    <w:p>
      <w:pPr>
        <w:ind w:left="220" w:hanging="213"/>
        <w:spacing w:after="0"/>
        <w:tabs>
          <w:tab w:leader="none" w:pos="2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Fewer than 1,000 barrels per day.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0" w:hanging="273"/>
        <w:spacing w:after="0"/>
        <w:tabs>
          <w:tab w:leader="none" w:pos="280" w:val="left"/>
        </w:tabs>
        <w:numPr>
          <w:ilvl w:val="0"/>
          <w:numId w:val="3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640" w:type="dxa"/>
            <w:vAlign w:val="bottom"/>
            <w:shd w:val="clear" w:color="auto" w:fill="005696"/>
          </w:tcPr>
          <w:p>
            <w:pPr>
              <w:spacing w:after="0"/>
              <w:rPr>
                <w:sz w:val="13"/>
                <w:szCs w:val="13"/>
                <w:color w:val="auto"/>
              </w:rPr>
            </w:pPr>
          </w:p>
        </w:tc>
        <w:tc>
          <w:tcPr>
            <w:tcW w:w="440" w:type="dxa"/>
            <w:vAlign w:val="bottom"/>
            <w:shd w:val="clear" w:color="auto" w:fill="005696"/>
          </w:tcPr>
          <w:p>
            <w:pPr>
              <w:spacing w:after="0"/>
              <w:rPr>
                <w:sz w:val="13"/>
                <w:szCs w:val="13"/>
                <w:color w:val="auto"/>
              </w:rPr>
            </w:pPr>
          </w:p>
        </w:tc>
        <w:tc>
          <w:tcPr>
            <w:tcW w:w="1380" w:type="dxa"/>
            <w:vAlign w:val="bottom"/>
            <w:gridSpan w:val="2"/>
            <w:shd w:val="clear" w:color="auto" w:fill="005696"/>
          </w:tcPr>
          <w:p>
            <w:pPr>
              <w:jc w:val="right"/>
              <w:spacing w:after="0"/>
              <w:rPr>
                <w:sz w:val="20"/>
                <w:szCs w:val="20"/>
                <w:color w:val="auto"/>
              </w:rPr>
            </w:pPr>
            <w:r>
              <w:rPr>
                <w:rFonts w:ascii="Arial" w:cs="Arial" w:eastAsia="Arial" w:hAnsi="Arial"/>
                <w:sz w:val="12"/>
                <w:szCs w:val="12"/>
                <w:b w:val="1"/>
                <w:bCs w:val="1"/>
                <w:color w:val="FFFFFF"/>
              </w:rPr>
              <w:t>million standard cubic</w:t>
            </w:r>
          </w:p>
        </w:tc>
      </w:tr>
      <w:tr>
        <w:trPr>
          <w:trHeight w:val="153"/>
        </w:trPr>
        <w:tc>
          <w:tcPr>
            <w:tcW w:w="20" w:type="dxa"/>
            <w:vAlign w:val="bottom"/>
          </w:tcPr>
          <w:p>
            <w:pPr>
              <w:spacing w:after="0"/>
              <w:rPr>
                <w:sz w:val="13"/>
                <w:szCs w:val="13"/>
                <w:color w:val="auto"/>
              </w:rPr>
            </w:pPr>
          </w:p>
        </w:tc>
        <w:tc>
          <w:tcPr>
            <w:tcW w:w="3640" w:type="dxa"/>
            <w:vAlign w:val="bottom"/>
            <w:shd w:val="clear" w:color="auto" w:fill="005696"/>
          </w:tcPr>
          <w:p>
            <w:pPr>
              <w:ind w:left="20"/>
              <w:spacing w:after="0"/>
              <w:rPr>
                <w:sz w:val="20"/>
                <w:szCs w:val="20"/>
                <w:color w:val="auto"/>
              </w:rPr>
            </w:pPr>
            <w:r>
              <w:rPr>
                <w:rFonts w:ascii="Arial" w:cs="Arial" w:eastAsia="Arial" w:hAnsi="Arial"/>
                <w:sz w:val="12"/>
                <w:szCs w:val="12"/>
                <w:b w:val="1"/>
                <w:bCs w:val="1"/>
                <w:color w:val="FFFFFF"/>
              </w:rPr>
              <w:t>NATURAL GAS PRODUCTION AVAILABLE FOR SALE[A]</w:t>
            </w:r>
          </w:p>
        </w:tc>
        <w:tc>
          <w:tcPr>
            <w:tcW w:w="440" w:type="dxa"/>
            <w:vAlign w:val="bottom"/>
            <w:shd w:val="clear" w:color="auto" w:fill="005696"/>
          </w:tcPr>
          <w:p>
            <w:pPr>
              <w:spacing w:after="0"/>
              <w:rPr>
                <w:sz w:val="13"/>
                <w:szCs w:val="13"/>
                <w:color w:val="auto"/>
              </w:rPr>
            </w:pPr>
          </w:p>
        </w:tc>
        <w:tc>
          <w:tcPr>
            <w:tcW w:w="740" w:type="dxa"/>
            <w:vAlign w:val="bottom"/>
            <w:shd w:val="clear" w:color="auto" w:fill="005696"/>
          </w:tcPr>
          <w:p>
            <w:pPr>
              <w:spacing w:after="0"/>
              <w:rPr>
                <w:sz w:val="13"/>
                <w:szCs w:val="13"/>
                <w:color w:val="auto"/>
              </w:rPr>
            </w:pPr>
          </w:p>
        </w:tc>
        <w:tc>
          <w:tcPr>
            <w:tcW w:w="640" w:type="dxa"/>
            <w:vAlign w:val="bottom"/>
            <w:shd w:val="clear" w:color="auto" w:fill="005696"/>
          </w:tcPr>
          <w:p>
            <w:pPr>
              <w:jc w:val="right"/>
              <w:spacing w:after="0"/>
              <w:rPr>
                <w:sz w:val="20"/>
                <w:szCs w:val="20"/>
                <w:color w:val="auto"/>
              </w:rPr>
            </w:pPr>
            <w:r>
              <w:rPr>
                <w:rFonts w:ascii="Arial" w:cs="Arial" w:eastAsia="Arial" w:hAnsi="Arial"/>
                <w:sz w:val="12"/>
                <w:szCs w:val="12"/>
                <w:b w:val="1"/>
                <w:bCs w:val="1"/>
                <w:color w:val="FFFFFF"/>
              </w:rPr>
              <w:t>feet/day</w:t>
            </w:r>
          </w:p>
        </w:tc>
      </w:tr>
      <w:tr>
        <w:trPr>
          <w:trHeight w:val="173"/>
        </w:trPr>
        <w:tc>
          <w:tcPr>
            <w:tcW w:w="20" w:type="dxa"/>
            <w:vAlign w:val="bottom"/>
          </w:tcPr>
          <w:p>
            <w:pPr>
              <w:spacing w:after="0"/>
              <w:rPr>
                <w:sz w:val="15"/>
                <w:szCs w:val="15"/>
                <w:color w:val="auto"/>
              </w:rPr>
            </w:pPr>
          </w:p>
        </w:tc>
        <w:tc>
          <w:tcPr>
            <w:tcW w:w="3640" w:type="dxa"/>
            <w:vAlign w:val="bottom"/>
            <w:shd w:val="clear" w:color="auto" w:fill="CECAC6"/>
          </w:tcPr>
          <w:p>
            <w:pPr>
              <w:spacing w:after="0"/>
              <w:rPr>
                <w:sz w:val="15"/>
                <w:szCs w:val="15"/>
                <w:color w:val="auto"/>
              </w:rPr>
            </w:pPr>
          </w:p>
        </w:tc>
        <w:tc>
          <w:tcPr>
            <w:tcW w:w="4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74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67"/>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Europe</w:t>
            </w:r>
          </w:p>
        </w:tc>
        <w:tc>
          <w:tcPr>
            <w:tcW w:w="440" w:type="dxa"/>
            <w:vAlign w:val="bottom"/>
            <w:shd w:val="clear" w:color="auto" w:fill="E4E3E1"/>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The Netherlands</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1,518</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1,525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1,562</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UK</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663</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775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925</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Germany</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390</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421</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428</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Denmark</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369</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416</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410</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Norway</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357</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325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298</w:t>
            </w:r>
          </w:p>
        </w:tc>
      </w:tr>
      <w:tr>
        <w:trPr>
          <w:trHeight w:val="139"/>
        </w:trPr>
        <w:tc>
          <w:tcPr>
            <w:tcW w:w="3660" w:type="dxa"/>
            <w:vAlign w:val="bottom"/>
            <w:gridSpan w:val="2"/>
          </w:tcPr>
          <w:p>
            <w:pPr>
              <w:spacing w:after="0"/>
              <w:rPr>
                <w:sz w:val="20"/>
                <w:szCs w:val="20"/>
                <w:color w:val="auto"/>
              </w:rPr>
            </w:pPr>
            <w:r>
              <w:rPr>
                <w:rFonts w:ascii="Arial" w:cs="Arial" w:eastAsia="Arial" w:hAnsi="Arial"/>
                <w:sz w:val="12"/>
                <w:szCs w:val="12"/>
                <w:color w:val="auto"/>
              </w:rPr>
              <w:t>Others</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53</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61</w:t>
            </w:r>
          </w:p>
        </w:tc>
        <w:tc>
          <w:tcPr>
            <w:tcW w:w="64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0"/>
        </w:trPr>
        <w:tc>
          <w:tcPr>
            <w:tcW w:w="20" w:type="dxa"/>
            <w:vAlign w:val="bottom"/>
            <w:tcBorders>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Europe</w:t>
            </w:r>
          </w:p>
        </w:tc>
        <w:tc>
          <w:tcPr>
            <w:tcW w:w="44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3,350</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3,523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3,659</w:t>
            </w:r>
          </w:p>
        </w:tc>
      </w:tr>
      <w:tr>
        <w:trPr>
          <w:trHeight w:val="120"/>
        </w:trPr>
        <w:tc>
          <w:tcPr>
            <w:tcW w:w="366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Other Eastern Hemisphere</w:t>
            </w:r>
          </w:p>
        </w:tc>
        <w:tc>
          <w:tcPr>
            <w:tcW w:w="440" w:type="dxa"/>
            <w:vAlign w:val="bottom"/>
            <w:shd w:val="clear" w:color="auto" w:fill="E4E3E1"/>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7"/>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Africa</w:t>
            </w:r>
          </w:p>
        </w:tc>
        <w:tc>
          <w:tcPr>
            <w:tcW w:w="440" w:type="dxa"/>
            <w:vAlign w:val="bottom"/>
            <w:shd w:val="clear" w:color="auto" w:fill="E4E3E1"/>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39"/>
        </w:trPr>
        <w:tc>
          <w:tcPr>
            <w:tcW w:w="3660" w:type="dxa"/>
            <w:vAlign w:val="bottom"/>
            <w:gridSpan w:val="2"/>
          </w:tcPr>
          <w:p>
            <w:pPr>
              <w:spacing w:after="0"/>
              <w:rPr>
                <w:sz w:val="20"/>
                <w:szCs w:val="20"/>
                <w:color w:val="auto"/>
              </w:rPr>
            </w:pPr>
            <w:r>
              <w:rPr>
                <w:rFonts w:ascii="Arial" w:cs="Arial" w:eastAsia="Arial" w:hAnsi="Arial"/>
                <w:sz w:val="12"/>
                <w:szCs w:val="12"/>
                <w:color w:val="auto"/>
              </w:rPr>
              <w:t>Nigeria</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584</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455</w:t>
            </w:r>
          </w:p>
        </w:tc>
        <w:tc>
          <w:tcPr>
            <w:tcW w:w="640" w:type="dxa"/>
            <w:vAlign w:val="bottom"/>
          </w:tcPr>
          <w:p>
            <w:pPr>
              <w:jc w:val="right"/>
              <w:spacing w:after="0"/>
              <w:rPr>
                <w:sz w:val="20"/>
                <w:szCs w:val="20"/>
                <w:color w:val="auto"/>
              </w:rPr>
            </w:pPr>
            <w:r>
              <w:rPr>
                <w:rFonts w:ascii="Arial" w:cs="Arial" w:eastAsia="Arial" w:hAnsi="Arial"/>
                <w:sz w:val="12"/>
                <w:szCs w:val="12"/>
                <w:color w:val="auto"/>
              </w:rPr>
              <w:t>377</w:t>
            </w:r>
          </w:p>
        </w:tc>
      </w:tr>
      <w:tr>
        <w:trPr>
          <w:trHeight w:val="140"/>
        </w:trPr>
        <w:tc>
          <w:tcPr>
            <w:tcW w:w="20" w:type="dxa"/>
            <w:vAlign w:val="bottom"/>
            <w:tcBorders>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Africa</w:t>
            </w:r>
          </w:p>
        </w:tc>
        <w:tc>
          <w:tcPr>
            <w:tcW w:w="44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584</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455</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377</w:t>
            </w:r>
          </w:p>
        </w:tc>
      </w:tr>
      <w:tr>
        <w:trPr>
          <w:trHeight w:val="134"/>
        </w:trPr>
        <w:tc>
          <w:tcPr>
            <w:tcW w:w="3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Asia Pacific</w:t>
            </w:r>
          </w:p>
        </w:tc>
        <w:tc>
          <w:tcPr>
            <w:tcW w:w="440" w:type="dxa"/>
            <w:vAlign w:val="bottom"/>
            <w:shd w:val="clear" w:color="auto" w:fill="E4E3E1"/>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Malaysia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865</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956</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858</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Brunei</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553</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574</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544</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Australia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542</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529</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525</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New Zealand</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230</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241</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234</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China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106</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36</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3660" w:type="dxa"/>
            <w:vAlign w:val="bottom"/>
            <w:gridSpan w:val="2"/>
          </w:tcPr>
          <w:p>
            <w:pPr>
              <w:spacing w:after="0"/>
              <w:rPr>
                <w:sz w:val="20"/>
                <w:szCs w:val="20"/>
                <w:color w:val="auto"/>
              </w:rPr>
            </w:pPr>
            <w:r>
              <w:rPr>
                <w:rFonts w:ascii="Arial" w:cs="Arial" w:eastAsia="Arial" w:hAnsi="Arial"/>
                <w:sz w:val="12"/>
                <w:szCs w:val="12"/>
                <w:color w:val="auto"/>
              </w:rPr>
              <w:t>Others</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109</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85</w:t>
            </w:r>
          </w:p>
        </w:tc>
        <w:tc>
          <w:tcPr>
            <w:tcW w:w="640" w:type="dxa"/>
            <w:vAlign w:val="bottom"/>
          </w:tcPr>
          <w:p>
            <w:pPr>
              <w:jc w:val="right"/>
              <w:spacing w:after="0"/>
              <w:rPr>
                <w:sz w:val="20"/>
                <w:szCs w:val="20"/>
                <w:color w:val="auto"/>
              </w:rPr>
            </w:pPr>
            <w:r>
              <w:rPr>
                <w:rFonts w:ascii="Arial" w:cs="Arial" w:eastAsia="Arial" w:hAnsi="Arial"/>
                <w:sz w:val="12"/>
                <w:szCs w:val="12"/>
                <w:color w:val="auto"/>
              </w:rPr>
              <w:t>89</w:t>
            </w:r>
          </w:p>
        </w:tc>
      </w:tr>
      <w:tr>
        <w:trPr>
          <w:trHeight w:val="140"/>
        </w:trPr>
        <w:tc>
          <w:tcPr>
            <w:tcW w:w="20" w:type="dxa"/>
            <w:vAlign w:val="bottom"/>
            <w:tcBorders>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Asia Pacific</w:t>
            </w:r>
          </w:p>
        </w:tc>
        <w:tc>
          <w:tcPr>
            <w:tcW w:w="44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2,405</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2,421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2,250</w:t>
            </w:r>
          </w:p>
        </w:tc>
      </w:tr>
      <w:tr>
        <w:trPr>
          <w:trHeight w:val="134"/>
        </w:trPr>
        <w:tc>
          <w:tcPr>
            <w:tcW w:w="3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Middle East, Russia, CIS</w:t>
            </w:r>
          </w:p>
        </w:tc>
        <w:tc>
          <w:tcPr>
            <w:tcW w:w="440" w:type="dxa"/>
            <w:vAlign w:val="bottom"/>
            <w:shd w:val="clear" w:color="auto" w:fill="E4E3E1"/>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Egypt</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167</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238</w:t>
            </w: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Pakistan</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76</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79</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75</w:t>
            </w:r>
          </w:p>
        </w:tc>
      </w:tr>
      <w:tr>
        <w:trPr>
          <w:trHeight w:val="139"/>
        </w:trPr>
        <w:tc>
          <w:tcPr>
            <w:tcW w:w="3660" w:type="dxa"/>
            <w:vAlign w:val="bottom"/>
            <w:gridSpan w:val="2"/>
          </w:tcPr>
          <w:p>
            <w:pPr>
              <w:spacing w:after="0"/>
              <w:rPr>
                <w:sz w:val="20"/>
                <w:szCs w:val="20"/>
                <w:color w:val="auto"/>
              </w:rPr>
            </w:pPr>
            <w:r>
              <w:rPr>
                <w:rFonts w:ascii="Arial" w:cs="Arial" w:eastAsia="Arial" w:hAnsi="Arial"/>
                <w:sz w:val="12"/>
                <w:szCs w:val="12"/>
                <w:color w:val="auto"/>
              </w:rPr>
              <w:t>Syria</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7</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11</w:t>
            </w:r>
          </w:p>
        </w:tc>
        <w:tc>
          <w:tcPr>
            <w:tcW w:w="64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0"/>
        </w:trPr>
        <w:tc>
          <w:tcPr>
            <w:tcW w:w="20" w:type="dxa"/>
            <w:vAlign w:val="bottom"/>
            <w:tcBorders>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Middle East, Russia, CIS</w:t>
            </w:r>
          </w:p>
        </w:tc>
        <w:tc>
          <w:tcPr>
            <w:tcW w:w="44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250</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291</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328</w:t>
            </w:r>
          </w:p>
        </w:tc>
      </w:tr>
      <w:tr>
        <w:trPr>
          <w:trHeight w:val="140"/>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 Other Eastern Hemisphere</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3,239</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3,167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2,955</w:t>
            </w:r>
          </w:p>
        </w:tc>
      </w:tr>
      <w:tr>
        <w:trPr>
          <w:trHeight w:val="140"/>
        </w:trPr>
        <w:tc>
          <w:tcPr>
            <w:tcW w:w="3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USA</w:t>
            </w:r>
          </w:p>
        </w:tc>
        <w:tc>
          <w:tcPr>
            <w:tcW w:w="4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1,130</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1,163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1,150</w:t>
            </w:r>
          </w:p>
        </w:tc>
      </w:tr>
      <w:tr>
        <w:trPr>
          <w:trHeight w:val="134"/>
        </w:trPr>
        <w:tc>
          <w:tcPr>
            <w:tcW w:w="3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Other Western Hemisphere</w:t>
            </w:r>
          </w:p>
        </w:tc>
        <w:tc>
          <w:tcPr>
            <w:tcW w:w="440" w:type="dxa"/>
            <w:vAlign w:val="bottom"/>
            <w:shd w:val="clear" w:color="auto" w:fill="E4E3E1"/>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3"/>
        </w:trPr>
        <w:tc>
          <w:tcPr>
            <w:tcW w:w="3660" w:type="dxa"/>
            <w:vAlign w:val="bottom"/>
            <w:gridSpan w:val="2"/>
          </w:tcPr>
          <w:p>
            <w:pPr>
              <w:spacing w:after="0" w:line="133" w:lineRule="exact"/>
              <w:rPr>
                <w:sz w:val="20"/>
                <w:szCs w:val="20"/>
                <w:color w:val="auto"/>
              </w:rPr>
            </w:pPr>
            <w:r>
              <w:rPr>
                <w:rFonts w:ascii="Arial" w:cs="Arial" w:eastAsia="Arial" w:hAnsi="Arial"/>
                <w:sz w:val="12"/>
                <w:szCs w:val="12"/>
                <w:color w:val="auto"/>
              </w:rPr>
              <w:t>Canada</w:t>
            </w:r>
          </w:p>
        </w:tc>
        <w:tc>
          <w:tcPr>
            <w:tcW w:w="4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402</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413</w:t>
            </w:r>
          </w:p>
        </w:tc>
      </w:tr>
      <w:tr>
        <w:trPr>
          <w:trHeight w:val="139"/>
        </w:trPr>
        <w:tc>
          <w:tcPr>
            <w:tcW w:w="3660" w:type="dxa"/>
            <w:vAlign w:val="bottom"/>
            <w:gridSpan w:val="2"/>
          </w:tcPr>
          <w:p>
            <w:pPr>
              <w:spacing w:after="0"/>
              <w:rPr>
                <w:sz w:val="20"/>
                <w:szCs w:val="20"/>
                <w:color w:val="auto"/>
              </w:rPr>
            </w:pPr>
            <w:r>
              <w:rPr>
                <w:rFonts w:ascii="Arial" w:cs="Arial" w:eastAsia="Arial" w:hAnsi="Arial"/>
                <w:sz w:val="12"/>
                <w:szCs w:val="12"/>
                <w:color w:val="auto"/>
              </w:rPr>
              <w:t>Others</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93</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90</w:t>
            </w:r>
          </w:p>
        </w:tc>
        <w:tc>
          <w:tcPr>
            <w:tcW w:w="640" w:type="dxa"/>
            <w:vAlign w:val="bottom"/>
          </w:tcPr>
          <w:p>
            <w:pPr>
              <w:jc w:val="right"/>
              <w:spacing w:after="0"/>
              <w:rPr>
                <w:sz w:val="20"/>
                <w:szCs w:val="20"/>
                <w:color w:val="auto"/>
              </w:rPr>
            </w:pPr>
            <w:r>
              <w:rPr>
                <w:rFonts w:ascii="Arial" w:cs="Arial" w:eastAsia="Arial" w:hAnsi="Arial"/>
                <w:sz w:val="12"/>
                <w:szCs w:val="12"/>
                <w:color w:val="auto"/>
              </w:rPr>
              <w:t>86</w:t>
            </w:r>
          </w:p>
        </w:tc>
      </w:tr>
      <w:tr>
        <w:trPr>
          <w:trHeight w:val="140"/>
        </w:trPr>
        <w:tc>
          <w:tcPr>
            <w:tcW w:w="20" w:type="dxa"/>
            <w:vAlign w:val="bottom"/>
            <w:tcBorders>
              <w:bottom w:val="single" w:sz="8" w:color="auto"/>
            </w:tcBorders>
          </w:tcPr>
          <w:p>
            <w:pPr>
              <w:spacing w:after="0"/>
              <w:rPr>
                <w:sz w:val="12"/>
                <w:szCs w:val="12"/>
                <w:color w:val="auto"/>
              </w:rPr>
            </w:pPr>
          </w:p>
        </w:tc>
        <w:tc>
          <w:tcPr>
            <w:tcW w:w="3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Other Western Hemisphere</w:t>
            </w:r>
          </w:p>
        </w:tc>
        <w:tc>
          <w:tcPr>
            <w:tcW w:w="44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495</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515</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499</w:t>
            </w:r>
          </w:p>
        </w:tc>
      </w:tr>
      <w:tr>
        <w:trPr>
          <w:trHeight w:val="140"/>
        </w:trPr>
        <w:tc>
          <w:tcPr>
            <w:tcW w:w="3660" w:type="dxa"/>
            <w:vAlign w:val="bottom"/>
            <w:gridSpan w:val="2"/>
          </w:tcPr>
          <w:p>
            <w:pPr>
              <w:spacing w:after="0"/>
              <w:rPr>
                <w:sz w:val="20"/>
                <w:szCs w:val="20"/>
                <w:color w:val="auto"/>
              </w:rPr>
            </w:pPr>
            <w:r>
              <w:rPr>
                <w:rFonts w:ascii="Arial" w:cs="Arial" w:eastAsia="Arial" w:hAnsi="Arial"/>
                <w:sz w:val="12"/>
                <w:szCs w:val="12"/>
                <w:b w:val="1"/>
                <w:bCs w:val="1"/>
                <w:color w:val="auto"/>
              </w:rPr>
              <w:t>Grand total</w:t>
            </w:r>
          </w:p>
        </w:tc>
        <w:tc>
          <w:tcPr>
            <w:tcW w:w="4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8,214</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8,368</w:t>
            </w:r>
          </w:p>
        </w:tc>
        <w:tc>
          <w:tcPr>
            <w:tcW w:w="640" w:type="dxa"/>
            <w:vAlign w:val="bottom"/>
          </w:tcPr>
          <w:p>
            <w:pPr>
              <w:jc w:val="right"/>
              <w:spacing w:after="0"/>
              <w:rPr>
                <w:sz w:val="20"/>
                <w:szCs w:val="20"/>
                <w:color w:val="auto"/>
              </w:rPr>
            </w:pPr>
            <w:r>
              <w:rPr>
                <w:rFonts w:ascii="Arial" w:cs="Arial" w:eastAsia="Arial" w:hAnsi="Arial"/>
                <w:sz w:val="12"/>
                <w:szCs w:val="12"/>
                <w:color w:val="auto"/>
              </w:rPr>
              <w:t>8,263</w:t>
            </w:r>
          </w:p>
        </w:tc>
      </w:tr>
      <w:tr>
        <w:trPr>
          <w:trHeight w:val="27"/>
        </w:trPr>
        <w:tc>
          <w:tcPr>
            <w:tcW w:w="20" w:type="dxa"/>
            <w:vAlign w:val="bottom"/>
          </w:tcPr>
          <w:p>
            <w:pPr>
              <w:spacing w:after="0"/>
              <w:rPr>
                <w:sz w:val="2"/>
                <w:szCs w:val="2"/>
                <w:color w:val="auto"/>
              </w:rPr>
            </w:pPr>
          </w:p>
        </w:tc>
        <w:tc>
          <w:tcPr>
            <w:tcW w:w="36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74" w:lineRule="exact"/>
        <w:rPr>
          <w:sz w:val="20"/>
          <w:szCs w:val="20"/>
          <w:color w:val="auto"/>
        </w:rPr>
      </w:pPr>
    </w:p>
    <w:p>
      <w:pPr>
        <w:ind w:left="220" w:right="40" w:hanging="218"/>
        <w:spacing w:after="0"/>
        <w:tabs>
          <w:tab w:leader="none" w:pos="2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By country of origin from gas produced by Shell subsidiaries and equity-accounted investments (Shell share). In those countries where PSCs operate, the figures shown represent the entitlements of the subsidiaries concerned under those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2089785</wp:posOffset>
            </wp:positionV>
            <wp:extent cx="725297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gridSpan w:val="3"/>
            <w:shd w:val="clear" w:color="auto" w:fill="005696"/>
          </w:tcPr>
          <w:p>
            <w:pPr>
              <w:ind w:left="40"/>
              <w:spacing w:after="0"/>
              <w:rPr>
                <w:sz w:val="20"/>
                <w:szCs w:val="20"/>
                <w:color w:val="auto"/>
              </w:rPr>
            </w:pPr>
            <w:r>
              <w:rPr>
                <w:rFonts w:ascii="Arial" w:cs="Arial" w:eastAsia="Arial" w:hAnsi="Arial"/>
                <w:sz w:val="12"/>
                <w:szCs w:val="12"/>
                <w:b w:val="1"/>
                <w:bCs w:val="1"/>
                <w:color w:val="FFFFFF"/>
              </w:rPr>
              <w:t>LOCATION OF ACTIVITIES[A][B] (At December 31, 2007)</w:t>
            </w:r>
          </w:p>
        </w:tc>
        <w:tc>
          <w:tcPr>
            <w:tcW w:w="960" w:type="dxa"/>
            <w:vAlign w:val="bottom"/>
            <w:shd w:val="clear" w:color="auto" w:fill="005696"/>
          </w:tcPr>
          <w:p>
            <w:pPr>
              <w:spacing w:after="0"/>
              <w:rPr>
                <w:sz w:val="16"/>
                <w:szCs w:val="16"/>
                <w:color w:val="auto"/>
              </w:rPr>
            </w:pPr>
          </w:p>
        </w:tc>
      </w:tr>
      <w:tr>
        <w:trPr>
          <w:trHeight w:val="167"/>
        </w:trPr>
        <w:tc>
          <w:tcPr>
            <w:tcW w:w="2110" w:type="dxa"/>
            <w:vAlign w:val="bottom"/>
            <w:shd w:val="clear" w:color="auto" w:fill="CECAC6"/>
          </w:tcPr>
          <w:p>
            <w:pPr>
              <w:spacing w:after="0"/>
              <w:rPr>
                <w:sz w:val="14"/>
                <w:szCs w:val="14"/>
                <w:color w:val="auto"/>
              </w:rPr>
            </w:pPr>
          </w:p>
        </w:tc>
        <w:tc>
          <w:tcPr>
            <w:tcW w:w="850" w:type="dxa"/>
            <w:vAlign w:val="bottom"/>
            <w:shd w:val="clear" w:color="auto" w:fill="CECAC6"/>
          </w:tcPr>
          <w:p>
            <w:pPr>
              <w:spacing w:after="0"/>
              <w:rPr>
                <w:sz w:val="14"/>
                <w:szCs w:val="14"/>
                <w:color w:val="auto"/>
              </w:rPr>
            </w:pPr>
          </w:p>
        </w:tc>
        <w:tc>
          <w:tcPr>
            <w:tcW w:w="122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Development and/</w:t>
            </w:r>
          </w:p>
        </w:tc>
        <w:tc>
          <w:tcPr>
            <w:tcW w:w="960" w:type="dxa"/>
            <w:vAlign w:val="bottom"/>
            <w:shd w:val="clear" w:color="auto" w:fill="CECAC6"/>
          </w:tcPr>
          <w:p>
            <w:pPr>
              <w:spacing w:after="0"/>
              <w:rPr>
                <w:sz w:val="14"/>
                <w:szCs w:val="14"/>
                <w:color w:val="auto"/>
              </w:rPr>
            </w:pPr>
          </w:p>
        </w:tc>
      </w:tr>
      <w:tr>
        <w:trPr>
          <w:trHeight w:val="152"/>
        </w:trPr>
        <w:tc>
          <w:tcPr>
            <w:tcW w:w="2110" w:type="dxa"/>
            <w:vAlign w:val="bottom"/>
            <w:shd w:val="clear" w:color="auto" w:fill="CECAC6"/>
          </w:tcPr>
          <w:p>
            <w:pPr>
              <w:ind w:left="40"/>
              <w:spacing w:after="0"/>
              <w:rPr>
                <w:sz w:val="20"/>
                <w:szCs w:val="20"/>
                <w:color w:val="auto"/>
              </w:rPr>
            </w:pPr>
            <w:r>
              <w:rPr>
                <w:rFonts w:ascii="Arial" w:cs="Arial" w:eastAsia="Arial" w:hAnsi="Arial"/>
                <w:sz w:val="12"/>
                <w:szCs w:val="12"/>
                <w:color w:val="auto"/>
              </w:rPr>
              <w:t>Location</w:t>
            </w:r>
          </w:p>
        </w:tc>
        <w:tc>
          <w:tcPr>
            <w:tcW w:w="850" w:type="dxa"/>
            <w:vAlign w:val="bottom"/>
            <w:shd w:val="clear" w:color="auto" w:fill="CECAC6"/>
          </w:tcPr>
          <w:p>
            <w:pPr>
              <w:ind w:left="30"/>
              <w:spacing w:after="0"/>
              <w:rPr>
                <w:sz w:val="20"/>
                <w:szCs w:val="20"/>
                <w:color w:val="auto"/>
              </w:rPr>
            </w:pPr>
            <w:r>
              <w:rPr>
                <w:rFonts w:ascii="Arial" w:cs="Arial" w:eastAsia="Arial" w:hAnsi="Arial"/>
                <w:sz w:val="12"/>
                <w:szCs w:val="12"/>
                <w:color w:val="auto"/>
              </w:rPr>
              <w:t>Exploration</w:t>
            </w:r>
          </w:p>
        </w:tc>
        <w:tc>
          <w:tcPr>
            <w:tcW w:w="12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or production</w:t>
            </w:r>
          </w:p>
        </w:tc>
        <w:tc>
          <w:tcPr>
            <w:tcW w:w="9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Shell Operator</w:t>
            </w:r>
            <w:r>
              <w:rPr>
                <w:rFonts w:ascii="Arial" w:cs="Arial" w:eastAsia="Arial" w:hAnsi="Arial"/>
                <w:sz w:val="10"/>
                <w:szCs w:val="10"/>
                <w:color w:val="auto"/>
              </w:rPr>
              <w:t>[C]</w:t>
            </w:r>
          </w:p>
        </w:tc>
      </w:tr>
      <w:tr>
        <w:trPr>
          <w:trHeight w:val="167"/>
        </w:trPr>
        <w:tc>
          <w:tcPr>
            <w:tcW w:w="2110" w:type="dxa"/>
            <w:vAlign w:val="bottom"/>
          </w:tcPr>
          <w:p>
            <w:pPr>
              <w:ind w:left="20"/>
              <w:spacing w:after="0"/>
              <w:rPr>
                <w:sz w:val="20"/>
                <w:szCs w:val="20"/>
                <w:color w:val="auto"/>
              </w:rPr>
            </w:pPr>
            <w:r>
              <w:rPr>
                <w:rFonts w:ascii="Arial" w:cs="Arial" w:eastAsia="Arial" w:hAnsi="Arial"/>
                <w:sz w:val="12"/>
                <w:szCs w:val="12"/>
                <w:b w:val="1"/>
                <w:bCs w:val="1"/>
                <w:color w:val="auto"/>
              </w:rPr>
              <w:t>Europe</w:t>
            </w:r>
          </w:p>
        </w:tc>
        <w:tc>
          <w:tcPr>
            <w:tcW w:w="85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Denmark</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Germany</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Ireland</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Italy</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The Netherlands</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Norway</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UK</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Ukraine</w:t>
            </w:r>
          </w:p>
        </w:tc>
        <w:tc>
          <w:tcPr>
            <w:tcW w:w="850" w:type="dxa"/>
            <w:vAlign w:val="bottom"/>
            <w:tcBorders>
              <w:bottom w:val="single" w:sz="8" w:color="auto"/>
            </w:tcBorders>
          </w:tcPr>
          <w:p>
            <w:pPr>
              <w:ind w:left="57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34"/>
        </w:trPr>
        <w:tc>
          <w:tcPr>
            <w:tcW w:w="211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Africa</w:t>
            </w:r>
          </w:p>
        </w:tc>
        <w:tc>
          <w:tcPr>
            <w:tcW w:w="85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Algeria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Cameroon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Gabon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Libya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Nigeria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Tunisia</w:t>
            </w:r>
          </w:p>
        </w:tc>
        <w:tc>
          <w:tcPr>
            <w:tcW w:w="850" w:type="dxa"/>
            <w:vAlign w:val="bottom"/>
            <w:tcBorders>
              <w:bottom w:val="single" w:sz="8" w:color="auto"/>
            </w:tcBorders>
          </w:tcPr>
          <w:p>
            <w:pPr>
              <w:ind w:left="57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11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Asia Pacific</w:t>
            </w:r>
          </w:p>
        </w:tc>
        <w:tc>
          <w:tcPr>
            <w:tcW w:w="85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Australia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Brunei</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China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Malaysia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New Zealand</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Philippines</w:t>
            </w:r>
          </w:p>
        </w:tc>
        <w:tc>
          <w:tcPr>
            <w:tcW w:w="850" w:type="dxa"/>
            <w:vAlign w:val="bottom"/>
            <w:tcBorders>
              <w:bottom w:val="single" w:sz="8" w:color="auto"/>
            </w:tcBorders>
          </w:tcPr>
          <w:p>
            <w:pPr>
              <w:ind w:left="57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11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Middle East, Russia, CIS</w:t>
            </w:r>
          </w:p>
        </w:tc>
        <w:tc>
          <w:tcPr>
            <w:tcW w:w="85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Abu Dhabi</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Azerbaijan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Egypt</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Iran</w:t>
            </w:r>
          </w:p>
        </w:tc>
        <w:tc>
          <w:tcPr>
            <w:tcW w:w="850" w:type="dxa"/>
            <w:vAlign w:val="bottom"/>
          </w:tcPr>
          <w:p>
            <w:pPr>
              <w:spacing w:after="0"/>
              <w:rPr>
                <w:sz w:val="11"/>
                <w:szCs w:val="11"/>
                <w:color w:val="auto"/>
              </w:rPr>
            </w:pP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Kazakhstan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Oman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Pakistan</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Qatar</w:t>
            </w:r>
          </w:p>
        </w:tc>
        <w:tc>
          <w:tcPr>
            <w:tcW w:w="850" w:type="dxa"/>
            <w:vAlign w:val="bottom"/>
          </w:tcPr>
          <w:p>
            <w:pPr>
              <w:spacing w:after="0"/>
              <w:rPr>
                <w:sz w:val="11"/>
                <w:szCs w:val="11"/>
                <w:color w:val="auto"/>
              </w:rPr>
            </w:pP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Russia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Saudi Arabia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9"/>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Syria</w:t>
            </w:r>
          </w:p>
        </w:tc>
        <w:tc>
          <w:tcPr>
            <w:tcW w:w="850" w:type="dxa"/>
            <w:vAlign w:val="bottom"/>
            <w:tcBorders>
              <w:bottom w:val="single" w:sz="8" w:color="auto"/>
            </w:tcBorders>
          </w:tcPr>
          <w:p>
            <w:pPr>
              <w:ind w:left="57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11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USA</w:t>
            </w:r>
          </w:p>
        </w:tc>
        <w:tc>
          <w:tcPr>
            <w:tcW w:w="85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9"/>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USA</w:t>
            </w:r>
          </w:p>
        </w:tc>
        <w:tc>
          <w:tcPr>
            <w:tcW w:w="850" w:type="dxa"/>
            <w:vAlign w:val="bottom"/>
            <w:tcBorders>
              <w:bottom w:val="single" w:sz="8" w:color="auto"/>
            </w:tcBorders>
          </w:tcPr>
          <w:p>
            <w:pPr>
              <w:ind w:left="57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11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Other Western Hemisphere</w:t>
            </w:r>
          </w:p>
        </w:tc>
        <w:tc>
          <w:tcPr>
            <w:tcW w:w="85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Argentina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spacing w:after="0"/>
              <w:rPr>
                <w:sz w:val="11"/>
                <w:szCs w:val="11"/>
                <w:color w:val="auto"/>
              </w:rPr>
            </w:pP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Brazil</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Canada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110" w:type="dxa"/>
            <w:vAlign w:val="bottom"/>
          </w:tcPr>
          <w:p>
            <w:pPr>
              <w:ind w:left="20"/>
              <w:spacing w:after="0" w:line="133" w:lineRule="exact"/>
              <w:rPr>
                <w:sz w:val="20"/>
                <w:szCs w:val="20"/>
                <w:color w:val="auto"/>
              </w:rPr>
            </w:pPr>
            <w:r>
              <w:rPr>
                <w:rFonts w:ascii="Arial" w:cs="Arial" w:eastAsia="Arial" w:hAnsi="Arial"/>
                <w:sz w:val="12"/>
                <w:szCs w:val="12"/>
                <w:color w:val="auto"/>
              </w:rPr>
              <w:t>Colombia</w:t>
            </w:r>
          </w:p>
        </w:tc>
        <w:tc>
          <w:tcPr>
            <w:tcW w:w="850" w:type="dxa"/>
            <w:vAlign w:val="bottom"/>
          </w:tcPr>
          <w:p>
            <w:pPr>
              <w:ind w:left="570"/>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6"/>
        </w:trPr>
        <w:tc>
          <w:tcPr>
            <w:tcW w:w="211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Venezuela</w:t>
            </w:r>
          </w:p>
        </w:tc>
        <w:tc>
          <w:tcPr>
            <w:tcW w:w="85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6889115</wp:posOffset>
            </wp:positionH>
            <wp:positionV relativeFrom="paragraph">
              <wp:posOffset>-3957955</wp:posOffset>
            </wp:positionV>
            <wp:extent cx="426085" cy="7696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26085" cy="7696835"/>
                    </a:xfrm>
                    <a:prstGeom prst="rect">
                      <a:avLst/>
                    </a:prstGeom>
                    <a:noFill/>
                  </pic:spPr>
                </pic:pic>
              </a:graphicData>
            </a:graphic>
          </wp:anchor>
        </w:drawing>
      </w:r>
    </w:p>
    <w:p>
      <w:pPr>
        <w:spacing w:after="0" w:line="23" w:lineRule="exact"/>
        <w:rPr>
          <w:sz w:val="20"/>
          <w:szCs w:val="20"/>
          <w:color w:val="auto"/>
        </w:rPr>
      </w:pPr>
    </w:p>
    <w:p>
      <w:pPr>
        <w:ind w:left="200" w:hanging="193"/>
        <w:spacing w:after="0"/>
        <w:tabs>
          <w:tab w:leader="none" w:pos="2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Including equity-accounted investments.</w:t>
      </w:r>
    </w:p>
    <w:p>
      <w:pPr>
        <w:ind w:left="200" w:right="5860" w:hanging="193"/>
        <w:spacing w:after="0" w:line="231" w:lineRule="auto"/>
        <w:tabs>
          <w:tab w:leader="none" w:pos="2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Where an equity-accounted investment has properties outside its base country, those properties are not shown in this table.</w:t>
      </w:r>
    </w:p>
    <w:p>
      <w:pPr>
        <w:ind w:left="200" w:right="5660" w:hanging="193"/>
        <w:spacing w:after="0" w:line="249" w:lineRule="auto"/>
        <w:tabs>
          <w:tab w:leader="none" w:pos="20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 several countries where “Shell Operator” is indicated, Shell is the operator of some but not all exploration and/or production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2442210</wp:posOffset>
            </wp:positionV>
            <wp:extent cx="725297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EXPLORATION &amp; PRODUCTION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gridSpan w:val="3"/>
            <w:shd w:val="clear" w:color="auto" w:fill="005696"/>
          </w:tcPr>
          <w:p>
            <w:pPr>
              <w:ind w:left="40"/>
              <w:spacing w:after="0"/>
              <w:rPr>
                <w:sz w:val="20"/>
                <w:szCs w:val="20"/>
                <w:color w:val="auto"/>
              </w:rPr>
            </w:pPr>
            <w:r>
              <w:rPr>
                <w:rFonts w:ascii="Arial" w:cs="Arial" w:eastAsia="Arial" w:hAnsi="Arial"/>
                <w:sz w:val="12"/>
                <w:szCs w:val="12"/>
                <w:b w:val="1"/>
                <w:bCs w:val="1"/>
                <w:color w:val="FFFFFF"/>
              </w:rPr>
              <w:t>OIL AND GAS ACREAGE[A][B][C] (At December 31)</w:t>
            </w:r>
          </w:p>
        </w:tc>
        <w:tc>
          <w:tcPr>
            <w:tcW w:w="120" w:type="dxa"/>
            <w:vAlign w:val="bottom"/>
            <w:shd w:val="clear" w:color="auto" w:fill="005696"/>
          </w:tcPr>
          <w:p>
            <w:pPr>
              <w:spacing w:after="0"/>
              <w:rPr>
                <w:sz w:val="16"/>
                <w:szCs w:val="16"/>
                <w:color w:val="auto"/>
              </w:rPr>
            </w:pPr>
          </w:p>
        </w:tc>
        <w:tc>
          <w:tcPr>
            <w:tcW w:w="680" w:type="dxa"/>
            <w:vAlign w:val="bottom"/>
            <w:shd w:val="clear" w:color="auto" w:fill="005696"/>
          </w:tcPr>
          <w:p>
            <w:pPr>
              <w:spacing w:after="0"/>
              <w:rPr>
                <w:sz w:val="16"/>
                <w:szCs w:val="16"/>
                <w:color w:val="auto"/>
              </w:rPr>
            </w:pPr>
          </w:p>
        </w:tc>
        <w:tc>
          <w:tcPr>
            <w:tcW w:w="460" w:type="dxa"/>
            <w:vAlign w:val="bottom"/>
            <w:shd w:val="clear" w:color="auto" w:fill="005696"/>
          </w:tcPr>
          <w:p>
            <w:pPr>
              <w:spacing w:after="0"/>
              <w:rPr>
                <w:sz w:val="16"/>
                <w:szCs w:val="16"/>
                <w:color w:val="auto"/>
              </w:rPr>
            </w:pPr>
          </w:p>
        </w:tc>
        <w:tc>
          <w:tcPr>
            <w:tcW w:w="400" w:type="dxa"/>
            <w:vAlign w:val="bottom"/>
            <w:shd w:val="clear" w:color="auto" w:fill="005696"/>
          </w:tcPr>
          <w:p>
            <w:pPr>
              <w:spacing w:after="0"/>
              <w:rPr>
                <w:sz w:val="16"/>
                <w:szCs w:val="16"/>
                <w:color w:val="auto"/>
              </w:rPr>
            </w:pPr>
          </w:p>
        </w:tc>
        <w:tc>
          <w:tcPr>
            <w:tcW w:w="700" w:type="dxa"/>
            <w:vAlign w:val="bottom"/>
            <w:shd w:val="clear" w:color="auto" w:fill="005696"/>
          </w:tcPr>
          <w:p>
            <w:pPr>
              <w:spacing w:after="0"/>
              <w:rPr>
                <w:sz w:val="16"/>
                <w:szCs w:val="16"/>
                <w:color w:val="auto"/>
              </w:rPr>
            </w:pPr>
          </w:p>
        </w:tc>
        <w:tc>
          <w:tcPr>
            <w:tcW w:w="420" w:type="dxa"/>
            <w:vAlign w:val="bottom"/>
            <w:shd w:val="clear" w:color="auto" w:fill="005696"/>
          </w:tcPr>
          <w:p>
            <w:pPr>
              <w:spacing w:after="0"/>
              <w:rPr>
                <w:sz w:val="16"/>
                <w:szCs w:val="16"/>
                <w:color w:val="auto"/>
              </w:rPr>
            </w:pPr>
          </w:p>
        </w:tc>
        <w:tc>
          <w:tcPr>
            <w:tcW w:w="500" w:type="dxa"/>
            <w:vAlign w:val="bottom"/>
            <w:shd w:val="clear" w:color="auto" w:fill="005696"/>
          </w:tcPr>
          <w:p>
            <w:pPr>
              <w:spacing w:after="0"/>
              <w:rPr>
                <w:sz w:val="16"/>
                <w:szCs w:val="16"/>
                <w:color w:val="auto"/>
              </w:rPr>
            </w:pPr>
          </w:p>
        </w:tc>
        <w:tc>
          <w:tcPr>
            <w:tcW w:w="780" w:type="dxa"/>
            <w:vAlign w:val="bottom"/>
            <w:shd w:val="clear" w:color="auto" w:fill="005696"/>
          </w:tcPr>
          <w:p>
            <w:pPr>
              <w:spacing w:after="0"/>
              <w:rPr>
                <w:sz w:val="16"/>
                <w:szCs w:val="16"/>
                <w:color w:val="auto"/>
              </w:rPr>
            </w:pPr>
          </w:p>
        </w:tc>
        <w:tc>
          <w:tcPr>
            <w:tcW w:w="920" w:type="dxa"/>
            <w:vAlign w:val="bottom"/>
            <w:shd w:val="clear" w:color="auto" w:fill="005696"/>
          </w:tcPr>
          <w:p>
            <w:pPr>
              <w:spacing w:after="0"/>
              <w:rPr>
                <w:sz w:val="16"/>
                <w:szCs w:val="16"/>
                <w:color w:val="auto"/>
              </w:rPr>
            </w:pPr>
          </w:p>
        </w:tc>
        <w:tc>
          <w:tcPr>
            <w:tcW w:w="720" w:type="dxa"/>
            <w:vAlign w:val="bottom"/>
            <w:shd w:val="clear" w:color="auto" w:fill="005696"/>
          </w:tcPr>
          <w:p>
            <w:pPr>
              <w:spacing w:after="0"/>
              <w:rPr>
                <w:sz w:val="16"/>
                <w:szCs w:val="16"/>
                <w:color w:val="auto"/>
              </w:rPr>
            </w:pPr>
          </w:p>
        </w:tc>
        <w:tc>
          <w:tcPr>
            <w:tcW w:w="1100" w:type="dxa"/>
            <w:vAlign w:val="bottom"/>
            <w:shd w:val="clear" w:color="auto" w:fill="005696"/>
          </w:tcPr>
          <w:p>
            <w:pPr>
              <w:spacing w:after="0"/>
              <w:rPr>
                <w:sz w:val="16"/>
                <w:szCs w:val="16"/>
                <w:color w:val="auto"/>
              </w:rPr>
            </w:pPr>
          </w:p>
        </w:tc>
        <w:tc>
          <w:tcPr>
            <w:tcW w:w="1420" w:type="dxa"/>
            <w:vAlign w:val="bottom"/>
            <w:gridSpan w:val="2"/>
            <w:shd w:val="clear" w:color="auto" w:fill="005696"/>
          </w:tcPr>
          <w:p>
            <w:pPr>
              <w:jc w:val="right"/>
              <w:ind w:right="38"/>
              <w:spacing w:after="0"/>
              <w:rPr>
                <w:sz w:val="20"/>
                <w:szCs w:val="20"/>
                <w:color w:val="auto"/>
              </w:rPr>
            </w:pPr>
            <w:r>
              <w:rPr>
                <w:rFonts w:ascii="Arial" w:cs="Arial" w:eastAsia="Arial" w:hAnsi="Arial"/>
                <w:sz w:val="12"/>
                <w:szCs w:val="12"/>
                <w:b w:val="1"/>
                <w:bCs w:val="1"/>
                <w:color w:val="FFFFFF"/>
              </w:rPr>
              <w:t>thousand acres</w:t>
            </w:r>
          </w:p>
        </w:tc>
      </w:tr>
      <w:tr>
        <w:trPr>
          <w:trHeight w:val="181"/>
        </w:trPr>
        <w:tc>
          <w:tcPr>
            <w:tcW w:w="1880" w:type="dxa"/>
            <w:vAlign w:val="bottom"/>
            <w:shd w:val="clear" w:color="auto" w:fill="CECAC6"/>
          </w:tcPr>
          <w:p>
            <w:pPr>
              <w:spacing w:after="0"/>
              <w:rPr>
                <w:sz w:val="15"/>
                <w:szCs w:val="15"/>
                <w:color w:val="auto"/>
              </w:rPr>
            </w:pPr>
          </w:p>
        </w:tc>
        <w:tc>
          <w:tcPr>
            <w:tcW w:w="560" w:type="dxa"/>
            <w:vAlign w:val="bottom"/>
            <w:shd w:val="clear" w:color="auto" w:fill="CECAC6"/>
          </w:tcPr>
          <w:p>
            <w:pPr>
              <w:spacing w:after="0"/>
              <w:rPr>
                <w:sz w:val="15"/>
                <w:szCs w:val="15"/>
                <w:color w:val="auto"/>
              </w:rPr>
            </w:pPr>
          </w:p>
        </w:tc>
        <w:tc>
          <w:tcPr>
            <w:tcW w:w="760" w:type="dxa"/>
            <w:vAlign w:val="bottom"/>
            <w:shd w:val="clear" w:color="auto" w:fill="CECAC6"/>
          </w:tcPr>
          <w:p>
            <w:pPr>
              <w:spacing w:after="0"/>
              <w:rPr>
                <w:sz w:val="15"/>
                <w:szCs w:val="15"/>
                <w:color w:val="auto"/>
              </w:rPr>
            </w:pPr>
          </w:p>
        </w:tc>
        <w:tc>
          <w:tcPr>
            <w:tcW w:w="120" w:type="dxa"/>
            <w:vAlign w:val="bottom"/>
            <w:shd w:val="clear" w:color="auto" w:fill="CECAC6"/>
          </w:tcPr>
          <w:p>
            <w:pPr>
              <w:spacing w:after="0"/>
              <w:rPr>
                <w:sz w:val="15"/>
                <w:szCs w:val="15"/>
                <w:color w:val="auto"/>
              </w:rPr>
            </w:pPr>
          </w:p>
        </w:tc>
        <w:tc>
          <w:tcPr>
            <w:tcW w:w="680" w:type="dxa"/>
            <w:vAlign w:val="bottom"/>
            <w:shd w:val="clear" w:color="auto" w:fill="CECAC6"/>
          </w:tcPr>
          <w:p>
            <w:pPr>
              <w:spacing w:after="0"/>
              <w:rPr>
                <w:sz w:val="15"/>
                <w:szCs w:val="15"/>
                <w:color w:val="auto"/>
              </w:rPr>
            </w:pPr>
          </w:p>
        </w:tc>
        <w:tc>
          <w:tcPr>
            <w:tcW w:w="860" w:type="dxa"/>
            <w:vAlign w:val="bottom"/>
            <w:gridSpan w:val="2"/>
            <w:shd w:val="clear" w:color="auto" w:fill="CECAC6"/>
          </w:tcPr>
          <w:p>
            <w:pPr>
              <w:jc w:val="right"/>
              <w:ind w:right="21"/>
              <w:spacing w:after="0"/>
              <w:rPr>
                <w:sz w:val="20"/>
                <w:szCs w:val="20"/>
                <w:color w:val="auto"/>
              </w:rPr>
            </w:pPr>
            <w:r>
              <w:rPr>
                <w:rFonts w:ascii="Arial" w:cs="Arial" w:eastAsia="Arial" w:hAnsi="Arial"/>
                <w:sz w:val="12"/>
                <w:szCs w:val="12"/>
                <w:color w:val="auto"/>
              </w:rPr>
              <w:t>2007</w:t>
            </w:r>
          </w:p>
        </w:tc>
        <w:tc>
          <w:tcPr>
            <w:tcW w:w="700" w:type="dxa"/>
            <w:vAlign w:val="bottom"/>
            <w:shd w:val="clear" w:color="auto" w:fill="CECAC6"/>
          </w:tcPr>
          <w:p>
            <w:pPr>
              <w:spacing w:after="0"/>
              <w:rPr>
                <w:sz w:val="15"/>
                <w:szCs w:val="15"/>
                <w:color w:val="auto"/>
              </w:rPr>
            </w:pPr>
          </w:p>
        </w:tc>
        <w:tc>
          <w:tcPr>
            <w:tcW w:w="420" w:type="dxa"/>
            <w:vAlign w:val="bottom"/>
            <w:shd w:val="clear" w:color="auto" w:fill="CECAC6"/>
          </w:tcPr>
          <w:p>
            <w:pPr>
              <w:spacing w:after="0"/>
              <w:rPr>
                <w:sz w:val="15"/>
                <w:szCs w:val="15"/>
                <w:color w:val="auto"/>
              </w:rPr>
            </w:pPr>
          </w:p>
        </w:tc>
        <w:tc>
          <w:tcPr>
            <w:tcW w:w="500" w:type="dxa"/>
            <w:vAlign w:val="bottom"/>
            <w:shd w:val="clear" w:color="auto" w:fill="CECAC6"/>
          </w:tcPr>
          <w:p>
            <w:pPr>
              <w:spacing w:after="0"/>
              <w:rPr>
                <w:sz w:val="15"/>
                <w:szCs w:val="15"/>
                <w:color w:val="auto"/>
              </w:rPr>
            </w:pPr>
          </w:p>
        </w:tc>
        <w:tc>
          <w:tcPr>
            <w:tcW w:w="780" w:type="dxa"/>
            <w:vAlign w:val="bottom"/>
            <w:shd w:val="clear" w:color="auto" w:fill="CECAC6"/>
          </w:tcPr>
          <w:p>
            <w:pPr>
              <w:spacing w:after="0"/>
              <w:rPr>
                <w:sz w:val="15"/>
                <w:szCs w:val="15"/>
                <w:color w:val="auto"/>
              </w:rPr>
            </w:pPr>
          </w:p>
        </w:tc>
        <w:tc>
          <w:tcPr>
            <w:tcW w:w="9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2006</w:t>
            </w:r>
          </w:p>
        </w:tc>
        <w:tc>
          <w:tcPr>
            <w:tcW w:w="720" w:type="dxa"/>
            <w:vAlign w:val="bottom"/>
            <w:shd w:val="clear" w:color="auto" w:fill="CECAC6"/>
          </w:tcPr>
          <w:p>
            <w:pPr>
              <w:spacing w:after="0"/>
              <w:rPr>
                <w:sz w:val="15"/>
                <w:szCs w:val="15"/>
                <w:color w:val="auto"/>
              </w:rPr>
            </w:pPr>
          </w:p>
        </w:tc>
        <w:tc>
          <w:tcPr>
            <w:tcW w:w="1100" w:type="dxa"/>
            <w:vAlign w:val="bottom"/>
            <w:shd w:val="clear" w:color="auto" w:fill="CECAC6"/>
          </w:tcPr>
          <w:p>
            <w:pPr>
              <w:spacing w:after="0"/>
              <w:rPr>
                <w:sz w:val="15"/>
                <w:szCs w:val="15"/>
                <w:color w:val="auto"/>
              </w:rPr>
            </w:pPr>
          </w:p>
        </w:tc>
        <w:tc>
          <w:tcPr>
            <w:tcW w:w="520" w:type="dxa"/>
            <w:vAlign w:val="bottom"/>
            <w:shd w:val="clear" w:color="auto" w:fill="CECAC6"/>
          </w:tcPr>
          <w:p>
            <w:pPr>
              <w:spacing w:after="0"/>
              <w:rPr>
                <w:sz w:val="15"/>
                <w:szCs w:val="15"/>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2005</w:t>
            </w:r>
          </w:p>
        </w:tc>
      </w:tr>
      <w:tr>
        <w:trPr>
          <w:trHeight w:val="148"/>
        </w:trPr>
        <w:tc>
          <w:tcPr>
            <w:tcW w:w="1880" w:type="dxa"/>
            <w:vAlign w:val="bottom"/>
            <w:shd w:val="clear" w:color="auto" w:fill="CECAC6"/>
          </w:tcPr>
          <w:p>
            <w:pPr>
              <w:spacing w:after="0"/>
              <w:rPr>
                <w:sz w:val="12"/>
                <w:szCs w:val="12"/>
                <w:color w:val="auto"/>
              </w:rPr>
            </w:pPr>
          </w:p>
        </w:tc>
        <w:tc>
          <w:tcPr>
            <w:tcW w:w="560" w:type="dxa"/>
            <w:vAlign w:val="bottom"/>
            <w:shd w:val="clear" w:color="auto" w:fill="CECAC6"/>
          </w:tcPr>
          <w:p>
            <w:pPr>
              <w:spacing w:after="0"/>
              <w:rPr>
                <w:sz w:val="12"/>
                <w:szCs w:val="12"/>
                <w:color w:val="auto"/>
              </w:rPr>
            </w:pPr>
          </w:p>
        </w:tc>
        <w:tc>
          <w:tcPr>
            <w:tcW w:w="7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Developed</w:t>
            </w:r>
          </w:p>
        </w:tc>
        <w:tc>
          <w:tcPr>
            <w:tcW w:w="12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860" w:type="dxa"/>
            <w:vAlign w:val="bottom"/>
            <w:gridSpan w:val="2"/>
            <w:shd w:val="clear" w:color="auto" w:fill="CECAC6"/>
          </w:tcPr>
          <w:p>
            <w:pPr>
              <w:jc w:val="right"/>
              <w:ind w:right="21"/>
              <w:spacing w:after="0"/>
              <w:rPr>
                <w:sz w:val="20"/>
                <w:szCs w:val="20"/>
                <w:color w:val="auto"/>
              </w:rPr>
            </w:pPr>
            <w:r>
              <w:rPr>
                <w:rFonts w:ascii="Arial" w:cs="Arial" w:eastAsia="Arial" w:hAnsi="Arial"/>
                <w:sz w:val="12"/>
                <w:szCs w:val="12"/>
                <w:color w:val="auto"/>
              </w:rPr>
              <w:t>Undeveloped</w:t>
            </w:r>
          </w:p>
        </w:tc>
        <w:tc>
          <w:tcPr>
            <w:tcW w:w="700" w:type="dxa"/>
            <w:vAlign w:val="bottom"/>
            <w:shd w:val="clear" w:color="auto" w:fill="CECAC6"/>
          </w:tcPr>
          <w:p>
            <w:pPr>
              <w:spacing w:after="0"/>
              <w:rPr>
                <w:sz w:val="12"/>
                <w:szCs w:val="12"/>
                <w:color w:val="auto"/>
              </w:rPr>
            </w:pPr>
          </w:p>
        </w:tc>
        <w:tc>
          <w:tcPr>
            <w:tcW w:w="920" w:type="dxa"/>
            <w:vAlign w:val="bottom"/>
            <w:gridSpan w:val="2"/>
            <w:shd w:val="clear" w:color="auto" w:fill="CECAC6"/>
          </w:tcPr>
          <w:p>
            <w:pPr>
              <w:jc w:val="right"/>
              <w:ind w:right="101"/>
              <w:spacing w:after="0"/>
              <w:rPr>
                <w:sz w:val="20"/>
                <w:szCs w:val="20"/>
                <w:color w:val="auto"/>
              </w:rPr>
            </w:pPr>
            <w:r>
              <w:rPr>
                <w:rFonts w:ascii="Arial" w:cs="Arial" w:eastAsia="Arial" w:hAnsi="Arial"/>
                <w:sz w:val="12"/>
                <w:szCs w:val="12"/>
                <w:color w:val="auto"/>
              </w:rPr>
              <w:t>Developed</w:t>
            </w:r>
          </w:p>
        </w:tc>
        <w:tc>
          <w:tcPr>
            <w:tcW w:w="780" w:type="dxa"/>
            <w:vAlign w:val="bottom"/>
            <w:shd w:val="clear" w:color="auto" w:fill="CECAC6"/>
          </w:tcPr>
          <w:p>
            <w:pPr>
              <w:spacing w:after="0"/>
              <w:rPr>
                <w:sz w:val="12"/>
                <w:szCs w:val="12"/>
                <w:color w:val="auto"/>
              </w:rPr>
            </w:pPr>
          </w:p>
        </w:tc>
        <w:tc>
          <w:tcPr>
            <w:tcW w:w="9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Undeveloped</w:t>
            </w:r>
          </w:p>
        </w:tc>
        <w:tc>
          <w:tcPr>
            <w:tcW w:w="720" w:type="dxa"/>
            <w:vAlign w:val="bottom"/>
            <w:shd w:val="clear" w:color="auto" w:fill="CECAC6"/>
          </w:tcPr>
          <w:p>
            <w:pPr>
              <w:spacing w:after="0"/>
              <w:rPr>
                <w:sz w:val="12"/>
                <w:szCs w:val="12"/>
                <w:color w:val="auto"/>
              </w:rPr>
            </w:pPr>
          </w:p>
        </w:tc>
        <w:tc>
          <w:tcPr>
            <w:tcW w:w="110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Developed</w:t>
            </w:r>
          </w:p>
        </w:tc>
        <w:tc>
          <w:tcPr>
            <w:tcW w:w="520" w:type="dxa"/>
            <w:vAlign w:val="bottom"/>
            <w:shd w:val="clear" w:color="auto" w:fill="CECAC6"/>
          </w:tcPr>
          <w:p>
            <w:pPr>
              <w:spacing w:after="0"/>
              <w:rPr>
                <w:sz w:val="12"/>
                <w:szCs w:val="12"/>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Undeveloped</w:t>
            </w:r>
          </w:p>
        </w:tc>
      </w:tr>
      <w:tr>
        <w:trPr>
          <w:trHeight w:val="124"/>
        </w:trPr>
        <w:tc>
          <w:tcPr>
            <w:tcW w:w="1880" w:type="dxa"/>
            <w:vAlign w:val="bottom"/>
            <w:shd w:val="clear" w:color="auto" w:fill="CECAC6"/>
          </w:tcPr>
          <w:p>
            <w:pPr>
              <w:spacing w:after="0"/>
              <w:rPr>
                <w:sz w:val="10"/>
                <w:szCs w:val="10"/>
                <w:color w:val="auto"/>
              </w:rPr>
            </w:pPr>
          </w:p>
        </w:tc>
        <w:tc>
          <w:tcPr>
            <w:tcW w:w="560" w:type="dxa"/>
            <w:vAlign w:val="bottom"/>
            <w:shd w:val="clear" w:color="auto" w:fill="CECAC6"/>
          </w:tcPr>
          <w:p>
            <w:pPr>
              <w:jc w:val="right"/>
              <w:ind w:right="18"/>
              <w:spacing w:after="0" w:line="124" w:lineRule="exact"/>
              <w:rPr>
                <w:sz w:val="20"/>
                <w:szCs w:val="20"/>
                <w:color w:val="auto"/>
              </w:rPr>
            </w:pPr>
            <w:r>
              <w:rPr>
                <w:rFonts w:ascii="Arial" w:cs="Arial" w:eastAsia="Arial" w:hAnsi="Arial"/>
                <w:sz w:val="11"/>
                <w:szCs w:val="11"/>
                <w:color w:val="auto"/>
              </w:rPr>
              <w:t>Gross</w:t>
            </w:r>
          </w:p>
        </w:tc>
        <w:tc>
          <w:tcPr>
            <w:tcW w:w="760" w:type="dxa"/>
            <w:vAlign w:val="bottom"/>
            <w:shd w:val="clear" w:color="auto" w:fill="CECAC6"/>
          </w:tcPr>
          <w:p>
            <w:pPr>
              <w:jc w:val="right"/>
              <w:ind w:right="18"/>
              <w:spacing w:after="0" w:line="124" w:lineRule="exact"/>
              <w:rPr>
                <w:sz w:val="20"/>
                <w:szCs w:val="20"/>
                <w:color w:val="auto"/>
              </w:rPr>
            </w:pPr>
            <w:r>
              <w:rPr>
                <w:rFonts w:ascii="Arial" w:cs="Arial" w:eastAsia="Arial" w:hAnsi="Arial"/>
                <w:sz w:val="11"/>
                <w:szCs w:val="11"/>
                <w:color w:val="auto"/>
              </w:rPr>
              <w:t>Net</w:t>
            </w:r>
          </w:p>
        </w:tc>
        <w:tc>
          <w:tcPr>
            <w:tcW w:w="120" w:type="dxa"/>
            <w:vAlign w:val="bottom"/>
            <w:shd w:val="clear" w:color="auto" w:fill="CECAC6"/>
          </w:tcPr>
          <w:p>
            <w:pPr>
              <w:spacing w:after="0"/>
              <w:rPr>
                <w:sz w:val="10"/>
                <w:szCs w:val="10"/>
                <w:color w:val="auto"/>
              </w:rPr>
            </w:pPr>
          </w:p>
        </w:tc>
        <w:tc>
          <w:tcPr>
            <w:tcW w:w="680" w:type="dxa"/>
            <w:vAlign w:val="bottom"/>
            <w:shd w:val="clear" w:color="auto" w:fill="CECAC6"/>
          </w:tcPr>
          <w:p>
            <w:pPr>
              <w:jc w:val="right"/>
              <w:ind w:right="1"/>
              <w:spacing w:after="0" w:line="124" w:lineRule="exact"/>
              <w:rPr>
                <w:sz w:val="20"/>
                <w:szCs w:val="20"/>
                <w:color w:val="auto"/>
              </w:rPr>
            </w:pPr>
            <w:r>
              <w:rPr>
                <w:rFonts w:ascii="Arial" w:cs="Arial" w:eastAsia="Arial" w:hAnsi="Arial"/>
                <w:sz w:val="11"/>
                <w:szCs w:val="11"/>
                <w:color w:val="auto"/>
              </w:rPr>
              <w:t>Gross</w:t>
            </w:r>
          </w:p>
        </w:tc>
        <w:tc>
          <w:tcPr>
            <w:tcW w:w="460" w:type="dxa"/>
            <w:vAlign w:val="bottom"/>
            <w:shd w:val="clear" w:color="auto" w:fill="CECAC6"/>
          </w:tcPr>
          <w:p>
            <w:pPr>
              <w:spacing w:after="0"/>
              <w:rPr>
                <w:sz w:val="10"/>
                <w:szCs w:val="10"/>
                <w:color w:val="auto"/>
              </w:rPr>
            </w:pPr>
          </w:p>
        </w:tc>
        <w:tc>
          <w:tcPr>
            <w:tcW w:w="400" w:type="dxa"/>
            <w:vAlign w:val="bottom"/>
            <w:shd w:val="clear" w:color="auto" w:fill="CECAC6"/>
          </w:tcPr>
          <w:p>
            <w:pPr>
              <w:jc w:val="right"/>
              <w:ind w:right="21"/>
              <w:spacing w:after="0" w:line="124" w:lineRule="exact"/>
              <w:rPr>
                <w:sz w:val="20"/>
                <w:szCs w:val="20"/>
                <w:color w:val="auto"/>
              </w:rPr>
            </w:pPr>
            <w:r>
              <w:rPr>
                <w:rFonts w:ascii="Arial" w:cs="Arial" w:eastAsia="Arial" w:hAnsi="Arial"/>
                <w:sz w:val="11"/>
                <w:szCs w:val="11"/>
                <w:color w:val="auto"/>
              </w:rPr>
              <w:t>Net</w:t>
            </w:r>
          </w:p>
        </w:tc>
        <w:tc>
          <w:tcPr>
            <w:tcW w:w="700" w:type="dxa"/>
            <w:vAlign w:val="bottom"/>
            <w:shd w:val="clear" w:color="auto" w:fill="CECAC6"/>
          </w:tcPr>
          <w:p>
            <w:pPr>
              <w:jc w:val="right"/>
              <w:spacing w:after="0" w:line="124" w:lineRule="exact"/>
              <w:rPr>
                <w:sz w:val="20"/>
                <w:szCs w:val="20"/>
                <w:color w:val="auto"/>
              </w:rPr>
            </w:pPr>
            <w:r>
              <w:rPr>
                <w:rFonts w:ascii="Arial" w:cs="Arial" w:eastAsia="Arial" w:hAnsi="Arial"/>
                <w:sz w:val="11"/>
                <w:szCs w:val="11"/>
                <w:color w:val="auto"/>
              </w:rPr>
              <w:t>Gross</w:t>
            </w:r>
          </w:p>
        </w:tc>
        <w:tc>
          <w:tcPr>
            <w:tcW w:w="420" w:type="dxa"/>
            <w:vAlign w:val="bottom"/>
            <w:shd w:val="clear" w:color="auto" w:fill="CECAC6"/>
          </w:tcPr>
          <w:p>
            <w:pPr>
              <w:spacing w:after="0"/>
              <w:rPr>
                <w:sz w:val="10"/>
                <w:szCs w:val="10"/>
                <w:color w:val="auto"/>
              </w:rPr>
            </w:pPr>
          </w:p>
        </w:tc>
        <w:tc>
          <w:tcPr>
            <w:tcW w:w="500" w:type="dxa"/>
            <w:vAlign w:val="bottom"/>
            <w:shd w:val="clear" w:color="auto" w:fill="CECAC6"/>
          </w:tcPr>
          <w:p>
            <w:pPr>
              <w:jc w:val="right"/>
              <w:ind w:right="101"/>
              <w:spacing w:after="0" w:line="124" w:lineRule="exact"/>
              <w:rPr>
                <w:sz w:val="20"/>
                <w:szCs w:val="20"/>
                <w:color w:val="auto"/>
              </w:rPr>
            </w:pPr>
            <w:r>
              <w:rPr>
                <w:rFonts w:ascii="Arial" w:cs="Arial" w:eastAsia="Arial" w:hAnsi="Arial"/>
                <w:sz w:val="11"/>
                <w:szCs w:val="11"/>
                <w:color w:val="auto"/>
              </w:rPr>
              <w:t>Net</w:t>
            </w:r>
          </w:p>
        </w:tc>
        <w:tc>
          <w:tcPr>
            <w:tcW w:w="780" w:type="dxa"/>
            <w:vAlign w:val="bottom"/>
            <w:shd w:val="clear" w:color="auto" w:fill="CECAC6"/>
          </w:tcPr>
          <w:p>
            <w:pPr>
              <w:jc w:val="right"/>
              <w:ind w:right="18"/>
              <w:spacing w:after="0" w:line="124" w:lineRule="exact"/>
              <w:rPr>
                <w:sz w:val="20"/>
                <w:szCs w:val="20"/>
                <w:color w:val="auto"/>
              </w:rPr>
            </w:pPr>
            <w:r>
              <w:rPr>
                <w:rFonts w:ascii="Arial" w:cs="Arial" w:eastAsia="Arial" w:hAnsi="Arial"/>
                <w:sz w:val="11"/>
                <w:szCs w:val="11"/>
                <w:color w:val="auto"/>
              </w:rPr>
              <w:t>Gross</w:t>
            </w:r>
          </w:p>
        </w:tc>
        <w:tc>
          <w:tcPr>
            <w:tcW w:w="920" w:type="dxa"/>
            <w:vAlign w:val="bottom"/>
            <w:shd w:val="clear" w:color="auto" w:fill="CECAC6"/>
          </w:tcPr>
          <w:p>
            <w:pPr>
              <w:jc w:val="right"/>
              <w:ind w:right="98"/>
              <w:spacing w:after="0" w:line="124" w:lineRule="exact"/>
              <w:rPr>
                <w:sz w:val="20"/>
                <w:szCs w:val="20"/>
                <w:color w:val="auto"/>
              </w:rPr>
            </w:pPr>
            <w:r>
              <w:rPr>
                <w:rFonts w:ascii="Arial" w:cs="Arial" w:eastAsia="Arial" w:hAnsi="Arial"/>
                <w:sz w:val="11"/>
                <w:szCs w:val="11"/>
                <w:color w:val="auto"/>
              </w:rPr>
              <w:t>Net</w:t>
            </w:r>
          </w:p>
        </w:tc>
        <w:tc>
          <w:tcPr>
            <w:tcW w:w="720" w:type="dxa"/>
            <w:vAlign w:val="bottom"/>
            <w:shd w:val="clear" w:color="auto" w:fill="CECAC6"/>
          </w:tcPr>
          <w:p>
            <w:pPr>
              <w:jc w:val="right"/>
              <w:ind w:right="38"/>
              <w:spacing w:after="0" w:line="124" w:lineRule="exact"/>
              <w:rPr>
                <w:sz w:val="20"/>
                <w:szCs w:val="20"/>
                <w:color w:val="auto"/>
              </w:rPr>
            </w:pPr>
            <w:r>
              <w:rPr>
                <w:rFonts w:ascii="Arial" w:cs="Arial" w:eastAsia="Arial" w:hAnsi="Arial"/>
                <w:sz w:val="11"/>
                <w:szCs w:val="11"/>
                <w:color w:val="auto"/>
              </w:rPr>
              <w:t>Gross</w:t>
            </w:r>
          </w:p>
        </w:tc>
        <w:tc>
          <w:tcPr>
            <w:tcW w:w="1100" w:type="dxa"/>
            <w:vAlign w:val="bottom"/>
            <w:shd w:val="clear" w:color="auto" w:fill="CECAC6"/>
          </w:tcPr>
          <w:p>
            <w:pPr>
              <w:jc w:val="right"/>
              <w:ind w:right="338"/>
              <w:spacing w:after="0" w:line="124" w:lineRule="exact"/>
              <w:rPr>
                <w:sz w:val="20"/>
                <w:szCs w:val="20"/>
                <w:color w:val="auto"/>
              </w:rPr>
            </w:pPr>
            <w:r>
              <w:rPr>
                <w:rFonts w:ascii="Arial" w:cs="Arial" w:eastAsia="Arial" w:hAnsi="Arial"/>
                <w:sz w:val="11"/>
                <w:szCs w:val="11"/>
                <w:color w:val="auto"/>
              </w:rPr>
              <w:t>Net</w:t>
            </w:r>
          </w:p>
        </w:tc>
        <w:tc>
          <w:tcPr>
            <w:tcW w:w="520" w:type="dxa"/>
            <w:vAlign w:val="bottom"/>
            <w:shd w:val="clear" w:color="auto" w:fill="CECAC6"/>
          </w:tcPr>
          <w:p>
            <w:pPr>
              <w:jc w:val="right"/>
              <w:spacing w:after="0" w:line="124" w:lineRule="exact"/>
              <w:rPr>
                <w:sz w:val="20"/>
                <w:szCs w:val="20"/>
                <w:color w:val="auto"/>
              </w:rPr>
            </w:pPr>
            <w:r>
              <w:rPr>
                <w:rFonts w:ascii="Arial" w:cs="Arial" w:eastAsia="Arial" w:hAnsi="Arial"/>
                <w:sz w:val="11"/>
                <w:szCs w:val="11"/>
                <w:color w:val="auto"/>
              </w:rPr>
              <w:t>Gross</w:t>
            </w:r>
          </w:p>
        </w:tc>
        <w:tc>
          <w:tcPr>
            <w:tcW w:w="900" w:type="dxa"/>
            <w:vAlign w:val="bottom"/>
            <w:shd w:val="clear" w:color="auto" w:fill="CECAC6"/>
          </w:tcPr>
          <w:p>
            <w:pPr>
              <w:jc w:val="right"/>
              <w:ind w:right="38"/>
              <w:spacing w:after="0" w:line="124" w:lineRule="exact"/>
              <w:rPr>
                <w:sz w:val="20"/>
                <w:szCs w:val="20"/>
                <w:color w:val="auto"/>
              </w:rPr>
            </w:pPr>
            <w:r>
              <w:rPr>
                <w:rFonts w:ascii="Arial" w:cs="Arial" w:eastAsia="Arial" w:hAnsi="Arial"/>
                <w:sz w:val="11"/>
                <w:szCs w:val="11"/>
                <w:color w:val="auto"/>
              </w:rPr>
              <w:t>Net</w:t>
            </w:r>
          </w:p>
        </w:tc>
      </w:tr>
      <w:tr>
        <w:trPr>
          <w:trHeight w:val="167"/>
        </w:trPr>
        <w:tc>
          <w:tcPr>
            <w:tcW w:w="1880" w:type="dxa"/>
            <w:vAlign w:val="bottom"/>
          </w:tcPr>
          <w:p>
            <w:pPr>
              <w:spacing w:after="0"/>
              <w:rPr>
                <w:sz w:val="20"/>
                <w:szCs w:val="20"/>
                <w:color w:val="auto"/>
              </w:rPr>
            </w:pPr>
            <w:r>
              <w:rPr>
                <w:rFonts w:ascii="Arial" w:cs="Arial" w:eastAsia="Arial" w:hAnsi="Arial"/>
                <w:sz w:val="12"/>
                <w:szCs w:val="12"/>
                <w:color w:val="auto"/>
              </w:rPr>
              <w:t>Europe</w:t>
            </w:r>
          </w:p>
        </w:tc>
        <w:tc>
          <w:tcPr>
            <w:tcW w:w="56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10,253</w:t>
            </w:r>
          </w:p>
        </w:tc>
        <w:tc>
          <w:tcPr>
            <w:tcW w:w="76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2,894</w:t>
            </w:r>
          </w:p>
        </w:tc>
        <w:tc>
          <w:tcPr>
            <w:tcW w:w="800" w:type="dxa"/>
            <w:vAlign w:val="bottom"/>
            <w:gridSpan w:val="2"/>
            <w:shd w:val="clear" w:color="auto" w:fill="E4E3E1"/>
          </w:tcPr>
          <w:p>
            <w:pPr>
              <w:jc w:val="right"/>
              <w:ind w:right="1"/>
              <w:spacing w:after="0"/>
              <w:rPr>
                <w:sz w:val="20"/>
                <w:szCs w:val="20"/>
                <w:color w:val="auto"/>
              </w:rPr>
            </w:pPr>
            <w:r>
              <w:rPr>
                <w:rFonts w:ascii="Arial" w:cs="Arial" w:eastAsia="Arial" w:hAnsi="Arial"/>
                <w:sz w:val="12"/>
                <w:szCs w:val="12"/>
                <w:color w:val="auto"/>
              </w:rPr>
              <w:t>10,384</w:t>
            </w:r>
          </w:p>
        </w:tc>
        <w:tc>
          <w:tcPr>
            <w:tcW w:w="860" w:type="dxa"/>
            <w:vAlign w:val="bottom"/>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3,007</w:t>
            </w:r>
          </w:p>
        </w:tc>
        <w:tc>
          <w:tcPr>
            <w:tcW w:w="700" w:type="dxa"/>
            <w:vAlign w:val="bottom"/>
          </w:tcPr>
          <w:p>
            <w:pPr>
              <w:jc w:val="right"/>
              <w:spacing w:after="0"/>
              <w:rPr>
                <w:sz w:val="20"/>
                <w:szCs w:val="20"/>
                <w:color w:val="auto"/>
              </w:rPr>
            </w:pPr>
            <w:r>
              <w:rPr>
                <w:rFonts w:ascii="Arial" w:cs="Arial" w:eastAsia="Arial" w:hAnsi="Arial"/>
                <w:sz w:val="12"/>
                <w:szCs w:val="12"/>
                <w:color w:val="auto"/>
              </w:rPr>
              <w:t>9,850</w:t>
            </w:r>
          </w:p>
        </w:tc>
        <w:tc>
          <w:tcPr>
            <w:tcW w:w="920" w:type="dxa"/>
            <w:vAlign w:val="bottom"/>
            <w:gridSpan w:val="2"/>
          </w:tcPr>
          <w:p>
            <w:pPr>
              <w:jc w:val="right"/>
              <w:ind w:right="101"/>
              <w:spacing w:after="0"/>
              <w:rPr>
                <w:sz w:val="20"/>
                <w:szCs w:val="20"/>
                <w:color w:val="auto"/>
              </w:rPr>
            </w:pPr>
            <w:r>
              <w:rPr>
                <w:rFonts w:ascii="Arial" w:cs="Arial" w:eastAsia="Arial" w:hAnsi="Arial"/>
                <w:sz w:val="12"/>
                <w:szCs w:val="12"/>
                <w:color w:val="auto"/>
              </w:rPr>
              <w:t>3,225</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12,860</w:t>
            </w:r>
          </w:p>
        </w:tc>
        <w:tc>
          <w:tcPr>
            <w:tcW w:w="920" w:type="dxa"/>
            <w:vAlign w:val="bottom"/>
          </w:tcPr>
          <w:p>
            <w:pPr>
              <w:jc w:val="right"/>
              <w:ind w:right="98"/>
              <w:spacing w:after="0"/>
              <w:rPr>
                <w:sz w:val="20"/>
                <w:szCs w:val="20"/>
                <w:color w:val="auto"/>
              </w:rPr>
            </w:pPr>
            <w:r>
              <w:rPr>
                <w:rFonts w:ascii="Arial" w:cs="Arial" w:eastAsia="Arial" w:hAnsi="Arial"/>
                <w:sz w:val="12"/>
                <w:szCs w:val="12"/>
                <w:color w:val="auto"/>
              </w:rPr>
              <w:t>4,025</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9,852</w:t>
            </w:r>
          </w:p>
        </w:tc>
        <w:tc>
          <w:tcPr>
            <w:tcW w:w="1100" w:type="dxa"/>
            <w:vAlign w:val="bottom"/>
          </w:tcPr>
          <w:p>
            <w:pPr>
              <w:jc w:val="right"/>
              <w:ind w:right="338"/>
              <w:spacing w:after="0"/>
              <w:rPr>
                <w:sz w:val="20"/>
                <w:szCs w:val="20"/>
                <w:color w:val="auto"/>
              </w:rPr>
            </w:pPr>
            <w:r>
              <w:rPr>
                <w:rFonts w:ascii="Arial" w:cs="Arial" w:eastAsia="Arial" w:hAnsi="Arial"/>
                <w:sz w:val="12"/>
                <w:szCs w:val="12"/>
                <w:color w:val="auto"/>
              </w:rPr>
              <w:t>3,110</w:t>
            </w:r>
          </w:p>
        </w:tc>
        <w:tc>
          <w:tcPr>
            <w:tcW w:w="520" w:type="dxa"/>
            <w:vAlign w:val="bottom"/>
          </w:tcPr>
          <w:p>
            <w:pPr>
              <w:jc w:val="right"/>
              <w:spacing w:after="0"/>
              <w:rPr>
                <w:sz w:val="20"/>
                <w:szCs w:val="20"/>
                <w:color w:val="auto"/>
              </w:rPr>
            </w:pPr>
            <w:r>
              <w:rPr>
                <w:rFonts w:ascii="Arial" w:cs="Arial" w:eastAsia="Arial" w:hAnsi="Arial"/>
                <w:sz w:val="12"/>
                <w:szCs w:val="12"/>
                <w:color w:val="auto"/>
              </w:rPr>
              <w:t>14,507</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4,415</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[D]</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7,160</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2,317</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26,910</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18,407</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7,159</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2,318</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24,396</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15,351</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7,175</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2,382</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27,206</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14,806</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Asia Pacific</w:t>
            </w:r>
            <w:r>
              <w:rPr>
                <w:rFonts w:ascii="Arial" w:cs="Arial" w:eastAsia="Arial" w:hAnsi="Arial"/>
                <w:sz w:val="10"/>
                <w:szCs w:val="10"/>
                <w:color w:val="auto"/>
              </w:rPr>
              <w:t>[E]</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7,578</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3,265</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96,078</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27,556</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7,228</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3,277</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125,421</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34,290</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7,292</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3,313</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123,829</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34,455</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Middle East, Russia, CIS</w:t>
            </w:r>
            <w:r>
              <w:rPr>
                <w:rFonts w:ascii="Arial" w:cs="Arial" w:eastAsia="Arial" w:hAnsi="Arial"/>
                <w:sz w:val="10"/>
                <w:szCs w:val="10"/>
                <w:color w:val="auto"/>
              </w:rPr>
              <w:t>[F]</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27,520</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9,614</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74,666</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31,176</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32,238</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10,284</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66,579</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30,321</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32,125</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10,302</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66,839</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30,467</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1,067</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620</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4,825</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3,542</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1,234</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665</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3,962</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3,280</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1,250</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563</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4,359</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3,069</w:t>
            </w:r>
          </w:p>
        </w:tc>
      </w:tr>
      <w:tr>
        <w:trPr>
          <w:trHeight w:val="139"/>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5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917</w:t>
            </w: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598</w:t>
            </w:r>
          </w:p>
        </w:tc>
        <w:tc>
          <w:tcPr>
            <w:tcW w:w="800" w:type="dxa"/>
            <w:vAlign w:val="bottom"/>
            <w:tcBorders>
              <w:bottom w:val="single" w:sz="8" w:color="auto"/>
            </w:tcBorders>
            <w:gridSpan w:val="2"/>
            <w:shd w:val="clear" w:color="auto" w:fill="E4E3E1"/>
          </w:tcPr>
          <w:p>
            <w:pPr>
              <w:jc w:val="right"/>
              <w:ind w:right="1"/>
              <w:spacing w:after="0"/>
              <w:rPr>
                <w:sz w:val="20"/>
                <w:szCs w:val="20"/>
                <w:color w:val="auto"/>
              </w:rPr>
            </w:pPr>
            <w:r>
              <w:rPr>
                <w:rFonts w:ascii="Arial" w:cs="Arial" w:eastAsia="Arial" w:hAnsi="Arial"/>
                <w:sz w:val="12"/>
                <w:szCs w:val="12"/>
                <w:color w:val="auto"/>
              </w:rPr>
              <w:t>31,795</w:t>
            </w:r>
          </w:p>
        </w:tc>
        <w:tc>
          <w:tcPr>
            <w:tcW w:w="860" w:type="dxa"/>
            <w:vAlign w:val="bottom"/>
            <w:tcBorders>
              <w:bottom w:val="single" w:sz="8" w:color="auto"/>
            </w:tcBorders>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21,077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945</w:t>
            </w:r>
          </w:p>
        </w:tc>
        <w:tc>
          <w:tcPr>
            <w:tcW w:w="9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569</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30,413</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20,328</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872</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551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30,097</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20,314</w:t>
            </w:r>
          </w:p>
        </w:tc>
      </w:tr>
      <w:tr>
        <w:trPr>
          <w:trHeight w:val="146"/>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54,495</w:t>
            </w: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19,308</w:t>
            </w:r>
          </w:p>
        </w:tc>
        <w:tc>
          <w:tcPr>
            <w:tcW w:w="800" w:type="dxa"/>
            <w:vAlign w:val="bottom"/>
            <w:tcBorders>
              <w:bottom w:val="single" w:sz="8" w:color="auto"/>
            </w:tcBorders>
            <w:gridSpan w:val="2"/>
            <w:shd w:val="clear" w:color="auto" w:fill="E4E3E1"/>
          </w:tcPr>
          <w:p>
            <w:pPr>
              <w:jc w:val="right"/>
              <w:ind w:right="1"/>
              <w:spacing w:after="0"/>
              <w:rPr>
                <w:sz w:val="20"/>
                <w:szCs w:val="20"/>
                <w:color w:val="auto"/>
              </w:rPr>
            </w:pPr>
            <w:r>
              <w:rPr>
                <w:rFonts w:ascii="Arial" w:cs="Arial" w:eastAsia="Arial" w:hAnsi="Arial"/>
                <w:sz w:val="12"/>
                <w:szCs w:val="12"/>
                <w:color w:val="auto"/>
              </w:rPr>
              <w:t>244,658</w:t>
            </w:r>
          </w:p>
        </w:tc>
        <w:tc>
          <w:tcPr>
            <w:tcW w:w="860" w:type="dxa"/>
            <w:vAlign w:val="bottom"/>
            <w:tcBorders>
              <w:bottom w:val="single" w:sz="8" w:color="auto"/>
            </w:tcBorders>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104,765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58,654</w:t>
            </w:r>
          </w:p>
        </w:tc>
        <w:tc>
          <w:tcPr>
            <w:tcW w:w="9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20,338</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263,631</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107,595</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58,566</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20,221</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266,837</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107,526</w:t>
            </w:r>
          </w:p>
        </w:tc>
      </w:tr>
      <w:tr>
        <w:trPr>
          <w:trHeight w:val="200"/>
        </w:trPr>
        <w:tc>
          <w:tcPr>
            <w:tcW w:w="33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6"/>
        </w:trPr>
        <w:tc>
          <w:tcPr>
            <w:tcW w:w="4000" w:type="dxa"/>
            <w:vAlign w:val="bottom"/>
            <w:gridSpan w:val="5"/>
            <w:shd w:val="clear" w:color="auto" w:fill="005696"/>
          </w:tcPr>
          <w:p>
            <w:pPr>
              <w:ind w:left="40"/>
              <w:spacing w:after="0"/>
              <w:rPr>
                <w:sz w:val="20"/>
                <w:szCs w:val="20"/>
                <w:color w:val="auto"/>
              </w:rPr>
            </w:pPr>
            <w:r>
              <w:rPr>
                <w:rFonts w:ascii="Arial" w:cs="Arial" w:eastAsia="Arial" w:hAnsi="Arial"/>
                <w:sz w:val="12"/>
                <w:szCs w:val="12"/>
                <w:b w:val="1"/>
                <w:bCs w:val="1"/>
                <w:color w:val="FFFFFF"/>
              </w:rPr>
              <w:t>NUMBER OF PRODUCTIVE WELLS[A][B] (At December 31)</w:t>
            </w:r>
          </w:p>
        </w:tc>
        <w:tc>
          <w:tcPr>
            <w:tcW w:w="460" w:type="dxa"/>
            <w:vAlign w:val="bottom"/>
            <w:shd w:val="clear" w:color="auto" w:fill="005696"/>
          </w:tcPr>
          <w:p>
            <w:pPr>
              <w:spacing w:after="0"/>
              <w:rPr>
                <w:sz w:val="16"/>
                <w:szCs w:val="16"/>
                <w:color w:val="auto"/>
              </w:rPr>
            </w:pPr>
          </w:p>
        </w:tc>
        <w:tc>
          <w:tcPr>
            <w:tcW w:w="400" w:type="dxa"/>
            <w:vAlign w:val="bottom"/>
            <w:shd w:val="clear" w:color="auto" w:fill="005696"/>
          </w:tcPr>
          <w:p>
            <w:pPr>
              <w:spacing w:after="0"/>
              <w:rPr>
                <w:sz w:val="16"/>
                <w:szCs w:val="16"/>
                <w:color w:val="auto"/>
              </w:rPr>
            </w:pPr>
          </w:p>
        </w:tc>
        <w:tc>
          <w:tcPr>
            <w:tcW w:w="700" w:type="dxa"/>
            <w:vAlign w:val="bottom"/>
            <w:shd w:val="clear" w:color="auto" w:fill="005696"/>
          </w:tcPr>
          <w:p>
            <w:pPr>
              <w:spacing w:after="0"/>
              <w:rPr>
                <w:sz w:val="16"/>
                <w:szCs w:val="16"/>
                <w:color w:val="auto"/>
              </w:rPr>
            </w:pPr>
          </w:p>
        </w:tc>
        <w:tc>
          <w:tcPr>
            <w:tcW w:w="420" w:type="dxa"/>
            <w:vAlign w:val="bottom"/>
            <w:shd w:val="clear" w:color="auto" w:fill="005696"/>
          </w:tcPr>
          <w:p>
            <w:pPr>
              <w:spacing w:after="0"/>
              <w:rPr>
                <w:sz w:val="16"/>
                <w:szCs w:val="16"/>
                <w:color w:val="auto"/>
              </w:rPr>
            </w:pPr>
          </w:p>
        </w:tc>
        <w:tc>
          <w:tcPr>
            <w:tcW w:w="500" w:type="dxa"/>
            <w:vAlign w:val="bottom"/>
            <w:shd w:val="clear" w:color="auto" w:fill="005696"/>
          </w:tcPr>
          <w:p>
            <w:pPr>
              <w:spacing w:after="0"/>
              <w:rPr>
                <w:sz w:val="16"/>
                <w:szCs w:val="16"/>
                <w:color w:val="auto"/>
              </w:rPr>
            </w:pPr>
          </w:p>
        </w:tc>
        <w:tc>
          <w:tcPr>
            <w:tcW w:w="780" w:type="dxa"/>
            <w:vAlign w:val="bottom"/>
            <w:shd w:val="clear" w:color="auto" w:fill="005696"/>
          </w:tcPr>
          <w:p>
            <w:pPr>
              <w:spacing w:after="0"/>
              <w:rPr>
                <w:sz w:val="16"/>
                <w:szCs w:val="16"/>
                <w:color w:val="auto"/>
              </w:rPr>
            </w:pPr>
          </w:p>
        </w:tc>
        <w:tc>
          <w:tcPr>
            <w:tcW w:w="920" w:type="dxa"/>
            <w:vAlign w:val="bottom"/>
            <w:shd w:val="clear" w:color="auto" w:fill="005696"/>
          </w:tcPr>
          <w:p>
            <w:pPr>
              <w:spacing w:after="0"/>
              <w:rPr>
                <w:sz w:val="16"/>
                <w:szCs w:val="16"/>
                <w:color w:val="auto"/>
              </w:rPr>
            </w:pPr>
          </w:p>
        </w:tc>
        <w:tc>
          <w:tcPr>
            <w:tcW w:w="720" w:type="dxa"/>
            <w:vAlign w:val="bottom"/>
            <w:shd w:val="clear" w:color="auto" w:fill="005696"/>
          </w:tcPr>
          <w:p>
            <w:pPr>
              <w:spacing w:after="0"/>
              <w:rPr>
                <w:sz w:val="16"/>
                <w:szCs w:val="16"/>
                <w:color w:val="auto"/>
              </w:rPr>
            </w:pPr>
          </w:p>
        </w:tc>
        <w:tc>
          <w:tcPr>
            <w:tcW w:w="1100" w:type="dxa"/>
            <w:vAlign w:val="bottom"/>
            <w:shd w:val="clear" w:color="auto" w:fill="005696"/>
          </w:tcPr>
          <w:p>
            <w:pPr>
              <w:spacing w:after="0"/>
              <w:rPr>
                <w:sz w:val="16"/>
                <w:szCs w:val="16"/>
                <w:color w:val="auto"/>
              </w:rPr>
            </w:pPr>
          </w:p>
        </w:tc>
        <w:tc>
          <w:tcPr>
            <w:tcW w:w="520" w:type="dxa"/>
            <w:vAlign w:val="bottom"/>
            <w:shd w:val="clear" w:color="auto" w:fill="005696"/>
          </w:tcPr>
          <w:p>
            <w:pPr>
              <w:spacing w:after="0"/>
              <w:rPr>
                <w:sz w:val="16"/>
                <w:szCs w:val="16"/>
                <w:color w:val="auto"/>
              </w:rPr>
            </w:pPr>
          </w:p>
        </w:tc>
        <w:tc>
          <w:tcPr>
            <w:tcW w:w="900" w:type="dxa"/>
            <w:vAlign w:val="bottom"/>
            <w:shd w:val="clear" w:color="auto" w:fill="005696"/>
          </w:tcPr>
          <w:p>
            <w:pPr>
              <w:spacing w:after="0"/>
              <w:rPr>
                <w:sz w:val="16"/>
                <w:szCs w:val="16"/>
                <w:color w:val="auto"/>
              </w:rPr>
            </w:pPr>
          </w:p>
        </w:tc>
      </w:tr>
      <w:tr>
        <w:trPr>
          <w:trHeight w:val="181"/>
        </w:trPr>
        <w:tc>
          <w:tcPr>
            <w:tcW w:w="1880" w:type="dxa"/>
            <w:vAlign w:val="bottom"/>
            <w:shd w:val="clear" w:color="auto" w:fill="CECAC6"/>
          </w:tcPr>
          <w:p>
            <w:pPr>
              <w:spacing w:after="0"/>
              <w:rPr>
                <w:sz w:val="15"/>
                <w:szCs w:val="15"/>
                <w:color w:val="auto"/>
              </w:rPr>
            </w:pPr>
          </w:p>
        </w:tc>
        <w:tc>
          <w:tcPr>
            <w:tcW w:w="560" w:type="dxa"/>
            <w:vAlign w:val="bottom"/>
            <w:shd w:val="clear" w:color="auto" w:fill="CECAC6"/>
          </w:tcPr>
          <w:p>
            <w:pPr>
              <w:spacing w:after="0"/>
              <w:rPr>
                <w:sz w:val="15"/>
                <w:szCs w:val="15"/>
                <w:color w:val="auto"/>
              </w:rPr>
            </w:pPr>
          </w:p>
        </w:tc>
        <w:tc>
          <w:tcPr>
            <w:tcW w:w="760" w:type="dxa"/>
            <w:vAlign w:val="bottom"/>
            <w:shd w:val="clear" w:color="auto" w:fill="CECAC6"/>
          </w:tcPr>
          <w:p>
            <w:pPr>
              <w:spacing w:after="0"/>
              <w:rPr>
                <w:sz w:val="15"/>
                <w:szCs w:val="15"/>
                <w:color w:val="auto"/>
              </w:rPr>
            </w:pPr>
          </w:p>
        </w:tc>
        <w:tc>
          <w:tcPr>
            <w:tcW w:w="120" w:type="dxa"/>
            <w:vAlign w:val="bottom"/>
            <w:shd w:val="clear" w:color="auto" w:fill="CECAC6"/>
          </w:tcPr>
          <w:p>
            <w:pPr>
              <w:spacing w:after="0"/>
              <w:rPr>
                <w:sz w:val="15"/>
                <w:szCs w:val="15"/>
                <w:color w:val="auto"/>
              </w:rPr>
            </w:pPr>
          </w:p>
        </w:tc>
        <w:tc>
          <w:tcPr>
            <w:tcW w:w="680" w:type="dxa"/>
            <w:vAlign w:val="bottom"/>
            <w:shd w:val="clear" w:color="auto" w:fill="CECAC6"/>
          </w:tcPr>
          <w:p>
            <w:pPr>
              <w:spacing w:after="0"/>
              <w:rPr>
                <w:sz w:val="15"/>
                <w:szCs w:val="15"/>
                <w:color w:val="auto"/>
              </w:rPr>
            </w:pPr>
          </w:p>
        </w:tc>
        <w:tc>
          <w:tcPr>
            <w:tcW w:w="860" w:type="dxa"/>
            <w:vAlign w:val="bottom"/>
            <w:gridSpan w:val="2"/>
            <w:shd w:val="clear" w:color="auto" w:fill="CECAC6"/>
          </w:tcPr>
          <w:p>
            <w:pPr>
              <w:jc w:val="right"/>
              <w:ind w:right="21"/>
              <w:spacing w:after="0"/>
              <w:rPr>
                <w:sz w:val="20"/>
                <w:szCs w:val="20"/>
                <w:color w:val="auto"/>
              </w:rPr>
            </w:pPr>
            <w:r>
              <w:rPr>
                <w:rFonts w:ascii="Arial" w:cs="Arial" w:eastAsia="Arial" w:hAnsi="Arial"/>
                <w:sz w:val="12"/>
                <w:szCs w:val="12"/>
                <w:color w:val="auto"/>
              </w:rPr>
              <w:t>2007</w:t>
            </w:r>
          </w:p>
        </w:tc>
        <w:tc>
          <w:tcPr>
            <w:tcW w:w="700" w:type="dxa"/>
            <w:vAlign w:val="bottom"/>
            <w:shd w:val="clear" w:color="auto" w:fill="CECAC6"/>
          </w:tcPr>
          <w:p>
            <w:pPr>
              <w:spacing w:after="0"/>
              <w:rPr>
                <w:sz w:val="15"/>
                <w:szCs w:val="15"/>
                <w:color w:val="auto"/>
              </w:rPr>
            </w:pPr>
          </w:p>
        </w:tc>
        <w:tc>
          <w:tcPr>
            <w:tcW w:w="420" w:type="dxa"/>
            <w:vAlign w:val="bottom"/>
            <w:shd w:val="clear" w:color="auto" w:fill="CECAC6"/>
          </w:tcPr>
          <w:p>
            <w:pPr>
              <w:spacing w:after="0"/>
              <w:rPr>
                <w:sz w:val="15"/>
                <w:szCs w:val="15"/>
                <w:color w:val="auto"/>
              </w:rPr>
            </w:pPr>
          </w:p>
        </w:tc>
        <w:tc>
          <w:tcPr>
            <w:tcW w:w="500" w:type="dxa"/>
            <w:vAlign w:val="bottom"/>
            <w:shd w:val="clear" w:color="auto" w:fill="CECAC6"/>
          </w:tcPr>
          <w:p>
            <w:pPr>
              <w:spacing w:after="0"/>
              <w:rPr>
                <w:sz w:val="15"/>
                <w:szCs w:val="15"/>
                <w:color w:val="auto"/>
              </w:rPr>
            </w:pPr>
          </w:p>
        </w:tc>
        <w:tc>
          <w:tcPr>
            <w:tcW w:w="780" w:type="dxa"/>
            <w:vAlign w:val="bottom"/>
            <w:shd w:val="clear" w:color="auto" w:fill="CECAC6"/>
          </w:tcPr>
          <w:p>
            <w:pPr>
              <w:spacing w:after="0"/>
              <w:rPr>
                <w:sz w:val="15"/>
                <w:szCs w:val="15"/>
                <w:color w:val="auto"/>
              </w:rPr>
            </w:pPr>
          </w:p>
        </w:tc>
        <w:tc>
          <w:tcPr>
            <w:tcW w:w="9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2006</w:t>
            </w:r>
          </w:p>
        </w:tc>
        <w:tc>
          <w:tcPr>
            <w:tcW w:w="720" w:type="dxa"/>
            <w:vAlign w:val="bottom"/>
            <w:shd w:val="clear" w:color="auto" w:fill="CECAC6"/>
          </w:tcPr>
          <w:p>
            <w:pPr>
              <w:spacing w:after="0"/>
              <w:rPr>
                <w:sz w:val="15"/>
                <w:szCs w:val="15"/>
                <w:color w:val="auto"/>
              </w:rPr>
            </w:pPr>
          </w:p>
        </w:tc>
        <w:tc>
          <w:tcPr>
            <w:tcW w:w="1100" w:type="dxa"/>
            <w:vAlign w:val="bottom"/>
            <w:shd w:val="clear" w:color="auto" w:fill="CECAC6"/>
          </w:tcPr>
          <w:p>
            <w:pPr>
              <w:spacing w:after="0"/>
              <w:rPr>
                <w:sz w:val="15"/>
                <w:szCs w:val="15"/>
                <w:color w:val="auto"/>
              </w:rPr>
            </w:pPr>
          </w:p>
        </w:tc>
        <w:tc>
          <w:tcPr>
            <w:tcW w:w="520" w:type="dxa"/>
            <w:vAlign w:val="bottom"/>
            <w:shd w:val="clear" w:color="auto" w:fill="CECAC6"/>
          </w:tcPr>
          <w:p>
            <w:pPr>
              <w:spacing w:after="0"/>
              <w:rPr>
                <w:sz w:val="15"/>
                <w:szCs w:val="15"/>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2005</w:t>
            </w:r>
          </w:p>
        </w:tc>
      </w:tr>
      <w:tr>
        <w:trPr>
          <w:trHeight w:val="147"/>
        </w:trPr>
        <w:tc>
          <w:tcPr>
            <w:tcW w:w="1880" w:type="dxa"/>
            <w:vAlign w:val="bottom"/>
            <w:shd w:val="clear" w:color="auto" w:fill="CECAC6"/>
          </w:tcPr>
          <w:p>
            <w:pPr>
              <w:spacing w:after="0"/>
              <w:rPr>
                <w:sz w:val="12"/>
                <w:szCs w:val="12"/>
                <w:color w:val="auto"/>
              </w:rPr>
            </w:pPr>
          </w:p>
        </w:tc>
        <w:tc>
          <w:tcPr>
            <w:tcW w:w="560" w:type="dxa"/>
            <w:vAlign w:val="bottom"/>
            <w:shd w:val="clear" w:color="auto" w:fill="CECAC6"/>
          </w:tcPr>
          <w:p>
            <w:pPr>
              <w:spacing w:after="0"/>
              <w:rPr>
                <w:sz w:val="12"/>
                <w:szCs w:val="12"/>
                <w:color w:val="auto"/>
              </w:rPr>
            </w:pPr>
          </w:p>
        </w:tc>
        <w:tc>
          <w:tcPr>
            <w:tcW w:w="7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Oil</w:t>
            </w:r>
          </w:p>
        </w:tc>
        <w:tc>
          <w:tcPr>
            <w:tcW w:w="12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400" w:type="dxa"/>
            <w:vAlign w:val="bottom"/>
            <w:shd w:val="clear" w:color="auto" w:fill="CECAC6"/>
          </w:tcPr>
          <w:p>
            <w:pPr>
              <w:jc w:val="right"/>
              <w:ind w:right="21"/>
              <w:spacing w:after="0"/>
              <w:rPr>
                <w:sz w:val="20"/>
                <w:szCs w:val="20"/>
                <w:color w:val="auto"/>
              </w:rPr>
            </w:pPr>
            <w:r>
              <w:rPr>
                <w:rFonts w:ascii="Arial" w:cs="Arial" w:eastAsia="Arial" w:hAnsi="Arial"/>
                <w:sz w:val="12"/>
                <w:szCs w:val="12"/>
                <w:color w:val="auto"/>
              </w:rPr>
              <w:t>Gas</w:t>
            </w:r>
          </w:p>
        </w:tc>
        <w:tc>
          <w:tcPr>
            <w:tcW w:w="70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500" w:type="dxa"/>
            <w:vAlign w:val="bottom"/>
            <w:shd w:val="clear" w:color="auto" w:fill="CECAC6"/>
          </w:tcPr>
          <w:p>
            <w:pPr>
              <w:jc w:val="right"/>
              <w:ind w:right="101"/>
              <w:spacing w:after="0"/>
              <w:rPr>
                <w:sz w:val="20"/>
                <w:szCs w:val="20"/>
                <w:color w:val="auto"/>
              </w:rPr>
            </w:pPr>
            <w:r>
              <w:rPr>
                <w:rFonts w:ascii="Arial" w:cs="Arial" w:eastAsia="Arial" w:hAnsi="Arial"/>
                <w:sz w:val="12"/>
                <w:szCs w:val="12"/>
                <w:color w:val="auto"/>
              </w:rPr>
              <w:t>Oil</w:t>
            </w:r>
          </w:p>
        </w:tc>
        <w:tc>
          <w:tcPr>
            <w:tcW w:w="780" w:type="dxa"/>
            <w:vAlign w:val="bottom"/>
            <w:shd w:val="clear" w:color="auto" w:fill="CECAC6"/>
          </w:tcPr>
          <w:p>
            <w:pPr>
              <w:spacing w:after="0"/>
              <w:rPr>
                <w:sz w:val="12"/>
                <w:szCs w:val="12"/>
                <w:color w:val="auto"/>
              </w:rPr>
            </w:pPr>
          </w:p>
        </w:tc>
        <w:tc>
          <w:tcPr>
            <w:tcW w:w="9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Gas</w:t>
            </w:r>
          </w:p>
        </w:tc>
        <w:tc>
          <w:tcPr>
            <w:tcW w:w="720" w:type="dxa"/>
            <w:vAlign w:val="bottom"/>
            <w:shd w:val="clear" w:color="auto" w:fill="CECAC6"/>
          </w:tcPr>
          <w:p>
            <w:pPr>
              <w:spacing w:after="0"/>
              <w:rPr>
                <w:sz w:val="12"/>
                <w:szCs w:val="12"/>
                <w:color w:val="auto"/>
              </w:rPr>
            </w:pPr>
          </w:p>
        </w:tc>
        <w:tc>
          <w:tcPr>
            <w:tcW w:w="110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Oil</w:t>
            </w:r>
          </w:p>
        </w:tc>
        <w:tc>
          <w:tcPr>
            <w:tcW w:w="520" w:type="dxa"/>
            <w:vAlign w:val="bottom"/>
            <w:shd w:val="clear" w:color="auto" w:fill="CECAC6"/>
          </w:tcPr>
          <w:p>
            <w:pPr>
              <w:spacing w:after="0"/>
              <w:rPr>
                <w:sz w:val="12"/>
                <w:szCs w:val="12"/>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Gas</w:t>
            </w:r>
          </w:p>
        </w:tc>
      </w:tr>
      <w:tr>
        <w:trPr>
          <w:trHeight w:val="152"/>
        </w:trPr>
        <w:tc>
          <w:tcPr>
            <w:tcW w:w="1880" w:type="dxa"/>
            <w:vAlign w:val="bottom"/>
            <w:shd w:val="clear" w:color="auto" w:fill="CECAC6"/>
          </w:tcPr>
          <w:p>
            <w:pPr>
              <w:spacing w:after="0"/>
              <w:rPr>
                <w:sz w:val="13"/>
                <w:szCs w:val="13"/>
                <w:color w:val="auto"/>
              </w:rPr>
            </w:pPr>
          </w:p>
        </w:tc>
        <w:tc>
          <w:tcPr>
            <w:tcW w:w="5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Gross</w:t>
            </w:r>
          </w:p>
        </w:tc>
        <w:tc>
          <w:tcPr>
            <w:tcW w:w="7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Net</w:t>
            </w:r>
          </w:p>
        </w:tc>
        <w:tc>
          <w:tcPr>
            <w:tcW w:w="120" w:type="dxa"/>
            <w:vAlign w:val="bottom"/>
            <w:shd w:val="clear" w:color="auto" w:fill="CECAC6"/>
          </w:tcPr>
          <w:p>
            <w:pPr>
              <w:spacing w:after="0"/>
              <w:rPr>
                <w:sz w:val="13"/>
                <w:szCs w:val="13"/>
                <w:color w:val="auto"/>
              </w:rPr>
            </w:pPr>
          </w:p>
        </w:tc>
        <w:tc>
          <w:tcPr>
            <w:tcW w:w="680" w:type="dxa"/>
            <w:vAlign w:val="bottom"/>
            <w:shd w:val="clear" w:color="auto" w:fill="CECAC6"/>
          </w:tcPr>
          <w:p>
            <w:pPr>
              <w:jc w:val="right"/>
              <w:ind w:right="1"/>
              <w:spacing w:after="0"/>
              <w:rPr>
                <w:sz w:val="20"/>
                <w:szCs w:val="20"/>
                <w:color w:val="auto"/>
              </w:rPr>
            </w:pPr>
            <w:r>
              <w:rPr>
                <w:rFonts w:ascii="Arial" w:cs="Arial" w:eastAsia="Arial" w:hAnsi="Arial"/>
                <w:sz w:val="12"/>
                <w:szCs w:val="12"/>
                <w:color w:val="auto"/>
              </w:rPr>
              <w:t>Gross</w:t>
            </w:r>
          </w:p>
        </w:tc>
        <w:tc>
          <w:tcPr>
            <w:tcW w:w="460" w:type="dxa"/>
            <w:vAlign w:val="bottom"/>
            <w:shd w:val="clear" w:color="auto" w:fill="CECAC6"/>
          </w:tcPr>
          <w:p>
            <w:pPr>
              <w:spacing w:after="0"/>
              <w:rPr>
                <w:sz w:val="13"/>
                <w:szCs w:val="13"/>
                <w:color w:val="auto"/>
              </w:rPr>
            </w:pPr>
          </w:p>
        </w:tc>
        <w:tc>
          <w:tcPr>
            <w:tcW w:w="400" w:type="dxa"/>
            <w:vAlign w:val="bottom"/>
            <w:shd w:val="clear" w:color="auto" w:fill="CECAC6"/>
          </w:tcPr>
          <w:p>
            <w:pPr>
              <w:jc w:val="right"/>
              <w:ind w:right="21"/>
              <w:spacing w:after="0"/>
              <w:rPr>
                <w:sz w:val="20"/>
                <w:szCs w:val="20"/>
                <w:color w:val="auto"/>
              </w:rPr>
            </w:pPr>
            <w:r>
              <w:rPr>
                <w:rFonts w:ascii="Arial" w:cs="Arial" w:eastAsia="Arial" w:hAnsi="Arial"/>
                <w:sz w:val="12"/>
                <w:szCs w:val="12"/>
                <w:color w:val="auto"/>
              </w:rPr>
              <w:t>Net</w:t>
            </w:r>
          </w:p>
        </w:tc>
        <w:tc>
          <w:tcPr>
            <w:tcW w:w="7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Gross</w:t>
            </w:r>
          </w:p>
        </w:tc>
        <w:tc>
          <w:tcPr>
            <w:tcW w:w="420" w:type="dxa"/>
            <w:vAlign w:val="bottom"/>
            <w:shd w:val="clear" w:color="auto" w:fill="CECAC6"/>
          </w:tcPr>
          <w:p>
            <w:pPr>
              <w:spacing w:after="0"/>
              <w:rPr>
                <w:sz w:val="13"/>
                <w:szCs w:val="13"/>
                <w:color w:val="auto"/>
              </w:rPr>
            </w:pPr>
          </w:p>
        </w:tc>
        <w:tc>
          <w:tcPr>
            <w:tcW w:w="500" w:type="dxa"/>
            <w:vAlign w:val="bottom"/>
            <w:shd w:val="clear" w:color="auto" w:fill="CECAC6"/>
          </w:tcPr>
          <w:p>
            <w:pPr>
              <w:jc w:val="right"/>
              <w:ind w:right="101"/>
              <w:spacing w:after="0"/>
              <w:rPr>
                <w:sz w:val="20"/>
                <w:szCs w:val="20"/>
                <w:color w:val="auto"/>
              </w:rPr>
            </w:pPr>
            <w:r>
              <w:rPr>
                <w:rFonts w:ascii="Arial" w:cs="Arial" w:eastAsia="Arial" w:hAnsi="Arial"/>
                <w:sz w:val="12"/>
                <w:szCs w:val="12"/>
                <w:color w:val="auto"/>
              </w:rPr>
              <w:t>Net</w:t>
            </w:r>
          </w:p>
        </w:tc>
        <w:tc>
          <w:tcPr>
            <w:tcW w:w="7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Gross</w:t>
            </w:r>
          </w:p>
        </w:tc>
        <w:tc>
          <w:tcPr>
            <w:tcW w:w="9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Net</w:t>
            </w:r>
          </w:p>
        </w:tc>
        <w:tc>
          <w:tcPr>
            <w:tcW w:w="7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Gross</w:t>
            </w:r>
          </w:p>
        </w:tc>
        <w:tc>
          <w:tcPr>
            <w:tcW w:w="110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Net</w:t>
            </w:r>
          </w:p>
        </w:tc>
        <w:tc>
          <w:tcPr>
            <w:tcW w:w="5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Gross</w:t>
            </w: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Net</w:t>
            </w:r>
          </w:p>
        </w:tc>
      </w:tr>
      <w:tr>
        <w:trPr>
          <w:trHeight w:val="167"/>
        </w:trPr>
        <w:tc>
          <w:tcPr>
            <w:tcW w:w="1880" w:type="dxa"/>
            <w:vAlign w:val="bottom"/>
          </w:tcPr>
          <w:p>
            <w:pPr>
              <w:spacing w:after="0"/>
              <w:rPr>
                <w:sz w:val="20"/>
                <w:szCs w:val="20"/>
                <w:color w:val="auto"/>
              </w:rPr>
            </w:pPr>
            <w:r>
              <w:rPr>
                <w:rFonts w:ascii="Arial" w:cs="Arial" w:eastAsia="Arial" w:hAnsi="Arial"/>
                <w:sz w:val="12"/>
                <w:szCs w:val="12"/>
                <w:color w:val="auto"/>
              </w:rPr>
              <w:t>Europe</w:t>
            </w:r>
          </w:p>
        </w:tc>
        <w:tc>
          <w:tcPr>
            <w:tcW w:w="56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1,638</w:t>
            </w:r>
          </w:p>
        </w:tc>
        <w:tc>
          <w:tcPr>
            <w:tcW w:w="76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427</w:t>
            </w:r>
          </w:p>
        </w:tc>
        <w:tc>
          <w:tcPr>
            <w:tcW w:w="800" w:type="dxa"/>
            <w:vAlign w:val="bottom"/>
            <w:gridSpan w:val="2"/>
            <w:shd w:val="clear" w:color="auto" w:fill="E4E3E1"/>
          </w:tcPr>
          <w:p>
            <w:pPr>
              <w:jc w:val="right"/>
              <w:ind w:right="1"/>
              <w:spacing w:after="0"/>
              <w:rPr>
                <w:sz w:val="20"/>
                <w:szCs w:val="20"/>
                <w:color w:val="auto"/>
              </w:rPr>
            </w:pPr>
            <w:r>
              <w:rPr>
                <w:rFonts w:ascii="Arial" w:cs="Arial" w:eastAsia="Arial" w:hAnsi="Arial"/>
                <w:sz w:val="12"/>
                <w:szCs w:val="12"/>
                <w:color w:val="auto"/>
              </w:rPr>
              <w:t>1,334</w:t>
            </w:r>
          </w:p>
        </w:tc>
        <w:tc>
          <w:tcPr>
            <w:tcW w:w="860" w:type="dxa"/>
            <w:vAlign w:val="bottom"/>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452</w:t>
            </w:r>
          </w:p>
        </w:tc>
        <w:tc>
          <w:tcPr>
            <w:tcW w:w="700" w:type="dxa"/>
            <w:vAlign w:val="bottom"/>
          </w:tcPr>
          <w:p>
            <w:pPr>
              <w:jc w:val="right"/>
              <w:spacing w:after="0"/>
              <w:rPr>
                <w:sz w:val="20"/>
                <w:szCs w:val="20"/>
                <w:color w:val="auto"/>
              </w:rPr>
            </w:pPr>
            <w:r>
              <w:rPr>
                <w:rFonts w:ascii="Arial" w:cs="Arial" w:eastAsia="Arial" w:hAnsi="Arial"/>
                <w:sz w:val="12"/>
                <w:szCs w:val="12"/>
                <w:color w:val="auto"/>
              </w:rPr>
              <w:t>1,647</w:t>
            </w:r>
          </w:p>
        </w:tc>
        <w:tc>
          <w:tcPr>
            <w:tcW w:w="920" w:type="dxa"/>
            <w:vAlign w:val="bottom"/>
            <w:gridSpan w:val="2"/>
          </w:tcPr>
          <w:p>
            <w:pPr>
              <w:jc w:val="right"/>
              <w:ind w:right="101"/>
              <w:spacing w:after="0"/>
              <w:rPr>
                <w:sz w:val="20"/>
                <w:szCs w:val="20"/>
                <w:color w:val="auto"/>
              </w:rPr>
            </w:pPr>
            <w:r>
              <w:rPr>
                <w:rFonts w:ascii="Arial" w:cs="Arial" w:eastAsia="Arial" w:hAnsi="Arial"/>
                <w:sz w:val="12"/>
                <w:szCs w:val="12"/>
                <w:color w:val="auto"/>
              </w:rPr>
              <w:t>475</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1,487</w:t>
            </w:r>
          </w:p>
        </w:tc>
        <w:tc>
          <w:tcPr>
            <w:tcW w:w="920" w:type="dxa"/>
            <w:vAlign w:val="bottom"/>
          </w:tcPr>
          <w:p>
            <w:pPr>
              <w:jc w:val="right"/>
              <w:ind w:right="98"/>
              <w:spacing w:after="0"/>
              <w:rPr>
                <w:sz w:val="20"/>
                <w:szCs w:val="20"/>
                <w:color w:val="auto"/>
              </w:rPr>
            </w:pPr>
            <w:r>
              <w:rPr>
                <w:rFonts w:ascii="Arial" w:cs="Arial" w:eastAsia="Arial" w:hAnsi="Arial"/>
                <w:sz w:val="12"/>
                <w:szCs w:val="12"/>
                <w:color w:val="auto"/>
              </w:rPr>
              <w:t>461</w:t>
            </w:r>
          </w:p>
        </w:tc>
        <w:tc>
          <w:tcPr>
            <w:tcW w:w="720" w:type="dxa"/>
            <w:vAlign w:val="bottom"/>
          </w:tcPr>
          <w:p>
            <w:pPr>
              <w:jc w:val="right"/>
              <w:ind w:right="38"/>
              <w:spacing w:after="0"/>
              <w:rPr>
                <w:sz w:val="20"/>
                <w:szCs w:val="20"/>
                <w:color w:val="auto"/>
              </w:rPr>
            </w:pPr>
            <w:r>
              <w:rPr>
                <w:rFonts w:ascii="Arial" w:cs="Arial" w:eastAsia="Arial" w:hAnsi="Arial"/>
                <w:sz w:val="12"/>
                <w:szCs w:val="12"/>
                <w:color w:val="auto"/>
              </w:rPr>
              <w:t>1,762</w:t>
            </w:r>
          </w:p>
        </w:tc>
        <w:tc>
          <w:tcPr>
            <w:tcW w:w="1100" w:type="dxa"/>
            <w:vAlign w:val="bottom"/>
          </w:tcPr>
          <w:p>
            <w:pPr>
              <w:jc w:val="right"/>
              <w:ind w:right="338"/>
              <w:spacing w:after="0"/>
              <w:rPr>
                <w:sz w:val="20"/>
                <w:szCs w:val="20"/>
                <w:color w:val="auto"/>
              </w:rPr>
            </w:pPr>
            <w:r>
              <w:rPr>
                <w:rFonts w:ascii="Arial" w:cs="Arial" w:eastAsia="Arial" w:hAnsi="Arial"/>
                <w:sz w:val="12"/>
                <w:szCs w:val="12"/>
                <w:color w:val="auto"/>
              </w:rPr>
              <w:t>491</w:t>
            </w:r>
          </w:p>
        </w:tc>
        <w:tc>
          <w:tcPr>
            <w:tcW w:w="520" w:type="dxa"/>
            <w:vAlign w:val="bottom"/>
          </w:tcPr>
          <w:p>
            <w:pPr>
              <w:jc w:val="right"/>
              <w:spacing w:after="0"/>
              <w:rPr>
                <w:sz w:val="20"/>
                <w:szCs w:val="20"/>
                <w:color w:val="auto"/>
              </w:rPr>
            </w:pPr>
            <w:r>
              <w:rPr>
                <w:rFonts w:ascii="Arial" w:cs="Arial" w:eastAsia="Arial" w:hAnsi="Arial"/>
                <w:sz w:val="12"/>
                <w:szCs w:val="12"/>
                <w:color w:val="auto"/>
              </w:rPr>
              <w:t>1,355</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448</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[D]</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1,006</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356</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35</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11</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945</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333</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40</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13</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1,234</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413</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36</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Asia Pacific</w:t>
            </w:r>
            <w:r>
              <w:rPr>
                <w:rFonts w:ascii="Arial" w:cs="Arial" w:eastAsia="Arial" w:hAnsi="Arial"/>
                <w:sz w:val="10"/>
                <w:szCs w:val="10"/>
                <w:color w:val="auto"/>
              </w:rPr>
              <w:t>[E]</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1,096</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517</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286</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117</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1,095</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520</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259</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109</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1,076</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480</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264</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100</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Middle East, Russia, CIS</w:t>
            </w:r>
            <w:r>
              <w:rPr>
                <w:rFonts w:ascii="Arial" w:cs="Arial" w:eastAsia="Arial" w:hAnsi="Arial"/>
                <w:sz w:val="10"/>
                <w:szCs w:val="10"/>
                <w:color w:val="auto"/>
              </w:rPr>
              <w:t>[F]</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4,609</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1,414</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44</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38</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4,333</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1,364</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44</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4,128</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1,279</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45</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40</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5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15,493</w:t>
            </w:r>
          </w:p>
        </w:tc>
        <w:tc>
          <w:tcPr>
            <w:tcW w:w="76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7,825</w:t>
            </w:r>
          </w:p>
        </w:tc>
        <w:tc>
          <w:tcPr>
            <w:tcW w:w="800" w:type="dxa"/>
            <w:vAlign w:val="bottom"/>
            <w:gridSpan w:val="2"/>
            <w:shd w:val="clear" w:color="auto" w:fill="E4E3E1"/>
          </w:tcPr>
          <w:p>
            <w:pPr>
              <w:jc w:val="right"/>
              <w:ind w:right="1"/>
              <w:spacing w:after="0" w:line="133" w:lineRule="exact"/>
              <w:rPr>
                <w:sz w:val="20"/>
                <w:szCs w:val="20"/>
                <w:color w:val="auto"/>
              </w:rPr>
            </w:pPr>
            <w:r>
              <w:rPr>
                <w:rFonts w:ascii="Arial" w:cs="Arial" w:eastAsia="Arial" w:hAnsi="Arial"/>
                <w:sz w:val="12"/>
                <w:szCs w:val="12"/>
                <w:color w:val="auto"/>
              </w:rPr>
              <w:t>1,040</w:t>
            </w:r>
          </w:p>
        </w:tc>
        <w:tc>
          <w:tcPr>
            <w:tcW w:w="860" w:type="dxa"/>
            <w:vAlign w:val="bottom"/>
            <w:gridSpan w:val="2"/>
            <w:shd w:val="clear" w:color="auto" w:fill="E4E3E1"/>
          </w:tcPr>
          <w:p>
            <w:pPr>
              <w:jc w:val="right"/>
              <w:ind w:right="21"/>
              <w:spacing w:after="0" w:line="133" w:lineRule="exact"/>
              <w:rPr>
                <w:sz w:val="20"/>
                <w:szCs w:val="20"/>
                <w:color w:val="auto"/>
              </w:rPr>
            </w:pPr>
            <w:r>
              <w:rPr>
                <w:rFonts w:ascii="Arial" w:cs="Arial" w:eastAsia="Arial" w:hAnsi="Arial"/>
                <w:sz w:val="12"/>
                <w:szCs w:val="12"/>
                <w:color w:val="auto"/>
              </w:rPr>
              <w:t>765</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15,977</w:t>
            </w:r>
          </w:p>
        </w:tc>
        <w:tc>
          <w:tcPr>
            <w:tcW w:w="920" w:type="dxa"/>
            <w:vAlign w:val="bottom"/>
            <w:gridSpan w:val="2"/>
          </w:tcPr>
          <w:p>
            <w:pPr>
              <w:jc w:val="right"/>
              <w:ind w:right="101"/>
              <w:spacing w:after="0" w:line="133" w:lineRule="exact"/>
              <w:rPr>
                <w:sz w:val="20"/>
                <w:szCs w:val="20"/>
                <w:color w:val="auto"/>
              </w:rPr>
            </w:pPr>
            <w:r>
              <w:rPr>
                <w:rFonts w:ascii="Arial" w:cs="Arial" w:eastAsia="Arial" w:hAnsi="Arial"/>
                <w:sz w:val="12"/>
                <w:szCs w:val="12"/>
                <w:color w:val="auto"/>
              </w:rPr>
              <w:t>8,077</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1,069</w:t>
            </w:r>
          </w:p>
        </w:tc>
        <w:tc>
          <w:tcPr>
            <w:tcW w:w="9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830</w:t>
            </w:r>
          </w:p>
        </w:tc>
        <w:tc>
          <w:tcPr>
            <w:tcW w:w="7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16,159</w:t>
            </w:r>
          </w:p>
        </w:tc>
        <w:tc>
          <w:tcPr>
            <w:tcW w:w="11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8,270</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873</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636</w:t>
            </w:r>
          </w:p>
        </w:tc>
      </w:tr>
      <w:tr>
        <w:trPr>
          <w:trHeight w:val="139"/>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5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427</w:t>
            </w: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332</w:t>
            </w:r>
          </w:p>
        </w:tc>
        <w:tc>
          <w:tcPr>
            <w:tcW w:w="800" w:type="dxa"/>
            <w:vAlign w:val="bottom"/>
            <w:tcBorders>
              <w:bottom w:val="single" w:sz="8" w:color="auto"/>
            </w:tcBorders>
            <w:gridSpan w:val="2"/>
            <w:shd w:val="clear" w:color="auto" w:fill="E4E3E1"/>
          </w:tcPr>
          <w:p>
            <w:pPr>
              <w:jc w:val="right"/>
              <w:ind w:right="1"/>
              <w:spacing w:after="0"/>
              <w:rPr>
                <w:sz w:val="20"/>
                <w:szCs w:val="20"/>
                <w:color w:val="auto"/>
              </w:rPr>
            </w:pPr>
            <w:r>
              <w:rPr>
                <w:rFonts w:ascii="Arial" w:cs="Arial" w:eastAsia="Arial" w:hAnsi="Arial"/>
                <w:sz w:val="12"/>
                <w:szCs w:val="12"/>
                <w:color w:val="auto"/>
              </w:rPr>
              <w:t>351</w:t>
            </w:r>
          </w:p>
        </w:tc>
        <w:tc>
          <w:tcPr>
            <w:tcW w:w="860" w:type="dxa"/>
            <w:vAlign w:val="bottom"/>
            <w:tcBorders>
              <w:bottom w:val="single" w:sz="8" w:color="auto"/>
            </w:tcBorders>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268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w:t>
            </w:r>
          </w:p>
        </w:tc>
        <w:tc>
          <w:tcPr>
            <w:tcW w:w="9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264</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326</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250</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122</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117</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303</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284</w:t>
            </w:r>
          </w:p>
        </w:tc>
      </w:tr>
      <w:tr>
        <w:trPr>
          <w:trHeight w:val="173"/>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24,269</w:t>
            </w: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10,871</w:t>
            </w:r>
          </w:p>
        </w:tc>
        <w:tc>
          <w:tcPr>
            <w:tcW w:w="800" w:type="dxa"/>
            <w:vAlign w:val="bottom"/>
            <w:tcBorders>
              <w:bottom w:val="single" w:sz="8" w:color="auto"/>
            </w:tcBorders>
            <w:gridSpan w:val="2"/>
            <w:shd w:val="clear" w:color="auto" w:fill="E4E3E1"/>
          </w:tcPr>
          <w:p>
            <w:pPr>
              <w:jc w:val="right"/>
              <w:ind w:right="1"/>
              <w:spacing w:after="0"/>
              <w:rPr>
                <w:sz w:val="20"/>
                <w:szCs w:val="20"/>
                <w:color w:val="auto"/>
              </w:rPr>
            </w:pPr>
            <w:r>
              <w:rPr>
                <w:rFonts w:ascii="Arial" w:cs="Arial" w:eastAsia="Arial" w:hAnsi="Arial"/>
                <w:sz w:val="12"/>
                <w:szCs w:val="12"/>
                <w:color w:val="auto"/>
              </w:rPr>
              <w:t>3,090</w:t>
            </w:r>
          </w:p>
        </w:tc>
        <w:tc>
          <w:tcPr>
            <w:tcW w:w="860" w:type="dxa"/>
            <w:vAlign w:val="bottom"/>
            <w:tcBorders>
              <w:bottom w:val="single" w:sz="8" w:color="auto"/>
            </w:tcBorders>
            <w:gridSpan w:val="2"/>
            <w:shd w:val="clear" w:color="auto" w:fill="E4E3E1"/>
          </w:tcPr>
          <w:p>
            <w:pPr>
              <w:jc w:val="right"/>
              <w:ind w:right="21"/>
              <w:spacing w:after="0"/>
              <w:rPr>
                <w:sz w:val="20"/>
                <w:szCs w:val="20"/>
                <w:color w:val="auto"/>
              </w:rPr>
            </w:pPr>
            <w:r>
              <w:rPr>
                <w:rFonts w:ascii="Arial" w:cs="Arial" w:eastAsia="Arial" w:hAnsi="Arial"/>
                <w:sz w:val="12"/>
                <w:szCs w:val="12"/>
                <w:color w:val="auto"/>
              </w:rPr>
              <w:t>1,651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24,352</w:t>
            </w:r>
          </w:p>
        </w:tc>
        <w:tc>
          <w:tcPr>
            <w:tcW w:w="92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2"/>
                <w:szCs w:val="12"/>
                <w:color w:val="auto"/>
              </w:rPr>
              <w:t>11,033</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3,231</w:t>
            </w: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1,707</w:t>
            </w: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24,481</w:t>
            </w:r>
          </w:p>
        </w:tc>
        <w:tc>
          <w:tcPr>
            <w:tcW w:w="110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11,050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2,876</w:t>
            </w: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1,520</w:t>
            </w:r>
          </w:p>
        </w:tc>
      </w:tr>
      <w:tr>
        <w:trPr>
          <w:trHeight w:val="293"/>
        </w:trPr>
        <w:tc>
          <w:tcPr>
            <w:tcW w:w="3320" w:type="dxa"/>
            <w:vAlign w:val="bottom"/>
            <w:gridSpan w:val="4"/>
          </w:tcPr>
          <w:p>
            <w:pPr>
              <w:spacing w:after="0"/>
              <w:rPr>
                <w:sz w:val="24"/>
                <w:szCs w:val="24"/>
                <w:color w:val="auto"/>
              </w:rPr>
            </w:pPr>
          </w:p>
        </w:tc>
        <w:tc>
          <w:tcPr>
            <w:tcW w:w="114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6"/>
        </w:trPr>
        <w:tc>
          <w:tcPr>
            <w:tcW w:w="5560" w:type="dxa"/>
            <w:vAlign w:val="bottom"/>
            <w:gridSpan w:val="8"/>
            <w:shd w:val="clear" w:color="auto" w:fill="005696"/>
          </w:tcPr>
          <w:p>
            <w:pPr>
              <w:ind w:left="40"/>
              <w:spacing w:after="0"/>
              <w:rPr>
                <w:sz w:val="20"/>
                <w:szCs w:val="20"/>
                <w:color w:val="auto"/>
              </w:rPr>
            </w:pPr>
            <w:r>
              <w:rPr>
                <w:rFonts w:ascii="Arial" w:cs="Arial" w:eastAsia="Arial" w:hAnsi="Arial"/>
                <w:sz w:val="12"/>
                <w:szCs w:val="12"/>
                <w:b w:val="1"/>
                <w:bCs w:val="1"/>
                <w:color w:val="FFFFFF"/>
              </w:rPr>
              <w:t>NUMBER OF NET PRODUCTIVE WELLS AND DRY HOLES DRILLED[A][B] (At December 31)</w:t>
            </w:r>
          </w:p>
        </w:tc>
        <w:tc>
          <w:tcPr>
            <w:tcW w:w="420" w:type="dxa"/>
            <w:vAlign w:val="bottom"/>
            <w:shd w:val="clear" w:color="auto" w:fill="005696"/>
          </w:tcPr>
          <w:p>
            <w:pPr>
              <w:spacing w:after="0"/>
              <w:rPr>
                <w:sz w:val="16"/>
                <w:szCs w:val="16"/>
                <w:color w:val="auto"/>
              </w:rPr>
            </w:pPr>
          </w:p>
        </w:tc>
        <w:tc>
          <w:tcPr>
            <w:tcW w:w="500" w:type="dxa"/>
            <w:vAlign w:val="bottom"/>
            <w:shd w:val="clear" w:color="auto" w:fill="005696"/>
          </w:tcPr>
          <w:p>
            <w:pPr>
              <w:spacing w:after="0"/>
              <w:rPr>
                <w:sz w:val="16"/>
                <w:szCs w:val="16"/>
                <w:color w:val="auto"/>
              </w:rPr>
            </w:pPr>
          </w:p>
        </w:tc>
        <w:tc>
          <w:tcPr>
            <w:tcW w:w="780" w:type="dxa"/>
            <w:vAlign w:val="bottom"/>
            <w:shd w:val="clear" w:color="auto" w:fill="005696"/>
          </w:tcPr>
          <w:p>
            <w:pPr>
              <w:spacing w:after="0"/>
              <w:rPr>
                <w:sz w:val="16"/>
                <w:szCs w:val="16"/>
                <w:color w:val="auto"/>
              </w:rPr>
            </w:pPr>
          </w:p>
        </w:tc>
        <w:tc>
          <w:tcPr>
            <w:tcW w:w="920" w:type="dxa"/>
            <w:vAlign w:val="bottom"/>
            <w:shd w:val="clear" w:color="auto" w:fill="005696"/>
          </w:tcPr>
          <w:p>
            <w:pPr>
              <w:spacing w:after="0"/>
              <w:rPr>
                <w:sz w:val="16"/>
                <w:szCs w:val="16"/>
                <w:color w:val="auto"/>
              </w:rPr>
            </w:pPr>
          </w:p>
        </w:tc>
        <w:tc>
          <w:tcPr>
            <w:tcW w:w="720" w:type="dxa"/>
            <w:vAlign w:val="bottom"/>
            <w:shd w:val="clear" w:color="auto" w:fill="005696"/>
          </w:tcPr>
          <w:p>
            <w:pPr>
              <w:spacing w:after="0"/>
              <w:rPr>
                <w:sz w:val="16"/>
                <w:szCs w:val="16"/>
                <w:color w:val="auto"/>
              </w:rPr>
            </w:pPr>
          </w:p>
        </w:tc>
        <w:tc>
          <w:tcPr>
            <w:tcW w:w="1100" w:type="dxa"/>
            <w:vAlign w:val="bottom"/>
            <w:shd w:val="clear" w:color="auto" w:fill="005696"/>
          </w:tcPr>
          <w:p>
            <w:pPr>
              <w:spacing w:after="0"/>
              <w:rPr>
                <w:sz w:val="16"/>
                <w:szCs w:val="16"/>
                <w:color w:val="auto"/>
              </w:rPr>
            </w:pPr>
          </w:p>
        </w:tc>
        <w:tc>
          <w:tcPr>
            <w:tcW w:w="520" w:type="dxa"/>
            <w:vAlign w:val="bottom"/>
            <w:shd w:val="clear" w:color="auto" w:fill="005696"/>
          </w:tcPr>
          <w:p>
            <w:pPr>
              <w:spacing w:after="0"/>
              <w:rPr>
                <w:sz w:val="16"/>
                <w:szCs w:val="16"/>
                <w:color w:val="auto"/>
              </w:rPr>
            </w:pPr>
          </w:p>
        </w:tc>
        <w:tc>
          <w:tcPr>
            <w:tcW w:w="900" w:type="dxa"/>
            <w:vAlign w:val="bottom"/>
            <w:shd w:val="clear" w:color="auto" w:fill="005696"/>
          </w:tcPr>
          <w:p>
            <w:pPr>
              <w:spacing w:after="0"/>
              <w:rPr>
                <w:sz w:val="16"/>
                <w:szCs w:val="16"/>
                <w:color w:val="auto"/>
              </w:rPr>
            </w:pPr>
          </w:p>
        </w:tc>
      </w:tr>
      <w:tr>
        <w:trPr>
          <w:trHeight w:val="181"/>
        </w:trPr>
        <w:tc>
          <w:tcPr>
            <w:tcW w:w="1880" w:type="dxa"/>
            <w:vAlign w:val="bottom"/>
            <w:shd w:val="clear" w:color="auto" w:fill="CECAC6"/>
          </w:tcPr>
          <w:p>
            <w:pPr>
              <w:spacing w:after="0"/>
              <w:rPr>
                <w:sz w:val="15"/>
                <w:szCs w:val="15"/>
                <w:color w:val="auto"/>
              </w:rPr>
            </w:pPr>
          </w:p>
        </w:tc>
        <w:tc>
          <w:tcPr>
            <w:tcW w:w="560" w:type="dxa"/>
            <w:vAlign w:val="bottom"/>
            <w:shd w:val="clear" w:color="auto" w:fill="CECAC6"/>
          </w:tcPr>
          <w:p>
            <w:pPr>
              <w:spacing w:after="0"/>
              <w:rPr>
                <w:sz w:val="15"/>
                <w:szCs w:val="15"/>
                <w:color w:val="auto"/>
              </w:rPr>
            </w:pPr>
          </w:p>
        </w:tc>
        <w:tc>
          <w:tcPr>
            <w:tcW w:w="760" w:type="dxa"/>
            <w:vAlign w:val="bottom"/>
            <w:shd w:val="clear" w:color="auto" w:fill="CECAC6"/>
          </w:tcPr>
          <w:p>
            <w:pPr>
              <w:spacing w:after="0"/>
              <w:rPr>
                <w:sz w:val="15"/>
                <w:szCs w:val="15"/>
                <w:color w:val="auto"/>
              </w:rPr>
            </w:pPr>
          </w:p>
        </w:tc>
        <w:tc>
          <w:tcPr>
            <w:tcW w:w="120" w:type="dxa"/>
            <w:vAlign w:val="bottom"/>
            <w:shd w:val="clear" w:color="auto" w:fill="CECAC6"/>
          </w:tcPr>
          <w:p>
            <w:pPr>
              <w:spacing w:after="0"/>
              <w:rPr>
                <w:sz w:val="15"/>
                <w:szCs w:val="15"/>
                <w:color w:val="auto"/>
              </w:rPr>
            </w:pPr>
          </w:p>
        </w:tc>
        <w:tc>
          <w:tcPr>
            <w:tcW w:w="680" w:type="dxa"/>
            <w:vAlign w:val="bottom"/>
            <w:shd w:val="clear" w:color="auto" w:fill="CECAC6"/>
          </w:tcPr>
          <w:p>
            <w:pPr>
              <w:spacing w:after="0"/>
              <w:rPr>
                <w:sz w:val="15"/>
                <w:szCs w:val="15"/>
                <w:color w:val="auto"/>
              </w:rPr>
            </w:pPr>
          </w:p>
        </w:tc>
        <w:tc>
          <w:tcPr>
            <w:tcW w:w="460" w:type="dxa"/>
            <w:vAlign w:val="bottom"/>
            <w:shd w:val="clear" w:color="auto" w:fill="CECAC6"/>
          </w:tcPr>
          <w:p>
            <w:pPr>
              <w:spacing w:after="0"/>
              <w:rPr>
                <w:sz w:val="15"/>
                <w:szCs w:val="15"/>
                <w:color w:val="auto"/>
              </w:rPr>
            </w:pPr>
          </w:p>
        </w:tc>
        <w:tc>
          <w:tcPr>
            <w:tcW w:w="400" w:type="dxa"/>
            <w:vAlign w:val="bottom"/>
            <w:shd w:val="clear" w:color="auto" w:fill="CECAC6"/>
          </w:tcPr>
          <w:p>
            <w:pPr>
              <w:spacing w:after="0"/>
              <w:rPr>
                <w:sz w:val="15"/>
                <w:szCs w:val="15"/>
                <w:color w:val="auto"/>
              </w:rPr>
            </w:pPr>
          </w:p>
        </w:tc>
        <w:tc>
          <w:tcPr>
            <w:tcW w:w="700" w:type="dxa"/>
            <w:vAlign w:val="bottom"/>
            <w:shd w:val="clear" w:color="auto" w:fill="CECAC6"/>
          </w:tcPr>
          <w:p>
            <w:pPr>
              <w:spacing w:after="0"/>
              <w:rPr>
                <w:sz w:val="15"/>
                <w:szCs w:val="15"/>
                <w:color w:val="auto"/>
              </w:rPr>
            </w:pPr>
          </w:p>
        </w:tc>
        <w:tc>
          <w:tcPr>
            <w:tcW w:w="4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2007</w:t>
            </w:r>
          </w:p>
        </w:tc>
        <w:tc>
          <w:tcPr>
            <w:tcW w:w="500" w:type="dxa"/>
            <w:vAlign w:val="bottom"/>
            <w:shd w:val="clear" w:color="auto" w:fill="CECAC6"/>
          </w:tcPr>
          <w:p>
            <w:pPr>
              <w:spacing w:after="0"/>
              <w:rPr>
                <w:sz w:val="15"/>
                <w:szCs w:val="15"/>
                <w:color w:val="auto"/>
              </w:rPr>
            </w:pPr>
          </w:p>
        </w:tc>
        <w:tc>
          <w:tcPr>
            <w:tcW w:w="780" w:type="dxa"/>
            <w:vAlign w:val="bottom"/>
            <w:shd w:val="clear" w:color="auto" w:fill="CECAC6"/>
          </w:tcPr>
          <w:p>
            <w:pPr>
              <w:spacing w:after="0"/>
              <w:rPr>
                <w:sz w:val="15"/>
                <w:szCs w:val="15"/>
                <w:color w:val="auto"/>
              </w:rPr>
            </w:pPr>
          </w:p>
        </w:tc>
        <w:tc>
          <w:tcPr>
            <w:tcW w:w="920" w:type="dxa"/>
            <w:vAlign w:val="bottom"/>
            <w:shd w:val="clear" w:color="auto" w:fill="CECAC6"/>
          </w:tcPr>
          <w:p>
            <w:pPr>
              <w:spacing w:after="0"/>
              <w:rPr>
                <w:sz w:val="15"/>
                <w:szCs w:val="15"/>
                <w:color w:val="auto"/>
              </w:rPr>
            </w:pPr>
          </w:p>
        </w:tc>
        <w:tc>
          <w:tcPr>
            <w:tcW w:w="7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2006</w:t>
            </w:r>
          </w:p>
        </w:tc>
        <w:tc>
          <w:tcPr>
            <w:tcW w:w="1100" w:type="dxa"/>
            <w:vAlign w:val="bottom"/>
            <w:shd w:val="clear" w:color="auto" w:fill="CECAC6"/>
          </w:tcPr>
          <w:p>
            <w:pPr>
              <w:spacing w:after="0"/>
              <w:rPr>
                <w:sz w:val="15"/>
                <w:szCs w:val="15"/>
                <w:color w:val="auto"/>
              </w:rPr>
            </w:pPr>
          </w:p>
        </w:tc>
        <w:tc>
          <w:tcPr>
            <w:tcW w:w="520" w:type="dxa"/>
            <w:vAlign w:val="bottom"/>
            <w:shd w:val="clear" w:color="auto" w:fill="CECAC6"/>
          </w:tcPr>
          <w:p>
            <w:pPr>
              <w:spacing w:after="0"/>
              <w:rPr>
                <w:sz w:val="15"/>
                <w:szCs w:val="15"/>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2005</w:t>
            </w:r>
          </w:p>
        </w:tc>
      </w:tr>
      <w:tr>
        <w:trPr>
          <w:trHeight w:val="139"/>
        </w:trPr>
        <w:tc>
          <w:tcPr>
            <w:tcW w:w="1880" w:type="dxa"/>
            <w:vAlign w:val="bottom"/>
            <w:shd w:val="clear" w:color="auto" w:fill="CECAC6"/>
          </w:tcPr>
          <w:p>
            <w:pPr>
              <w:spacing w:after="0"/>
              <w:rPr>
                <w:sz w:val="12"/>
                <w:szCs w:val="12"/>
                <w:color w:val="auto"/>
              </w:rPr>
            </w:pPr>
          </w:p>
        </w:tc>
        <w:tc>
          <w:tcPr>
            <w:tcW w:w="560" w:type="dxa"/>
            <w:vAlign w:val="bottom"/>
            <w:shd w:val="clear" w:color="auto" w:fill="CECAC6"/>
          </w:tcPr>
          <w:p>
            <w:pPr>
              <w:spacing w:after="0"/>
              <w:rPr>
                <w:sz w:val="12"/>
                <w:szCs w:val="12"/>
                <w:color w:val="auto"/>
              </w:rPr>
            </w:pPr>
          </w:p>
        </w:tc>
        <w:tc>
          <w:tcPr>
            <w:tcW w:w="760" w:type="dxa"/>
            <w:vAlign w:val="bottom"/>
            <w:shd w:val="clear" w:color="auto" w:fill="CECAC6"/>
          </w:tcPr>
          <w:p>
            <w:pPr>
              <w:spacing w:after="0"/>
              <w:rPr>
                <w:sz w:val="12"/>
                <w:szCs w:val="12"/>
                <w:color w:val="auto"/>
              </w:rPr>
            </w:pPr>
          </w:p>
        </w:tc>
        <w:tc>
          <w:tcPr>
            <w:tcW w:w="120" w:type="dxa"/>
            <w:vAlign w:val="bottom"/>
            <w:shd w:val="clear" w:color="auto" w:fill="CECAC6"/>
          </w:tcPr>
          <w:p>
            <w:pPr>
              <w:spacing w:after="0"/>
              <w:rPr>
                <w:sz w:val="12"/>
                <w:szCs w:val="12"/>
                <w:color w:val="auto"/>
              </w:rPr>
            </w:pPr>
          </w:p>
        </w:tc>
        <w:tc>
          <w:tcPr>
            <w:tcW w:w="1540" w:type="dxa"/>
            <w:vAlign w:val="bottom"/>
            <w:gridSpan w:val="3"/>
            <w:shd w:val="clear" w:color="auto" w:fill="CECAC6"/>
          </w:tcPr>
          <w:p>
            <w:pPr>
              <w:jc w:val="right"/>
              <w:ind w:right="341"/>
              <w:spacing w:after="0"/>
              <w:rPr>
                <w:sz w:val="20"/>
                <w:szCs w:val="20"/>
                <w:color w:val="auto"/>
              </w:rPr>
            </w:pPr>
            <w:r>
              <w:rPr>
                <w:rFonts w:ascii="Arial" w:cs="Arial" w:eastAsia="Arial" w:hAnsi="Arial"/>
                <w:sz w:val="12"/>
                <w:szCs w:val="12"/>
                <w:color w:val="auto"/>
              </w:rPr>
              <w:t>Productive</w:t>
            </w:r>
          </w:p>
        </w:tc>
        <w:tc>
          <w:tcPr>
            <w:tcW w:w="700" w:type="dxa"/>
            <w:vAlign w:val="bottom"/>
            <w:shd w:val="clear" w:color="auto" w:fill="CECAC6"/>
          </w:tcPr>
          <w:p>
            <w:pPr>
              <w:spacing w:after="0"/>
              <w:rPr>
                <w:sz w:val="12"/>
                <w:szCs w:val="12"/>
                <w:color w:val="auto"/>
              </w:rPr>
            </w:pPr>
          </w:p>
        </w:tc>
        <w:tc>
          <w:tcPr>
            <w:tcW w:w="920" w:type="dxa"/>
            <w:vAlign w:val="bottom"/>
            <w:gridSpan w:val="2"/>
            <w:shd w:val="clear" w:color="auto" w:fill="CECAC6"/>
          </w:tcPr>
          <w:p>
            <w:pPr>
              <w:jc w:val="right"/>
              <w:ind w:right="561"/>
              <w:spacing w:after="0"/>
              <w:rPr>
                <w:sz w:val="20"/>
                <w:szCs w:val="20"/>
                <w:color w:val="auto"/>
              </w:rPr>
            </w:pPr>
            <w:r>
              <w:rPr>
                <w:rFonts w:ascii="Arial" w:cs="Arial" w:eastAsia="Arial" w:hAnsi="Arial"/>
                <w:sz w:val="12"/>
                <w:szCs w:val="12"/>
                <w:color w:val="auto"/>
              </w:rPr>
              <w:t>Dry</w:t>
            </w:r>
          </w:p>
        </w:tc>
        <w:tc>
          <w:tcPr>
            <w:tcW w:w="7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Productive</w:t>
            </w:r>
          </w:p>
        </w:tc>
        <w:tc>
          <w:tcPr>
            <w:tcW w:w="920" w:type="dxa"/>
            <w:vAlign w:val="bottom"/>
            <w:shd w:val="clear" w:color="auto" w:fill="CECAC6"/>
          </w:tcPr>
          <w:p>
            <w:pPr>
              <w:spacing w:after="0"/>
              <w:rPr>
                <w:sz w:val="12"/>
                <w:szCs w:val="12"/>
                <w:color w:val="auto"/>
              </w:rPr>
            </w:pPr>
          </w:p>
        </w:tc>
        <w:tc>
          <w:tcPr>
            <w:tcW w:w="7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Dry</w:t>
            </w:r>
          </w:p>
        </w:tc>
        <w:tc>
          <w:tcPr>
            <w:tcW w:w="11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Productive</w:t>
            </w:r>
          </w:p>
        </w:tc>
        <w:tc>
          <w:tcPr>
            <w:tcW w:w="520" w:type="dxa"/>
            <w:vAlign w:val="bottom"/>
            <w:shd w:val="clear" w:color="auto" w:fill="CECAC6"/>
          </w:tcPr>
          <w:p>
            <w:pPr>
              <w:spacing w:after="0"/>
              <w:rPr>
                <w:sz w:val="12"/>
                <w:szCs w:val="12"/>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Dry</w:t>
            </w:r>
          </w:p>
        </w:tc>
      </w:tr>
      <w:tr>
        <w:trPr>
          <w:trHeight w:val="167"/>
        </w:trPr>
        <w:tc>
          <w:tcPr>
            <w:tcW w:w="1880" w:type="dxa"/>
            <w:vAlign w:val="bottom"/>
          </w:tcPr>
          <w:p>
            <w:pPr>
              <w:spacing w:after="0"/>
              <w:rPr>
                <w:sz w:val="20"/>
                <w:szCs w:val="20"/>
                <w:color w:val="auto"/>
              </w:rPr>
            </w:pPr>
            <w:r>
              <w:rPr>
                <w:rFonts w:ascii="Arial" w:cs="Arial" w:eastAsia="Arial" w:hAnsi="Arial"/>
                <w:sz w:val="12"/>
                <w:szCs w:val="12"/>
                <w:b w:val="1"/>
                <w:bCs w:val="1"/>
                <w:color w:val="auto"/>
              </w:rPr>
              <w:t>Exploratory</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shd w:val="clear" w:color="auto" w:fill="E4E3E1"/>
          </w:tcPr>
          <w:p>
            <w:pPr>
              <w:spacing w:after="0"/>
              <w:rPr>
                <w:sz w:val="14"/>
                <w:szCs w:val="14"/>
                <w:color w:val="auto"/>
              </w:rPr>
            </w:pPr>
          </w:p>
        </w:tc>
        <w:tc>
          <w:tcPr>
            <w:tcW w:w="460" w:type="dxa"/>
            <w:vAlign w:val="bottom"/>
            <w:shd w:val="clear" w:color="auto" w:fill="E4E3E1"/>
          </w:tcPr>
          <w:p>
            <w:pPr>
              <w:spacing w:after="0"/>
              <w:rPr>
                <w:sz w:val="14"/>
                <w:szCs w:val="14"/>
                <w:color w:val="auto"/>
              </w:rPr>
            </w:pPr>
          </w:p>
        </w:tc>
        <w:tc>
          <w:tcPr>
            <w:tcW w:w="40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Europe</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[D]</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9</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Asia Pacific</w:t>
            </w:r>
            <w:r>
              <w:rPr>
                <w:rFonts w:ascii="Arial" w:cs="Arial" w:eastAsia="Arial" w:hAnsi="Arial"/>
                <w:sz w:val="10"/>
                <w:szCs w:val="10"/>
                <w:color w:val="auto"/>
              </w:rPr>
              <w:t>[E]</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8</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Middle East, Russia, CIS</w:t>
            </w:r>
            <w:r>
              <w:rPr>
                <w:rFonts w:ascii="Arial" w:cs="Arial" w:eastAsia="Arial" w:hAnsi="Arial"/>
                <w:sz w:val="10"/>
                <w:szCs w:val="10"/>
                <w:color w:val="auto"/>
              </w:rPr>
              <w:t>[F]</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47</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18</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23</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30</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9</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r>
      <w:tr>
        <w:trPr>
          <w:trHeight w:val="150"/>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r>
              <w:rPr>
                <w:rFonts w:ascii="Arial" w:cs="Arial" w:eastAsia="Arial" w:hAnsi="Arial"/>
                <w:sz w:val="10"/>
                <w:szCs w:val="10"/>
                <w:color w:val="auto"/>
              </w:rPr>
              <w:t>[G]</w:t>
            </w: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shd w:val="clear" w:color="auto" w:fill="E4E3E1"/>
          </w:tcPr>
          <w:p>
            <w:pPr>
              <w:spacing w:after="0"/>
              <w:rPr>
                <w:sz w:val="13"/>
                <w:szCs w:val="13"/>
                <w:color w:val="auto"/>
              </w:rPr>
            </w:pPr>
          </w:p>
        </w:tc>
        <w:tc>
          <w:tcPr>
            <w:tcW w:w="4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48</w:t>
            </w:r>
          </w:p>
        </w:tc>
        <w:tc>
          <w:tcPr>
            <w:tcW w:w="400" w:type="dxa"/>
            <w:vAlign w:val="bottom"/>
            <w:tcBorders>
              <w:bottom w:val="single" w:sz="8" w:color="auto"/>
            </w:tcBorders>
            <w:shd w:val="clear" w:color="auto" w:fill="E4E3E1"/>
          </w:tcPr>
          <w:p>
            <w:pPr>
              <w:spacing w:after="0"/>
              <w:rPr>
                <w:sz w:val="13"/>
                <w:szCs w:val="13"/>
                <w:color w:val="auto"/>
              </w:rPr>
            </w:pPr>
          </w:p>
        </w:tc>
        <w:tc>
          <w:tcPr>
            <w:tcW w:w="700" w:type="dxa"/>
            <w:vAlign w:val="bottom"/>
            <w:tcBorders>
              <w:bottom w:val="single" w:sz="8" w:color="auto"/>
            </w:tcBorders>
            <w:shd w:val="clear" w:color="auto" w:fill="E4E3E1"/>
          </w:tcPr>
          <w:p>
            <w:pPr>
              <w:spacing w:after="0"/>
              <w:rPr>
                <w:sz w:val="13"/>
                <w:szCs w:val="13"/>
                <w:color w:val="auto"/>
              </w:rPr>
            </w:pPr>
          </w:p>
        </w:tc>
        <w:tc>
          <w:tcPr>
            <w:tcW w:w="4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11</w:t>
            </w: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9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w:t>
            </w:r>
          </w:p>
        </w:tc>
      </w:tr>
      <w:tr>
        <w:trPr>
          <w:trHeight w:val="175"/>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shd w:val="clear" w:color="auto" w:fill="E4E3E1"/>
          </w:tcPr>
          <w:p>
            <w:pPr>
              <w:spacing w:after="0"/>
              <w:rPr>
                <w:sz w:val="15"/>
                <w:szCs w:val="15"/>
                <w:color w:val="auto"/>
              </w:rPr>
            </w:pPr>
          </w:p>
        </w:tc>
        <w:tc>
          <w:tcPr>
            <w:tcW w:w="4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136</w:t>
            </w:r>
          </w:p>
        </w:tc>
        <w:tc>
          <w:tcPr>
            <w:tcW w:w="400" w:type="dxa"/>
            <w:vAlign w:val="bottom"/>
            <w:tcBorders>
              <w:bottom w:val="single" w:sz="8" w:color="auto"/>
            </w:tcBorders>
            <w:shd w:val="clear" w:color="auto" w:fill="E4E3E1"/>
          </w:tcPr>
          <w:p>
            <w:pPr>
              <w:spacing w:after="0"/>
              <w:rPr>
                <w:sz w:val="15"/>
                <w:szCs w:val="15"/>
                <w:color w:val="auto"/>
              </w:rPr>
            </w:pPr>
          </w:p>
        </w:tc>
        <w:tc>
          <w:tcPr>
            <w:tcW w:w="700" w:type="dxa"/>
            <w:vAlign w:val="bottom"/>
            <w:tcBorders>
              <w:bottom w:val="single" w:sz="8" w:color="auto"/>
            </w:tcBorders>
            <w:shd w:val="clear" w:color="auto" w:fill="E4E3E1"/>
          </w:tcPr>
          <w:p>
            <w:pPr>
              <w:spacing w:after="0"/>
              <w:rPr>
                <w:sz w:val="15"/>
                <w:szCs w:val="15"/>
                <w:color w:val="auto"/>
              </w:rPr>
            </w:pPr>
          </w:p>
        </w:tc>
        <w:tc>
          <w:tcPr>
            <w:tcW w:w="4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36</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c>
          <w:tcPr>
            <w:tcW w:w="9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w:t>
            </w:r>
          </w:p>
        </w:tc>
      </w:tr>
      <w:tr>
        <w:trPr>
          <w:trHeight w:val="167"/>
        </w:trPr>
        <w:tc>
          <w:tcPr>
            <w:tcW w:w="1880" w:type="dxa"/>
            <w:vAlign w:val="bottom"/>
          </w:tcPr>
          <w:p>
            <w:pPr>
              <w:spacing w:after="0"/>
              <w:rPr>
                <w:sz w:val="20"/>
                <w:szCs w:val="20"/>
                <w:color w:val="auto"/>
              </w:rPr>
            </w:pPr>
            <w:r>
              <w:rPr>
                <w:rFonts w:ascii="Arial" w:cs="Arial" w:eastAsia="Arial" w:hAnsi="Arial"/>
                <w:sz w:val="12"/>
                <w:szCs w:val="12"/>
                <w:b w:val="1"/>
                <w:bCs w:val="1"/>
                <w:color w:val="auto"/>
              </w:rPr>
              <w:t>Development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shd w:val="clear" w:color="auto" w:fill="E4E3E1"/>
          </w:tcPr>
          <w:p>
            <w:pPr>
              <w:spacing w:after="0"/>
              <w:rPr>
                <w:sz w:val="14"/>
                <w:szCs w:val="14"/>
                <w:color w:val="auto"/>
              </w:rPr>
            </w:pPr>
          </w:p>
        </w:tc>
        <w:tc>
          <w:tcPr>
            <w:tcW w:w="460" w:type="dxa"/>
            <w:vAlign w:val="bottom"/>
            <w:shd w:val="clear" w:color="auto" w:fill="E4E3E1"/>
          </w:tcPr>
          <w:p>
            <w:pPr>
              <w:spacing w:after="0"/>
              <w:rPr>
                <w:sz w:val="14"/>
                <w:szCs w:val="14"/>
                <w:color w:val="auto"/>
              </w:rPr>
            </w:pPr>
          </w:p>
        </w:tc>
        <w:tc>
          <w:tcPr>
            <w:tcW w:w="400" w:type="dxa"/>
            <w:vAlign w:val="bottom"/>
            <w:shd w:val="clear" w:color="auto" w:fill="E4E3E1"/>
          </w:tcPr>
          <w:p>
            <w:pPr>
              <w:spacing w:after="0"/>
              <w:rPr>
                <w:sz w:val="14"/>
                <w:szCs w:val="14"/>
                <w:color w:val="auto"/>
              </w:rPr>
            </w:pPr>
          </w:p>
        </w:tc>
        <w:tc>
          <w:tcPr>
            <w:tcW w:w="700" w:type="dxa"/>
            <w:vAlign w:val="bottom"/>
            <w:shd w:val="clear" w:color="auto" w:fill="E4E3E1"/>
          </w:tcPr>
          <w:p>
            <w:pPr>
              <w:spacing w:after="0"/>
              <w:rPr>
                <w:sz w:val="14"/>
                <w:szCs w:val="14"/>
                <w:color w:val="auto"/>
              </w:rPr>
            </w:pPr>
          </w:p>
        </w:tc>
        <w:tc>
          <w:tcPr>
            <w:tcW w:w="420" w:type="dxa"/>
            <w:vAlign w:val="bottom"/>
            <w:shd w:val="clear" w:color="auto" w:fill="E4E3E1"/>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Europe</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18</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32</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[D]</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Asia Pacific</w:t>
            </w:r>
            <w:r>
              <w:rPr>
                <w:rFonts w:ascii="Arial" w:cs="Arial" w:eastAsia="Arial" w:hAnsi="Arial"/>
                <w:sz w:val="10"/>
                <w:szCs w:val="10"/>
                <w:color w:val="auto"/>
              </w:rPr>
              <w:t>[E]</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32</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27</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20</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Middle East, Russia, CIS</w:t>
            </w:r>
            <w:r>
              <w:rPr>
                <w:rFonts w:ascii="Arial" w:cs="Arial" w:eastAsia="Arial" w:hAnsi="Arial"/>
                <w:sz w:val="10"/>
                <w:szCs w:val="10"/>
                <w:color w:val="auto"/>
              </w:rPr>
              <w:t>[F]</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159</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155</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173</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w:t>
            </w:r>
          </w:p>
        </w:tc>
      </w:tr>
      <w:tr>
        <w:trPr>
          <w:trHeight w:val="133"/>
        </w:trPr>
        <w:tc>
          <w:tcPr>
            <w:tcW w:w="188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475</w:t>
            </w:r>
          </w:p>
        </w:tc>
        <w:tc>
          <w:tcPr>
            <w:tcW w:w="400" w:type="dxa"/>
            <w:vAlign w:val="bottom"/>
            <w:shd w:val="clear" w:color="auto" w:fill="E4E3E1"/>
          </w:tcPr>
          <w:p>
            <w:pPr>
              <w:spacing w:after="0"/>
              <w:rPr>
                <w:sz w:val="11"/>
                <w:szCs w:val="11"/>
                <w:color w:val="auto"/>
              </w:rPr>
            </w:pPr>
          </w:p>
        </w:tc>
        <w:tc>
          <w:tcPr>
            <w:tcW w:w="700" w:type="dxa"/>
            <w:vAlign w:val="bottom"/>
            <w:shd w:val="clear" w:color="auto" w:fill="E4E3E1"/>
          </w:tcPr>
          <w:p>
            <w:pPr>
              <w:spacing w:after="0"/>
              <w:rPr>
                <w:sz w:val="11"/>
                <w:szCs w:val="11"/>
                <w:color w:val="auto"/>
              </w:rPr>
            </w:pPr>
          </w:p>
        </w:tc>
        <w:tc>
          <w:tcPr>
            <w:tcW w:w="4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w:t>
            </w:r>
          </w:p>
        </w:tc>
        <w:tc>
          <w:tcPr>
            <w:tcW w:w="50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478</w:t>
            </w:r>
          </w:p>
        </w:tc>
        <w:tc>
          <w:tcPr>
            <w:tcW w:w="920" w:type="dxa"/>
            <w:vAlign w:val="bottom"/>
          </w:tcPr>
          <w:p>
            <w:pPr>
              <w:spacing w:after="0"/>
              <w:rPr>
                <w:sz w:val="11"/>
                <w:szCs w:val="11"/>
                <w:color w:val="auto"/>
              </w:rPr>
            </w:pPr>
          </w:p>
        </w:tc>
        <w:tc>
          <w:tcPr>
            <w:tcW w:w="7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446</w:t>
            </w:r>
          </w:p>
        </w:tc>
        <w:tc>
          <w:tcPr>
            <w:tcW w:w="520" w:type="dxa"/>
            <w:vAlign w:val="bottom"/>
          </w:tcPr>
          <w:p>
            <w:pPr>
              <w:spacing w:after="0"/>
              <w:rPr>
                <w:sz w:val="11"/>
                <w:szCs w:val="11"/>
                <w:color w:val="auto"/>
              </w:rPr>
            </w:pP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r>
      <w:tr>
        <w:trPr>
          <w:trHeight w:val="150"/>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r>
              <w:rPr>
                <w:rFonts w:ascii="Arial" w:cs="Arial" w:eastAsia="Arial" w:hAnsi="Arial"/>
                <w:sz w:val="10"/>
                <w:szCs w:val="10"/>
                <w:color w:val="auto"/>
              </w:rPr>
              <w:t>[G]</w:t>
            </w: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shd w:val="clear" w:color="auto" w:fill="E4E3E1"/>
          </w:tcPr>
          <w:p>
            <w:pPr>
              <w:spacing w:after="0"/>
              <w:rPr>
                <w:sz w:val="13"/>
                <w:szCs w:val="13"/>
                <w:color w:val="auto"/>
              </w:rPr>
            </w:pPr>
          </w:p>
        </w:tc>
        <w:tc>
          <w:tcPr>
            <w:tcW w:w="4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44</w:t>
            </w:r>
          </w:p>
        </w:tc>
        <w:tc>
          <w:tcPr>
            <w:tcW w:w="400" w:type="dxa"/>
            <w:vAlign w:val="bottom"/>
            <w:tcBorders>
              <w:bottom w:val="single" w:sz="8" w:color="auto"/>
            </w:tcBorders>
            <w:shd w:val="clear" w:color="auto" w:fill="E4E3E1"/>
          </w:tcPr>
          <w:p>
            <w:pPr>
              <w:spacing w:after="0"/>
              <w:rPr>
                <w:sz w:val="13"/>
                <w:szCs w:val="13"/>
                <w:color w:val="auto"/>
              </w:rPr>
            </w:pPr>
          </w:p>
        </w:tc>
        <w:tc>
          <w:tcPr>
            <w:tcW w:w="700" w:type="dxa"/>
            <w:vAlign w:val="bottom"/>
            <w:tcBorders>
              <w:bottom w:val="single" w:sz="8" w:color="auto"/>
            </w:tcBorders>
            <w:shd w:val="clear" w:color="auto" w:fill="E4E3E1"/>
          </w:tcPr>
          <w:p>
            <w:pPr>
              <w:spacing w:after="0"/>
              <w:rPr>
                <w:sz w:val="13"/>
                <w:szCs w:val="13"/>
                <w:color w:val="auto"/>
              </w:rPr>
            </w:pPr>
          </w:p>
        </w:tc>
        <w:tc>
          <w:tcPr>
            <w:tcW w:w="4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c>
          <w:tcPr>
            <w:tcW w:w="9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w:t>
            </w:r>
          </w:p>
        </w:tc>
        <w:tc>
          <w:tcPr>
            <w:tcW w:w="5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75"/>
        </w:trPr>
        <w:tc>
          <w:tcPr>
            <w:tcW w:w="1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shd w:val="clear" w:color="auto" w:fill="E4E3E1"/>
          </w:tcPr>
          <w:p>
            <w:pPr>
              <w:spacing w:after="0"/>
              <w:rPr>
                <w:sz w:val="15"/>
                <w:szCs w:val="15"/>
                <w:color w:val="auto"/>
              </w:rPr>
            </w:pPr>
          </w:p>
        </w:tc>
        <w:tc>
          <w:tcPr>
            <w:tcW w:w="4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747</w:t>
            </w:r>
          </w:p>
        </w:tc>
        <w:tc>
          <w:tcPr>
            <w:tcW w:w="400" w:type="dxa"/>
            <w:vAlign w:val="bottom"/>
            <w:tcBorders>
              <w:bottom w:val="single" w:sz="8" w:color="auto"/>
            </w:tcBorders>
            <w:shd w:val="clear" w:color="auto" w:fill="E4E3E1"/>
          </w:tcPr>
          <w:p>
            <w:pPr>
              <w:spacing w:after="0"/>
              <w:rPr>
                <w:sz w:val="15"/>
                <w:szCs w:val="15"/>
                <w:color w:val="auto"/>
              </w:rPr>
            </w:pPr>
          </w:p>
        </w:tc>
        <w:tc>
          <w:tcPr>
            <w:tcW w:w="700" w:type="dxa"/>
            <w:vAlign w:val="bottom"/>
            <w:tcBorders>
              <w:bottom w:val="single" w:sz="8" w:color="auto"/>
            </w:tcBorders>
            <w:shd w:val="clear" w:color="auto" w:fill="E4E3E1"/>
          </w:tcPr>
          <w:p>
            <w:pPr>
              <w:spacing w:after="0"/>
              <w:rPr>
                <w:sz w:val="15"/>
                <w:szCs w:val="15"/>
                <w:color w:val="auto"/>
              </w:rPr>
            </w:pPr>
          </w:p>
        </w:tc>
        <w:tc>
          <w:tcPr>
            <w:tcW w:w="4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w:t>
            </w:r>
          </w:p>
        </w:tc>
        <w:tc>
          <w:tcPr>
            <w:tcW w:w="5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783</w:t>
            </w:r>
          </w:p>
        </w:tc>
        <w:tc>
          <w:tcPr>
            <w:tcW w:w="9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703</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-4185920</wp:posOffset>
            </wp:positionV>
            <wp:extent cx="6064250" cy="287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64250" cy="28765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-3001645</wp:posOffset>
            </wp:positionV>
            <wp:extent cx="6076950" cy="3175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6950" cy="317500"/>
                    </a:xfrm>
                    <a:prstGeom prst="rect">
                      <a:avLst/>
                    </a:prstGeom>
                    <a:noFill/>
                  </pic:spPr>
                </pic:pic>
              </a:graphicData>
            </a:graphic>
          </wp:anchor>
        </w:drawing>
        <w:drawing>
          <wp:anchor simplePos="0" relativeHeight="251657728" behindDoc="1" locked="0" layoutInCell="0" allowOverlap="1">
            <wp:simplePos x="0" y="0"/>
            <wp:positionH relativeFrom="column">
              <wp:posOffset>2110105</wp:posOffset>
            </wp:positionH>
            <wp:positionV relativeFrom="paragraph">
              <wp:posOffset>-1724660</wp:posOffset>
            </wp:positionV>
            <wp:extent cx="5142230" cy="2032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2230" cy="203200"/>
                    </a:xfrm>
                    <a:prstGeom prst="rect">
                      <a:avLst/>
                    </a:prstGeom>
                    <a:noFill/>
                  </pic:spPr>
                </pic:pic>
              </a:graphicData>
            </a:graphic>
          </wp:anchor>
        </w:drawing>
      </w:r>
    </w:p>
    <w:p>
      <w:pPr>
        <w:spacing w:after="0" w:line="49" w:lineRule="exact"/>
        <w:rPr>
          <w:sz w:val="20"/>
          <w:szCs w:val="20"/>
          <w:color w:val="auto"/>
        </w:rPr>
      </w:pPr>
    </w:p>
    <w:p>
      <w:pPr>
        <w:ind w:left="280" w:hanging="273"/>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Including equity-accounted investments.</w:t>
      </w:r>
    </w:p>
    <w:p>
      <w:pPr>
        <w:ind w:left="280" w:right="120" w:hanging="273"/>
        <w:spacing w:after="0" w:line="231" w:lineRule="auto"/>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term “gross” relates to the total activity in which Shell subsidiaries and equity-accounted investments have an interest, and the term “net” relates to the sum of the fractional interests owned by Shell subsidiaries plus the Shell share of equity-accounted investments’ fractional interest.</w:t>
      </w:r>
    </w:p>
    <w:p>
      <w:pPr>
        <w:ind w:left="280" w:hanging="273"/>
        <w:spacing w:after="0" w:line="231" w:lineRule="auto"/>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One thousand acres equals approximately four square kilometres.</w:t>
      </w:r>
    </w:p>
    <w:p>
      <w:pPr>
        <w:ind w:left="280" w:hanging="273"/>
        <w:spacing w:after="0" w:line="231" w:lineRule="auto"/>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Excludes Egypt.</w:t>
      </w:r>
    </w:p>
    <w:p>
      <w:pPr>
        <w:ind w:left="280" w:hanging="273"/>
        <w:spacing w:after="0" w:line="231" w:lineRule="auto"/>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Excludes Sakhalin.</w:t>
      </w:r>
    </w:p>
    <w:p>
      <w:pPr>
        <w:ind w:left="280" w:hanging="273"/>
        <w:spacing w:after="0" w:line="231" w:lineRule="auto"/>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Caspian region, Egypt and Sakhalin.</w:t>
      </w:r>
    </w:p>
    <w:p>
      <w:pPr>
        <w:ind w:left="280" w:hanging="273"/>
        <w:spacing w:after="0"/>
        <w:tabs>
          <w:tab w:leader="none" w:pos="28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 revision has been made to 2006 data to correctly reflect the effect of the BlackRock acquisition in Canada.</w:t>
      </w:r>
    </w:p>
    <w:p>
      <w:pPr>
        <w:spacing w:after="0" w:line="200" w:lineRule="exact"/>
        <w:rPr>
          <w:sz w:val="20"/>
          <w:szCs w:val="20"/>
          <w:color w:val="auto"/>
        </w:rPr>
      </w:pPr>
    </w:p>
    <w:p>
      <w:pPr>
        <w:spacing w:after="0" w:line="226" w:lineRule="exact"/>
        <w:rPr>
          <w:sz w:val="20"/>
          <w:szCs w:val="20"/>
          <w:color w:val="auto"/>
        </w:rPr>
      </w:pPr>
    </w:p>
    <w:p>
      <w:pPr>
        <w:ind w:left="280" w:hanging="273"/>
        <w:spacing w:after="0"/>
        <w:tabs>
          <w:tab w:leader="none" w:pos="280" w:val="left"/>
        </w:tabs>
        <w:numPr>
          <w:ilvl w:val="0"/>
          <w:numId w:val="34"/>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219"/>
          </w:cols>
          <w:pgMar w:left="240" w:top="415" w:right="1440" w:bottom="1440" w:gutter="0" w:footer="0" w:header="0"/>
        </w:sectPr>
      </w:pP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OIL AND GAS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883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A selection of oil and gas interests, as well as recent developments in countries where Shell or equity-accounted investments have exploration and production interests, is summarised below. The summary includes aspects of the legislation, regulations or agreements affecting the activities of significant companies. None of the below-mentioned properties or interests is individually significant to Shell.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EUROPE</w:t>
      </w:r>
    </w:p>
    <w:p>
      <w:pPr>
        <w:spacing w:after="0" w:line="6"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b w:val="1"/>
          <w:bCs w:val="1"/>
          <w:color w:val="auto"/>
        </w:rPr>
        <w:t xml:space="preserve">Denmark </w:t>
      </w:r>
      <w:r>
        <w:rPr>
          <w:rFonts w:ascii="Arial" w:cs="Arial" w:eastAsia="Arial" w:hAnsi="Arial"/>
          <w:sz w:val="12"/>
          <w:szCs w:val="12"/>
          <w:color w:val="auto"/>
        </w:rPr>
        <w:t>A Shell company holds a 46% non-operated interest in a producing</w:t>
      </w:r>
      <w:r>
        <w:rPr>
          <w:rFonts w:ascii="Arial" w:cs="Arial" w:eastAsia="Arial" w:hAnsi="Arial"/>
          <w:sz w:val="12"/>
          <w:szCs w:val="12"/>
          <w:b w:val="1"/>
          <w:bCs w:val="1"/>
          <w:color w:val="auto"/>
        </w:rPr>
        <w:t xml:space="preserve"> </w:t>
      </w:r>
      <w:r>
        <w:rPr>
          <w:rFonts w:ascii="Arial" w:cs="Arial" w:eastAsia="Arial" w:hAnsi="Arial"/>
          <w:sz w:val="12"/>
          <w:szCs w:val="12"/>
          <w:color w:val="auto"/>
        </w:rPr>
        <w:t>concession until 2042. The Shell interest in this concession will reduce to 36.8% in July 2012 when the State takes a 20% fully participating stake in the concession. The Shell company also holds interests in four other non-operated exploration licences.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3"/>
          <w:szCs w:val="13"/>
          <w:b w:val="1"/>
          <w:bCs w:val="1"/>
          <w:color w:val="auto"/>
        </w:rPr>
        <w:t xml:space="preserve">Germany </w:t>
      </w:r>
      <w:r>
        <w:rPr>
          <w:rFonts w:ascii="Arial" w:cs="Arial" w:eastAsia="Arial" w:hAnsi="Arial"/>
          <w:sz w:val="13"/>
          <w:szCs w:val="13"/>
          <w:color w:val="auto"/>
        </w:rPr>
        <w:t>A Shell company holds a 50% interest in the Brigitta &amp; Elwerath</w:t>
      </w:r>
      <w:r>
        <w:rPr>
          <w:rFonts w:ascii="Arial" w:cs="Arial" w:eastAsia="Arial" w:hAnsi="Arial"/>
          <w:sz w:val="13"/>
          <w:szCs w:val="13"/>
          <w:b w:val="1"/>
          <w:bCs w:val="1"/>
          <w:color w:val="auto"/>
        </w:rPr>
        <w:t xml:space="preserve"> </w:t>
      </w:r>
      <w:r>
        <w:rPr>
          <w:rFonts w:ascii="Arial" w:cs="Arial" w:eastAsia="Arial" w:hAnsi="Arial"/>
          <w:sz w:val="13"/>
          <w:szCs w:val="13"/>
          <w:color w:val="auto"/>
        </w:rPr>
        <w:t>Betriebsfuehrungsgesellschaft (BEB) 50:50 joint venture. BEB is involved in some 30 concessions with varying interests and is the main operator in Germany.</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13"/>
          <w:szCs w:val="13"/>
          <w:b w:val="1"/>
          <w:bCs w:val="1"/>
          <w:color w:val="auto"/>
        </w:rPr>
        <w:t xml:space="preserve">Ireland </w:t>
      </w:r>
      <w:r>
        <w:rPr>
          <w:rFonts w:ascii="Arial" w:cs="Arial" w:eastAsia="Arial" w:hAnsi="Arial"/>
          <w:sz w:val="13"/>
          <w:szCs w:val="13"/>
          <w:color w:val="auto"/>
        </w:rPr>
        <w:t>Shell E&amp;P Ireland Ltd. (Shell interest 100%) is the operator for the Corrib Gas</w:t>
      </w:r>
      <w:r>
        <w:rPr>
          <w:rFonts w:ascii="Arial" w:cs="Arial" w:eastAsia="Arial" w:hAnsi="Arial"/>
          <w:sz w:val="13"/>
          <w:szCs w:val="13"/>
          <w:b w:val="1"/>
          <w:bCs w:val="1"/>
          <w:color w:val="auto"/>
        </w:rPr>
        <w:t xml:space="preserve"> </w:t>
      </w:r>
      <w:r>
        <w:rPr>
          <w:rFonts w:ascii="Arial" w:cs="Arial" w:eastAsia="Arial" w:hAnsi="Arial"/>
          <w:sz w:val="13"/>
          <w:szCs w:val="13"/>
          <w:color w:val="auto"/>
        </w:rPr>
        <w:t>Project (Shell interest 45%), currently under development. Shell has agreed to modify the route of the onshore pipeline and community consultation began in late 2006. A modified route is expected to be identified in 2008 and applications for consent for this new route will be submitted thereafter. Shell has further exploration interests in six licences offshore Ireland, of which four are operated and two are non-operated.</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both"/>
        <w:ind w:right="519"/>
        <w:spacing w:after="0" w:line="235" w:lineRule="auto"/>
        <w:rPr>
          <w:sz w:val="20"/>
          <w:szCs w:val="20"/>
          <w:color w:val="auto"/>
        </w:rPr>
      </w:pPr>
      <w:r>
        <w:rPr>
          <w:rFonts w:ascii="Arial" w:cs="Arial" w:eastAsia="Arial" w:hAnsi="Arial"/>
          <w:sz w:val="14"/>
          <w:szCs w:val="14"/>
          <w:color w:val="auto"/>
        </w:rPr>
        <w:t>at depths of between 850 and 1,100 metres. The development involved an onshore plant/terminal and pipelines for transport to the markets in the UK and continental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3844925</wp:posOffset>
            </wp:positionH>
            <wp:positionV relativeFrom="paragraph">
              <wp:posOffset>-152400</wp:posOffset>
            </wp:positionV>
            <wp:extent cx="282575" cy="70199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2575" cy="7019925"/>
                    </a:xfrm>
                    <a:prstGeom prst="rect">
                      <a:avLst/>
                    </a:prstGeom>
                    <a:noFill/>
                  </pic:spPr>
                </pic:pic>
              </a:graphicData>
            </a:graphic>
          </wp:anchor>
        </w:drawing>
      </w:r>
    </w:p>
    <w:p>
      <w:pPr>
        <w:spacing w:after="0" w:line="160" w:lineRule="exact"/>
        <w:rPr>
          <w:sz w:val="20"/>
          <w:szCs w:val="20"/>
          <w:color w:val="auto"/>
        </w:rPr>
      </w:pPr>
    </w:p>
    <w:p>
      <w:pPr>
        <w:ind w:right="279"/>
        <w:spacing w:after="0" w:line="260" w:lineRule="auto"/>
        <w:rPr>
          <w:sz w:val="20"/>
          <w:szCs w:val="20"/>
          <w:color w:val="auto"/>
        </w:rPr>
      </w:pPr>
      <w:r>
        <w:rPr>
          <w:rFonts w:ascii="Arial" w:cs="Arial" w:eastAsia="Arial" w:hAnsi="Arial"/>
          <w:sz w:val="13"/>
          <w:szCs w:val="13"/>
          <w:color w:val="auto"/>
        </w:rPr>
        <w:t>Shell International Pipelines Inc. (Shell interest 100%) holds interests in several Norwegian gas transportation and processing systems, pipelines and terminals. During 2007, Shell sold its equity interests in the undeveloped Skarv and Idun fields.</w:t>
      </w:r>
    </w:p>
    <w:p>
      <w:pPr>
        <w:spacing w:after="0" w:line="163" w:lineRule="exact"/>
        <w:rPr>
          <w:sz w:val="20"/>
          <w:szCs w:val="20"/>
          <w:color w:val="auto"/>
        </w:rPr>
      </w:pPr>
    </w:p>
    <w:p>
      <w:pPr>
        <w:ind w:right="239"/>
        <w:spacing w:after="0" w:line="232" w:lineRule="auto"/>
        <w:rPr>
          <w:sz w:val="20"/>
          <w:szCs w:val="20"/>
          <w:color w:val="auto"/>
        </w:rPr>
      </w:pPr>
      <w:r>
        <w:rPr>
          <w:rFonts w:ascii="Arial" w:cs="Arial" w:eastAsia="Arial" w:hAnsi="Arial"/>
          <w:sz w:val="14"/>
          <w:szCs w:val="14"/>
          <w:b w:val="1"/>
          <w:bCs w:val="1"/>
          <w:color w:val="auto"/>
        </w:rPr>
        <w:t xml:space="preserve">UK </w:t>
      </w:r>
      <w:r>
        <w:rPr>
          <w:rFonts w:ascii="Arial" w:cs="Arial" w:eastAsia="Arial" w:hAnsi="Arial"/>
          <w:sz w:val="14"/>
          <w:szCs w:val="14"/>
          <w:color w:val="auto"/>
        </w:rPr>
        <w:t>Shell UK Limited (Shell interest 100%) is one of the largest integrated oil and gas</w:t>
      </w:r>
      <w:r>
        <w:rPr>
          <w:rFonts w:ascii="Arial" w:cs="Arial" w:eastAsia="Arial" w:hAnsi="Arial"/>
          <w:sz w:val="14"/>
          <w:szCs w:val="14"/>
          <w:b w:val="1"/>
          <w:bCs w:val="1"/>
          <w:color w:val="auto"/>
        </w:rPr>
        <w:t xml:space="preserve"> </w:t>
      </w:r>
      <w:r>
        <w:rPr>
          <w:rFonts w:ascii="Arial" w:cs="Arial" w:eastAsia="Arial" w:hAnsi="Arial"/>
          <w:sz w:val="14"/>
          <w:szCs w:val="14"/>
          <w:color w:val="auto"/>
        </w:rPr>
        <w:t>exploration and production companies operating in the UK (by production volumes). It operates a significant number of its interests in the UK Continental Shelf (UKCS) on behalf of a 50:50 joint venture with ExxonMobil.</w:t>
      </w:r>
    </w:p>
    <w:p>
      <w:pPr>
        <w:spacing w:after="0" w:line="181" w:lineRule="exact"/>
        <w:rPr>
          <w:sz w:val="20"/>
          <w:szCs w:val="20"/>
          <w:color w:val="auto"/>
        </w:rPr>
      </w:pPr>
    </w:p>
    <w:p>
      <w:pPr>
        <w:ind w:right="319"/>
        <w:spacing w:after="0" w:line="226" w:lineRule="auto"/>
        <w:rPr>
          <w:sz w:val="20"/>
          <w:szCs w:val="20"/>
          <w:color w:val="auto"/>
        </w:rPr>
      </w:pPr>
      <w:r>
        <w:rPr>
          <w:rFonts w:ascii="Arial" w:cs="Arial" w:eastAsia="Arial" w:hAnsi="Arial"/>
          <w:sz w:val="14"/>
          <w:szCs w:val="14"/>
          <w:color w:val="auto"/>
        </w:rPr>
        <w:t>Most of Shell UK’s production comes from the North Sea. Natural gas comes from associated gas in mixed oil and gas fields in the northern sector of the North Sea and gas fields in the southern sector. Crude oil comes from the central and northern fields. In the Atlantic Margin area, Shell also has interests as a non-operating partner principally in the West of Shetlands area including the Schiehallion, Clair and Loyal fields.</w:t>
      </w:r>
    </w:p>
    <w:p>
      <w:pPr>
        <w:spacing w:after="0" w:line="183" w:lineRule="exact"/>
        <w:rPr>
          <w:sz w:val="20"/>
          <w:szCs w:val="20"/>
          <w:color w:val="auto"/>
        </w:rPr>
      </w:pPr>
    </w:p>
    <w:p>
      <w:pPr>
        <w:ind w:right="279"/>
        <w:spacing w:after="0" w:line="260" w:lineRule="auto"/>
        <w:rPr>
          <w:sz w:val="20"/>
          <w:szCs w:val="20"/>
          <w:color w:val="auto"/>
        </w:rPr>
      </w:pPr>
      <w:r>
        <w:rPr>
          <w:rFonts w:ascii="Arial" w:cs="Arial" w:eastAsia="Arial" w:hAnsi="Arial"/>
          <w:sz w:val="13"/>
          <w:szCs w:val="13"/>
          <w:color w:val="auto"/>
        </w:rPr>
        <w:t>The UKCS is a mature area and although Shell has invested significantly over the past decade to extend field lives, organic growth has been more of a challenge with new field discoveries significantly smaller than discoveries 15-20 years ago.</w:t>
      </w:r>
    </w:p>
    <w:p>
      <w:pPr>
        <w:spacing w:after="0" w:line="152" w:lineRule="exact"/>
        <w:rPr>
          <w:sz w:val="20"/>
          <w:szCs w:val="20"/>
          <w:color w:val="auto"/>
        </w:rPr>
      </w:pPr>
    </w:p>
    <w:p>
      <w:pPr>
        <w:sectPr>
          <w:pgSz w:w="11900" w:h="16838" w:orient="portrait"/>
          <w:cols w:equalWidth="0" w:num="2">
            <w:col w:w="4960" w:space="60"/>
            <w:col w:w="5199"/>
          </w:cols>
          <w:pgMar w:left="240" w:top="415" w:right="1440"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Italy </w:t>
            </w:r>
            <w:r>
              <w:rPr>
                <w:rFonts w:ascii="Arial" w:cs="Arial" w:eastAsia="Arial" w:hAnsi="Arial"/>
                <w:sz w:val="14"/>
                <w:szCs w:val="14"/>
                <w:color w:val="auto"/>
              </w:rPr>
              <w:t>Shell Italia E&amp;P S.p.A.’s (Shell interest 100%) main assets are onshore in</w:t>
            </w:r>
          </w:p>
        </w:tc>
        <w:tc>
          <w:tcPr>
            <w:tcW w:w="5020" w:type="dxa"/>
            <w:vAlign w:val="bottom"/>
          </w:tcPr>
          <w:p>
            <w:pPr>
              <w:ind w:left="60"/>
              <w:spacing w:after="0"/>
              <w:rPr>
                <w:sz w:val="20"/>
                <w:szCs w:val="20"/>
                <w:color w:val="auto"/>
              </w:rPr>
            </w:pPr>
            <w:r>
              <w:rPr>
                <w:rFonts w:ascii="Arial" w:cs="Arial" w:eastAsia="Arial" w:hAnsi="Arial"/>
                <w:sz w:val="14"/>
                <w:szCs w:val="14"/>
                <w:color w:val="auto"/>
                <w:w w:val="92"/>
              </w:rPr>
              <w:t>In 2007, Shell and ExxonMobil announced their intention to investigate market interest</w:t>
            </w:r>
          </w:p>
        </w:tc>
        <w:tc>
          <w:tcPr>
            <w:tcW w:w="0" w:type="dxa"/>
            <w:vAlign w:val="bottom"/>
          </w:tcPr>
          <w:p>
            <w:pPr>
              <w:spacing w:after="0"/>
              <w:rPr>
                <w:sz w:val="1"/>
                <w:szCs w:val="1"/>
                <w:color w:val="auto"/>
              </w:rPr>
            </w:pPr>
          </w:p>
        </w:tc>
      </w:tr>
      <w:tr>
        <w:trPr>
          <w:trHeight w:val="147"/>
        </w:trPr>
        <w:tc>
          <w:tcPr>
            <w:tcW w:w="4960" w:type="dxa"/>
            <w:vAlign w:val="bottom"/>
            <w:vMerge w:val="continue"/>
          </w:tcPr>
          <w:p>
            <w:pPr>
              <w:spacing w:after="0"/>
              <w:rPr>
                <w:sz w:val="12"/>
                <w:szCs w:val="12"/>
                <w:color w:val="auto"/>
              </w:rPr>
            </w:pPr>
          </w:p>
        </w:tc>
        <w:tc>
          <w:tcPr>
            <w:tcW w:w="5020" w:type="dxa"/>
            <w:vAlign w:val="bottom"/>
          </w:tcPr>
          <w:p>
            <w:pPr>
              <w:ind w:left="60"/>
              <w:spacing w:after="0" w:line="147" w:lineRule="exact"/>
              <w:rPr>
                <w:sz w:val="20"/>
                <w:szCs w:val="20"/>
                <w:color w:val="auto"/>
              </w:rPr>
            </w:pPr>
            <w:r>
              <w:rPr>
                <w:rFonts w:ascii="Arial" w:cs="Arial" w:eastAsia="Arial" w:hAnsi="Arial"/>
                <w:sz w:val="14"/>
                <w:szCs w:val="14"/>
                <w:color w:val="auto"/>
                <w:w w:val="91"/>
              </w:rPr>
              <w:t>and valuation on their equity interests in a number of Northern North Sea assets, which</w:t>
            </w:r>
          </w:p>
        </w:tc>
        <w:tc>
          <w:tcPr>
            <w:tcW w:w="0" w:type="dxa"/>
            <w:vAlign w:val="bottom"/>
          </w:tcPr>
          <w:p>
            <w:pPr>
              <w:spacing w:after="0"/>
              <w:rPr>
                <w:sz w:val="1"/>
                <w:szCs w:val="1"/>
                <w:color w:val="auto"/>
              </w:rPr>
            </w:pPr>
          </w:p>
        </w:tc>
      </w:tr>
      <w:tr>
        <w:trPr>
          <w:trHeight w:val="159"/>
        </w:trPr>
        <w:tc>
          <w:tcPr>
            <w:tcW w:w="4960" w:type="dxa"/>
            <w:vAlign w:val="bottom"/>
          </w:tcPr>
          <w:p>
            <w:pPr>
              <w:spacing w:after="0" w:line="159" w:lineRule="exact"/>
              <w:rPr>
                <w:sz w:val="20"/>
                <w:szCs w:val="20"/>
                <w:color w:val="auto"/>
              </w:rPr>
            </w:pPr>
            <w:r>
              <w:rPr>
                <w:rFonts w:ascii="Arial" w:cs="Arial" w:eastAsia="Arial" w:hAnsi="Arial"/>
                <w:sz w:val="14"/>
                <w:szCs w:val="14"/>
                <w:color w:val="auto"/>
                <w:w w:val="94"/>
              </w:rPr>
              <w:t>southern Italy and consist of Val d’Agri, which is in production and is operated by Eni</w:t>
            </w:r>
          </w:p>
        </w:tc>
        <w:tc>
          <w:tcPr>
            <w:tcW w:w="5020" w:type="dxa"/>
            <w:vAlign w:val="bottom"/>
          </w:tcPr>
          <w:p>
            <w:pPr>
              <w:ind w:left="60"/>
              <w:spacing w:after="0" w:line="159" w:lineRule="exact"/>
              <w:rPr>
                <w:sz w:val="20"/>
                <w:szCs w:val="20"/>
                <w:color w:val="auto"/>
              </w:rPr>
            </w:pPr>
            <w:r>
              <w:rPr>
                <w:rFonts w:ascii="Arial" w:cs="Arial" w:eastAsia="Arial" w:hAnsi="Arial"/>
                <w:sz w:val="14"/>
                <w:szCs w:val="14"/>
                <w:color w:val="auto"/>
                <w:w w:val="94"/>
              </w:rPr>
              <w:t>include operated interests in Cormorant Alpha, Cormorant North, Tern, Eider, Kestrel</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13"/>
          <w:szCs w:val="13"/>
          <w:color w:val="auto"/>
        </w:rPr>
        <w:t>(Shell interest 39.23%) and Tempa Rossa, operated by Total (Shell interest 25%), which and Pelican and non-operated interests in Otter and Hudson, as well as an operated</w:t>
      </w:r>
    </w:p>
    <w:p>
      <w:pPr>
        <w:ind w:right="179"/>
        <w:spacing w:after="0" w:line="254" w:lineRule="auto"/>
        <w:rPr>
          <w:sz w:val="20"/>
          <w:szCs w:val="20"/>
          <w:color w:val="auto"/>
        </w:rPr>
      </w:pPr>
      <w:r>
        <w:rPr>
          <w:rFonts w:ascii="Arial" w:cs="Arial" w:eastAsia="Arial" w:hAnsi="Arial"/>
          <w:sz w:val="12"/>
          <w:szCs w:val="12"/>
          <w:color w:val="auto"/>
        </w:rPr>
        <w:t>is at the onset of its development phase. Shell Italia E&amp;P S.p.A also has 100% interests interest in the Brent oil evacuation system. Shell and ExxonMobil reached an agreement in nearby exploration prospects, as well as a 30% interest in an oil transport and storage with Fairfield Energy and Mitsubishi Corporation for the sale of the Dunlin Cluster in</w:t>
      </w:r>
    </w:p>
    <w:tbl>
      <w:tblPr>
        <w:tblLayout w:type="fixed"/>
        <w:tblInd w:w="0" w:type="dxa"/>
        <w:tblCellMar>
          <w:top w:w="0" w:type="dxa"/>
          <w:left w:w="0" w:type="dxa"/>
          <w:bottom w:w="0" w:type="dxa"/>
          <w:right w:w="0" w:type="dxa"/>
        </w:tblCellMar>
      </w:tblPr>
      <w:tr>
        <w:trPr>
          <w:trHeight w:val="135"/>
        </w:trPr>
        <w:tc>
          <w:tcPr>
            <w:tcW w:w="4900" w:type="dxa"/>
            <w:vAlign w:val="bottom"/>
          </w:tcPr>
          <w:p>
            <w:pPr>
              <w:spacing w:after="0" w:line="135" w:lineRule="exact"/>
              <w:rPr>
                <w:sz w:val="20"/>
                <w:szCs w:val="20"/>
                <w:color w:val="auto"/>
              </w:rPr>
            </w:pPr>
            <w:r>
              <w:rPr>
                <w:rFonts w:ascii="Arial" w:cs="Arial" w:eastAsia="Arial" w:hAnsi="Arial"/>
                <w:sz w:val="14"/>
                <w:szCs w:val="14"/>
                <w:color w:val="auto"/>
              </w:rPr>
              <w:t>company (Società Oleodotti Meridionali), jointly owned with Eni.</w:t>
            </w:r>
          </w:p>
        </w:tc>
        <w:tc>
          <w:tcPr>
            <w:tcW w:w="5120" w:type="dxa"/>
            <w:vAlign w:val="bottom"/>
          </w:tcPr>
          <w:p>
            <w:pPr>
              <w:ind w:left="120"/>
              <w:spacing w:after="0" w:line="135" w:lineRule="exact"/>
              <w:rPr>
                <w:sz w:val="20"/>
                <w:szCs w:val="20"/>
                <w:color w:val="auto"/>
              </w:rPr>
            </w:pPr>
            <w:r>
              <w:rPr>
                <w:rFonts w:ascii="Arial" w:cs="Arial" w:eastAsia="Arial" w:hAnsi="Arial"/>
                <w:sz w:val="14"/>
                <w:szCs w:val="14"/>
                <w:color w:val="auto"/>
                <w:w w:val="94"/>
              </w:rPr>
              <w:t>the North Sea covering the Dunlin, Dunlin South West, Osprey and Merlin fields, with</w:t>
            </w:r>
          </w:p>
        </w:tc>
        <w:tc>
          <w:tcPr>
            <w:tcW w:w="0" w:type="dxa"/>
            <w:vAlign w:val="bottom"/>
          </w:tcPr>
          <w:p>
            <w:pPr>
              <w:spacing w:after="0"/>
              <w:rPr>
                <w:sz w:val="1"/>
                <w:szCs w:val="1"/>
                <w:color w:val="auto"/>
              </w:rPr>
            </w:pPr>
          </w:p>
        </w:tc>
      </w:tr>
      <w:tr>
        <w:trPr>
          <w:trHeight w:val="181"/>
        </w:trPr>
        <w:tc>
          <w:tcPr>
            <w:tcW w:w="4900" w:type="dxa"/>
            <w:vAlign w:val="bottom"/>
          </w:tcPr>
          <w:p>
            <w:pPr>
              <w:spacing w:after="0"/>
              <w:rPr>
                <w:sz w:val="15"/>
                <w:szCs w:val="15"/>
                <w:color w:val="auto"/>
              </w:rPr>
            </w:pPr>
          </w:p>
        </w:tc>
        <w:tc>
          <w:tcPr>
            <w:tcW w:w="5120" w:type="dxa"/>
            <w:vAlign w:val="bottom"/>
          </w:tcPr>
          <w:p>
            <w:pPr>
              <w:ind w:left="120"/>
              <w:spacing w:after="0"/>
              <w:rPr>
                <w:sz w:val="20"/>
                <w:szCs w:val="20"/>
                <w:color w:val="auto"/>
              </w:rPr>
            </w:pPr>
            <w:r>
              <w:rPr>
                <w:rFonts w:ascii="Arial" w:cs="Arial" w:eastAsia="Arial" w:hAnsi="Arial"/>
                <w:sz w:val="14"/>
                <w:szCs w:val="14"/>
                <w:color w:val="auto"/>
              </w:rPr>
              <w:t>completion of the deal still pending government approval.</w:t>
            </w:r>
          </w:p>
        </w:tc>
        <w:tc>
          <w:tcPr>
            <w:tcW w:w="0" w:type="dxa"/>
            <w:vAlign w:val="bottom"/>
          </w:tcPr>
          <w:p>
            <w:pPr>
              <w:spacing w:after="0"/>
              <w:rPr>
                <w:sz w:val="1"/>
                <w:szCs w:val="1"/>
                <w:color w:val="auto"/>
              </w:rPr>
            </w:pPr>
          </w:p>
        </w:tc>
      </w:tr>
      <w:tr>
        <w:trPr>
          <w:trHeight w:val="179"/>
        </w:trPr>
        <w:tc>
          <w:tcPr>
            <w:tcW w:w="4900" w:type="dxa"/>
            <w:vAlign w:val="bottom"/>
          </w:tcPr>
          <w:p>
            <w:pPr>
              <w:spacing w:after="0"/>
              <w:rPr>
                <w:sz w:val="20"/>
                <w:szCs w:val="20"/>
                <w:color w:val="auto"/>
              </w:rPr>
            </w:pPr>
            <w:r>
              <w:rPr>
                <w:rFonts w:ascii="Arial" w:cs="Arial" w:eastAsia="Arial" w:hAnsi="Arial"/>
                <w:sz w:val="14"/>
                <w:szCs w:val="14"/>
                <w:b w:val="1"/>
                <w:bCs w:val="1"/>
                <w:color w:val="auto"/>
                <w:w w:val="94"/>
              </w:rPr>
              <w:t xml:space="preserve">The Netherlands </w:t>
            </w:r>
            <w:r>
              <w:rPr>
                <w:rFonts w:ascii="Arial" w:cs="Arial" w:eastAsia="Arial" w:hAnsi="Arial"/>
                <w:sz w:val="14"/>
                <w:szCs w:val="14"/>
                <w:color w:val="auto"/>
                <w:w w:val="94"/>
              </w:rPr>
              <w:t>The Shell share of natural gas and crude oil in the Netherlands is</w:t>
            </w:r>
          </w:p>
        </w:tc>
        <w:tc>
          <w:tcPr>
            <w:tcW w:w="512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3"/>
              </w:rPr>
              <w:t xml:space="preserve">Ukraine </w:t>
            </w:r>
            <w:r>
              <w:rPr>
                <w:rFonts w:ascii="Arial" w:cs="Arial" w:eastAsia="Arial" w:hAnsi="Arial"/>
                <w:sz w:val="14"/>
                <w:szCs w:val="14"/>
                <w:color w:val="auto"/>
                <w:w w:val="93"/>
              </w:rPr>
              <w:t>In 2006, Shell Ukraine Exploration and Production entered into a joint activity</w:t>
            </w:r>
          </w:p>
        </w:tc>
        <w:tc>
          <w:tcPr>
            <w:tcW w:w="0" w:type="dxa"/>
            <w:vAlign w:val="bottom"/>
          </w:tcPr>
          <w:p>
            <w:pPr>
              <w:spacing w:after="0"/>
              <w:rPr>
                <w:sz w:val="1"/>
                <w:szCs w:val="1"/>
                <w:color w:val="auto"/>
              </w:rPr>
            </w:pPr>
          </w:p>
        </w:tc>
      </w:tr>
      <w:tr>
        <w:trPr>
          <w:trHeight w:val="159"/>
        </w:trPr>
        <w:tc>
          <w:tcPr>
            <w:tcW w:w="4900" w:type="dxa"/>
            <w:vAlign w:val="bottom"/>
          </w:tcPr>
          <w:p>
            <w:pPr>
              <w:spacing w:after="0" w:line="159" w:lineRule="exact"/>
              <w:rPr>
                <w:sz w:val="20"/>
                <w:szCs w:val="20"/>
                <w:color w:val="auto"/>
              </w:rPr>
            </w:pPr>
            <w:r>
              <w:rPr>
                <w:rFonts w:ascii="Arial" w:cs="Arial" w:eastAsia="Arial" w:hAnsi="Arial"/>
                <w:sz w:val="14"/>
                <w:szCs w:val="14"/>
                <w:color w:val="auto"/>
                <w:w w:val="95"/>
              </w:rPr>
              <w:t>produced by Nederlandse Aardolie Maatschappij B.V. (NAM), a 50:50 joint venture</w:t>
            </w:r>
          </w:p>
        </w:tc>
        <w:tc>
          <w:tcPr>
            <w:tcW w:w="5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13"/>
          <w:szCs w:val="13"/>
          <w:color w:val="auto"/>
        </w:rPr>
        <w:t>between Shell and ExxonMobil. An important part of NAM’s gas production is from its agreement (JAA) with Ukrgazvydobuvannya (UGV), a subsidiary of NaftoGasUkrainy</w:t>
      </w:r>
    </w:p>
    <w:p>
      <w:pPr>
        <w:spacing w:after="0" w:line="235" w:lineRule="auto"/>
        <w:tabs>
          <w:tab w:leader="none" w:pos="5000" w:val="left"/>
        </w:tabs>
        <w:rPr>
          <w:sz w:val="20"/>
          <w:szCs w:val="20"/>
          <w:color w:val="auto"/>
        </w:rPr>
      </w:pPr>
      <w:r>
        <w:rPr>
          <w:rFonts w:ascii="Arial" w:cs="Arial" w:eastAsia="Arial" w:hAnsi="Arial"/>
          <w:sz w:val="14"/>
          <w:szCs w:val="14"/>
          <w:color w:val="auto"/>
        </w:rPr>
        <w:t>onshore Groningen gas field, in which the Dutch state has a 40% financial interest</w:t>
      </w:r>
      <w:r>
        <w:rPr>
          <w:sz w:val="20"/>
          <w:szCs w:val="20"/>
          <w:color w:val="auto"/>
        </w:rPr>
        <w:tab/>
      </w:r>
      <w:r>
        <w:rPr>
          <w:rFonts w:ascii="Arial" w:cs="Arial" w:eastAsia="Arial" w:hAnsi="Arial"/>
          <w:sz w:val="13"/>
          <w:szCs w:val="13"/>
          <w:color w:val="auto"/>
        </w:rPr>
        <w:t>(NAK), to explore for oil and gas across eight licences in the Dnieper-Donetsk Basin in</w:t>
      </w:r>
    </w:p>
    <w:p>
      <w:pPr>
        <w:spacing w:after="0"/>
        <w:tabs>
          <w:tab w:leader="none" w:pos="5000" w:val="left"/>
        </w:tabs>
        <w:rPr>
          <w:sz w:val="20"/>
          <w:szCs w:val="20"/>
          <w:color w:val="auto"/>
        </w:rPr>
      </w:pPr>
      <w:r>
        <w:rPr>
          <w:rFonts w:ascii="Arial" w:cs="Arial" w:eastAsia="Arial" w:hAnsi="Arial"/>
          <w:sz w:val="14"/>
          <w:szCs w:val="14"/>
          <w:color w:val="auto"/>
        </w:rPr>
        <w:t>through the wholly state-owned company EBN. NAM’s production of oil and gas is</w:t>
      </w:r>
      <w:r>
        <w:rPr>
          <w:sz w:val="20"/>
          <w:szCs w:val="20"/>
          <w:color w:val="auto"/>
        </w:rPr>
        <w:tab/>
      </w:r>
      <w:r>
        <w:rPr>
          <w:rFonts w:ascii="Arial" w:cs="Arial" w:eastAsia="Arial" w:hAnsi="Arial"/>
          <w:sz w:val="12"/>
          <w:szCs w:val="12"/>
          <w:color w:val="auto"/>
        </w:rPr>
        <w:t>central-eastern Ukraine.</w:t>
      </w:r>
    </w:p>
    <w:p>
      <w:pPr>
        <w:sectPr>
          <w:pgSz w:w="11900" w:h="16838" w:orient="portrait"/>
          <w:cols w:equalWidth="0" w:num="1">
            <w:col w:w="10219"/>
          </w:cols>
          <w:pgMar w:left="240" w:top="415" w:right="1440" w:bottom="1440" w:gutter="0" w:footer="0" w:header="0"/>
          <w:type w:val="continuous"/>
        </w:sectPr>
      </w:pP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covered by production licences. In 2007, NAM announced its decision to resume oil production in the Schoonebeek (Shell interest 30%) oil field.</w:t>
      </w:r>
    </w:p>
    <w:p>
      <w:pPr>
        <w:spacing w:after="0" w:line="180"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Government participation in development and production is 40% or 50% mainly depending on the legislation applicable at the time the licences were granted. This applies to all licences except one offshore and a number of older onshore production licences.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199"/>
        <w:spacing w:after="0" w:line="228" w:lineRule="auto"/>
        <w:rPr>
          <w:sz w:val="20"/>
          <w:szCs w:val="20"/>
          <w:color w:val="auto"/>
        </w:rPr>
      </w:pPr>
      <w:r>
        <w:rPr>
          <w:rFonts w:ascii="Arial" w:cs="Arial" w:eastAsia="Arial" w:hAnsi="Arial"/>
          <w:sz w:val="14"/>
          <w:szCs w:val="14"/>
          <w:color w:val="auto"/>
        </w:rPr>
        <w:t>The JAA which covers licences, agreed work programme levels and the terms of joint activities, gives Shell a 50% interest in the joint activities (excluding existing producing fields) in exchange for a commitment that comprises acquisition of seismic data and drilling of deep exploration wells over a three-year period. Seismic studies are expected to begin in 2008.</w:t>
      </w:r>
    </w:p>
    <w:p>
      <w:pPr>
        <w:spacing w:after="0" w:line="178" w:lineRule="exact"/>
        <w:rPr>
          <w:sz w:val="20"/>
          <w:szCs w:val="20"/>
          <w:color w:val="auto"/>
        </w:rPr>
      </w:pPr>
    </w:p>
    <w:p>
      <w:pPr>
        <w:sectPr>
          <w:pgSz w:w="11900" w:h="16838" w:orient="portrait"/>
          <w:cols w:equalWidth="0" w:num="2">
            <w:col w:w="4800" w:space="220"/>
            <w:col w:w="5199"/>
          </w:cols>
          <w:pgMar w:left="240" w:top="415" w:right="1440" w:bottom="1440" w:gutter="0" w:footer="0" w:header="0"/>
          <w:type w:val="continuous"/>
        </w:sectPr>
      </w:pPr>
    </w:p>
    <w:p>
      <w:pPr>
        <w:jc w:val="center"/>
        <w:ind w:right="-380"/>
        <w:spacing w:after="0"/>
        <w:rPr>
          <w:sz w:val="20"/>
          <w:szCs w:val="20"/>
          <w:color w:val="auto"/>
        </w:rPr>
      </w:pPr>
      <w:r>
        <w:rPr>
          <w:rFonts w:ascii="Arial" w:cs="Arial" w:eastAsia="Arial" w:hAnsi="Arial"/>
          <w:sz w:val="14"/>
          <w:szCs w:val="14"/>
          <w:b w:val="1"/>
          <w:bCs w:val="1"/>
          <w:color w:val="auto"/>
        </w:rPr>
        <w:t>AFRICA</w:t>
      </w:r>
    </w:p>
    <w:p>
      <w:pPr>
        <w:ind w:right="359"/>
        <w:spacing w:after="0" w:line="235" w:lineRule="auto"/>
        <w:rPr>
          <w:sz w:val="20"/>
          <w:szCs w:val="20"/>
          <w:color w:val="auto"/>
        </w:rPr>
      </w:pPr>
      <w:r>
        <w:rPr>
          <w:rFonts w:ascii="Arial" w:cs="Arial" w:eastAsia="Arial" w:hAnsi="Arial"/>
          <w:sz w:val="13"/>
          <w:szCs w:val="13"/>
          <w:b w:val="1"/>
          <w:bCs w:val="1"/>
          <w:color w:val="auto"/>
        </w:rPr>
        <w:t xml:space="preserve">Norway </w:t>
      </w:r>
      <w:r>
        <w:rPr>
          <w:rFonts w:ascii="Arial" w:cs="Arial" w:eastAsia="Arial" w:hAnsi="Arial"/>
          <w:sz w:val="13"/>
          <w:szCs w:val="13"/>
          <w:color w:val="auto"/>
        </w:rPr>
        <w:t>A/S Norske Shell holds an interest in a number of production licences, seven</w:t>
      </w:r>
      <w:r>
        <w:rPr>
          <w:rFonts w:ascii="Arial" w:cs="Arial" w:eastAsia="Arial" w:hAnsi="Arial"/>
          <w:sz w:val="13"/>
          <w:szCs w:val="13"/>
          <w:b w:val="1"/>
          <w:bCs w:val="1"/>
          <w:color w:val="auto"/>
        </w:rPr>
        <w:t xml:space="preserve"> Algeria </w:t>
      </w:r>
      <w:r>
        <w:rPr>
          <w:rFonts w:ascii="Arial" w:cs="Arial" w:eastAsia="Arial" w:hAnsi="Arial"/>
          <w:sz w:val="13"/>
          <w:szCs w:val="13"/>
          <w:color w:val="auto"/>
        </w:rPr>
        <w:t>During 2007, Shell Algeria Reggane GmbH and Shell Algeria Zerafa GmbH</w:t>
      </w:r>
      <w:r>
        <w:rPr>
          <w:rFonts w:ascii="Arial" w:cs="Arial" w:eastAsia="Arial" w:hAnsi="Arial"/>
          <w:sz w:val="13"/>
          <w:szCs w:val="13"/>
          <w:b w:val="1"/>
          <w:bCs w:val="1"/>
          <w:color w:val="auto"/>
        </w:rPr>
        <w:t xml:space="preserve"> </w:t>
      </w:r>
      <w:r>
        <w:rPr>
          <w:rFonts w:ascii="Arial" w:cs="Arial" w:eastAsia="Arial" w:hAnsi="Arial"/>
          <w:sz w:val="13"/>
          <w:szCs w:val="13"/>
          <w:color w:val="auto"/>
        </w:rPr>
        <w:t>of which involve producing oil and gas fields. A/S Norske Shell also holds an interest in(SARG and SAZG, Shell interest 80%) continued their exploration campaign in the</w:t>
      </w:r>
    </w:p>
    <w:tbl>
      <w:tblPr>
        <w:tblLayout w:type="fixed"/>
        <w:tblInd w:w="0" w:type="dxa"/>
        <w:tblCellMar>
          <w:top w:w="0" w:type="dxa"/>
          <w:left w:w="0" w:type="dxa"/>
          <w:bottom w:w="0" w:type="dxa"/>
          <w:right w:w="0" w:type="dxa"/>
        </w:tblCellMar>
      </w:tblPr>
      <w:tr>
        <w:trPr>
          <w:trHeight w:val="140"/>
        </w:trPr>
        <w:tc>
          <w:tcPr>
            <w:tcW w:w="4940" w:type="dxa"/>
            <w:vAlign w:val="bottom"/>
          </w:tcPr>
          <w:p>
            <w:pPr>
              <w:spacing w:after="0" w:line="140" w:lineRule="exact"/>
              <w:rPr>
                <w:sz w:val="20"/>
                <w:szCs w:val="20"/>
                <w:color w:val="auto"/>
              </w:rPr>
            </w:pPr>
            <w:r>
              <w:rPr>
                <w:rFonts w:ascii="Arial" w:cs="Arial" w:eastAsia="Arial" w:hAnsi="Arial"/>
                <w:sz w:val="14"/>
                <w:szCs w:val="14"/>
                <w:color w:val="auto"/>
                <w:w w:val="92"/>
              </w:rPr>
              <w:t>potential development assets. On December 1, 2007, Shell assumed responsibility for</w:t>
            </w:r>
          </w:p>
        </w:tc>
        <w:tc>
          <w:tcPr>
            <w:tcW w:w="5060" w:type="dxa"/>
            <w:vAlign w:val="bottom"/>
          </w:tcPr>
          <w:p>
            <w:pPr>
              <w:ind w:left="80"/>
              <w:spacing w:after="0" w:line="140" w:lineRule="exact"/>
              <w:rPr>
                <w:sz w:val="20"/>
                <w:szCs w:val="20"/>
                <w:color w:val="auto"/>
              </w:rPr>
            </w:pPr>
            <w:r>
              <w:rPr>
                <w:rFonts w:ascii="Arial" w:cs="Arial" w:eastAsia="Arial" w:hAnsi="Arial"/>
                <w:sz w:val="14"/>
                <w:szCs w:val="14"/>
                <w:color w:val="auto"/>
                <w:w w:val="93"/>
              </w:rPr>
              <w:t>permits Reggane Djebel Hirane and Zerafa in Algeria under a PSC with Algeria-based</w:t>
            </w:r>
          </w:p>
        </w:tc>
      </w:tr>
      <w:tr>
        <w:trPr>
          <w:trHeight w:val="147"/>
        </w:trPr>
        <w:tc>
          <w:tcPr>
            <w:tcW w:w="4940" w:type="dxa"/>
            <w:vAlign w:val="bottom"/>
          </w:tcPr>
          <w:p>
            <w:pPr>
              <w:spacing w:after="0" w:line="147" w:lineRule="exact"/>
              <w:rPr>
                <w:sz w:val="20"/>
                <w:szCs w:val="20"/>
                <w:color w:val="auto"/>
              </w:rPr>
            </w:pPr>
            <w:r>
              <w:rPr>
                <w:rFonts w:ascii="Arial" w:cs="Arial" w:eastAsia="Arial" w:hAnsi="Arial"/>
                <w:sz w:val="14"/>
                <w:szCs w:val="14"/>
                <w:color w:val="auto"/>
              </w:rPr>
              <w:t>operations of the Ormen Lange gas field, which was developed with sea-floor</w:t>
            </w:r>
          </w:p>
        </w:tc>
        <w:tc>
          <w:tcPr>
            <w:tcW w:w="5060" w:type="dxa"/>
            <w:vAlign w:val="bottom"/>
          </w:tcPr>
          <w:p>
            <w:pPr>
              <w:ind w:left="80"/>
              <w:spacing w:after="0" w:line="147" w:lineRule="exact"/>
              <w:rPr>
                <w:sz w:val="20"/>
                <w:szCs w:val="20"/>
                <w:color w:val="auto"/>
              </w:rPr>
            </w:pPr>
            <w:r>
              <w:rPr>
                <w:rFonts w:ascii="Arial" w:cs="Arial" w:eastAsia="Arial" w:hAnsi="Arial"/>
                <w:sz w:val="14"/>
                <w:szCs w:val="14"/>
                <w:color w:val="auto"/>
                <w:w w:val="90"/>
              </w:rPr>
              <w:t>Sonatrach. The first phase of the PSC extends to September 2008. Liwa, a subsidiary of</w:t>
            </w:r>
          </w:p>
        </w:tc>
      </w:tr>
      <w:tr>
        <w:trPr>
          <w:trHeight w:val="155"/>
        </w:trPr>
        <w:tc>
          <w:tcPr>
            <w:tcW w:w="4940" w:type="dxa"/>
            <w:vAlign w:val="bottom"/>
          </w:tcPr>
          <w:p>
            <w:pPr>
              <w:spacing w:after="0" w:line="155" w:lineRule="exact"/>
              <w:rPr>
                <w:sz w:val="20"/>
                <w:szCs w:val="20"/>
                <w:color w:val="auto"/>
              </w:rPr>
            </w:pPr>
            <w:r>
              <w:rPr>
                <w:rFonts w:ascii="Arial" w:cs="Arial" w:eastAsia="Arial" w:hAnsi="Arial"/>
                <w:sz w:val="14"/>
                <w:szCs w:val="14"/>
                <w:color w:val="auto"/>
              </w:rPr>
              <w:t>installations</w:t>
            </w:r>
          </w:p>
        </w:tc>
        <w:tc>
          <w:tcPr>
            <w:tcW w:w="5060" w:type="dxa"/>
            <w:vAlign w:val="bottom"/>
          </w:tcPr>
          <w:p>
            <w:pPr>
              <w:ind w:left="80"/>
              <w:spacing w:after="0" w:line="155" w:lineRule="exact"/>
              <w:rPr>
                <w:sz w:val="20"/>
                <w:szCs w:val="20"/>
                <w:color w:val="auto"/>
              </w:rPr>
            </w:pPr>
            <w:r>
              <w:rPr>
                <w:rFonts w:ascii="Arial" w:cs="Arial" w:eastAsia="Arial" w:hAnsi="Arial"/>
                <w:sz w:val="14"/>
                <w:szCs w:val="14"/>
                <w:color w:val="auto"/>
                <w:w w:val="91"/>
              </w:rPr>
              <w:t>Mubudala Development Company, an Abu Dhabi Investment Company, has an interest</w:t>
            </w:r>
          </w:p>
        </w:tc>
      </w:tr>
      <w:tr>
        <w:trPr>
          <w:trHeight w:val="181"/>
        </w:trPr>
        <w:tc>
          <w:tcPr>
            <w:tcW w:w="4940" w:type="dxa"/>
            <w:vAlign w:val="bottom"/>
          </w:tcPr>
          <w:p>
            <w:pPr>
              <w:spacing w:after="0"/>
              <w:rPr>
                <w:sz w:val="15"/>
                <w:szCs w:val="15"/>
                <w:color w:val="auto"/>
              </w:rPr>
            </w:pPr>
          </w:p>
        </w:tc>
        <w:tc>
          <w:tcPr>
            <w:tcW w:w="5060" w:type="dxa"/>
            <w:vAlign w:val="bottom"/>
          </w:tcPr>
          <w:p>
            <w:pPr>
              <w:ind w:left="80"/>
              <w:spacing w:after="0"/>
              <w:rPr>
                <w:sz w:val="20"/>
                <w:szCs w:val="20"/>
                <w:color w:val="auto"/>
              </w:rPr>
            </w:pPr>
            <w:r>
              <w:rPr>
                <w:rFonts w:ascii="Arial" w:cs="Arial" w:eastAsia="Arial" w:hAnsi="Arial"/>
                <w:sz w:val="14"/>
                <w:szCs w:val="14"/>
                <w:color w:val="auto"/>
              </w:rPr>
              <w:t>of 20% in both permits, subject to final government approval.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59"/>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1960245</wp:posOffset>
            </wp:positionV>
            <wp:extent cx="725297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EXPLORATION &amp; PRODUCTION</w:t>
      </w:r>
    </w:p>
    <w:p>
      <w:pPr>
        <w:spacing w:after="0" w:line="200" w:lineRule="exact"/>
        <w:rPr>
          <w:sz w:val="20"/>
          <w:szCs w:val="20"/>
          <w:color w:val="auto"/>
        </w:rPr>
      </w:pPr>
    </w:p>
    <w:p>
      <w:pPr>
        <w:spacing w:after="0" w:line="217" w:lineRule="exact"/>
        <w:rPr>
          <w:sz w:val="20"/>
          <w:szCs w:val="20"/>
          <w:color w:val="auto"/>
        </w:rPr>
      </w:pPr>
    </w:p>
    <w:p>
      <w:pPr>
        <w:spacing w:after="0" w:line="253" w:lineRule="auto"/>
        <w:rPr>
          <w:sz w:val="20"/>
          <w:szCs w:val="20"/>
          <w:color w:val="auto"/>
        </w:rPr>
      </w:pPr>
      <w:r>
        <w:rPr>
          <w:rFonts w:ascii="Arial" w:cs="Arial" w:eastAsia="Arial" w:hAnsi="Arial"/>
          <w:sz w:val="13"/>
          <w:szCs w:val="13"/>
          <w:b w:val="1"/>
          <w:bCs w:val="1"/>
          <w:color w:val="auto"/>
        </w:rPr>
        <w:t xml:space="preserve">Cameroon </w:t>
      </w:r>
      <w:r>
        <w:rPr>
          <w:rFonts w:ascii="Arial" w:cs="Arial" w:eastAsia="Arial" w:hAnsi="Arial"/>
          <w:sz w:val="13"/>
          <w:szCs w:val="13"/>
          <w:color w:val="auto"/>
        </w:rPr>
        <w:t>Pecten Cameroon Company (PCC) (Shell interest 80%) has a 40% working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in a PCC operated property (Mokoko-Abana) and a 24.5% interest in a non-operated property (Rio del Rey). PCC has a 50% interest in exploration licence Dissoni (a PSC), which can reduce to 37.5% depending on state participation after a commercial discovery.</w:t>
      </w:r>
    </w:p>
    <w:p>
      <w:pPr>
        <w:spacing w:after="0" w:line="169"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b w:val="1"/>
          <w:bCs w:val="1"/>
          <w:color w:val="auto"/>
        </w:rPr>
        <w:t xml:space="preserve">Gabon </w:t>
      </w:r>
      <w:r>
        <w:rPr>
          <w:rFonts w:ascii="Arial" w:cs="Arial" w:eastAsia="Arial" w:hAnsi="Arial"/>
          <w:sz w:val="14"/>
          <w:szCs w:val="14"/>
          <w:color w:val="auto"/>
        </w:rPr>
        <w:t>Shell Gabon (Shell interest 75%) has interests in nine onshore mining</w:t>
      </w:r>
      <w:r>
        <w:rPr>
          <w:rFonts w:ascii="Arial" w:cs="Arial" w:eastAsia="Arial" w:hAnsi="Arial"/>
          <w:sz w:val="14"/>
          <w:szCs w:val="14"/>
          <w:b w:val="1"/>
          <w:bCs w:val="1"/>
          <w:color w:val="auto"/>
        </w:rPr>
        <w:t xml:space="preserve"> </w:t>
      </w:r>
      <w:r>
        <w:rPr>
          <w:rFonts w:ascii="Arial" w:cs="Arial" w:eastAsia="Arial" w:hAnsi="Arial"/>
          <w:sz w:val="14"/>
          <w:szCs w:val="14"/>
          <w:color w:val="auto"/>
        </w:rPr>
        <w:t>concessions/exploitation permits, six of which (Rabi/Kounga, Gamba/Ivinga, Toucan, Awoun, Totou and Bende) are operated by the company. The Rabi/Kounga PSC expires in 2022. The Gamba/Ivinga concession expires in 2042. The Toucan PSC expires in 2023 while the Totou/Bende PSC expires in 2021. In Awoun, an Exclusive Exploitation Authorisation has been asked for the Koula field for a duration of 20 years from 2008. The other three concessions/PSCs (Avocette, Coucal and Atora) expire between 2010 and 2021 and are operated by Total Gabon.</w:t>
      </w:r>
    </w:p>
    <w:p>
      <w:pPr>
        <w:spacing w:after="0" w:line="182"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Shell’s production in Gabon is dominated by the Rabi field (Shell interest 42.5%). Shell Gabon’s portfolio includes two more producing fields: Toucan (near Rabi) and Gamba. A Shell company, Shell Offshore North Gabon B.V. (SONG), holds the Igoumou Marin permit in ultra-deep water. In 2007, Shell signed two exploration and production sharing contracts in offshore central Gabon.</w:t>
      </w:r>
    </w:p>
    <w:p>
      <w:pPr>
        <w:spacing w:after="0" w:line="177" w:lineRule="exact"/>
        <w:rPr>
          <w:sz w:val="20"/>
          <w:szCs w:val="20"/>
          <w:color w:val="auto"/>
        </w:rPr>
      </w:pPr>
    </w:p>
    <w:p>
      <w:pPr>
        <w:spacing w:after="0" w:line="241" w:lineRule="auto"/>
        <w:rPr>
          <w:sz w:val="20"/>
          <w:szCs w:val="20"/>
          <w:color w:val="auto"/>
        </w:rPr>
      </w:pPr>
      <w:r>
        <w:rPr>
          <w:rFonts w:ascii="Arial" w:cs="Arial" w:eastAsia="Arial" w:hAnsi="Arial"/>
          <w:sz w:val="13"/>
          <w:szCs w:val="13"/>
          <w:b w:val="1"/>
          <w:bCs w:val="1"/>
          <w:color w:val="auto"/>
        </w:rPr>
        <w:t xml:space="preserve">Libya </w:t>
      </w:r>
      <w:r>
        <w:rPr>
          <w:rFonts w:ascii="Arial" w:cs="Arial" w:eastAsia="Arial" w:hAnsi="Arial"/>
          <w:sz w:val="13"/>
          <w:szCs w:val="13"/>
          <w:color w:val="auto"/>
        </w:rPr>
        <w:t>In May 2005, Shell and the National Oil Corporation of the Great Socialist People’s</w:t>
      </w:r>
      <w:r>
        <w:rPr>
          <w:rFonts w:ascii="Arial" w:cs="Arial" w:eastAsia="Arial" w:hAnsi="Arial"/>
          <w:sz w:val="13"/>
          <w:szCs w:val="13"/>
          <w:b w:val="1"/>
          <w:bCs w:val="1"/>
          <w:color w:val="auto"/>
        </w:rPr>
        <w:t xml:space="preserve"> </w:t>
      </w:r>
      <w:r>
        <w:rPr>
          <w:rFonts w:ascii="Arial" w:cs="Arial" w:eastAsia="Arial" w:hAnsi="Arial"/>
          <w:sz w:val="13"/>
          <w:szCs w:val="13"/>
          <w:color w:val="auto"/>
        </w:rPr>
        <w:t>Libyan Arab Jamahiriya (NOC) signed an agreement for the rejuvenation and upgrade of the existing LNG plant at Marsa Al Brega on the Libyan coast, together with exploration and development of five areas located in Libya’s major oil and gas producing Sirte Basin. Initial seismic acquisition and analysis is now complete and exploration drilling is planned to commence in 2008. The engineering phase of the rejuvenation is also complete and construction work on Marsa Al Brega is expected to start in 2008 under the management of an NOC subsidiary. In December 2007, Shell Exploration and Development Libya GmbH was awarded two exploration blocks (Area 89, blocks 1 and 3) in Libya’s Sirte Basin in the EPSA 4.4 licensing round. The award is subject to final government ratification.</w:t>
      </w:r>
    </w:p>
    <w:p>
      <w:pPr>
        <w:spacing w:after="0" w:line="177" w:lineRule="exact"/>
        <w:rPr>
          <w:sz w:val="20"/>
          <w:szCs w:val="20"/>
          <w:color w:val="auto"/>
        </w:rPr>
      </w:pPr>
    </w:p>
    <w:p>
      <w:pPr>
        <w:ind w:right="100"/>
        <w:spacing w:after="0" w:line="253" w:lineRule="auto"/>
        <w:rPr>
          <w:sz w:val="20"/>
          <w:szCs w:val="20"/>
          <w:color w:val="auto"/>
        </w:rPr>
      </w:pPr>
      <w:r>
        <w:rPr>
          <w:rFonts w:ascii="Arial" w:cs="Arial" w:eastAsia="Arial" w:hAnsi="Arial"/>
          <w:sz w:val="13"/>
          <w:szCs w:val="13"/>
          <w:b w:val="1"/>
          <w:bCs w:val="1"/>
          <w:color w:val="auto"/>
        </w:rPr>
        <w:t xml:space="preserve">Nigeria </w:t>
      </w:r>
      <w:r>
        <w:rPr>
          <w:rFonts w:ascii="Arial" w:cs="Arial" w:eastAsia="Arial" w:hAnsi="Arial"/>
          <w:sz w:val="13"/>
          <w:szCs w:val="13"/>
          <w:color w:val="auto"/>
        </w:rPr>
        <w:t>The Shell Petroleum Development Company of Nigeria Ltd. (SPDC) (Shell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100%) is operator of a joint venture (Shell interest 30%) with the Nigerian National Petroleum Corporation (NNPC), Total (10%) and Agip (5%). The venture’s onshore oil mining leases (OML) expire in 2019 and the shallow water offshore leases expire in 2008.</w:t>
      </w:r>
    </w:p>
    <w:p>
      <w:pPr>
        <w:spacing w:after="0" w:line="173" w:lineRule="exact"/>
        <w:rPr>
          <w:sz w:val="20"/>
          <w:szCs w:val="20"/>
          <w:color w:val="auto"/>
        </w:rPr>
      </w:pPr>
    </w:p>
    <w:p>
      <w:pPr>
        <w:ind w:right="180"/>
        <w:spacing w:after="0" w:line="226" w:lineRule="auto"/>
        <w:rPr>
          <w:sz w:val="20"/>
          <w:szCs w:val="20"/>
          <w:color w:val="auto"/>
        </w:rPr>
      </w:pPr>
      <w:r>
        <w:rPr>
          <w:rFonts w:ascii="Arial" w:cs="Arial" w:eastAsia="Arial" w:hAnsi="Arial"/>
          <w:sz w:val="14"/>
          <w:szCs w:val="14"/>
          <w:color w:val="auto"/>
        </w:rPr>
        <w:t>Shell Nigeria Exploration and Production Company Ltd. (SNEPCO) (Shell interest 100%) operates under a PSC with a 55% working interest in deep-water blocks OML 118 and OML 135 in partnership with ExxonMobil, Total and Agip. SNEPCO also has a 49.81% interest in deep-water blocks OML 125 and OML 134 (Agip operated), a 43.75% interest in deep-water block OML 133 (ExxonMobil operated), and a 40% interest in shallow water block OPL 238 (co-venturer Sunlink 60% interest).</w:t>
      </w:r>
    </w:p>
    <w:p>
      <w:pPr>
        <w:spacing w:after="0" w:line="183"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The OPL 250 contractor group, which includes Shell Nigeria Offshore Prospecting Limited (SNOP) (Shell interest 100%), has withdrawn from the PSC it entered into with NNPC in 2001.</w:t>
      </w:r>
    </w:p>
    <w:p>
      <w:pPr>
        <w:spacing w:after="0" w:line="15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Shell Nigeria Ultra Deep Limited (SNUD) (Shell interest 100%) has a 100% interest in block OPL 245 (PSC).</w:t>
      </w:r>
    </w:p>
    <w:p>
      <w:pPr>
        <w:spacing w:after="0" w:line="200" w:lineRule="exact"/>
        <w:rPr>
          <w:sz w:val="20"/>
          <w:szCs w:val="20"/>
          <w:color w:val="auto"/>
        </w:rPr>
      </w:pPr>
    </w:p>
    <w:p>
      <w:pPr>
        <w:spacing w:after="0" w:line="219" w:lineRule="exact"/>
        <w:rPr>
          <w:sz w:val="20"/>
          <w:szCs w:val="20"/>
          <w:color w:val="auto"/>
        </w:rPr>
      </w:pPr>
    </w:p>
    <w:p>
      <w:pPr>
        <w:ind w:left="280" w:hanging="273"/>
        <w:spacing w:after="0"/>
        <w:tabs>
          <w:tab w:leader="none" w:pos="280" w:val="left"/>
        </w:tabs>
        <w:numPr>
          <w:ilvl w:val="0"/>
          <w:numId w:val="3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Shell Nigeria Upstream Ventures (SNUV) (Shell interest 100%) has a disputed 40% equity interest in OML 122 (co-venturer Peak Petroleum).</w:t>
      </w:r>
    </w:p>
    <w:p>
      <w:pPr>
        <w:spacing w:after="0" w:line="175"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Shell Nigeria Exploration Properties Alpha Ltd. (SNEPA) (Shell interest 100%) operates under a 100% working interest in deep-water block OPL 322 (40% Shell interest, 50% PSC with NNPC, 10% PSC with indigenous operator Dajo Oil).</w:t>
      </w:r>
    </w:p>
    <w:p>
      <w:pPr>
        <w:spacing w:after="0" w:line="180" w:lineRule="exact"/>
        <w:rPr>
          <w:sz w:val="20"/>
          <w:szCs w:val="20"/>
          <w:color w:val="auto"/>
        </w:rPr>
      </w:pPr>
    </w:p>
    <w:p>
      <w:pPr>
        <w:ind w:right="380"/>
        <w:spacing w:after="0" w:line="235" w:lineRule="auto"/>
        <w:rPr>
          <w:sz w:val="20"/>
          <w:szCs w:val="20"/>
          <w:color w:val="auto"/>
        </w:rPr>
      </w:pPr>
      <w:r>
        <w:rPr>
          <w:rFonts w:ascii="Arial" w:cs="Arial" w:eastAsia="Arial" w:hAnsi="Arial"/>
          <w:sz w:val="14"/>
          <w:szCs w:val="14"/>
          <w:color w:val="auto"/>
        </w:rPr>
        <w:t>Shell Nigeria Exploration Properties Beta Ltd. (SNEPB), (Shell interest 100%) has a 27% working interest in deep-water block OPL 318 (PSC, ConocoPhillips operated 35%, ChevronTexaco 18%, NPDC 20%).</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ASIA PACIFIC</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3"/>
          <w:szCs w:val="13"/>
          <w:b w:val="1"/>
          <w:bCs w:val="1"/>
          <w:color w:val="auto"/>
        </w:rPr>
        <w:t xml:space="preserve">Australia </w:t>
      </w:r>
      <w:r>
        <w:rPr>
          <w:rFonts w:ascii="Arial" w:cs="Arial" w:eastAsia="Arial" w:hAnsi="Arial"/>
          <w:sz w:val="13"/>
          <w:szCs w:val="13"/>
          <w:color w:val="auto"/>
        </w:rPr>
        <w:t>Shell Development (Australia) Pty Ltd (SDA), (Shell interest 100%) has interests in a</w:t>
      </w:r>
      <w:r>
        <w:rPr>
          <w:rFonts w:ascii="Arial" w:cs="Arial" w:eastAsia="Arial" w:hAnsi="Arial"/>
          <w:sz w:val="13"/>
          <w:szCs w:val="13"/>
          <w:b w:val="1"/>
          <w:bCs w:val="1"/>
          <w:color w:val="auto"/>
        </w:rPr>
        <w:t xml:space="preserve"> </w:t>
      </w:r>
      <w:r>
        <w:rPr>
          <w:rFonts w:ascii="Arial" w:cs="Arial" w:eastAsia="Arial" w:hAnsi="Arial"/>
          <w:sz w:val="13"/>
          <w:szCs w:val="13"/>
          <w:color w:val="auto"/>
        </w:rPr>
        <w:t>number of offshore production and exploration licences in the Carnarvon Basin, namely the North West Shelf (NWS) and Greater Gorgon fields, as well as exploration licences in the Browse Basin and Timor Sea area. The interests are held directly and/or indirectly through a 34% shareholding in Woodside Petroleum Ltd. Woodside is the operator on behalf of six joint venture participants of the NWS gas/condensate and oil fields. Gas and condensate are produced from the North Rankin and Goodwyn facilities to an onshore treatment and LNG facility on the Burrup Peninsula.</w:t>
      </w:r>
    </w:p>
    <w:p>
      <w:pPr>
        <w:spacing w:after="0" w:line="182" w:lineRule="exact"/>
        <w:rPr>
          <w:sz w:val="20"/>
          <w:szCs w:val="20"/>
          <w:color w:val="auto"/>
        </w:rPr>
      </w:pPr>
    </w:p>
    <w:p>
      <w:pPr>
        <w:ind w:right="140"/>
        <w:spacing w:after="0" w:line="247" w:lineRule="auto"/>
        <w:rPr>
          <w:sz w:val="20"/>
          <w:szCs w:val="20"/>
          <w:color w:val="auto"/>
        </w:rPr>
      </w:pPr>
      <w:r>
        <w:rPr>
          <w:rFonts w:ascii="Arial" w:cs="Arial" w:eastAsia="Arial" w:hAnsi="Arial"/>
          <w:sz w:val="13"/>
          <w:szCs w:val="13"/>
          <w:color w:val="auto"/>
        </w:rPr>
        <w:t>Shell has interests in the significant liquids-rich Sunrise gas field in the Timor Sea, as well as the Browse Basin. SDA is also a non-operating participant (25%) in the Gorgon joint venture (operator Chevron Australia Pty Ltd) covering a number of gas fields in the Greater Gorgon area of the Carnarvon Basin, situated west of Barrow Island. Shell also has rights to the gas in the Crux field (AC/P23) operated by Nexus Energy Ltd.</w:t>
      </w:r>
    </w:p>
    <w:p>
      <w:pPr>
        <w:spacing w:after="0" w:line="176"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In 2007, SDA divested to PETRONAS its 25% interest in the NT/P48 Permit, which includes the Evans Shoal joint venture in the Timor Sea offshore Australia’s Northern Territory.</w:t>
      </w:r>
    </w:p>
    <w:p>
      <w:pPr>
        <w:spacing w:after="0" w:line="151"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In 2007, the Prelude discovery was made in the 100% Shell owned WA-371-P block in the Browse Basin, marking a successful return of Shell as an operator in Australia. Shell also has a 22% indirect interest in the Persephone discovery by Woodside, in Australia’s NWS.</w:t>
      </w:r>
    </w:p>
    <w:p>
      <w:pPr>
        <w:spacing w:after="0" w:line="16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In early 2008, SDA purchased, subject to government approvals, three exploration permits offshore northwest Australia from Octanex N.L. and Strata Resources N.L. (members of the Albers Group of Companies). Also in early 2008, SDA agreed to sell its share in the Cossack-Wanaea-Lambert-Hermes and the Egret oil ventures and certain oil exploration opportunities in the NWS to Woodside.</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b w:val="1"/>
          <w:bCs w:val="1"/>
          <w:color w:val="auto"/>
        </w:rPr>
        <w:t xml:space="preserve">Brunei </w:t>
      </w:r>
      <w:r>
        <w:rPr>
          <w:rFonts w:ascii="Arial" w:cs="Arial" w:eastAsia="Arial" w:hAnsi="Arial"/>
          <w:sz w:val="12"/>
          <w:szCs w:val="12"/>
          <w:color w:val="auto"/>
        </w:rPr>
        <w:t>Shell is a 50:50 shareholder with the Brunei government in Brunei Shell Petroleum</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Sendirian Berhad (BSP). BSP, which has long-term oil and gas concession rights both onshore and offshore Brunei, sells most of its natural gas production to Brunei LNG Sendirian Berhad (Shell interest 25%). In 2006, oil production started from the first well from Phase III of the Champion West field (Shell interest 50%) using Shell’s Smart Fields</w:t>
      </w:r>
      <w:r>
        <w:rPr>
          <w:rFonts w:ascii="Arial" w:cs="Arial" w:eastAsia="Arial" w:hAnsi="Arial"/>
          <w:sz w:val="10"/>
          <w:szCs w:val="10"/>
          <w:color w:val="auto"/>
        </w:rPr>
        <w:t>®</w:t>
      </w:r>
      <w:r>
        <w:rPr>
          <w:rFonts w:ascii="Arial" w:cs="Arial" w:eastAsia="Arial" w:hAnsi="Arial"/>
          <w:sz w:val="12"/>
          <w:szCs w:val="12"/>
          <w:color w:val="auto"/>
        </w:rPr>
        <w:t xml:space="preserve"> technology. Other important primary development projects (such as Mampak Block 4 and Bugan Phase 2) are being matured. In 2007, BSP announced the discovery of gas in the Bubut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925830</wp:posOffset>
            </wp:positionV>
            <wp:extent cx="725297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jc w:val="both"/>
        <w:ind w:right="80"/>
        <w:spacing w:after="0" w:line="235" w:lineRule="auto"/>
        <w:rPr>
          <w:sz w:val="20"/>
          <w:szCs w:val="20"/>
          <w:color w:val="auto"/>
        </w:rPr>
      </w:pPr>
      <w:r>
        <w:rPr>
          <w:rFonts w:ascii="Arial" w:cs="Arial" w:eastAsia="Arial" w:hAnsi="Arial"/>
          <w:sz w:val="14"/>
          <w:szCs w:val="14"/>
          <w:color w:val="auto"/>
        </w:rPr>
        <w:t>Shell Deepwater Borneo Ltd. (Shell interest 100%) has a 35% non-operating share in the Block B Joint Venture (BBJV) concession where gas is produced from the Maharaja Lela Field, and a 54% operating interest in exploration Block A.</w:t>
      </w:r>
    </w:p>
    <w:p>
      <w:pPr>
        <w:spacing w:after="0" w:line="176"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b w:val="1"/>
          <w:bCs w:val="1"/>
          <w:color w:val="auto"/>
        </w:rPr>
        <w:t xml:space="preserve">China </w:t>
      </w:r>
      <w:r>
        <w:rPr>
          <w:rFonts w:ascii="Arial" w:cs="Arial" w:eastAsia="Arial" w:hAnsi="Arial"/>
          <w:sz w:val="14"/>
          <w:szCs w:val="14"/>
          <w:color w:val="auto"/>
        </w:rPr>
        <w:t>Shell participates in the offshore South China Sea Xijiang oil producing fields</w:t>
      </w:r>
      <w:r>
        <w:rPr>
          <w:rFonts w:ascii="Arial" w:cs="Arial" w:eastAsia="Arial" w:hAnsi="Arial"/>
          <w:sz w:val="14"/>
          <w:szCs w:val="14"/>
          <w:b w:val="1"/>
          <w:bCs w:val="1"/>
          <w:color w:val="auto"/>
        </w:rPr>
        <w:t xml:space="preserve"> </w:t>
      </w:r>
      <w:r>
        <w:rPr>
          <w:rFonts w:ascii="Arial" w:cs="Arial" w:eastAsia="Arial" w:hAnsi="Arial"/>
          <w:sz w:val="14"/>
          <w:szCs w:val="14"/>
          <w:color w:val="auto"/>
        </w:rPr>
        <w:t>(Shell interest ranges between 24.5% and 47.8%). Shell holds some 50% interest in full field development of the Changbei gas field in the Ordos Basin, onshore China, in partnership with PetroChina Company Limited. Shell also holds a 61% interest in the Jilin Shell Oil Shale Development Company Limited for minerals exploration, exploitation and development of oil shale resources.</w:t>
      </w:r>
    </w:p>
    <w:p>
      <w:pPr>
        <w:spacing w:after="0" w:line="183"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In 2007, Shell acquired a 55% interest in the North Shilou coalbed methane project from Verona Development Corporation.</w:t>
      </w:r>
    </w:p>
    <w:p>
      <w:pPr>
        <w:spacing w:after="0" w:line="171"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b w:val="1"/>
          <w:bCs w:val="1"/>
          <w:color w:val="auto"/>
        </w:rPr>
        <w:t xml:space="preserve">Malaysia </w:t>
      </w:r>
      <w:r>
        <w:rPr>
          <w:rFonts w:ascii="Arial" w:cs="Arial" w:eastAsia="Arial" w:hAnsi="Arial"/>
          <w:sz w:val="13"/>
          <w:szCs w:val="13"/>
          <w:color w:val="auto"/>
        </w:rPr>
        <w:t>Shell Malaysia Exploration &amp; Production companies have 18 PSCs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national oil company PETRONAS. In many of these contracts PETRONAS Carigali Sendirian Berhad (PCSB), a 100% PETRONAS subsidiary, is the sole joint venture partner. Shell is the operator, with a 50% working interest, of nine non-associated producing gas fields and the operator, with a 37.5% working interest, of a further two non-associated producing gas fields in Sarawak. Over 92% of the gas is supplied to the MLNG, MLNG Dua and MLNG Tiga plants (Shell interest 15% in MLNG Dua &amp; Tiga plants) for deliveries of LNG to customers mainly in Japan, Korea and Taiwan.</w:t>
      </w:r>
    </w:p>
    <w:p>
      <w:pPr>
        <w:spacing w:after="0" w:line="178"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Regarding oil production and exploration, Shell has a 40% interest in the non-operated Baram Delta PSC, a 50% interest in the development of the SK308 discovered fields and exploration interests in the deep-water SK-E block and inboard SK-307 block. In Sabah, Shell operates four producing offshore fields with PSCs for the exploration and development of Blocks SB-301, SB-G, SB-J, ND-6 and ND-7. In 2007, an oil discovery was announced in Block SB-G. Also in 2007, Shell signed a PSC with PETRONAS to gain a 30% interest in the Kebabangan Cluster fields, and together with PETRONAS, ConocoPhillips and Murphy Oil Corporation, Shell took final investment decision to proceed with the development of the Gumusut-Kakap deep-water field.</w:t>
      </w:r>
    </w:p>
    <w:p>
      <w:pPr>
        <w:spacing w:after="0" w:line="181" w:lineRule="exact"/>
        <w:rPr>
          <w:sz w:val="20"/>
          <w:szCs w:val="20"/>
          <w:color w:val="auto"/>
        </w:rPr>
      </w:pPr>
    </w:p>
    <w:p>
      <w:pPr>
        <w:ind w:right="240"/>
        <w:spacing w:after="0" w:line="235" w:lineRule="auto"/>
        <w:rPr>
          <w:sz w:val="20"/>
          <w:szCs w:val="20"/>
          <w:color w:val="auto"/>
        </w:rPr>
      </w:pPr>
      <w:r>
        <w:rPr>
          <w:rFonts w:ascii="Arial" w:cs="Arial" w:eastAsia="Arial" w:hAnsi="Arial"/>
          <w:sz w:val="14"/>
          <w:szCs w:val="14"/>
          <w:color w:val="auto"/>
        </w:rPr>
        <w:t>In peninsula Malaysia, Shell holds a 50% interest in offshore Blocks PM-301 and PM-302, which are operated by a joint operating company with Shell and PCSB as shareholders.</w:t>
      </w:r>
    </w:p>
    <w:p>
      <w:pPr>
        <w:spacing w:after="0" w:line="176" w:lineRule="exact"/>
        <w:rPr>
          <w:sz w:val="20"/>
          <w:szCs w:val="20"/>
          <w:color w:val="auto"/>
        </w:rPr>
      </w:pPr>
    </w:p>
    <w:p>
      <w:pPr>
        <w:ind w:right="80"/>
        <w:spacing w:after="0" w:line="244" w:lineRule="auto"/>
        <w:rPr>
          <w:sz w:val="20"/>
          <w:szCs w:val="20"/>
          <w:color w:val="auto"/>
        </w:rPr>
      </w:pPr>
      <w:r>
        <w:rPr>
          <w:rFonts w:ascii="Arial" w:cs="Arial" w:eastAsia="Arial" w:hAnsi="Arial"/>
          <w:sz w:val="13"/>
          <w:szCs w:val="13"/>
          <w:b w:val="1"/>
          <w:bCs w:val="1"/>
          <w:color w:val="auto"/>
        </w:rPr>
        <w:t xml:space="preserve">New Zealand </w:t>
      </w:r>
      <w:r>
        <w:rPr>
          <w:rFonts w:ascii="Arial" w:cs="Arial" w:eastAsia="Arial" w:hAnsi="Arial"/>
          <w:sz w:val="13"/>
          <w:szCs w:val="13"/>
          <w:color w:val="auto"/>
        </w:rPr>
        <w:t>Shell has a 83.75% interest in the production licence for the offshore Maui</w:t>
      </w:r>
      <w:r>
        <w:rPr>
          <w:rFonts w:ascii="Arial" w:cs="Arial" w:eastAsia="Arial" w:hAnsi="Arial"/>
          <w:sz w:val="13"/>
          <w:szCs w:val="13"/>
          <w:b w:val="1"/>
          <w:bCs w:val="1"/>
          <w:color w:val="auto"/>
        </w:rPr>
        <w:t xml:space="preserve"> </w:t>
      </w:r>
      <w:r>
        <w:rPr>
          <w:rFonts w:ascii="Arial" w:cs="Arial" w:eastAsia="Arial" w:hAnsi="Arial"/>
          <w:sz w:val="13"/>
          <w:szCs w:val="13"/>
          <w:color w:val="auto"/>
        </w:rPr>
        <w:t>gas field. In addition, Shell has a 50% interest in the onshore Kapuni gas field and a 48% interest in the Pohokura gas field. The gas produced is sold domestically, mainly under long-term contracts. Shell also has interests in other exploration licence areas in the Taranaki Basin. The Maui and Kapuni interests are operated by Shell Todd Oil Services Ltd, a service company (Shell interest 50%), with the Pohokura field operated by Shell Exploration New Zealand Limited (Shell interest 100%).</w:t>
      </w:r>
    </w:p>
    <w:p>
      <w:pPr>
        <w:spacing w:after="0" w:line="175" w:lineRule="exact"/>
        <w:rPr>
          <w:sz w:val="20"/>
          <w:szCs w:val="20"/>
          <w:color w:val="auto"/>
        </w:rPr>
      </w:pPr>
    </w:p>
    <w:p>
      <w:pPr>
        <w:spacing w:after="0" w:line="249" w:lineRule="auto"/>
        <w:rPr>
          <w:sz w:val="20"/>
          <w:szCs w:val="20"/>
          <w:color w:val="auto"/>
        </w:rPr>
      </w:pPr>
      <w:r>
        <w:rPr>
          <w:rFonts w:ascii="Arial" w:cs="Arial" w:eastAsia="Arial" w:hAnsi="Arial"/>
          <w:sz w:val="13"/>
          <w:szCs w:val="13"/>
          <w:b w:val="1"/>
          <w:bCs w:val="1"/>
          <w:color w:val="auto"/>
        </w:rPr>
        <w:t xml:space="preserve">Philippines </w:t>
      </w:r>
      <w:r>
        <w:rPr>
          <w:rFonts w:ascii="Arial" w:cs="Arial" w:eastAsia="Arial" w:hAnsi="Arial"/>
          <w:sz w:val="13"/>
          <w:szCs w:val="13"/>
          <w:color w:val="auto"/>
        </w:rPr>
        <w:t>Shell holds a 45% interest in the deep-water PSC for block SC-38. The SC-38</w:t>
      </w:r>
      <w:r>
        <w:rPr>
          <w:rFonts w:ascii="Arial" w:cs="Arial" w:eastAsia="Arial" w:hAnsi="Arial"/>
          <w:sz w:val="13"/>
          <w:szCs w:val="13"/>
          <w:b w:val="1"/>
          <w:bCs w:val="1"/>
          <w:color w:val="auto"/>
        </w:rPr>
        <w:t xml:space="preserve"> </w:t>
      </w:r>
      <w:r>
        <w:rPr>
          <w:rFonts w:ascii="Arial" w:cs="Arial" w:eastAsia="Arial" w:hAnsi="Arial"/>
          <w:sz w:val="13"/>
          <w:szCs w:val="13"/>
          <w:color w:val="auto"/>
        </w:rPr>
        <w:t>interest includes a production licence over the Malampaya and San Martin fields. Current production is gas and condensate from the Malampaya field via a platform north-west of the island of Palawan. Shell also holds a 55% interest (and is operator) in SC-60, converted from the geophysical survey and exploration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GSEC-99, covering a relatively unexplored area offshore north-east Palawan.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-89535</wp:posOffset>
            </wp:positionV>
            <wp:extent cx="282575" cy="6741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2575" cy="674116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MIDDLE EAST, RUSSIA AND CIS</w:t>
      </w:r>
    </w:p>
    <w:p>
      <w:pPr>
        <w:spacing w:after="0" w:line="6"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b w:val="1"/>
          <w:bCs w:val="1"/>
          <w:color w:val="auto"/>
        </w:rPr>
        <w:t xml:space="preserve">Abu Dhabi </w:t>
      </w:r>
      <w:r>
        <w:rPr>
          <w:rFonts w:ascii="Arial" w:cs="Arial" w:eastAsia="Arial" w:hAnsi="Arial"/>
          <w:sz w:val="12"/>
          <w:szCs w:val="12"/>
          <w:color w:val="auto"/>
        </w:rPr>
        <w:t>Crude oil and natural gas liquids are produced by the Abu Dhabi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for Onshore Oil Operations in which a Shell company’s concessionary share is 9.5% (licence expiry in 2014), arising from a 23.75% Shell interest in the Abu Dhabi Petroleum Company, which in turn holds a 40% interest in the concession granted by the Abu Dhabi government. A Shell company has a 15% interest in Abu Dhabi Gas Industries Limited, which extracts propane and butane, as well as heavier liquid hydrocarbons, for export sales from associated wet natural gas produced by Abu Dhabi Petroleum Company.</w:t>
      </w:r>
    </w:p>
    <w:p>
      <w:pPr>
        <w:spacing w:after="0" w:line="164"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b w:val="1"/>
          <w:bCs w:val="1"/>
          <w:color w:val="auto"/>
        </w:rPr>
        <w:t xml:space="preserve">Egypt </w:t>
      </w:r>
      <w:r>
        <w:rPr>
          <w:rFonts w:ascii="Arial" w:cs="Arial" w:eastAsia="Arial" w:hAnsi="Arial"/>
          <w:sz w:val="13"/>
          <w:szCs w:val="13"/>
          <w:color w:val="auto"/>
        </w:rPr>
        <w:t>Shell Egypt (Shell interest 100%) participates as operator in five exploration</w:t>
      </w:r>
      <w:r>
        <w:rPr>
          <w:rFonts w:ascii="Arial" w:cs="Arial" w:eastAsia="Arial" w:hAnsi="Arial"/>
          <w:sz w:val="13"/>
          <w:szCs w:val="13"/>
          <w:b w:val="1"/>
          <w:bCs w:val="1"/>
          <w:color w:val="auto"/>
        </w:rPr>
        <w:t xml:space="preserve"> </w:t>
      </w:r>
      <w:r>
        <w:rPr>
          <w:rFonts w:ascii="Arial" w:cs="Arial" w:eastAsia="Arial" w:hAnsi="Arial"/>
          <w:sz w:val="13"/>
          <w:szCs w:val="13"/>
          <w:color w:val="auto"/>
        </w:rPr>
        <w:t>concessions and has interests in four development leases, which are operated by Joint Venture Badr El-Din Petroleum Company (Bapetco). All concessions and leases are granted on the basis of PSCs. In 2007, Shell completed the sale of a 33% equity stake in the Northeast Mediterranean Deep-water (NEMed) concession located offshore Egypt to ONGC Videsh Ltd. As a result of the dilution Shell now has a 51% interest in NEMed. Shell Egypt has a 50% interest in Bapetco, a joint venture company with the Egyptian General Petroleum Corporation (the Egyptian national oil company). Bapetco executes the operations for those producing fields where Shell is the operator.</w:t>
      </w:r>
    </w:p>
    <w:p>
      <w:pPr>
        <w:spacing w:after="0" w:line="175"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 xml:space="preserve">Iran </w:t>
      </w:r>
      <w:r>
        <w:rPr>
          <w:rFonts w:ascii="Arial" w:cs="Arial" w:eastAsia="Arial" w:hAnsi="Arial"/>
          <w:sz w:val="14"/>
          <w:szCs w:val="14"/>
          <w:color w:val="auto"/>
        </w:rPr>
        <w:t>In early 2007, Shell and Repsol entered into a service contract with respect to</w:t>
      </w:r>
      <w:r>
        <w:rPr>
          <w:rFonts w:ascii="Arial" w:cs="Arial" w:eastAsia="Arial" w:hAnsi="Arial"/>
          <w:sz w:val="14"/>
          <w:szCs w:val="14"/>
          <w:b w:val="1"/>
          <w:bCs w:val="1"/>
          <w:color w:val="auto"/>
        </w:rPr>
        <w:t xml:space="preserve"> </w:t>
      </w:r>
      <w:r>
        <w:rPr>
          <w:rFonts w:ascii="Arial" w:cs="Arial" w:eastAsia="Arial" w:hAnsi="Arial"/>
          <w:sz w:val="14"/>
          <w:szCs w:val="14"/>
          <w:color w:val="auto"/>
        </w:rPr>
        <w:t>development of the South Pars fields for the Persian LNG project. However, the parties will not reach a final decision on whether to proceed with the project until the remaining significant commercial and engineering work is complete.</w:t>
      </w:r>
    </w:p>
    <w:p>
      <w:pPr>
        <w:spacing w:after="0" w:line="181"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A Shell company (Shell interest 100%) has a 70% interest in an agreement with the National Iranian Oil Company (NIOC). The development phase is finished and all permanent facilities were handed over to NIOC in 2005. Since then, the Soroosh/Nowrooz fields have been producing with NIOC responsible for all aspects of the operations. The term of the agreement expires when all petroleum costs and the remuneration fee have been recovered, which is expected to occur by 2012.</w:t>
      </w:r>
    </w:p>
    <w:p>
      <w:pPr>
        <w:spacing w:after="0" w:line="173"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b w:val="1"/>
          <w:bCs w:val="1"/>
          <w:color w:val="auto"/>
        </w:rPr>
        <w:t xml:space="preserve">Kazakhstan </w:t>
      </w:r>
      <w:r>
        <w:rPr>
          <w:rFonts w:ascii="Arial" w:cs="Arial" w:eastAsia="Arial" w:hAnsi="Arial"/>
          <w:sz w:val="13"/>
          <w:szCs w:val="13"/>
          <w:color w:val="auto"/>
        </w:rPr>
        <w:t>A Shell company (Shell interest 100%) currently holds an 18.52% interest in</w:t>
      </w:r>
      <w:r>
        <w:rPr>
          <w:rFonts w:ascii="Arial" w:cs="Arial" w:eastAsia="Arial" w:hAnsi="Arial"/>
          <w:sz w:val="13"/>
          <w:szCs w:val="13"/>
          <w:b w:val="1"/>
          <w:bCs w:val="1"/>
          <w:color w:val="auto"/>
        </w:rPr>
        <w:t xml:space="preserve"> </w:t>
      </w:r>
      <w:r>
        <w:rPr>
          <w:rFonts w:ascii="Arial" w:cs="Arial" w:eastAsia="Arial" w:hAnsi="Arial"/>
          <w:sz w:val="13"/>
          <w:szCs w:val="13"/>
          <w:color w:val="auto"/>
        </w:rPr>
        <w:t>the North Caspian PSC (Kashagan) in respect of some 6,000 square kilometres in the Kazakhstan sector of the Caspian Sea. In early 2008, the international members of the Kashagan consortium agreed to sell their participating interests proportionally, allowing the Kazakhstan’s national oil company’s, KazMunaiGas (KMG), stake to increase to match that of the four major shareholders (if the sale is concluded, Shell interest would decrease to 16.81%). Oil and gas discoveries at Kalamkas, Aktote, Kairan and Kashagan SW are being further appraised. Shell holds a 50% interest in the Arman joint venture, a small onshore producing company.</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Shell has a 55% interest in the Pearls PSA which was signed in 2005 with KazMunaiTeniz, an offshoot of KMG (25%), and Oman Pearls, a subsidiary of Oman Oil (20%). The Pearls block is operated by the Caspi Meruerty Operating Company, which Shell has a 40% interest in, along with KMT (40%) and Oman Oil (20%). In 2007, the exploration well Khazar-1 discovered oil and gas reservoirs in the Pearls area,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1866900</wp:posOffset>
            </wp:positionV>
            <wp:extent cx="725297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60" w:space="420"/>
            <w:col w:w="5160"/>
          </w:cols>
          <w:pgMar w:left="240" w:top="415" w:right="9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EXPLORATION &amp; PRODUCTION</w:t>
      </w:r>
    </w:p>
    <w:p>
      <w:pPr>
        <w:spacing w:after="0" w:line="31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another confirmation of the high potential of the Kazakhstan sector of the Caspian Sea. Shell has a 5.5% interest in the Caspian Pipeline Consortium.</w:t>
      </w:r>
    </w:p>
    <w:p>
      <w:pPr>
        <w:spacing w:after="0" w:line="171" w:lineRule="exact"/>
        <w:rPr>
          <w:sz w:val="20"/>
          <w:szCs w:val="20"/>
          <w:color w:val="auto"/>
        </w:rPr>
      </w:pPr>
    </w:p>
    <w:p>
      <w:pPr>
        <w:ind w:right="100"/>
        <w:spacing w:after="0" w:line="232" w:lineRule="auto"/>
        <w:rPr>
          <w:sz w:val="20"/>
          <w:szCs w:val="20"/>
          <w:color w:val="auto"/>
        </w:rPr>
      </w:pPr>
      <w:r>
        <w:rPr>
          <w:rFonts w:ascii="Arial" w:cs="Arial" w:eastAsia="Arial" w:hAnsi="Arial"/>
          <w:sz w:val="14"/>
          <w:szCs w:val="14"/>
          <w:b w:val="1"/>
          <w:bCs w:val="1"/>
          <w:color w:val="auto"/>
        </w:rPr>
        <w:t xml:space="preserve">Oman </w:t>
      </w:r>
      <w:r>
        <w:rPr>
          <w:rFonts w:ascii="Arial" w:cs="Arial" w:eastAsia="Arial" w:hAnsi="Arial"/>
          <w:sz w:val="14"/>
          <w:szCs w:val="14"/>
          <w:color w:val="auto"/>
        </w:rPr>
        <w:t>A Shell company has a 34% interest in Petroleum Development Oman (PDO), which is</w:t>
      </w:r>
      <w:r>
        <w:rPr>
          <w:rFonts w:ascii="Arial" w:cs="Arial" w:eastAsia="Arial" w:hAnsi="Arial"/>
          <w:sz w:val="14"/>
          <w:szCs w:val="14"/>
          <w:b w:val="1"/>
          <w:bCs w:val="1"/>
          <w:color w:val="auto"/>
        </w:rPr>
        <w:t xml:space="preserve"> </w:t>
      </w:r>
      <w:r>
        <w:rPr>
          <w:rFonts w:ascii="Arial" w:cs="Arial" w:eastAsia="Arial" w:hAnsi="Arial"/>
          <w:sz w:val="14"/>
          <w:szCs w:val="14"/>
          <w:color w:val="auto"/>
        </w:rPr>
        <w:t>the operator of an oil concession expiring in 2044. The government of Oman holds a 60% interest in the concession and Private Oil Holdings Oman Ltd. (POHOL) holds the remaining 40%. A Shell company has an 85% shareholding in POHOL.</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PDO has a number of pilots and commercial-scale projects under way using all three main enhanced oil recovery (EOR) technologies — thermal, chemical and miscible gas. Harweel aims to increase recovery up to four-fold and was the first miscible gas flood EOR project in the global Shell portfolio. Qarn Alam, on which final investment decision was taken in 2007, is one of the world’s largest steam injection EOR projects in a fractured carbonate reservoir.</w:t>
      </w:r>
    </w:p>
    <w:p>
      <w:pPr>
        <w:spacing w:after="0" w:line="176" w:lineRule="exact"/>
        <w:rPr>
          <w:sz w:val="20"/>
          <w:szCs w:val="20"/>
          <w:color w:val="auto"/>
        </w:rPr>
      </w:pPr>
    </w:p>
    <w:p>
      <w:pPr>
        <w:ind w:right="220"/>
        <w:spacing w:after="0" w:line="291" w:lineRule="auto"/>
        <w:rPr>
          <w:sz w:val="20"/>
          <w:szCs w:val="20"/>
          <w:color w:val="auto"/>
        </w:rPr>
      </w:pPr>
      <w:r>
        <w:rPr>
          <w:rFonts w:ascii="Arial" w:cs="Arial" w:eastAsia="Arial" w:hAnsi="Arial"/>
          <w:sz w:val="12"/>
          <w:szCs w:val="12"/>
          <w:color w:val="auto"/>
        </w:rPr>
        <w:t>Shell Technology Oman, a regional EOR research and development hub, was established in November 2006. Shell Technology Oman works closely with PDO and the Oil and Gas Research Centre of Sultan Qaboos University and its focus is on thermal and chemical EOR.</w:t>
      </w:r>
    </w:p>
    <w:p>
      <w:pPr>
        <w:spacing w:after="0" w:line="151"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color w:val="auto"/>
        </w:rPr>
        <w:t>A Shell company is a 17% participant in the PSA operated by Occidental, to develop the Mukhaizna oil field.</w:t>
      </w:r>
    </w:p>
    <w:p>
      <w:pPr>
        <w:spacing w:after="0" w:line="171"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b w:val="1"/>
          <w:bCs w:val="1"/>
          <w:color w:val="auto"/>
        </w:rPr>
        <w:t xml:space="preserve">Pakistan </w:t>
      </w:r>
      <w:r>
        <w:rPr>
          <w:rFonts w:ascii="Arial" w:cs="Arial" w:eastAsia="Arial" w:hAnsi="Arial"/>
          <w:sz w:val="13"/>
          <w:szCs w:val="13"/>
          <w:color w:val="auto"/>
        </w:rPr>
        <w:t>A Shell company (Shell interest 100%) holds a 28% non-operated interest in the Bhit</w:t>
      </w:r>
      <w:r>
        <w:rPr>
          <w:rFonts w:ascii="Arial" w:cs="Arial" w:eastAsia="Arial" w:hAnsi="Arial"/>
          <w:sz w:val="13"/>
          <w:szCs w:val="13"/>
          <w:b w:val="1"/>
          <w:bCs w:val="1"/>
          <w:color w:val="auto"/>
        </w:rPr>
        <w:t xml:space="preserve"> </w:t>
      </w:r>
      <w:r>
        <w:rPr>
          <w:rFonts w:ascii="Arial" w:cs="Arial" w:eastAsia="Arial" w:hAnsi="Arial"/>
          <w:sz w:val="13"/>
          <w:szCs w:val="13"/>
          <w:color w:val="auto"/>
        </w:rPr>
        <w:t>and Badhra development and production leases. These leases were excised from the Kirthar exploration licence, which was relinquished in 2003. Another Shell company (Shell interest 100%) holds 25% of an operated deep-water licence offshore of Pakistan.</w:t>
      </w:r>
    </w:p>
    <w:p>
      <w:pPr>
        <w:spacing w:after="0" w:line="169"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b w:val="1"/>
          <w:bCs w:val="1"/>
          <w:color w:val="auto"/>
        </w:rPr>
        <w:t xml:space="preserve">Qatar </w:t>
      </w:r>
      <w:r>
        <w:rPr>
          <w:rFonts w:ascii="Arial" w:cs="Arial" w:eastAsia="Arial" w:hAnsi="Arial"/>
          <w:sz w:val="14"/>
          <w:szCs w:val="14"/>
          <w:color w:val="auto"/>
        </w:rPr>
        <w:t>In July 2006, Qatar Petroleum and Shell launched the world-scale Pearl GTL project,</w:t>
      </w:r>
      <w:r>
        <w:rPr>
          <w:rFonts w:ascii="Arial" w:cs="Arial" w:eastAsia="Arial" w:hAnsi="Arial"/>
          <w:sz w:val="14"/>
          <w:szCs w:val="14"/>
          <w:b w:val="1"/>
          <w:bCs w:val="1"/>
          <w:color w:val="auto"/>
        </w:rPr>
        <w:t xml:space="preserve"> </w:t>
      </w:r>
      <w:r>
        <w:rPr>
          <w:rFonts w:ascii="Arial" w:cs="Arial" w:eastAsia="Arial" w:hAnsi="Arial"/>
          <w:sz w:val="14"/>
          <w:szCs w:val="14"/>
          <w:color w:val="auto"/>
        </w:rPr>
        <w:t>which is being developed under a development and PSA with the government of Qatar. Shell provides 100% of project funding. The fully-integrated project includes upstream production of some 1.6 billion cubic feet per day of wellhead gas from Qatar’s North Field, and the transport and processing of the gas to produce around 120,000 boe per day of condensate, liquefied petroleum gas and ethane.</w:t>
      </w:r>
    </w:p>
    <w:p>
      <w:pPr>
        <w:spacing w:after="0" w:line="18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In July 2007, Qatar Petroleum and Shell announced the incorporation of Qatar Liquefied Gas Company Limited (4), a joint venture between Qatar Petroleum (70%) and Shell (30%), which will own the Qatargas 4 project’s onshore and offshore assets. The Qatargas 4 project comprises upstream gas production facilities to produce approximately 1.4 billion cubic feet per day of natural gas, including an average of approximately 70,000 boe per day of LPG and condensate from Qatar’s North Field over the 25-year life of the project.</w:t>
      </w:r>
    </w:p>
    <w:p>
      <w:pPr>
        <w:spacing w:after="0" w:line="173" w:lineRule="exact"/>
        <w:rPr>
          <w:sz w:val="20"/>
          <w:szCs w:val="20"/>
          <w:color w:val="auto"/>
        </w:rPr>
      </w:pPr>
    </w:p>
    <w:p>
      <w:pPr>
        <w:spacing w:after="0" w:line="229" w:lineRule="auto"/>
        <w:rPr>
          <w:sz w:val="20"/>
          <w:szCs w:val="20"/>
          <w:color w:val="auto"/>
        </w:rPr>
      </w:pPr>
      <w:r>
        <w:rPr>
          <w:rFonts w:ascii="Arial" w:cs="Arial" w:eastAsia="Arial" w:hAnsi="Arial"/>
          <w:sz w:val="14"/>
          <w:szCs w:val="14"/>
          <w:b w:val="1"/>
          <w:bCs w:val="1"/>
          <w:color w:val="auto"/>
        </w:rPr>
        <w:t xml:space="preserve">Russia </w:t>
      </w:r>
      <w:r>
        <w:rPr>
          <w:rFonts w:ascii="Arial" w:cs="Arial" w:eastAsia="Arial" w:hAnsi="Arial"/>
          <w:sz w:val="14"/>
          <w:szCs w:val="14"/>
          <w:color w:val="auto"/>
        </w:rPr>
        <w:t>In April 2007, Shell and its partners completed the divestment to OAO Gazprom of 50%</w:t>
      </w:r>
      <w:r>
        <w:rPr>
          <w:rFonts w:ascii="Arial" w:cs="Arial" w:eastAsia="Arial" w:hAnsi="Arial"/>
          <w:sz w:val="14"/>
          <w:szCs w:val="14"/>
          <w:b w:val="1"/>
          <w:bCs w:val="1"/>
          <w:color w:val="auto"/>
        </w:rPr>
        <w:t xml:space="preserve"> </w:t>
      </w:r>
      <w:r>
        <w:rPr>
          <w:rFonts w:ascii="Arial" w:cs="Arial" w:eastAsia="Arial" w:hAnsi="Arial"/>
          <w:sz w:val="14"/>
          <w:szCs w:val="14"/>
          <w:color w:val="auto"/>
        </w:rPr>
        <w:t>of their interest plus one share in Sakhalin Energy Investment Company Ltd (SEIC) in Russia (See Summary of results, page 17). Gazprom acquired a 50% interest plus one share while Shell retains a 27.5% interest minus one share, with Mitsui and Mitsubishi holding 12.5% and 10% interest, respectively.</w:t>
      </w:r>
    </w:p>
    <w:p>
      <w:pPr>
        <w:spacing w:after="0" w:line="182"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Salym Petroleum Development (Shell interest 50%) continued to increase production from its Salym fields in Western Siberia, having crossed a threshold of 100,000 b/d in October, 2007.</w:t>
      </w:r>
    </w:p>
    <w:p>
      <w:pPr>
        <w:spacing w:after="0" w:line="395" w:lineRule="exact"/>
        <w:rPr>
          <w:sz w:val="20"/>
          <w:szCs w:val="20"/>
          <w:color w:val="auto"/>
        </w:rPr>
      </w:pPr>
    </w:p>
    <w:p>
      <w:pPr>
        <w:ind w:left="280" w:hanging="273"/>
        <w:spacing w:after="0"/>
        <w:tabs>
          <w:tab w:leader="none" w:pos="280" w:val="left"/>
        </w:tabs>
        <w:numPr>
          <w:ilvl w:val="0"/>
          <w:numId w:val="3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249" w:lineRule="auto"/>
        <w:rPr>
          <w:sz w:val="20"/>
          <w:szCs w:val="20"/>
          <w:color w:val="auto"/>
        </w:rPr>
      </w:pPr>
      <w:r>
        <w:rPr>
          <w:rFonts w:ascii="Arial" w:cs="Arial" w:eastAsia="Arial" w:hAnsi="Arial"/>
          <w:sz w:val="13"/>
          <w:szCs w:val="13"/>
          <w:b w:val="1"/>
          <w:bCs w:val="1"/>
          <w:color w:val="auto"/>
        </w:rPr>
        <w:t xml:space="preserve">Saudi Arabia </w:t>
      </w:r>
      <w:r>
        <w:rPr>
          <w:rFonts w:ascii="Arial" w:cs="Arial" w:eastAsia="Arial" w:hAnsi="Arial"/>
          <w:sz w:val="13"/>
          <w:szCs w:val="13"/>
          <w:color w:val="auto"/>
        </w:rPr>
        <w:t>Shell is a party to the joint venture conducting an exploration programme in the</w:t>
      </w:r>
      <w:r>
        <w:rPr>
          <w:rFonts w:ascii="Arial" w:cs="Arial" w:eastAsia="Arial" w:hAnsi="Arial"/>
          <w:sz w:val="13"/>
          <w:szCs w:val="13"/>
          <w:b w:val="1"/>
          <w:bCs w:val="1"/>
          <w:color w:val="auto"/>
        </w:rPr>
        <w:t xml:space="preserve"> </w:t>
      </w:r>
      <w:r>
        <w:rPr>
          <w:rFonts w:ascii="Arial" w:cs="Arial" w:eastAsia="Arial" w:hAnsi="Arial"/>
          <w:sz w:val="13"/>
          <w:szCs w:val="13"/>
          <w:color w:val="auto"/>
        </w:rPr>
        <w:t>Rub Al-Khali area in the south of the Kingdom. Shell had a 40% interest in the project with Saudi Aramco holding a 30% interest. Total, who previously held the remaining 30% interest has, in early 2008, withdrawn from the joint venture. The remaining joint venture partners are in the process of agreeing to a new shareholding structure.</w:t>
      </w:r>
    </w:p>
    <w:p>
      <w:pPr>
        <w:spacing w:after="0" w:line="170"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b w:val="1"/>
          <w:bCs w:val="1"/>
          <w:color w:val="auto"/>
        </w:rPr>
        <w:t xml:space="preserve">Syria </w:t>
      </w:r>
      <w:r>
        <w:rPr>
          <w:rFonts w:ascii="Arial" w:cs="Arial" w:eastAsia="Arial" w:hAnsi="Arial"/>
          <w:sz w:val="13"/>
          <w:szCs w:val="13"/>
          <w:color w:val="auto"/>
        </w:rPr>
        <w:t>A registered branch of Syria Shell Petroleum Development B.V. (Shell interest 100%)</w:t>
      </w:r>
      <w:r>
        <w:rPr>
          <w:rFonts w:ascii="Arial" w:cs="Arial" w:eastAsia="Arial" w:hAnsi="Arial"/>
          <w:sz w:val="13"/>
          <w:szCs w:val="13"/>
          <w:b w:val="1"/>
          <w:bCs w:val="1"/>
          <w:color w:val="auto"/>
        </w:rPr>
        <w:t xml:space="preserve"> </w:t>
      </w:r>
      <w:r>
        <w:rPr>
          <w:rFonts w:ascii="Arial" w:cs="Arial" w:eastAsia="Arial" w:hAnsi="Arial"/>
          <w:sz w:val="13"/>
          <w:szCs w:val="13"/>
          <w:color w:val="auto"/>
        </w:rPr>
        <w:t>holds undivided participating interests ranging from 62.5% to 66.67% in three PSCs that expire between 2008 and 2014 (Deir Ez Zor, Fourth Annex and Ash Sham). In addition, Shell is party to a gas utilisation agreement for the collection, processing and sharing of natural gas from designated fields for use in Syrian power generation and other industrial plants. Operations under these contracts are performed by Al Furat Petroleum Company (AFPC), a Syrian joint stock company in which Syria Shell Petroleum Development B.V. holds a 31.25% interest. A Shell company also entered into two PSCs, effective from February 2007, for Block 13 and 15 in the South of Syria. Work on the first four-year exploration period started in 2007.</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USA</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Shell Exploration &amp; Production Company (SEPCo), (Shell interest 100%) produces crude oil, natural gas and NGL principally in the Gulf of Mexico, California (AERA), South Texas and Wyoming (Pinedale). The majority of SEPCo’s oil and gas production interests are acquired under leases granted by the owner of the minerals underlying relevant acreage (including many leases for federal onshore and offshore tracts). Such leases are currently running on an initial fixed term that is automatically extended by the establishment of production for so long as production continues, subject to compliance with the terms of the lease (including, in the case of federal leases, extensive regulations imposed by federal law).</w:t>
      </w:r>
    </w:p>
    <w:p>
      <w:pPr>
        <w:spacing w:after="0" w:line="182"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In 2007, SEPCo acquired exploration interests in acreage located in offshore Alaska, Utah, New Mexico and Louisiana, where current and future exploration activities are being pursued. Also in 2007, SEPCo acquired additional exploration interests in the Gulf of Mexico through its successful participation in lease sales 204 &amp; 205, and made two notable discoveries, Vicksburg and West Tonga, in the Gulf of Mexico.</w:t>
      </w:r>
    </w:p>
    <w:p>
      <w:pPr>
        <w:spacing w:after="0" w:line="181"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SEPCo planned exploratory drilling in Alaska’s Beaufort Sea in 2007 and achieved agreement to protect subsistence whaling, important to the native culture. However, a court challenge to permitting agency authority prevented drilling.</w:t>
      </w:r>
    </w:p>
    <w:p>
      <w:pPr>
        <w:spacing w:after="0" w:line="180"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In 2007, Shell successfully acquired seismic in the Beaufort and Chukchi Seas and is proceeding with exploration plans for 2008, subject to a favourable ruling from the court. In early 2008, Shell was announced as the apparent high bidder on 275 of the 302 blocks on which it bid in the Chukchi Sea Lease Sale 193. The formal awarding of the blocks is pending completion of the US Minerals Management Service standard bid review process.</w:t>
      </w:r>
    </w:p>
    <w:p>
      <w:pPr>
        <w:spacing w:after="0" w:line="176"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In the Gulf of Mexico, SEPCo progressed development of the Perdido Regional host project, where it holds a 35% interest. Moored in approximately 8,000 feet of water, this will be the deepest spar production facility in the world. Perdido well pre-drilling began in mid 2007 with first production expected around the end of the decade. SEPCo also began production from the Deimos subsea development through the Mars platform in mid-2007.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958850</wp:posOffset>
            </wp:positionV>
            <wp:extent cx="725297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Affiliates of SEPCo hold a 51.8% interest in a US-based exploration and production limited liability company, Aera Energy LLC, holding exploration and production assets in California.</w:t>
      </w:r>
    </w:p>
    <w:p>
      <w:pPr>
        <w:spacing w:after="0" w:line="180" w:lineRule="exact"/>
        <w:rPr>
          <w:sz w:val="20"/>
          <w:szCs w:val="20"/>
          <w:color w:val="auto"/>
        </w:rPr>
      </w:pPr>
    </w:p>
    <w:p>
      <w:pPr>
        <w:jc w:val="both"/>
        <w:ind w:right="100"/>
        <w:spacing w:after="0" w:line="235" w:lineRule="auto"/>
        <w:rPr>
          <w:sz w:val="20"/>
          <w:szCs w:val="20"/>
          <w:color w:val="auto"/>
        </w:rPr>
      </w:pPr>
      <w:r>
        <w:rPr>
          <w:rFonts w:ascii="Arial" w:cs="Arial" w:eastAsia="Arial" w:hAnsi="Arial"/>
          <w:sz w:val="14"/>
          <w:szCs w:val="14"/>
          <w:color w:val="auto"/>
        </w:rPr>
        <w:t>SEPCo holds three leases awarded in 2006 by the US Bureau of Land Management to allow it to conduct oil shale research, development and demonstration activities in the Piceance Basin in north-west Colorado.</w:t>
      </w:r>
    </w:p>
    <w:p>
      <w:pPr>
        <w:spacing w:after="0" w:line="180"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In 2007, SEPCo divested exploratory acreage and minor producing properties in the Fort Worth Basin and Wilcox Trend, both in Texas, and the Arkoma Basin in Arkansas, as well as its interests in several mature Gulf of Mexico platforms.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WESTERN HEMISPHERE</w:t>
      </w:r>
    </w:p>
    <w:p>
      <w:pPr>
        <w:spacing w:after="0" w:line="6" w:lineRule="exact"/>
        <w:rPr>
          <w:sz w:val="20"/>
          <w:szCs w:val="20"/>
          <w:color w:val="auto"/>
        </w:rPr>
      </w:pPr>
    </w:p>
    <w:p>
      <w:pPr>
        <w:ind w:right="20"/>
        <w:spacing w:after="0" w:line="234" w:lineRule="auto"/>
        <w:rPr>
          <w:sz w:val="20"/>
          <w:szCs w:val="20"/>
          <w:color w:val="auto"/>
        </w:rPr>
      </w:pPr>
      <w:r>
        <w:rPr>
          <w:rFonts w:ascii="Arial" w:cs="Arial" w:eastAsia="Arial" w:hAnsi="Arial"/>
          <w:sz w:val="14"/>
          <w:szCs w:val="14"/>
          <w:b w:val="1"/>
          <w:bCs w:val="1"/>
          <w:color w:val="auto"/>
        </w:rPr>
        <w:t xml:space="preserve">Argentina </w:t>
      </w:r>
      <w:r>
        <w:rPr>
          <w:rFonts w:ascii="Arial" w:cs="Arial" w:eastAsia="Arial" w:hAnsi="Arial"/>
          <w:sz w:val="14"/>
          <w:szCs w:val="14"/>
          <w:color w:val="auto"/>
        </w:rPr>
        <w:t>Shell Compania Argentina de Petroleo (CAPSA, Shell interest 100%) holds</w:t>
      </w:r>
      <w:r>
        <w:rPr>
          <w:rFonts w:ascii="Arial" w:cs="Arial" w:eastAsia="Arial" w:hAnsi="Arial"/>
          <w:sz w:val="14"/>
          <w:szCs w:val="14"/>
          <w:b w:val="1"/>
          <w:bCs w:val="1"/>
          <w:color w:val="auto"/>
        </w:rPr>
        <w:t xml:space="preserve"> </w:t>
      </w:r>
      <w:r>
        <w:rPr>
          <w:rFonts w:ascii="Arial" w:cs="Arial" w:eastAsia="Arial" w:hAnsi="Arial"/>
          <w:sz w:val="14"/>
          <w:szCs w:val="14"/>
          <w:color w:val="auto"/>
        </w:rPr>
        <w:t>a 22.5% interest in the Acambuco concession.</w:t>
      </w:r>
    </w:p>
    <w:p>
      <w:pPr>
        <w:spacing w:after="0" w:line="176" w:lineRule="exact"/>
        <w:rPr>
          <w:sz w:val="20"/>
          <w:szCs w:val="20"/>
          <w:color w:val="auto"/>
        </w:rPr>
      </w:pPr>
    </w:p>
    <w:p>
      <w:pPr>
        <w:ind w:right="20"/>
        <w:spacing w:after="0" w:line="227" w:lineRule="auto"/>
        <w:rPr>
          <w:sz w:val="20"/>
          <w:szCs w:val="20"/>
          <w:color w:val="auto"/>
        </w:rPr>
      </w:pPr>
      <w:r>
        <w:rPr>
          <w:rFonts w:ascii="Arial" w:cs="Arial" w:eastAsia="Arial" w:hAnsi="Arial"/>
          <w:sz w:val="14"/>
          <w:szCs w:val="14"/>
          <w:b w:val="1"/>
          <w:bCs w:val="1"/>
          <w:color w:val="auto"/>
        </w:rPr>
        <w:t xml:space="preserve">Brazil </w:t>
      </w:r>
      <w:r>
        <w:rPr>
          <w:rFonts w:ascii="Arial" w:cs="Arial" w:eastAsia="Arial" w:hAnsi="Arial"/>
          <w:sz w:val="14"/>
          <w:szCs w:val="14"/>
          <w:color w:val="auto"/>
        </w:rPr>
        <w:t>Shell Brasil Ltda (Shell interest 100%) produces oil and gas in the Bijupirá and</w:t>
      </w:r>
      <w:r>
        <w:rPr>
          <w:rFonts w:ascii="Arial" w:cs="Arial" w:eastAsia="Arial" w:hAnsi="Arial"/>
          <w:sz w:val="14"/>
          <w:szCs w:val="14"/>
          <w:b w:val="1"/>
          <w:bCs w:val="1"/>
          <w:color w:val="auto"/>
        </w:rPr>
        <w:t xml:space="preserve"> </w:t>
      </w:r>
      <w:r>
        <w:rPr>
          <w:rFonts w:ascii="Arial" w:cs="Arial" w:eastAsia="Arial" w:hAnsi="Arial"/>
          <w:sz w:val="14"/>
          <w:szCs w:val="14"/>
          <w:color w:val="auto"/>
        </w:rPr>
        <w:t>Salema fields located in the Campos Basin, offshore Rio de Janeiro, where the company is the operator with an 80% interest. Shell Brasil’s portfolio also includes interests in 10 offshore exploration blocks (3 operated by Shell) in Brazilian core basins of Campos, Santos and Espirito Santo. Shell interest in these blocks ranges from 20% to 100%.</w:t>
      </w:r>
    </w:p>
    <w:p>
      <w:pPr>
        <w:spacing w:after="0" w:line="183"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In 2007, Shell continued to work on the development of the BC-10 fields, Ostra, Argonauta and Abalone, located in the offshore Campos Basin. The first phase development project, which is operated by Shell (50% interest), includes 9 production wells and one gas injection well tied back to an FPSO moored in around 5,800 feet. First oil from BC-10 Phase 1 is expected around the turn of the decade.</w:t>
      </w:r>
    </w:p>
    <w:p>
      <w:pPr>
        <w:spacing w:after="0" w:line="176"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Shell is also the operator of two heavy oil fields in block BS-4, in the Santos Basin, where potential development concepts are being assessed.</w:t>
      </w:r>
    </w:p>
    <w:p>
      <w:pPr>
        <w:spacing w:after="0" w:line="175"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Through Pecten Brazil Exploration Co. (Shell interest 100%), Shell retains an economic interest via a service contract in the producing Merluza gas field, operated by Petrobras, in the offshore Santos Basin.</w:t>
      </w:r>
    </w:p>
    <w:p>
      <w:pPr>
        <w:spacing w:after="0" w:line="176"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color w:val="auto"/>
        </w:rPr>
        <w:t xml:space="preserve">Canada </w:t>
      </w:r>
      <w:r>
        <w:rPr>
          <w:rFonts w:ascii="Arial" w:cs="Arial" w:eastAsia="Arial" w:hAnsi="Arial"/>
          <w:sz w:val="14"/>
          <w:szCs w:val="14"/>
          <w:color w:val="auto"/>
        </w:rPr>
        <w:t>Shell Canada Limited (Shell interest 100%) is a producer of natural gas, NGL,</w:t>
      </w:r>
      <w:r>
        <w:rPr>
          <w:rFonts w:ascii="Arial" w:cs="Arial" w:eastAsia="Arial" w:hAnsi="Arial"/>
          <w:sz w:val="14"/>
          <w:szCs w:val="14"/>
          <w:b w:val="1"/>
          <w:bCs w:val="1"/>
          <w:color w:val="auto"/>
        </w:rPr>
        <w:t xml:space="preserve"> </w:t>
      </w:r>
      <w:r>
        <w:rPr>
          <w:rFonts w:ascii="Arial" w:cs="Arial" w:eastAsia="Arial" w:hAnsi="Arial"/>
          <w:sz w:val="14"/>
          <w:szCs w:val="14"/>
          <w:color w:val="auto"/>
        </w:rPr>
        <w:t>bitumen, synthetic crude and sulphur.</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color w:val="auto"/>
        </w:rPr>
        <w:t>The majority of Shell Canada’s gas production comes from the Foothills region of Alberta. Shell Canada also owns and operates four natural gas processing and sulphur extraction plants in southern and south-central Alberta, and is among the world’s largest producers and marketers of sulphur. In addition, it holds a 31.3% interest in the Sable Offshore Energy Project, a natural gas complex offshore eastern Canada.</w:t>
      </w:r>
    </w:p>
    <w:p>
      <w:pPr>
        <w:spacing w:after="0" w:line="161" w:lineRule="exact"/>
        <w:rPr>
          <w:sz w:val="20"/>
          <w:szCs w:val="20"/>
          <w:color w:val="auto"/>
        </w:rPr>
      </w:pPr>
    </w:p>
    <w:p>
      <w:pPr>
        <w:jc w:val="both"/>
        <w:ind w:right="140"/>
        <w:spacing w:after="0" w:line="261" w:lineRule="auto"/>
        <w:rPr>
          <w:sz w:val="20"/>
          <w:szCs w:val="20"/>
          <w:color w:val="auto"/>
        </w:rPr>
      </w:pPr>
      <w:r>
        <w:rPr>
          <w:rFonts w:ascii="Arial" w:cs="Arial" w:eastAsia="Arial" w:hAnsi="Arial"/>
          <w:sz w:val="12"/>
          <w:szCs w:val="12"/>
          <w:color w:val="auto"/>
        </w:rPr>
        <w:t>In 2007, Shell Canada’s unconventional gas development efforts progressed in west-central Alberta and east-central British Columbia through continued land acquisition, its drilling programme, and investment in infrastructure facilitating new production.</w:t>
      </w:r>
    </w:p>
    <w:p>
      <w:pPr>
        <w:spacing w:after="0" w:line="1" w:lineRule="exact"/>
        <w:rPr>
          <w:sz w:val="20"/>
          <w:szCs w:val="20"/>
          <w:color w:val="auto"/>
        </w:rPr>
      </w:pPr>
    </w:p>
    <w:p>
      <w:pPr>
        <w:ind w:right="200"/>
        <w:spacing w:after="0" w:line="224" w:lineRule="auto"/>
        <w:rPr>
          <w:sz w:val="20"/>
          <w:szCs w:val="20"/>
          <w:color w:val="auto"/>
        </w:rPr>
      </w:pPr>
      <w:r>
        <w:rPr>
          <w:rFonts w:ascii="Arial" w:cs="Arial" w:eastAsia="Arial" w:hAnsi="Arial"/>
          <w:sz w:val="14"/>
          <w:szCs w:val="14"/>
          <w:color w:val="auto"/>
        </w:rPr>
        <w:t>Shell has exploration rights on an approximately 800,000 acre tenure in northwest British Columbia where it looks to continue a coal bed methane test well program. Shell also has a non-operating 20% interest in an early stage deep-water exploration asset, off the east coast of Newfoundland and is a co-venturer in the Mackenzie Gas Pipeline proposal in northern Canada.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73" w:lineRule="auto"/>
        <w:rPr>
          <w:sz w:val="20"/>
          <w:szCs w:val="20"/>
          <w:color w:val="auto"/>
        </w:rPr>
      </w:pPr>
      <w:r>
        <w:rPr>
          <w:rFonts w:ascii="Arial" w:cs="Arial" w:eastAsia="Arial" w:hAnsi="Arial"/>
          <w:sz w:val="12"/>
          <w:szCs w:val="12"/>
          <w:color w:val="auto"/>
        </w:rPr>
        <w:t>Shell is also the largest landholder offshore West Coast, which remains under a government moratorium. Exploration rights in Canada are generally granted for varying terms depending upon the provincial jurisdiction and applicable regulations. Subject to certain conditions, exploration rights can be converted to production leases, which may be extended as long as there is commercial production pursuant to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-621030</wp:posOffset>
            </wp:positionV>
            <wp:extent cx="177800" cy="74682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7800" cy="7468235"/>
                    </a:xfrm>
                    <a:prstGeom prst="rect">
                      <a:avLst/>
                    </a:prstGeom>
                    <a:noFill/>
                  </pic:spPr>
                </pic:pic>
              </a:graphicData>
            </a:graphic>
          </wp:anchor>
        </w:drawing>
      </w:r>
    </w:p>
    <w:p>
      <w:pPr>
        <w:spacing w:after="0" w:line="141" w:lineRule="exact"/>
        <w:rPr>
          <w:sz w:val="20"/>
          <w:szCs w:val="20"/>
          <w:color w:val="auto"/>
        </w:rPr>
      </w:pPr>
    </w:p>
    <w:p>
      <w:pPr>
        <w:ind w:right="40"/>
        <w:spacing w:after="0" w:line="228" w:lineRule="auto"/>
        <w:rPr>
          <w:sz w:val="20"/>
          <w:szCs w:val="20"/>
          <w:color w:val="auto"/>
        </w:rPr>
      </w:pPr>
      <w:r>
        <w:rPr>
          <w:rFonts w:ascii="Arial" w:cs="Arial" w:eastAsia="Arial" w:hAnsi="Arial"/>
          <w:sz w:val="14"/>
          <w:szCs w:val="14"/>
          <w:color w:val="auto"/>
        </w:rPr>
        <w:t>Shell Canada produces heavy oil through cold (primary) production and thermal (enhanced) recovery in the Peace River area of Alberta. In 2007, Shell Canada started up a steam assisted gravity drainage project (Phase 1) near Cold Lake, Alberta. Shell Canada also holds a 20% non-operated interest in the Ells River in-situ bitumen project about 20 kilometres west of Ft. McKay.</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Shell Canada holds 19 land parcels in Northern Alberta (approximately 290,000 acres) where it is evaluating heavy oil resources for potential development.</w:t>
      </w:r>
    </w:p>
    <w:p>
      <w:pPr>
        <w:spacing w:after="0" w:line="175"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Late in 2007, the Alberta government announced a new royalty framework. Details of the provisions are to be clarified by the government in 2008, with implementation scheduled for January 1, 2009.</w:t>
      </w:r>
    </w:p>
    <w:p>
      <w:pPr>
        <w:spacing w:after="0" w:line="176"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b w:val="1"/>
          <w:bCs w:val="1"/>
          <w:color w:val="auto"/>
        </w:rPr>
        <w:t xml:space="preserve">Colombia </w:t>
      </w:r>
      <w:r>
        <w:rPr>
          <w:rFonts w:ascii="Arial" w:cs="Arial" w:eastAsia="Arial" w:hAnsi="Arial"/>
          <w:sz w:val="14"/>
          <w:szCs w:val="14"/>
          <w:color w:val="auto"/>
        </w:rPr>
        <w:t>Shell Exploration and Production Company and the Colombian national oil</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Ecopetrol, signed an exploration farm-in agreement in 2007 under which Shell becomes a co-venturer (Shell interest 50%) in the Ecopetrol-operated Caño Sur Block in the Llanos Basin of Colombia.</w:t>
      </w:r>
    </w:p>
    <w:p>
      <w:pPr>
        <w:spacing w:after="0" w:line="177" w:lineRule="exact"/>
        <w:rPr>
          <w:sz w:val="20"/>
          <w:szCs w:val="20"/>
          <w:color w:val="auto"/>
        </w:rPr>
      </w:pPr>
    </w:p>
    <w:p>
      <w:pPr>
        <w:ind w:right="200"/>
        <w:spacing w:after="0" w:line="249" w:lineRule="auto"/>
        <w:rPr>
          <w:sz w:val="20"/>
          <w:szCs w:val="20"/>
          <w:color w:val="auto"/>
        </w:rPr>
      </w:pPr>
      <w:r>
        <w:rPr>
          <w:rFonts w:ascii="Arial" w:cs="Arial" w:eastAsia="Arial" w:hAnsi="Arial"/>
          <w:sz w:val="13"/>
          <w:szCs w:val="13"/>
          <w:b w:val="1"/>
          <w:bCs w:val="1"/>
          <w:color w:val="auto"/>
        </w:rPr>
        <w:t xml:space="preserve">Venezuela </w:t>
      </w:r>
      <w:r>
        <w:rPr>
          <w:rFonts w:ascii="Arial" w:cs="Arial" w:eastAsia="Arial" w:hAnsi="Arial"/>
          <w:sz w:val="13"/>
          <w:szCs w:val="13"/>
          <w:color w:val="auto"/>
        </w:rPr>
        <w:t>Shell Exploration and Production Investments B.V. (Shell interest 100%)</w:t>
      </w:r>
      <w:r>
        <w:rPr>
          <w:rFonts w:ascii="Arial" w:cs="Arial" w:eastAsia="Arial" w:hAnsi="Arial"/>
          <w:sz w:val="13"/>
          <w:szCs w:val="13"/>
          <w:b w:val="1"/>
          <w:bCs w:val="1"/>
          <w:color w:val="auto"/>
        </w:rPr>
        <w:t xml:space="preserve"> </w:t>
      </w:r>
      <w:r>
        <w:rPr>
          <w:rFonts w:ascii="Arial" w:cs="Arial" w:eastAsia="Arial" w:hAnsi="Arial"/>
          <w:sz w:val="13"/>
          <w:szCs w:val="13"/>
          <w:color w:val="auto"/>
        </w:rPr>
        <w:t>holds a 40% interest in a joint venture with the state oil company, Petroleos de Venezuela (PDVSA), to develop and produce the Urdaneta West Field in Lake Maracaibo. The joint venture, which took effect in 2006, is called Petroregional Del Lago, S.A. (PERLA) and replaced the previous operating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1892300</wp:posOffset>
            </wp:positionV>
            <wp:extent cx="725297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494030</wp:posOffset>
            </wp:positionV>
            <wp:extent cx="3332480" cy="6614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32480" cy="6614160"/>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36"/>
          <w:szCs w:val="36"/>
          <w:color w:val="auto"/>
        </w:rPr>
        <w:t>Gas &amp; Power</w:t>
      </w:r>
    </w:p>
    <w:p>
      <w:pPr>
        <w:spacing w:after="0" w:line="33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HIGHLIGHTS</w:t>
      </w:r>
    </w:p>
    <w:p>
      <w:pPr>
        <w:spacing w:after="0" w:line="163" w:lineRule="exact"/>
        <w:rPr>
          <w:sz w:val="20"/>
          <w:szCs w:val="20"/>
          <w:color w:val="auto"/>
        </w:rPr>
      </w:pPr>
    </w:p>
    <w:p>
      <w:pPr>
        <w:ind w:left="240" w:hanging="100"/>
        <w:spacing w:after="0"/>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Segment earnings up 6%.</w:t>
      </w:r>
    </w:p>
    <w:p>
      <w:pPr>
        <w:spacing w:after="0" w:line="1" w:lineRule="exact"/>
        <w:rPr>
          <w:rFonts w:ascii="Arial" w:cs="Arial" w:eastAsia="Arial" w:hAnsi="Arial"/>
          <w:sz w:val="14"/>
          <w:szCs w:val="14"/>
          <w:b w:val="1"/>
          <w:bCs w:val="1"/>
          <w:color w:val="auto"/>
        </w:rPr>
      </w:pPr>
    </w:p>
    <w:p>
      <w:pPr>
        <w:ind w:left="240" w:hanging="100"/>
        <w:spacing w:after="0" w:line="218"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Liquefied natural gas (LNG) sales volume up 9%.</w:t>
      </w:r>
    </w:p>
    <w:p>
      <w:pPr>
        <w:ind w:left="240" w:right="80" w:hanging="100"/>
        <w:spacing w:after="0" w:line="218"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Record LNG volumes, high plant reliability and strong pricing delivered robust LNG operational earnings.</w:t>
      </w:r>
    </w:p>
    <w:p>
      <w:pPr>
        <w:ind w:left="240" w:hanging="100"/>
        <w:spacing w:after="0" w:line="218"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Nigeria LNG Train 6 declared ready for start up in December 2007.</w:t>
      </w:r>
    </w:p>
    <w:p>
      <w:pPr>
        <w:ind w:left="240" w:right="180" w:hanging="100"/>
        <w:spacing w:after="0" w:line="218"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Five LNG trains under construction at year end in ventures located in Russia, Qatar and Australia.</w:t>
      </w:r>
    </w:p>
    <w:p>
      <w:pPr>
        <w:ind w:left="240" w:right="540" w:hanging="100"/>
        <w:spacing w:after="0" w:line="218"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Progress on development of major new LNG projects such as Gorgon in Australia.</w:t>
      </w:r>
    </w:p>
    <w:p>
      <w:pPr>
        <w:ind w:left="240" w:right="80" w:hanging="100"/>
        <w:spacing w:after="0" w:line="234" w:lineRule="auto"/>
        <w:tabs>
          <w:tab w:leader="none" w:pos="24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Divestment of the remaining common units in Enterprise Products Partners LP in the USA.</w:t>
      </w:r>
    </w:p>
    <w:p>
      <w:pPr>
        <w:spacing w:after="0" w:line="140" w:lineRule="exact"/>
        <w:rPr>
          <w:sz w:val="20"/>
          <w:szCs w:val="20"/>
          <w:color w:val="auto"/>
        </w:rPr>
      </w:pPr>
    </w:p>
    <w:tbl>
      <w:tblPr>
        <w:tblLayout w:type="fixed"/>
        <w:tblInd w:w="140" w:type="dxa"/>
        <w:tblCellMar>
          <w:top w:w="0" w:type="dxa"/>
          <w:left w:w="0" w:type="dxa"/>
          <w:bottom w:w="0" w:type="dxa"/>
          <w:right w:w="0" w:type="dxa"/>
        </w:tblCellMar>
      </w:tblPr>
      <w:tr>
        <w:trPr>
          <w:trHeight w:val="139"/>
        </w:trPr>
        <w:tc>
          <w:tcPr>
            <w:tcW w:w="3040" w:type="dxa"/>
            <w:vAlign w:val="bottom"/>
            <w:tcBorders>
              <w:right w:val="single" w:sz="8" w:color="6CB43F"/>
            </w:tcBorders>
            <w:shd w:val="clear" w:color="auto" w:fill="6CB43F"/>
          </w:tcPr>
          <w:p>
            <w:pPr>
              <w:spacing w:after="0"/>
              <w:rPr>
                <w:sz w:val="20"/>
                <w:szCs w:val="20"/>
                <w:color w:val="auto"/>
              </w:rPr>
            </w:pPr>
            <w:r>
              <w:rPr>
                <w:rFonts w:ascii="Arial" w:cs="Arial" w:eastAsia="Arial" w:hAnsi="Arial"/>
                <w:sz w:val="12"/>
                <w:szCs w:val="12"/>
                <w:b w:val="1"/>
                <w:bCs w:val="1"/>
                <w:color w:val="FFFFFF"/>
              </w:rPr>
              <w:t>EARNINGS[A]</w:t>
            </w:r>
          </w:p>
        </w:tc>
        <w:tc>
          <w:tcPr>
            <w:tcW w:w="480" w:type="dxa"/>
            <w:vAlign w:val="bottom"/>
            <w:shd w:val="clear" w:color="auto" w:fill="6CB43F"/>
          </w:tcPr>
          <w:p>
            <w:pPr>
              <w:spacing w:after="0"/>
              <w:rPr>
                <w:sz w:val="12"/>
                <w:szCs w:val="12"/>
                <w:color w:val="auto"/>
              </w:rPr>
            </w:pPr>
          </w:p>
        </w:tc>
        <w:tc>
          <w:tcPr>
            <w:tcW w:w="820" w:type="dxa"/>
            <w:vAlign w:val="bottom"/>
            <w:shd w:val="clear" w:color="auto" w:fill="6CB43F"/>
          </w:tcPr>
          <w:p>
            <w:pPr>
              <w:spacing w:after="0"/>
              <w:rPr>
                <w:sz w:val="12"/>
                <w:szCs w:val="12"/>
                <w:color w:val="auto"/>
              </w:rPr>
            </w:pPr>
          </w:p>
        </w:tc>
        <w:tc>
          <w:tcPr>
            <w:tcW w:w="640" w:type="dxa"/>
            <w:vAlign w:val="bottom"/>
            <w:shd w:val="clear" w:color="auto" w:fill="6CB43F"/>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3040" w:type="dxa"/>
            <w:vAlign w:val="bottom"/>
            <w:tcBorders>
              <w:right w:val="single" w:sz="8" w:color="CECAC6"/>
            </w:tcBorders>
            <w:shd w:val="clear" w:color="auto" w:fill="CECAC6"/>
          </w:tcPr>
          <w:p>
            <w:pPr>
              <w:spacing w:after="0"/>
              <w:rPr>
                <w:sz w:val="11"/>
                <w:szCs w:val="11"/>
                <w:color w:val="auto"/>
              </w:rPr>
            </w:pPr>
          </w:p>
        </w:tc>
        <w:tc>
          <w:tcPr>
            <w:tcW w:w="4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33"/>
        </w:trPr>
        <w:tc>
          <w:tcPr>
            <w:tcW w:w="304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Revenue (including intersegment sales)</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17,038</w:t>
            </w:r>
          </w:p>
        </w:tc>
        <w:tc>
          <w:tcPr>
            <w:tcW w:w="8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17,338</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15,872</w:t>
            </w:r>
          </w:p>
        </w:tc>
      </w:tr>
      <w:tr>
        <w:trPr>
          <w:trHeight w:val="127"/>
        </w:trPr>
        <w:tc>
          <w:tcPr>
            <w:tcW w:w="304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Purchases (including change in inventories)</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w w:val="89"/>
                <w:shd w:val="clear" w:color="auto" w:fill="E4E3E1"/>
              </w:rPr>
              <w:t>(12,870)</w:t>
            </w:r>
          </w:p>
        </w:tc>
        <w:tc>
          <w:tcPr>
            <w:tcW w:w="8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(12,778)</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(13,114)</w:t>
            </w:r>
          </w:p>
        </w:tc>
      </w:tr>
      <w:tr>
        <w:trPr>
          <w:trHeight w:val="133"/>
        </w:trPr>
        <w:tc>
          <w:tcPr>
            <w:tcW w:w="304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Depreciation</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(315)</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(284)</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(372)</w:t>
            </w:r>
          </w:p>
        </w:tc>
      </w:tr>
      <w:tr>
        <w:trPr>
          <w:trHeight w:val="133"/>
        </w:trPr>
        <w:tc>
          <w:tcPr>
            <w:tcW w:w="304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Operating expenses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(3,466)</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(3,083)</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(2,251)</w:t>
            </w:r>
          </w:p>
        </w:tc>
      </w:tr>
      <w:tr>
        <w:trPr>
          <w:trHeight w:val="133"/>
        </w:trPr>
        <w:tc>
          <w:tcPr>
            <w:tcW w:w="304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1,852</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1,509</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1,007</w:t>
            </w:r>
          </w:p>
        </w:tc>
      </w:tr>
      <w:tr>
        <w:trPr>
          <w:trHeight w:val="133"/>
        </w:trPr>
        <w:tc>
          <w:tcPr>
            <w:tcW w:w="304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Other income/(expense)</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739</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230</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221</w:t>
            </w:r>
          </w:p>
        </w:tc>
      </w:tr>
      <w:tr>
        <w:trPr>
          <w:trHeight w:val="139"/>
        </w:trPr>
        <w:tc>
          <w:tcPr>
            <w:tcW w:w="304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Taxation</w:t>
            </w:r>
          </w:p>
        </w:tc>
        <w:tc>
          <w:tcPr>
            <w:tcW w:w="4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(197)</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(299)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w:t>
            </w:r>
          </w:p>
        </w:tc>
      </w:tr>
      <w:tr>
        <w:trPr>
          <w:trHeight w:val="127"/>
        </w:trPr>
        <w:tc>
          <w:tcPr>
            <w:tcW w:w="3040" w:type="dxa"/>
            <w:vAlign w:val="bottom"/>
            <w:tcBorders>
              <w:right w:val="single" w:sz="8" w:color="E4E3E1"/>
            </w:tcBorders>
          </w:tcPr>
          <w:p>
            <w:pPr>
              <w:spacing w:after="0" w:line="127" w:lineRule="exact"/>
              <w:rPr>
                <w:sz w:val="20"/>
                <w:szCs w:val="20"/>
                <w:color w:val="auto"/>
              </w:rPr>
            </w:pPr>
            <w:r>
              <w:rPr>
                <w:rFonts w:ascii="Arial" w:cs="Arial" w:eastAsia="Arial" w:hAnsi="Arial"/>
                <w:sz w:val="12"/>
                <w:szCs w:val="12"/>
                <w:color w:val="auto"/>
              </w:rPr>
              <w:t>Segment earnings from continuing operations</w:t>
            </w:r>
          </w:p>
        </w:tc>
        <w:tc>
          <w:tcPr>
            <w:tcW w:w="480" w:type="dxa"/>
            <w:vAlign w:val="bottom"/>
            <w:shd w:val="clear" w:color="auto" w:fill="E4E3E1"/>
          </w:tcPr>
          <w:p>
            <w:pPr>
              <w:jc w:val="right"/>
              <w:spacing w:after="0" w:line="127" w:lineRule="exact"/>
              <w:rPr>
                <w:sz w:val="20"/>
                <w:szCs w:val="20"/>
                <w:color w:val="auto"/>
              </w:rPr>
            </w:pPr>
            <w:r>
              <w:rPr>
                <w:rFonts w:ascii="Arial" w:cs="Arial" w:eastAsia="Arial" w:hAnsi="Arial"/>
                <w:sz w:val="12"/>
                <w:szCs w:val="12"/>
                <w:color w:val="auto"/>
              </w:rPr>
              <w:t>2,781</w:t>
            </w:r>
          </w:p>
        </w:tc>
        <w:tc>
          <w:tcPr>
            <w:tcW w:w="820" w:type="dxa"/>
            <w:vAlign w:val="bottom"/>
          </w:tcPr>
          <w:p>
            <w:pPr>
              <w:jc w:val="right"/>
              <w:ind w:right="78"/>
              <w:spacing w:after="0" w:line="127" w:lineRule="exact"/>
              <w:rPr>
                <w:sz w:val="20"/>
                <w:szCs w:val="20"/>
                <w:color w:val="auto"/>
              </w:rPr>
            </w:pPr>
            <w:r>
              <w:rPr>
                <w:rFonts w:ascii="Arial" w:cs="Arial" w:eastAsia="Arial" w:hAnsi="Arial"/>
                <w:sz w:val="12"/>
                <w:szCs w:val="12"/>
                <w:color w:val="auto"/>
              </w:rPr>
              <w:t>2,633</w:t>
            </w:r>
          </w:p>
        </w:tc>
        <w:tc>
          <w:tcPr>
            <w:tcW w:w="640" w:type="dxa"/>
            <w:vAlign w:val="bottom"/>
          </w:tcPr>
          <w:p>
            <w:pPr>
              <w:jc w:val="right"/>
              <w:spacing w:after="0" w:line="127" w:lineRule="exact"/>
              <w:rPr>
                <w:sz w:val="20"/>
                <w:szCs w:val="20"/>
                <w:color w:val="auto"/>
              </w:rPr>
            </w:pPr>
            <w:r>
              <w:rPr>
                <w:rFonts w:ascii="Arial" w:cs="Arial" w:eastAsia="Arial" w:hAnsi="Arial"/>
                <w:sz w:val="12"/>
                <w:szCs w:val="12"/>
                <w:color w:val="auto"/>
              </w:rPr>
              <w:t>1,378</w:t>
            </w:r>
          </w:p>
        </w:tc>
      </w:tr>
      <w:tr>
        <w:trPr>
          <w:trHeight w:val="133"/>
        </w:trPr>
        <w:tc>
          <w:tcPr>
            <w:tcW w:w="3040" w:type="dxa"/>
            <w:vAlign w:val="bottom"/>
            <w:tcBorders>
              <w:bottom w:val="single" w:sz="8" w:color="auto"/>
              <w:right w:val="single" w:sz="8" w:color="E4E3E1"/>
            </w:tcBorders>
          </w:tcPr>
          <w:p>
            <w:pPr>
              <w:spacing w:after="0" w:line="133" w:lineRule="exact"/>
              <w:rPr>
                <w:sz w:val="20"/>
                <w:szCs w:val="20"/>
                <w:color w:val="auto"/>
              </w:rPr>
            </w:pPr>
            <w:r>
              <w:rPr>
                <w:rFonts w:ascii="Arial" w:cs="Arial" w:eastAsia="Arial" w:hAnsi="Arial"/>
                <w:sz w:val="12"/>
                <w:szCs w:val="12"/>
                <w:color w:val="auto"/>
              </w:rPr>
              <w:t>Income/(loss) from discontinued operations</w:t>
            </w:r>
          </w:p>
        </w:tc>
        <w:tc>
          <w:tcPr>
            <w:tcW w:w="480" w:type="dxa"/>
            <w:vAlign w:val="bottom"/>
            <w:tcBorders>
              <w:bottom w:val="single" w:sz="8" w:color="auto"/>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r>
      <w:tr>
        <w:trPr>
          <w:trHeight w:val="127"/>
        </w:trPr>
        <w:tc>
          <w:tcPr>
            <w:tcW w:w="3040" w:type="dxa"/>
            <w:vAlign w:val="bottom"/>
            <w:tcBorders>
              <w:right w:val="single" w:sz="8" w:color="E4E3E1"/>
            </w:tcBorders>
          </w:tcPr>
          <w:p>
            <w:pPr>
              <w:spacing w:after="0" w:line="127" w:lineRule="exact"/>
              <w:rPr>
                <w:sz w:val="20"/>
                <w:szCs w:val="20"/>
                <w:color w:val="auto"/>
              </w:rPr>
            </w:pPr>
            <w:r>
              <w:rPr>
                <w:rFonts w:ascii="Arial" w:cs="Arial" w:eastAsia="Arial" w:hAnsi="Arial"/>
                <w:sz w:val="12"/>
                <w:szCs w:val="12"/>
                <w:b w:val="1"/>
                <w:bCs w:val="1"/>
                <w:color w:val="auto"/>
              </w:rPr>
              <w:t>Segment earnings</w:t>
            </w:r>
          </w:p>
        </w:tc>
        <w:tc>
          <w:tcPr>
            <w:tcW w:w="480" w:type="dxa"/>
            <w:vAlign w:val="bottom"/>
            <w:shd w:val="clear" w:color="auto" w:fill="E4E3E1"/>
          </w:tcPr>
          <w:p>
            <w:pPr>
              <w:jc w:val="right"/>
              <w:spacing w:after="0" w:line="127" w:lineRule="exact"/>
              <w:rPr>
                <w:sz w:val="20"/>
                <w:szCs w:val="20"/>
                <w:color w:val="auto"/>
              </w:rPr>
            </w:pPr>
            <w:r>
              <w:rPr>
                <w:rFonts w:ascii="Arial" w:cs="Arial" w:eastAsia="Arial" w:hAnsi="Arial"/>
                <w:sz w:val="12"/>
                <w:szCs w:val="12"/>
                <w:b w:val="1"/>
                <w:bCs w:val="1"/>
                <w:color w:val="auto"/>
              </w:rPr>
              <w:t>2,781</w:t>
            </w:r>
          </w:p>
        </w:tc>
        <w:tc>
          <w:tcPr>
            <w:tcW w:w="820" w:type="dxa"/>
            <w:vAlign w:val="bottom"/>
          </w:tcPr>
          <w:p>
            <w:pPr>
              <w:jc w:val="right"/>
              <w:ind w:right="78"/>
              <w:spacing w:after="0" w:line="127" w:lineRule="exact"/>
              <w:rPr>
                <w:sz w:val="20"/>
                <w:szCs w:val="20"/>
                <w:color w:val="auto"/>
              </w:rPr>
            </w:pPr>
            <w:r>
              <w:rPr>
                <w:rFonts w:ascii="Arial" w:cs="Arial" w:eastAsia="Arial" w:hAnsi="Arial"/>
                <w:sz w:val="12"/>
                <w:szCs w:val="12"/>
                <w:b w:val="1"/>
                <w:bCs w:val="1"/>
                <w:color w:val="auto"/>
              </w:rPr>
              <w:t>2,633</w:t>
            </w:r>
          </w:p>
        </w:tc>
        <w:tc>
          <w:tcPr>
            <w:tcW w:w="640" w:type="dxa"/>
            <w:vAlign w:val="bottom"/>
          </w:tcPr>
          <w:p>
            <w:pPr>
              <w:jc w:val="right"/>
              <w:spacing w:after="0" w:line="127" w:lineRule="exact"/>
              <w:rPr>
                <w:sz w:val="20"/>
                <w:szCs w:val="20"/>
                <w:color w:val="auto"/>
              </w:rPr>
            </w:pPr>
            <w:r>
              <w:rPr>
                <w:rFonts w:ascii="Arial" w:cs="Arial" w:eastAsia="Arial" w:hAnsi="Arial"/>
                <w:sz w:val="12"/>
                <w:szCs w:val="12"/>
                <w:b w:val="1"/>
                <w:bCs w:val="1"/>
                <w:color w:val="auto"/>
              </w:rPr>
              <w:t>1,378</w:t>
            </w:r>
          </w:p>
        </w:tc>
      </w:tr>
    </w:tbl>
    <w:p>
      <w:pPr>
        <w:spacing w:after="0" w:line="61" w:lineRule="exact"/>
        <w:rPr>
          <w:sz w:val="20"/>
          <w:szCs w:val="20"/>
          <w:color w:val="auto"/>
        </w:rPr>
      </w:pPr>
    </w:p>
    <w:p>
      <w:pPr>
        <w:ind w:left="340" w:right="80" w:hanging="200"/>
        <w:spacing w:after="0" w:line="23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As from 2007, the Gas &amp; Power earnings include earnings generated by the wind and solar businesses, which were previously reported as part of Other industry segments. For comparison purposes, the 2006 and 2005 earnings have been reclassified accordingly, resulting in a reduction of $17 million in 2006 and $195 million in 2005.</w:t>
      </w:r>
    </w:p>
    <w:p>
      <w:pPr>
        <w:spacing w:after="0" w:line="252" w:lineRule="exact"/>
        <w:rPr>
          <w:sz w:val="20"/>
          <w:szCs w:val="20"/>
          <w:color w:val="auto"/>
        </w:rPr>
      </w:pPr>
    </w:p>
    <w:tbl>
      <w:tblPr>
        <w:tblLayout w:type="fixed"/>
        <w:tblInd w:w="140" w:type="dxa"/>
        <w:tblCellMar>
          <w:top w:w="0" w:type="dxa"/>
          <w:left w:w="0" w:type="dxa"/>
          <w:bottom w:w="0" w:type="dxa"/>
          <w:right w:w="0" w:type="dxa"/>
        </w:tblCellMar>
      </w:tblPr>
      <w:tr>
        <w:trPr>
          <w:trHeight w:val="139"/>
        </w:trPr>
        <w:tc>
          <w:tcPr>
            <w:tcW w:w="3820" w:type="dxa"/>
            <w:vAlign w:val="bottom"/>
            <w:gridSpan w:val="4"/>
            <w:shd w:val="clear" w:color="auto" w:fill="6CB43F"/>
          </w:tcPr>
          <w:p>
            <w:pPr>
              <w:spacing w:after="0"/>
              <w:rPr>
                <w:sz w:val="20"/>
                <w:szCs w:val="20"/>
                <w:color w:val="auto"/>
              </w:rPr>
            </w:pPr>
            <w:r>
              <w:rPr>
                <w:rFonts w:ascii="Arial" w:cs="Arial" w:eastAsia="Arial" w:hAnsi="Arial"/>
                <w:sz w:val="12"/>
                <w:szCs w:val="12"/>
                <w:b w:val="1"/>
                <w:bCs w:val="1"/>
                <w:color w:val="FFFFFF"/>
              </w:rPr>
              <w:t>COUNTRIES IN WHICH GAS &amp; POWER HAS OPERATIONS</w:t>
            </w:r>
          </w:p>
        </w:tc>
        <w:tc>
          <w:tcPr>
            <w:tcW w:w="1160" w:type="dxa"/>
            <w:vAlign w:val="bottom"/>
            <w:shd w:val="clear" w:color="auto" w:fill="6CB43F"/>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980" w:type="dxa"/>
            <w:vAlign w:val="bottom"/>
          </w:tcPr>
          <w:p>
            <w:pPr>
              <w:spacing w:after="0" w:line="114" w:lineRule="exact"/>
              <w:rPr>
                <w:sz w:val="20"/>
                <w:szCs w:val="20"/>
                <w:color w:val="auto"/>
              </w:rPr>
            </w:pPr>
            <w:r>
              <w:rPr>
                <w:rFonts w:ascii="Arial" w:cs="Arial" w:eastAsia="Arial" w:hAnsi="Arial"/>
                <w:sz w:val="12"/>
                <w:szCs w:val="12"/>
                <w:b w:val="1"/>
                <w:bCs w:val="1"/>
                <w:color w:val="auto"/>
              </w:rPr>
              <w:t>Europe</w:t>
            </w:r>
          </w:p>
        </w:tc>
        <w:tc>
          <w:tcPr>
            <w:tcW w:w="620" w:type="dxa"/>
            <w:vAlign w:val="bottom"/>
          </w:tcPr>
          <w:p>
            <w:pPr>
              <w:ind w:left="80"/>
              <w:spacing w:after="0" w:line="114" w:lineRule="exact"/>
              <w:rPr>
                <w:sz w:val="20"/>
                <w:szCs w:val="20"/>
                <w:color w:val="auto"/>
              </w:rPr>
            </w:pPr>
            <w:r>
              <w:rPr>
                <w:rFonts w:ascii="Arial" w:cs="Arial" w:eastAsia="Arial" w:hAnsi="Arial"/>
                <w:sz w:val="12"/>
                <w:szCs w:val="12"/>
                <w:b w:val="1"/>
                <w:bCs w:val="1"/>
                <w:color w:val="auto"/>
              </w:rPr>
              <w:t>Africa</w:t>
            </w:r>
          </w:p>
        </w:tc>
        <w:tc>
          <w:tcPr>
            <w:tcW w:w="1160" w:type="dxa"/>
            <w:vAlign w:val="bottom"/>
          </w:tcPr>
          <w:p>
            <w:pPr>
              <w:ind w:left="160"/>
              <w:spacing w:after="0" w:line="114" w:lineRule="exact"/>
              <w:rPr>
                <w:sz w:val="20"/>
                <w:szCs w:val="20"/>
                <w:color w:val="auto"/>
              </w:rPr>
            </w:pPr>
            <w:r>
              <w:rPr>
                <w:rFonts w:ascii="Arial" w:cs="Arial" w:eastAsia="Arial" w:hAnsi="Arial"/>
                <w:sz w:val="12"/>
                <w:szCs w:val="12"/>
                <w:b w:val="1"/>
                <w:bCs w:val="1"/>
                <w:color w:val="auto"/>
              </w:rPr>
              <w:t>Middle East,</w:t>
            </w:r>
          </w:p>
        </w:tc>
        <w:tc>
          <w:tcPr>
            <w:tcW w:w="1060" w:type="dxa"/>
            <w:vAlign w:val="bottom"/>
          </w:tcPr>
          <w:p>
            <w:pPr>
              <w:ind w:left="140"/>
              <w:spacing w:after="0" w:line="114" w:lineRule="exact"/>
              <w:rPr>
                <w:sz w:val="20"/>
                <w:szCs w:val="20"/>
                <w:color w:val="auto"/>
              </w:rPr>
            </w:pPr>
            <w:r>
              <w:rPr>
                <w:rFonts w:ascii="Arial" w:cs="Arial" w:eastAsia="Arial" w:hAnsi="Arial"/>
                <w:sz w:val="12"/>
                <w:szCs w:val="12"/>
                <w:b w:val="1"/>
                <w:bCs w:val="1"/>
                <w:color w:val="auto"/>
              </w:rPr>
              <w:t>Asia Pacific</w:t>
            </w:r>
          </w:p>
        </w:tc>
        <w:tc>
          <w:tcPr>
            <w:tcW w:w="1160" w:type="dxa"/>
            <w:vAlign w:val="bottom"/>
          </w:tcPr>
          <w:p>
            <w:pPr>
              <w:ind w:left="220"/>
              <w:spacing w:after="0" w:line="114" w:lineRule="exact"/>
              <w:rPr>
                <w:sz w:val="20"/>
                <w:szCs w:val="20"/>
                <w:color w:val="auto"/>
              </w:rPr>
            </w:pPr>
            <w:r>
              <w:rPr>
                <w:rFonts w:ascii="Arial" w:cs="Arial" w:eastAsia="Arial" w:hAnsi="Arial"/>
                <w:sz w:val="12"/>
                <w:szCs w:val="12"/>
                <w:b w:val="1"/>
                <w:bCs w:val="1"/>
                <w:color w:val="auto"/>
              </w:rPr>
              <w:t>USA</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Denmark</w:t>
            </w:r>
          </w:p>
        </w:tc>
        <w:tc>
          <w:tcPr>
            <w:tcW w:w="620" w:type="dxa"/>
            <w:vAlign w:val="bottom"/>
          </w:tcPr>
          <w:p>
            <w:pPr>
              <w:ind w:left="80"/>
              <w:spacing w:after="0"/>
              <w:rPr>
                <w:sz w:val="20"/>
                <w:szCs w:val="20"/>
                <w:color w:val="auto"/>
              </w:rPr>
            </w:pPr>
            <w:r>
              <w:rPr>
                <w:rFonts w:ascii="Arial" w:cs="Arial" w:eastAsia="Arial" w:hAnsi="Arial"/>
                <w:sz w:val="12"/>
                <w:szCs w:val="12"/>
                <w:color w:val="auto"/>
              </w:rPr>
              <w:t>Ghana</w:t>
            </w:r>
          </w:p>
        </w:tc>
        <w:tc>
          <w:tcPr>
            <w:tcW w:w="1160" w:type="dxa"/>
            <w:vAlign w:val="bottom"/>
          </w:tcPr>
          <w:p>
            <w:pPr>
              <w:ind w:left="160"/>
              <w:spacing w:after="0"/>
              <w:rPr>
                <w:sz w:val="20"/>
                <w:szCs w:val="20"/>
                <w:color w:val="auto"/>
              </w:rPr>
            </w:pPr>
            <w:r>
              <w:rPr>
                <w:rFonts w:ascii="Arial" w:cs="Arial" w:eastAsia="Arial" w:hAnsi="Arial"/>
                <w:sz w:val="12"/>
                <w:szCs w:val="12"/>
                <w:b w:val="1"/>
                <w:bCs w:val="1"/>
                <w:color w:val="auto"/>
              </w:rPr>
              <w:t>Russia, CIS[A]</w:t>
            </w:r>
          </w:p>
        </w:tc>
        <w:tc>
          <w:tcPr>
            <w:tcW w:w="1060" w:type="dxa"/>
            <w:vAlign w:val="bottom"/>
          </w:tcPr>
          <w:p>
            <w:pPr>
              <w:ind w:left="140"/>
              <w:spacing w:after="0"/>
              <w:rPr>
                <w:sz w:val="20"/>
                <w:szCs w:val="20"/>
                <w:color w:val="auto"/>
              </w:rPr>
            </w:pPr>
            <w:r>
              <w:rPr>
                <w:rFonts w:ascii="Arial" w:cs="Arial" w:eastAsia="Arial" w:hAnsi="Arial"/>
                <w:sz w:val="12"/>
                <w:szCs w:val="12"/>
                <w:color w:val="auto"/>
              </w:rPr>
              <w:t>Australia</w:t>
            </w:r>
          </w:p>
        </w:tc>
        <w:tc>
          <w:tcPr>
            <w:tcW w:w="11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Canada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Germany</w:t>
            </w:r>
          </w:p>
        </w:tc>
        <w:tc>
          <w:tcPr>
            <w:tcW w:w="620" w:type="dxa"/>
            <w:vAlign w:val="bottom"/>
          </w:tcPr>
          <w:p>
            <w:pPr>
              <w:ind w:left="80"/>
              <w:spacing w:after="0" w:line="133" w:lineRule="exact"/>
              <w:rPr>
                <w:sz w:val="20"/>
                <w:szCs w:val="20"/>
                <w:color w:val="auto"/>
              </w:rPr>
            </w:pPr>
            <w:r>
              <w:rPr>
                <w:rFonts w:ascii="Arial" w:cs="Arial" w:eastAsia="Arial" w:hAnsi="Arial"/>
                <w:sz w:val="12"/>
                <w:szCs w:val="12"/>
                <w:color w:val="auto"/>
              </w:rPr>
              <w:t>Libya</w:t>
            </w:r>
          </w:p>
        </w:tc>
        <w:tc>
          <w:tcPr>
            <w:tcW w:w="1160" w:type="dxa"/>
            <w:vAlign w:val="bottom"/>
          </w:tcPr>
          <w:p>
            <w:pPr>
              <w:ind w:left="160"/>
              <w:spacing w:after="0" w:line="133" w:lineRule="exact"/>
              <w:rPr>
                <w:sz w:val="20"/>
                <w:szCs w:val="20"/>
                <w:color w:val="auto"/>
              </w:rPr>
            </w:pPr>
            <w:r>
              <w:rPr>
                <w:rFonts w:ascii="Arial" w:cs="Arial" w:eastAsia="Arial" w:hAnsi="Arial"/>
                <w:sz w:val="12"/>
                <w:szCs w:val="12"/>
                <w:color w:val="auto"/>
              </w:rPr>
              <w:t>Egypt</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Brunei</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Greece</w:t>
            </w:r>
          </w:p>
        </w:tc>
        <w:tc>
          <w:tcPr>
            <w:tcW w:w="620" w:type="dxa"/>
            <w:vAlign w:val="bottom"/>
          </w:tcPr>
          <w:p>
            <w:pPr>
              <w:ind w:left="80"/>
              <w:spacing w:after="0" w:line="133" w:lineRule="exact"/>
              <w:rPr>
                <w:sz w:val="20"/>
                <w:szCs w:val="20"/>
                <w:color w:val="auto"/>
              </w:rPr>
            </w:pPr>
            <w:r>
              <w:rPr>
                <w:rFonts w:ascii="Arial" w:cs="Arial" w:eastAsia="Arial" w:hAnsi="Arial"/>
                <w:sz w:val="12"/>
                <w:szCs w:val="12"/>
                <w:color w:val="auto"/>
              </w:rPr>
              <w:t>Nigeria</w:t>
            </w:r>
          </w:p>
        </w:tc>
        <w:tc>
          <w:tcPr>
            <w:tcW w:w="1160" w:type="dxa"/>
            <w:vAlign w:val="bottom"/>
          </w:tcPr>
          <w:p>
            <w:pPr>
              <w:ind w:left="160"/>
              <w:spacing w:after="0" w:line="133" w:lineRule="exact"/>
              <w:rPr>
                <w:sz w:val="20"/>
                <w:szCs w:val="20"/>
                <w:color w:val="auto"/>
              </w:rPr>
            </w:pPr>
            <w:r>
              <w:rPr>
                <w:rFonts w:ascii="Arial" w:cs="Arial" w:eastAsia="Arial" w:hAnsi="Arial"/>
                <w:sz w:val="12"/>
                <w:szCs w:val="12"/>
                <w:color w:val="auto"/>
              </w:rPr>
              <w:t>Iran</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China</w:t>
            </w:r>
          </w:p>
        </w:tc>
        <w:tc>
          <w:tcPr>
            <w:tcW w:w="11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Other Western</w:t>
            </w:r>
          </w:p>
        </w:tc>
        <w:tc>
          <w:tcPr>
            <w:tcW w:w="0" w:type="dxa"/>
            <w:vAlign w:val="bottom"/>
          </w:tcPr>
          <w:p>
            <w:pPr>
              <w:spacing w:after="0"/>
              <w:rPr>
                <w:sz w:val="1"/>
                <w:szCs w:val="1"/>
                <w:color w:val="auto"/>
              </w:rPr>
            </w:pPr>
          </w:p>
        </w:tc>
      </w:tr>
      <w:tr>
        <w:trPr>
          <w:trHeight w:val="119"/>
        </w:trPr>
        <w:tc>
          <w:tcPr>
            <w:tcW w:w="980" w:type="dxa"/>
            <w:vAlign w:val="bottom"/>
          </w:tcPr>
          <w:p>
            <w:pPr>
              <w:spacing w:after="0" w:line="120" w:lineRule="exact"/>
              <w:rPr>
                <w:sz w:val="20"/>
                <w:szCs w:val="20"/>
                <w:color w:val="auto"/>
              </w:rPr>
            </w:pPr>
            <w:r>
              <w:rPr>
                <w:rFonts w:ascii="Arial" w:cs="Arial" w:eastAsia="Arial" w:hAnsi="Arial"/>
                <w:sz w:val="12"/>
                <w:szCs w:val="12"/>
                <w:color w:val="auto"/>
              </w:rPr>
              <w:t>Hungary</w:t>
            </w:r>
          </w:p>
        </w:tc>
        <w:tc>
          <w:tcPr>
            <w:tcW w:w="620" w:type="dxa"/>
            <w:vAlign w:val="bottom"/>
          </w:tcPr>
          <w:p>
            <w:pPr>
              <w:spacing w:after="0"/>
              <w:rPr>
                <w:sz w:val="10"/>
                <w:szCs w:val="10"/>
                <w:color w:val="auto"/>
              </w:rPr>
            </w:pPr>
          </w:p>
        </w:tc>
        <w:tc>
          <w:tcPr>
            <w:tcW w:w="1160" w:type="dxa"/>
            <w:vAlign w:val="bottom"/>
          </w:tcPr>
          <w:p>
            <w:pPr>
              <w:ind w:left="160"/>
              <w:spacing w:after="0" w:line="120" w:lineRule="exact"/>
              <w:rPr>
                <w:sz w:val="20"/>
                <w:szCs w:val="20"/>
                <w:color w:val="auto"/>
              </w:rPr>
            </w:pPr>
            <w:r>
              <w:rPr>
                <w:rFonts w:ascii="Arial" w:cs="Arial" w:eastAsia="Arial" w:hAnsi="Arial"/>
                <w:sz w:val="12"/>
                <w:szCs w:val="12"/>
                <w:color w:val="auto"/>
              </w:rPr>
              <w:t>Oman</w:t>
            </w:r>
          </w:p>
        </w:tc>
        <w:tc>
          <w:tcPr>
            <w:tcW w:w="1060" w:type="dxa"/>
            <w:vAlign w:val="bottom"/>
          </w:tcPr>
          <w:p>
            <w:pPr>
              <w:ind w:left="140"/>
              <w:spacing w:after="0" w:line="120" w:lineRule="exact"/>
              <w:rPr>
                <w:sz w:val="20"/>
                <w:szCs w:val="20"/>
                <w:color w:val="auto"/>
              </w:rPr>
            </w:pPr>
            <w:r>
              <w:rPr>
                <w:rFonts w:ascii="Arial" w:cs="Arial" w:eastAsia="Arial" w:hAnsi="Arial"/>
                <w:sz w:val="12"/>
                <w:szCs w:val="12"/>
                <w:color w:val="auto"/>
              </w:rPr>
              <w:t>India</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Italy</w:t>
            </w:r>
          </w:p>
        </w:tc>
        <w:tc>
          <w:tcPr>
            <w:tcW w:w="620" w:type="dxa"/>
            <w:vAlign w:val="bottom"/>
          </w:tcPr>
          <w:p>
            <w:pPr>
              <w:spacing w:after="0"/>
              <w:rPr>
                <w:sz w:val="12"/>
                <w:szCs w:val="12"/>
                <w:color w:val="auto"/>
              </w:rPr>
            </w:pPr>
          </w:p>
        </w:tc>
        <w:tc>
          <w:tcPr>
            <w:tcW w:w="1160" w:type="dxa"/>
            <w:vAlign w:val="bottom"/>
          </w:tcPr>
          <w:p>
            <w:pPr>
              <w:ind w:left="160"/>
              <w:spacing w:after="0"/>
              <w:rPr>
                <w:sz w:val="20"/>
                <w:szCs w:val="20"/>
                <w:color w:val="auto"/>
              </w:rPr>
            </w:pPr>
            <w:r>
              <w:rPr>
                <w:rFonts w:ascii="Arial" w:cs="Arial" w:eastAsia="Arial" w:hAnsi="Arial"/>
                <w:sz w:val="12"/>
                <w:szCs w:val="12"/>
                <w:color w:val="auto"/>
              </w:rPr>
              <w:t>Qatar</w:t>
            </w:r>
          </w:p>
        </w:tc>
        <w:tc>
          <w:tcPr>
            <w:tcW w:w="1060" w:type="dxa"/>
            <w:vAlign w:val="bottom"/>
          </w:tcPr>
          <w:p>
            <w:pPr>
              <w:ind w:left="140"/>
              <w:spacing w:after="0"/>
              <w:rPr>
                <w:sz w:val="20"/>
                <w:szCs w:val="20"/>
                <w:color w:val="auto"/>
              </w:rPr>
            </w:pPr>
            <w:r>
              <w:rPr>
                <w:rFonts w:ascii="Arial" w:cs="Arial" w:eastAsia="Arial" w:hAnsi="Arial"/>
                <w:sz w:val="12"/>
                <w:szCs w:val="12"/>
                <w:color w:val="auto"/>
              </w:rPr>
              <w:t>Japan</w:t>
            </w:r>
          </w:p>
        </w:tc>
        <w:tc>
          <w:tcPr>
            <w:tcW w:w="1160" w:type="dxa"/>
            <w:vAlign w:val="bottom"/>
          </w:tcPr>
          <w:p>
            <w:pPr>
              <w:ind w:left="220"/>
              <w:spacing w:after="0"/>
              <w:rPr>
                <w:sz w:val="20"/>
                <w:szCs w:val="20"/>
                <w:color w:val="auto"/>
              </w:rPr>
            </w:pPr>
            <w:r>
              <w:rPr>
                <w:rFonts w:ascii="Arial" w:cs="Arial" w:eastAsia="Arial" w:hAnsi="Arial"/>
                <w:sz w:val="12"/>
                <w:szCs w:val="12"/>
                <w:b w:val="1"/>
                <w:bCs w:val="1"/>
                <w:color w:val="auto"/>
              </w:rPr>
              <w:t>Hemisphere</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The Netherlands</w:t>
            </w:r>
          </w:p>
        </w:tc>
        <w:tc>
          <w:tcPr>
            <w:tcW w:w="620" w:type="dxa"/>
            <w:vAlign w:val="bottom"/>
          </w:tcPr>
          <w:p>
            <w:pPr>
              <w:spacing w:after="0"/>
              <w:rPr>
                <w:sz w:val="11"/>
                <w:szCs w:val="11"/>
                <w:color w:val="auto"/>
              </w:rPr>
            </w:pPr>
          </w:p>
        </w:tc>
        <w:tc>
          <w:tcPr>
            <w:tcW w:w="1160" w:type="dxa"/>
            <w:vAlign w:val="bottom"/>
          </w:tcPr>
          <w:p>
            <w:pPr>
              <w:ind w:left="160"/>
              <w:spacing w:after="0" w:line="133" w:lineRule="exact"/>
              <w:rPr>
                <w:sz w:val="20"/>
                <w:szCs w:val="20"/>
                <w:color w:val="auto"/>
              </w:rPr>
            </w:pPr>
            <w:r>
              <w:rPr>
                <w:rFonts w:ascii="Arial" w:cs="Arial" w:eastAsia="Arial" w:hAnsi="Arial"/>
                <w:sz w:val="12"/>
                <w:szCs w:val="12"/>
                <w:color w:val="auto"/>
              </w:rPr>
              <w:t>Russia</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Malaysia</w:t>
            </w:r>
          </w:p>
        </w:tc>
        <w:tc>
          <w:tcPr>
            <w:tcW w:w="1160" w:type="dxa"/>
            <w:vAlign w:val="bottom"/>
          </w:tcPr>
          <w:p>
            <w:pPr>
              <w:ind w:left="220"/>
              <w:spacing w:after="0" w:line="133" w:lineRule="exact"/>
              <w:rPr>
                <w:sz w:val="20"/>
                <w:szCs w:val="20"/>
                <w:color w:val="auto"/>
              </w:rPr>
            </w:pPr>
            <w:r>
              <w:rPr>
                <w:rFonts w:ascii="Arial" w:cs="Arial" w:eastAsia="Arial" w:hAnsi="Arial"/>
                <w:sz w:val="12"/>
                <w:szCs w:val="12"/>
                <w:color w:val="auto"/>
              </w:rPr>
              <w:t>Bolivia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Norway</w:t>
            </w:r>
          </w:p>
        </w:tc>
        <w:tc>
          <w:tcPr>
            <w:tcW w:w="620" w:type="dxa"/>
            <w:vAlign w:val="bottom"/>
          </w:tcPr>
          <w:p>
            <w:pPr>
              <w:spacing w:after="0"/>
              <w:rPr>
                <w:sz w:val="11"/>
                <w:szCs w:val="11"/>
                <w:color w:val="auto"/>
              </w:rPr>
            </w:pPr>
          </w:p>
        </w:tc>
        <w:tc>
          <w:tcPr>
            <w:tcW w:w="1160" w:type="dxa"/>
            <w:vAlign w:val="bottom"/>
          </w:tcPr>
          <w:p>
            <w:pPr>
              <w:ind w:left="160"/>
              <w:spacing w:after="0" w:line="133" w:lineRule="exact"/>
              <w:rPr>
                <w:sz w:val="20"/>
                <w:szCs w:val="20"/>
                <w:color w:val="auto"/>
              </w:rPr>
            </w:pPr>
            <w:r>
              <w:rPr>
                <w:rFonts w:ascii="Arial" w:cs="Arial" w:eastAsia="Arial" w:hAnsi="Arial"/>
                <w:sz w:val="12"/>
                <w:szCs w:val="12"/>
                <w:color w:val="auto"/>
              </w:rPr>
              <w:t>United Arab</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Singapore</w:t>
            </w:r>
          </w:p>
        </w:tc>
        <w:tc>
          <w:tcPr>
            <w:tcW w:w="1160" w:type="dxa"/>
            <w:vAlign w:val="bottom"/>
          </w:tcPr>
          <w:p>
            <w:pPr>
              <w:ind w:left="220"/>
              <w:spacing w:after="0" w:line="133" w:lineRule="exact"/>
              <w:rPr>
                <w:sz w:val="20"/>
                <w:szCs w:val="20"/>
                <w:color w:val="auto"/>
              </w:rPr>
            </w:pPr>
            <w:r>
              <w:rPr>
                <w:rFonts w:ascii="Arial" w:cs="Arial" w:eastAsia="Arial" w:hAnsi="Arial"/>
                <w:sz w:val="12"/>
                <w:szCs w:val="12"/>
                <w:color w:val="auto"/>
              </w:rPr>
              <w:t>Brazil</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Spain</w:t>
            </w:r>
          </w:p>
        </w:tc>
        <w:tc>
          <w:tcPr>
            <w:tcW w:w="620" w:type="dxa"/>
            <w:vAlign w:val="bottom"/>
          </w:tcPr>
          <w:p>
            <w:pPr>
              <w:spacing w:after="0"/>
              <w:rPr>
                <w:sz w:val="11"/>
                <w:szCs w:val="11"/>
                <w:color w:val="auto"/>
              </w:rPr>
            </w:pPr>
          </w:p>
        </w:tc>
        <w:tc>
          <w:tcPr>
            <w:tcW w:w="1160" w:type="dxa"/>
            <w:vAlign w:val="bottom"/>
          </w:tcPr>
          <w:p>
            <w:pPr>
              <w:ind w:left="260"/>
              <w:spacing w:after="0" w:line="133" w:lineRule="exact"/>
              <w:rPr>
                <w:sz w:val="20"/>
                <w:szCs w:val="20"/>
                <w:color w:val="auto"/>
              </w:rPr>
            </w:pPr>
            <w:r>
              <w:rPr>
                <w:rFonts w:ascii="Arial" w:cs="Arial" w:eastAsia="Arial" w:hAnsi="Arial"/>
                <w:sz w:val="12"/>
                <w:szCs w:val="12"/>
                <w:color w:val="auto"/>
              </w:rPr>
              <w:t>Emirates</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South Korea</w:t>
            </w:r>
          </w:p>
        </w:tc>
        <w:tc>
          <w:tcPr>
            <w:tcW w:w="1160" w:type="dxa"/>
            <w:vAlign w:val="bottom"/>
          </w:tcPr>
          <w:p>
            <w:pPr>
              <w:ind w:left="220"/>
              <w:spacing w:after="0" w:line="133" w:lineRule="exact"/>
              <w:rPr>
                <w:sz w:val="20"/>
                <w:szCs w:val="20"/>
                <w:color w:val="auto"/>
              </w:rPr>
            </w:pPr>
            <w:r>
              <w:rPr>
                <w:rFonts w:ascii="Arial" w:cs="Arial" w:eastAsia="Arial" w:hAnsi="Arial"/>
                <w:sz w:val="12"/>
                <w:szCs w:val="12"/>
                <w:color w:val="auto"/>
              </w:rPr>
              <w:t>Mexico</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Turkey</w:t>
            </w: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UK</w:t>
            </w:r>
          </w:p>
        </w:tc>
        <w:tc>
          <w:tcPr>
            <w:tcW w:w="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20"/>
                <w:szCs w:val="20"/>
                <w:color w:val="auto"/>
              </w:rPr>
            </w:pPr>
            <w:r>
              <w:rPr>
                <w:rFonts w:ascii="Arial" w:cs="Arial" w:eastAsia="Arial" w:hAnsi="Arial"/>
                <w:sz w:val="12"/>
                <w:szCs w:val="12"/>
                <w:color w:val="auto"/>
              </w:rPr>
              <w:t>Ukraine</w:t>
            </w: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40"/>
        <w:spacing w:after="0"/>
        <w:rPr>
          <w:sz w:val="20"/>
          <w:szCs w:val="20"/>
          <w:color w:val="auto"/>
        </w:rPr>
      </w:pPr>
      <w:r>
        <w:rPr>
          <w:rFonts w:ascii="Arial" w:cs="Arial" w:eastAsia="Arial" w:hAnsi="Arial"/>
          <w:sz w:val="12"/>
          <w:szCs w:val="12"/>
          <w:color w:val="auto"/>
        </w:rPr>
        <w:t>[A] Commonwealth of Independent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hanging="280"/>
        <w:spacing w:after="0"/>
        <w:tabs>
          <w:tab w:leader="none" w:pos="420" w:val="left"/>
        </w:tabs>
        <w:numPr>
          <w:ilvl w:val="0"/>
          <w:numId w:val="3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31635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Gas &amp; Power is part of the upstream business, which also includes Exploration &amp; Production. Gas &amp; Power liquefies and transports natural gas and develops natural gas markets and related infrastructure. With our joint venture partners, we continue to deliver LNG into the Asia-Pacific, European and North American markets, mainly through long-term contracts to utility companies. Through our European and North American marketing organisations, we supplied some of this LNG – in addition to local Shell and third-party gas production – to a broad range of customers, including industrial and commercial customers and distribution companies.</w:t>
      </w:r>
    </w:p>
    <w:p>
      <w:pPr>
        <w:spacing w:after="0" w:line="179"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We continued to grow our position as one of the world’s largest LNG producers during 2007. We have interests in operational gas liquefaction ventures in five different countries. LNG sales are expected to grow in the coming years following the completion of five new LNG trains currently under construction. We expanded our gas marketing and trading business through entering new countries in Europe and an acquisition in North America. We are growing the world’s largest gas to liquids (GTL) business by constructing a major new plant in Qatar to add to our operating venture in Bintulu, Malaysia. Our coal conversion business expanded with the issuing of four new coal gasification licences and the start up of five coal gasification plants in China using our licensed technology. Our wind energy business also continues to develop.</w:t>
      </w:r>
    </w:p>
    <w:p>
      <w:pPr>
        <w:spacing w:after="0" w:line="179"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Gas &amp; Power has operations in 33 countries around the world and employed on average 3,000 people during 2007. In 2007, revenue was $17.0 billion with segment earnings of $2.8 billion. The overall growth in the business is reflected in our earnings, the delivery of record LNG sales volumes and higher capital investment. LNG currently generates the majority of Gas &amp; Power earnings and this is expected to continue. Therefore, LNG sales volumes is deemed to be the most important performance indicator for Gas &amp; Power.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31635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Segment earnings in 2007 were $2,781 million, a 6% increase over 2006. The earnings in 2007 included net gains of $275 million, mainly related to the sale of common units in Enterprise Products Partners LP. Excluding these items, earnings decreased by 5% from 2006. The earnings decrease was mainly due to lower earnings from marketing and trading activities as result of less favourable overall trading conditions in both Europe and North America. It was partly offset by higher earnings from record LNG sales volumes, as well as strong LNG and GTL prices reflecting high crude oil and natural gas prices.</w:t>
      </w:r>
    </w:p>
    <w:p>
      <w:pPr>
        <w:spacing w:after="0" w:line="183"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Segment earnings in 2006 were $2,633 million, 91% higher than in 2005, mainly due to higher LNG sales volumes, LNG and GTL prices reflecting high crude oil and natural gas prices, LNG supply optimisation, a strong performance from marketing and trading activities in Europe and North America, and higher dividends from our investments. Results in 2005 included net charges of $84 million, mainly related to asset divestments and impairment; excluding these items earnings in 2006 increased by 80% over 2005.</w:t>
      </w:r>
    </w:p>
    <w:p>
      <w:pPr>
        <w:spacing w:after="0" w:line="182"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LNG sales volumes in 2007 of 13.18 million tonnes were a record, an increase of 9% from 2006 (12.12 million tonnes). The volume increase was mainly driven by increased gas supply to the Nigeria LNG venture (Shell interest 26%). This was complemented by high liquefaction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1146810</wp:posOffset>
            </wp:positionV>
            <wp:extent cx="725297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20" w:space="280"/>
            <w:col w:w="5000"/>
          </w:cols>
          <w:pgMar w:left="240" w:top="415" w:right="125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reliability across all the operational liquefaction plants in which Shell has an interest.</w:t>
      </w:r>
    </w:p>
    <w:p>
      <w:pPr>
        <w:spacing w:after="0" w:line="210"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LNG sales volumes in 2006 were up 14% from 2005 driven mainly by the start-up of the fourth and fifth train at Nigeria LNG (Shell interest 26%), and Qalhat LNG in Oman (Shell indirect interest 11%).</w:t>
      </w:r>
    </w:p>
    <w:p>
      <w:pPr>
        <w:spacing w:after="0" w:line="180" w:lineRule="exact"/>
        <w:rPr>
          <w:sz w:val="20"/>
          <w:szCs w:val="20"/>
          <w:color w:val="auto"/>
        </w:rPr>
      </w:pPr>
    </w:p>
    <w:p>
      <w:pPr>
        <w:ind w:right="120"/>
        <w:spacing w:after="0" w:line="251" w:lineRule="auto"/>
        <w:rPr>
          <w:sz w:val="20"/>
          <w:szCs w:val="20"/>
          <w:color w:val="auto"/>
        </w:rPr>
      </w:pPr>
      <w:r>
        <w:rPr>
          <w:rFonts w:ascii="Arial" w:cs="Arial" w:eastAsia="Arial" w:hAnsi="Arial"/>
          <w:sz w:val="13"/>
          <w:szCs w:val="13"/>
          <w:color w:val="auto"/>
        </w:rPr>
        <w:t>LNG volumes to India, utilising the Hazira regasification terminal completed in 2005 (Shell interest 74%), increased in 2007. More LNG volumes were delivered into Mexico in 2007, following the commissioning of the Altamira LNG regasification terminal in 2006 (Shell interest 50%, with rights to 75% of the terminal capacity).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 business environment for natural gas remains robust. We expect natural gas demand growth to remain around 2-3% per annum over the medium term, reflecting moderate economic growth. Demand weakness, if it occurred, would likely be the result of a severe economic downturn. LNG demand is expected to continue to grow at around 8-10% per annum for the next few years with growth in all major markets.</w:t>
      </w:r>
    </w:p>
    <w:p>
      <w:pPr>
        <w:spacing w:after="0" w:line="176"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We anticipate LNG prices in Asia Pacific to remain strong in the foreseeable future due to strong demand from traditional markets such as Japan and Korea and growing demand from the emerging markets in China and India. Concerns over the cost, security and environmental impact of conventional energy supply will continue to increase interest in alternative sources of energy, including clean coal and wind.</w:t>
      </w:r>
    </w:p>
    <w:p>
      <w:pPr>
        <w:spacing w:after="0" w:line="17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Our strategy remains unchanged. We seek to build our position as one of the world’s largest natural gas producers and suppliers of LNG, with a significant presence in the key markets of North America, Asia Pacific and Europe. We aim to access and monetise new natural gas resources by offering competitive value propositions to our customers and major resource holders. In doing so, we leverage a diverse natural gas portfolio; global capabilities including commercial skills, financing, marketing, trading, shipping and project management expertise; premium market access (for LNG and GTL); and leading technology and technical skills.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 AND 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Capital investment in 2007 of $3.5 billion was 50% higher than the $2.4 billion of capital investment in 2006. The capital investment increase from 2006 is mainly due to higher spending on the Qatar Pearl GTL project following the final investment decision in July 2006. Investment also continued on LNG plants including Nigeria LNG Train 6, North West Shelf Train 5, Sakhalin II Trains 1 and 2 and Qatargas 4, as well as the 164 MW Mount Storm Phase I wind energy project in the USA.</w:t>
      </w:r>
    </w:p>
    <w:p>
      <w:pPr>
        <w:spacing w:after="0" w:line="177" w:lineRule="exact"/>
        <w:rPr>
          <w:sz w:val="20"/>
          <w:szCs w:val="20"/>
          <w:color w:val="auto"/>
        </w:rPr>
      </w:pPr>
    </w:p>
    <w:p>
      <w:pPr>
        <w:ind w:right="220"/>
        <w:spacing w:after="0" w:line="260" w:lineRule="auto"/>
        <w:rPr>
          <w:sz w:val="20"/>
          <w:szCs w:val="20"/>
          <w:color w:val="auto"/>
        </w:rPr>
      </w:pPr>
      <w:r>
        <w:rPr>
          <w:rFonts w:ascii="Arial" w:cs="Arial" w:eastAsia="Arial" w:hAnsi="Arial"/>
          <w:sz w:val="13"/>
          <w:szCs w:val="13"/>
          <w:color w:val="auto"/>
        </w:rPr>
        <w:t>In Australia, Woodside Petroleum Ltd (Shell interest 34%) formally launched the development of the Pluto I LNG project in North West Australia. State and Federal environmental approvals were granted for the Pluto I LNG project in October 2007.</w:t>
      </w:r>
    </w:p>
    <w:p>
      <w:pPr>
        <w:spacing w:after="0" w:line="167"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auto"/>
        </w:rPr>
        <w:t>In April 2007, Shell and its partners completed the divestment to OAO Gazprom of 50% of their interest plus one share in Sakhalin Energy Investment Company Ltd (SEIC) in Russia (see Summary of results, page 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In the USA, as part of a long-term structured exit strategy, we concluded the sale of Shell’s participation in Enterprise Products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-333375</wp:posOffset>
            </wp:positionV>
            <wp:extent cx="177800" cy="8145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7800" cy="8145145"/>
                    </a:xfrm>
                    <a:prstGeom prst="rect">
                      <a:avLst/>
                    </a:prstGeom>
                    <a:noFill/>
                  </pic:spPr>
                </pic:pic>
              </a:graphicData>
            </a:graphic>
          </wp:anchor>
        </w:drawing>
      </w:r>
    </w:p>
    <w:p>
      <w:pPr>
        <w:spacing w:after="0" w:line="155"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Also in the USA, the final investment decision was taken in the fourth quarter on the 100 MW expansion of the Mount Storm wind project in the USA (Shell interest 50%).</w:t>
      </w:r>
    </w:p>
    <w:p>
      <w:pPr>
        <w:spacing w:after="0" w:line="151"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In Europe, Shell and ExxonMobil agreed to sell their joint interest in the German gas transportation business of BEB to N.V. Nederlandse Gasunie. Completion of the sale is expected in 2008.</w:t>
      </w:r>
    </w:p>
    <w:p>
      <w:pPr>
        <w:spacing w:after="0" w:line="18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In November 2007, Shell entered into an agreement for the sale of an LNG vessel. The sale was completed in early 2008.</w:t>
      </w:r>
    </w:p>
    <w:p>
      <w:pPr>
        <w:spacing w:after="0" w:line="175"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During the year, Shell completed the divestment of its rural solar businesses in India and Sri Lanka.</w:t>
      </w:r>
    </w:p>
    <w:p>
      <w:pPr>
        <w:spacing w:after="0" w:line="175" w:lineRule="exact"/>
        <w:rPr>
          <w:sz w:val="20"/>
          <w:szCs w:val="20"/>
          <w:color w:val="auto"/>
        </w:rPr>
      </w:pPr>
    </w:p>
    <w:p>
      <w:pPr>
        <w:ind w:right="120"/>
        <w:spacing w:after="0" w:line="228" w:lineRule="auto"/>
        <w:rPr>
          <w:sz w:val="20"/>
          <w:szCs w:val="20"/>
          <w:color w:val="auto"/>
        </w:rPr>
      </w:pPr>
      <w:r>
        <w:rPr>
          <w:rFonts w:ascii="Arial" w:cs="Arial" w:eastAsia="Arial" w:hAnsi="Arial"/>
          <w:sz w:val="14"/>
          <w:szCs w:val="14"/>
          <w:color w:val="auto"/>
        </w:rPr>
        <w:t>Capital investment in 2006 of $2.4 billion, including the minority interest share of capital investment in the Sakhalin II project of $400 million, was 42% higher than the $1.7 billion of capital investment in 2005. There was no major divestment activity in 2006. In 2005, Shell sold its interest in InterGen, a power generation joint venture operating in several countries.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NEW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31635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In Australia, the North West Shelf venture (Shell direct and indirect interest 22%) completed the renewal of long-term LNG purchase commitments with eight Japanese customers, totalling 4.3 million tonnes per annum (100%) over 6 to 8 years as from 2009.</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Shell and Petrochina concluded a binding heads of agreement for the supply of</w:t>
      </w:r>
    </w:p>
    <w:p>
      <w:pPr>
        <w:ind w:right="180"/>
        <w:spacing w:after="0" w:line="226" w:lineRule="auto"/>
        <w:rPr>
          <w:sz w:val="20"/>
          <w:szCs w:val="20"/>
          <w:color w:val="auto"/>
        </w:rPr>
      </w:pPr>
      <w:r>
        <w:rPr>
          <w:rFonts w:ascii="Arial" w:cs="Arial" w:eastAsia="Arial" w:hAnsi="Arial"/>
          <w:sz w:val="14"/>
          <w:szCs w:val="14"/>
          <w:color w:val="auto"/>
        </w:rPr>
        <w:t>1 million tonnes per annum of LNG for 20 years from the Gorgon project in North West Australia (Shell interest 25%), conditional on a final investment decision being taken by the Gorgon joint venture partners. The Gorgon project received federal environmental approval during the year.</w:t>
      </w:r>
    </w:p>
    <w:p>
      <w:pPr>
        <w:spacing w:after="0" w:line="181"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In Qatar, Shell and Qatar Petroleum announced the formation of Qatar Liquefied Gas Company Limited (4), a joint venture between Qatar Petroleum (70%) and Shell</w:t>
      </w:r>
    </w:p>
    <w:p>
      <w:pPr>
        <w:ind w:right="20"/>
        <w:spacing w:after="0" w:line="224" w:lineRule="auto"/>
        <w:rPr>
          <w:sz w:val="20"/>
          <w:szCs w:val="20"/>
          <w:color w:val="auto"/>
        </w:rPr>
      </w:pPr>
      <w:r>
        <w:rPr>
          <w:rFonts w:ascii="Arial" w:cs="Arial" w:eastAsia="Arial" w:hAnsi="Arial"/>
          <w:sz w:val="14"/>
          <w:szCs w:val="14"/>
          <w:color w:val="auto"/>
        </w:rPr>
        <w:t>(30%), which signed a sale and purchase agreement with Shell as the buyer of the LNG volumes (up to 7.8 mtpa) produced by the joint venture. An agreement was also signed with Qatargas Transport Company Limited (Nakilat), in which Shell was appointed as the shipping and maritime services provider for Nakilat’s fleet of at least 25 newly built liquefied natural gas carriers.</w:t>
      </w:r>
    </w:p>
    <w:p>
      <w:pPr>
        <w:spacing w:after="0" w:line="182"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Shell and Gazprom signed an agreement under which Gazprom will supply 250 million cubic metres of natural gas per annum from 2007 until 2021 to Shell in Turkey. The agreement follows a gas contract release tender organised by Botas, the Turkish natural gas and pipeline company, that formed part of the gas market liberalisation process in Turkey.</w:t>
      </w:r>
    </w:p>
    <w:p>
      <w:pPr>
        <w:spacing w:after="0" w:line="181"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In Russia, final contracts were signed with further customers for LNG supply from the Sakhalin II project (Shell interest 27.5%). Total firm sales over the plateau period amount to 9.4 million tonnes per annum, representing 98% of the nameplate capacity of the plant.</w:t>
      </w:r>
    </w:p>
    <w:p>
      <w:pPr>
        <w:spacing w:after="0" w:line="179" w:lineRule="exact"/>
        <w:rPr>
          <w:sz w:val="20"/>
          <w:szCs w:val="20"/>
          <w:color w:val="auto"/>
        </w:rPr>
      </w:pPr>
    </w:p>
    <w:p>
      <w:pPr>
        <w:ind w:right="220"/>
        <w:spacing w:after="0" w:line="260" w:lineRule="auto"/>
        <w:rPr>
          <w:sz w:val="20"/>
          <w:szCs w:val="20"/>
          <w:color w:val="auto"/>
        </w:rPr>
      </w:pPr>
      <w:r>
        <w:rPr>
          <w:rFonts w:ascii="Arial" w:cs="Arial" w:eastAsia="Arial" w:hAnsi="Arial"/>
          <w:sz w:val="13"/>
          <w:szCs w:val="13"/>
          <w:color w:val="auto"/>
        </w:rPr>
        <w:t>In the USA, Shell entered into an agreement with the owner of the Elba Island LNG regasification terminal for 45% of the capacity rights to a terminal expansion and required pipeline offtake linking the terminal with the existing main gas pipeline.</w:t>
      </w:r>
    </w:p>
    <w:p>
      <w:pPr>
        <w:spacing w:after="0" w:line="200" w:lineRule="exact"/>
        <w:rPr>
          <w:sz w:val="20"/>
          <w:szCs w:val="20"/>
          <w:color w:val="auto"/>
        </w:rPr>
      </w:pPr>
    </w:p>
    <w:p>
      <w:pPr>
        <w:spacing w:after="0" w:line="207" w:lineRule="exact"/>
        <w:rPr>
          <w:sz w:val="20"/>
          <w:szCs w:val="20"/>
          <w:color w:val="auto"/>
        </w:rPr>
      </w:pPr>
    </w:p>
    <w:p>
      <w:pPr>
        <w:ind w:left="3620"/>
        <w:spacing w:after="0"/>
        <w:tabs>
          <w:tab w:leader="none" w:pos="48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2366010</wp:posOffset>
            </wp:positionV>
            <wp:extent cx="725297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GAS &amp; POWER</w:t>
      </w:r>
    </w:p>
    <w:p>
      <w:pPr>
        <w:spacing w:after="0" w:line="314"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color w:val="auto"/>
        </w:rPr>
        <w:t>The engineering design of the rejuvenation of the Marsa Al Brega LNG plant is complete and construction work is expected to start in 2008 under the management of a subsidiary of the National Oil Corporation of the Great Socialist People’s Libyan Arab Jamahiriya.</w:t>
      </w:r>
    </w:p>
    <w:p>
      <w:pPr>
        <w:spacing w:after="0" w:line="167"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Dongting coal gasification plant at Yueyang, China, owned by a joint venture (Shell interest 50%) with China Petroleum and Chemical Corporation (Sinopec), began commercial operations in May, 2007. The plant provides synthesis gas to Sinopec downstream business units. A further four coal gasification projects in China using Shell coal gasification licensed technology also started operations during the year.</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In the UK, Shell signed a licence agreement with Powerfuel plc, which entitles Powerfuel to use Shell coal gasification technology in its proposed 900 MW integrated gasification combined cycle coal fired power station in South Yorkshire. In the USA, Shell entered into a licence agreement with Baard Energy LLC, giving it the right to use Shell’s proprietary coal gasification technology in Baard’s proposed coal-to-liquid fuel (CTL) project in Ohio.</w:t>
      </w:r>
    </w:p>
    <w:p>
      <w:pPr>
        <w:spacing w:after="0" w:line="176"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In Vietnam, a licence agreement was signed with Vietnam National Chemical Corporation for the use of the Shell coal gasification technology at the Ninh Binh fertilizer plant, south of Hanoi.</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 focus of Gas &amp; Power research and development (R&amp;D) is on technical, environmental and cost leadership in existing businesses and the creation of viable new business opportunities. A key focus is on maintaining our competitive position in LNG technology, particularly in the area of LNG processing, safety, environmental impact, transport and storage. Shell is further developing its position in GTL conversion through R&amp;D programmes aimed at improving catalysts and process technology to reduce capital costs and improve process efficiency and environmental performance. GTL product development is also an important area. In support of its clean coal energy business, Gas &amp; Power continued to develop its coal and biomass gasification technologies and explore additional synthesis gas (syngas) conversion technologies with an emphasis on reducing capital costs, increasing scale, feedstock use and environmental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0" w:hanging="273"/>
        <w:spacing w:after="0"/>
        <w:tabs>
          <w:tab w:leader="none" w:pos="280" w:val="left"/>
        </w:tabs>
        <w:numPr>
          <w:ilvl w:val="0"/>
          <w:numId w:val="4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ind w:right="100"/>
        <w:spacing w:after="0" w:line="228" w:lineRule="auto"/>
        <w:rPr>
          <w:sz w:val="20"/>
          <w:szCs w:val="20"/>
          <w:color w:val="auto"/>
        </w:rPr>
      </w:pPr>
      <w:r>
        <w:rPr>
          <w:rFonts w:ascii="Arial" w:cs="Arial" w:eastAsia="Arial" w:hAnsi="Arial"/>
          <w:sz w:val="14"/>
          <w:szCs w:val="14"/>
          <w:color w:val="auto"/>
        </w:rPr>
        <w:t>Our Gas &amp; Power business liquefies, transports and delivers natural gas to our customers, and develops natural gas markets and related infrastructure. It also converts natural gas to liquids to provide clean fuels. New opportunities are also emerging for application of our proprietary coal gasification process. Most of these activities, in particular those involving LNG, are carried out by equity-accounted investments.</w:t>
      </w:r>
    </w:p>
    <w:p>
      <w:pPr>
        <w:spacing w:after="0" w:line="181" w:lineRule="exact"/>
        <w:rPr>
          <w:sz w:val="20"/>
          <w:szCs w:val="20"/>
          <w:color w:val="auto"/>
        </w:rPr>
      </w:pPr>
    </w:p>
    <w:p>
      <w:pPr>
        <w:jc w:val="both"/>
        <w:ind w:right="460"/>
        <w:spacing w:after="0" w:line="251" w:lineRule="auto"/>
        <w:rPr>
          <w:sz w:val="20"/>
          <w:szCs w:val="20"/>
          <w:color w:val="auto"/>
        </w:rPr>
      </w:pPr>
      <w:r>
        <w:rPr>
          <w:rFonts w:ascii="Arial" w:cs="Arial" w:eastAsia="Arial" w:hAnsi="Arial"/>
          <w:sz w:val="13"/>
          <w:szCs w:val="13"/>
          <w:color w:val="auto"/>
        </w:rPr>
        <w:t>Shell Trading markets and trades natural gas and electricity in support of Gas &amp; Power’s business. Shell Global Solutions provides business and operational consultancy, technical services, research and development and catalysts to the LNG, GTL and coal gasification businesses of Gas &amp; Power as well as, in some cases, to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54610</wp:posOffset>
            </wp:positionV>
            <wp:extent cx="3510280" cy="1860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10280" cy="186055"/>
                    </a:xfrm>
                    <a:prstGeom prst="rect">
                      <a:avLst/>
                    </a:prstGeom>
                    <a:noFill/>
                  </pic:spPr>
                </pic:pic>
              </a:graphicData>
            </a:graphic>
          </wp:anchor>
        </w:drawing>
      </w:r>
    </w:p>
    <w:p>
      <w:pPr>
        <w:spacing w:after="0" w:line="77" w:lineRule="exact"/>
        <w:rPr>
          <w:sz w:val="20"/>
          <w:szCs w:val="20"/>
          <w:color w:val="auto"/>
        </w:rPr>
      </w:pPr>
    </w:p>
    <w:p>
      <w:pPr>
        <w:ind w:left="20" w:right="1760"/>
        <w:spacing w:after="0" w:line="253" w:lineRule="auto"/>
        <w:rPr>
          <w:sz w:val="20"/>
          <w:szCs w:val="20"/>
          <w:color w:val="auto"/>
        </w:rPr>
      </w:pPr>
      <w:r>
        <w:rPr>
          <w:rFonts w:ascii="Arial" w:cs="Arial" w:eastAsia="Arial" w:hAnsi="Arial"/>
          <w:sz w:val="11"/>
          <w:szCs w:val="11"/>
          <w:b w:val="1"/>
          <w:bCs w:val="1"/>
          <w:color w:val="FFFFFF"/>
        </w:rPr>
        <w:t>SHELL INTEREST, DIRECT AND INDIRECT, IN LNG LIQUEFACTION PLANT CAPACITY (At December 31, 2007)</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40" w:type="dxa"/>
            <w:vAlign w:val="bottom"/>
            <w:shd w:val="clear" w:color="auto" w:fill="CECAC6"/>
          </w:tcPr>
          <w:p>
            <w:pPr>
              <w:spacing w:after="0"/>
              <w:rPr>
                <w:sz w:val="12"/>
                <w:szCs w:val="12"/>
                <w:color w:val="auto"/>
              </w:rPr>
            </w:pPr>
          </w:p>
        </w:tc>
        <w:tc>
          <w:tcPr>
            <w:tcW w:w="940" w:type="dxa"/>
            <w:vAlign w:val="bottom"/>
            <w:shd w:val="clear" w:color="auto" w:fill="CECAC6"/>
          </w:tcPr>
          <w:p>
            <w:pPr>
              <w:spacing w:after="0"/>
              <w:rPr>
                <w:sz w:val="12"/>
                <w:szCs w:val="12"/>
                <w:color w:val="auto"/>
              </w:rPr>
            </w:pPr>
          </w:p>
        </w:tc>
        <w:tc>
          <w:tcPr>
            <w:tcW w:w="112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Shell interest,</w:t>
            </w:r>
          </w:p>
        </w:tc>
        <w:tc>
          <w:tcPr>
            <w:tcW w:w="15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100% capacity million</w:t>
            </w:r>
          </w:p>
        </w:tc>
      </w:tr>
      <w:tr>
        <w:trPr>
          <w:trHeight w:val="153"/>
        </w:trPr>
        <w:tc>
          <w:tcPr>
            <w:tcW w:w="1840" w:type="dxa"/>
            <w:vAlign w:val="bottom"/>
            <w:shd w:val="clear" w:color="auto" w:fill="CECAC6"/>
          </w:tcPr>
          <w:p>
            <w:pPr>
              <w:spacing w:after="0"/>
              <w:rPr>
                <w:sz w:val="13"/>
                <w:szCs w:val="13"/>
                <w:color w:val="auto"/>
              </w:rPr>
            </w:pPr>
          </w:p>
        </w:tc>
        <w:tc>
          <w:tcPr>
            <w:tcW w:w="2060" w:type="dxa"/>
            <w:vAlign w:val="bottom"/>
            <w:gridSpan w:val="2"/>
            <w:shd w:val="clear" w:color="auto" w:fill="CECAC6"/>
          </w:tcPr>
          <w:p>
            <w:pPr>
              <w:jc w:val="right"/>
              <w:ind w:right="138"/>
              <w:spacing w:after="0"/>
              <w:rPr>
                <w:sz w:val="20"/>
                <w:szCs w:val="20"/>
                <w:color w:val="auto"/>
              </w:rPr>
            </w:pPr>
            <w:r>
              <w:rPr>
                <w:rFonts w:ascii="Arial" w:cs="Arial" w:eastAsia="Arial" w:hAnsi="Arial"/>
                <w:sz w:val="12"/>
                <w:szCs w:val="12"/>
                <w:color w:val="auto"/>
              </w:rPr>
              <w:t>direct and indirect (%)</w:t>
            </w:r>
          </w:p>
        </w:tc>
        <w:tc>
          <w:tcPr>
            <w:tcW w:w="15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tonnes per annum</w:t>
            </w:r>
            <w:r>
              <w:rPr>
                <w:rFonts w:ascii="Arial" w:cs="Arial" w:eastAsia="Arial" w:hAnsi="Arial"/>
                <w:sz w:val="12"/>
                <w:szCs w:val="12"/>
                <w:b w:val="1"/>
                <w:bCs w:val="1"/>
                <w:color w:val="auto"/>
              </w:rPr>
              <w:t>[A]</w:t>
            </w:r>
          </w:p>
        </w:tc>
      </w:tr>
      <w:tr>
        <w:trPr>
          <w:trHeight w:val="127"/>
        </w:trPr>
        <w:tc>
          <w:tcPr>
            <w:tcW w:w="1840" w:type="dxa"/>
            <w:vAlign w:val="bottom"/>
          </w:tcPr>
          <w:p>
            <w:pPr>
              <w:spacing w:after="0" w:line="128" w:lineRule="exact"/>
              <w:rPr>
                <w:sz w:val="20"/>
                <w:szCs w:val="20"/>
                <w:color w:val="auto"/>
              </w:rPr>
            </w:pPr>
            <w:r>
              <w:rPr>
                <w:rFonts w:ascii="Arial" w:cs="Arial" w:eastAsia="Arial" w:hAnsi="Arial"/>
                <w:sz w:val="12"/>
                <w:szCs w:val="12"/>
                <w:color w:val="auto"/>
              </w:rPr>
              <w:t>Australia North West Shelf</w:t>
            </w:r>
          </w:p>
        </w:tc>
        <w:tc>
          <w:tcPr>
            <w:tcW w:w="940" w:type="dxa"/>
            <w:vAlign w:val="bottom"/>
          </w:tcPr>
          <w:p>
            <w:pPr>
              <w:ind w:left="280"/>
              <w:spacing w:after="0" w:line="128" w:lineRule="exact"/>
              <w:rPr>
                <w:sz w:val="20"/>
                <w:szCs w:val="20"/>
                <w:color w:val="auto"/>
              </w:rPr>
            </w:pPr>
            <w:r>
              <w:rPr>
                <w:rFonts w:ascii="Arial" w:cs="Arial" w:eastAsia="Arial" w:hAnsi="Arial"/>
                <w:sz w:val="12"/>
                <w:szCs w:val="12"/>
                <w:color w:val="auto"/>
              </w:rPr>
              <w:t>Karratha</w:t>
            </w:r>
          </w:p>
        </w:tc>
        <w:tc>
          <w:tcPr>
            <w:tcW w:w="112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22</w:t>
            </w:r>
          </w:p>
        </w:tc>
        <w:tc>
          <w:tcPr>
            <w:tcW w:w="158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11.9</w:t>
            </w: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Brunei LNG</w:t>
            </w:r>
          </w:p>
        </w:tc>
        <w:tc>
          <w:tcPr>
            <w:tcW w:w="940" w:type="dxa"/>
            <w:vAlign w:val="bottom"/>
          </w:tcPr>
          <w:p>
            <w:pPr>
              <w:ind w:left="280"/>
              <w:spacing w:after="0" w:line="133" w:lineRule="exact"/>
              <w:rPr>
                <w:sz w:val="20"/>
                <w:szCs w:val="20"/>
                <w:color w:val="auto"/>
              </w:rPr>
            </w:pPr>
            <w:r>
              <w:rPr>
                <w:rFonts w:ascii="Arial" w:cs="Arial" w:eastAsia="Arial" w:hAnsi="Arial"/>
                <w:sz w:val="12"/>
                <w:szCs w:val="12"/>
                <w:color w:val="auto"/>
              </w:rPr>
              <w:t>Lumut</w:t>
            </w:r>
          </w:p>
        </w:tc>
        <w:tc>
          <w:tcPr>
            <w:tcW w:w="11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25</w:t>
            </w:r>
          </w:p>
        </w:tc>
        <w:tc>
          <w:tcPr>
            <w:tcW w:w="15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7.2</w:t>
            </w: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Malaysia LNG (Dua and Tiga)</w:t>
            </w:r>
          </w:p>
        </w:tc>
        <w:tc>
          <w:tcPr>
            <w:tcW w:w="940" w:type="dxa"/>
            <w:vAlign w:val="bottom"/>
          </w:tcPr>
          <w:p>
            <w:pPr>
              <w:ind w:left="280"/>
              <w:spacing w:after="0" w:line="133" w:lineRule="exact"/>
              <w:rPr>
                <w:sz w:val="20"/>
                <w:szCs w:val="20"/>
                <w:color w:val="auto"/>
              </w:rPr>
            </w:pPr>
            <w:r>
              <w:rPr>
                <w:rFonts w:ascii="Arial" w:cs="Arial" w:eastAsia="Arial" w:hAnsi="Arial"/>
                <w:sz w:val="12"/>
                <w:szCs w:val="12"/>
                <w:color w:val="auto"/>
              </w:rPr>
              <w:t>Bintulu</w:t>
            </w:r>
          </w:p>
        </w:tc>
        <w:tc>
          <w:tcPr>
            <w:tcW w:w="11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15</w:t>
            </w:r>
          </w:p>
        </w:tc>
        <w:tc>
          <w:tcPr>
            <w:tcW w:w="1580" w:type="dxa"/>
            <w:vAlign w:val="bottom"/>
          </w:tcPr>
          <w:p>
            <w:pPr>
              <w:jc w:val="right"/>
              <w:spacing w:after="0" w:line="133" w:lineRule="exact"/>
              <w:rPr>
                <w:sz w:val="20"/>
                <w:szCs w:val="20"/>
                <w:color w:val="auto"/>
              </w:rPr>
            </w:pPr>
            <w:r>
              <w:rPr>
                <w:rFonts w:ascii="Arial" w:cs="Arial" w:eastAsia="Arial" w:hAnsi="Arial"/>
                <w:sz w:val="12"/>
                <w:szCs w:val="12"/>
                <w:color w:val="auto"/>
              </w:rPr>
              <w:t>14.6[B]</w:t>
            </w: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Nigeria LNG</w:t>
            </w:r>
          </w:p>
        </w:tc>
        <w:tc>
          <w:tcPr>
            <w:tcW w:w="940" w:type="dxa"/>
            <w:vAlign w:val="bottom"/>
          </w:tcPr>
          <w:p>
            <w:pPr>
              <w:ind w:left="280"/>
              <w:spacing w:after="0" w:line="133" w:lineRule="exact"/>
              <w:rPr>
                <w:sz w:val="20"/>
                <w:szCs w:val="20"/>
                <w:color w:val="auto"/>
              </w:rPr>
            </w:pPr>
            <w:r>
              <w:rPr>
                <w:rFonts w:ascii="Arial" w:cs="Arial" w:eastAsia="Arial" w:hAnsi="Arial"/>
                <w:sz w:val="12"/>
                <w:szCs w:val="12"/>
                <w:color w:val="auto"/>
              </w:rPr>
              <w:t>Bonny</w:t>
            </w:r>
          </w:p>
        </w:tc>
        <w:tc>
          <w:tcPr>
            <w:tcW w:w="11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26</w:t>
            </w:r>
          </w:p>
        </w:tc>
        <w:tc>
          <w:tcPr>
            <w:tcW w:w="15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21.6</w:t>
            </w: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Oman LNG</w:t>
            </w:r>
          </w:p>
        </w:tc>
        <w:tc>
          <w:tcPr>
            <w:tcW w:w="940" w:type="dxa"/>
            <w:vAlign w:val="bottom"/>
          </w:tcPr>
          <w:p>
            <w:pPr>
              <w:ind w:left="280"/>
              <w:spacing w:after="0" w:line="133" w:lineRule="exact"/>
              <w:rPr>
                <w:sz w:val="20"/>
                <w:szCs w:val="20"/>
                <w:color w:val="auto"/>
              </w:rPr>
            </w:pPr>
            <w:r>
              <w:rPr>
                <w:rFonts w:ascii="Arial" w:cs="Arial" w:eastAsia="Arial" w:hAnsi="Arial"/>
                <w:sz w:val="12"/>
                <w:szCs w:val="12"/>
                <w:color w:val="auto"/>
              </w:rPr>
              <w:t>Sur</w:t>
            </w:r>
          </w:p>
        </w:tc>
        <w:tc>
          <w:tcPr>
            <w:tcW w:w="11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30</w:t>
            </w:r>
          </w:p>
        </w:tc>
        <w:tc>
          <w:tcPr>
            <w:tcW w:w="15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7.1</w:t>
            </w:r>
          </w:p>
        </w:tc>
      </w:tr>
      <w:tr>
        <w:trPr>
          <w:trHeight w:val="139"/>
        </w:trPr>
        <w:tc>
          <w:tcPr>
            <w:tcW w:w="1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Qalhat (Oman) LNG</w:t>
            </w: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Sur</w:t>
            </w: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11</w:t>
            </w:r>
          </w:p>
        </w:tc>
        <w:tc>
          <w:tcPr>
            <w:tcW w:w="15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3.7</w:t>
            </w:r>
          </w:p>
        </w:tc>
      </w:tr>
    </w:tbl>
    <w:p>
      <w:pPr>
        <w:spacing w:after="0" w:line="56" w:lineRule="exact"/>
        <w:rPr>
          <w:sz w:val="20"/>
          <w:szCs w:val="20"/>
          <w:color w:val="auto"/>
        </w:rPr>
      </w:pPr>
    </w:p>
    <w:p>
      <w:pPr>
        <w:ind w:left="220" w:hanging="218"/>
        <w:spacing w:after="0"/>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As reported by the operator.</w:t>
      </w:r>
    </w:p>
    <w:p>
      <w:pPr>
        <w:ind w:left="220" w:hanging="218"/>
        <w:spacing w:after="0"/>
        <w:tabs>
          <w:tab w:leader="none" w:pos="2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Our interests in the Dua and Tiga plants are due to expire in 2015 and 2023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gridSpan w:val="3"/>
            <w:shd w:val="clear" w:color="auto" w:fill="6CB43F"/>
          </w:tcPr>
          <w:p>
            <w:pPr>
              <w:jc w:val="right"/>
              <w:ind w:right="918"/>
              <w:spacing w:after="0"/>
              <w:rPr>
                <w:sz w:val="20"/>
                <w:szCs w:val="20"/>
                <w:color w:val="auto"/>
              </w:rPr>
            </w:pPr>
            <w:r>
              <w:rPr>
                <w:rFonts w:ascii="Arial" w:cs="Arial" w:eastAsia="Arial" w:hAnsi="Arial"/>
                <w:sz w:val="11"/>
                <w:szCs w:val="11"/>
                <w:b w:val="1"/>
                <w:bCs w:val="1"/>
                <w:color w:val="FFFFFF"/>
                <w:w w:val="96"/>
              </w:rPr>
              <w:t>CAPACITY UNDER CONSTRUCTION (At December 31, 2007)</w:t>
            </w:r>
          </w:p>
        </w:tc>
        <w:tc>
          <w:tcPr>
            <w:tcW w:w="1440" w:type="dxa"/>
            <w:vAlign w:val="bottom"/>
            <w:shd w:val="clear" w:color="auto" w:fill="6CB43F"/>
          </w:tcPr>
          <w:p>
            <w:pPr>
              <w:spacing w:after="0"/>
              <w:rPr>
                <w:sz w:val="15"/>
                <w:szCs w:val="15"/>
                <w:color w:val="auto"/>
              </w:rPr>
            </w:pPr>
          </w:p>
        </w:tc>
        <w:tc>
          <w:tcPr>
            <w:tcW w:w="60" w:type="dxa"/>
            <w:vAlign w:val="bottom"/>
            <w:shd w:val="clear" w:color="auto" w:fill="6CB43F"/>
          </w:tcPr>
          <w:p>
            <w:pPr>
              <w:spacing w:after="0"/>
              <w:rPr>
                <w:sz w:val="15"/>
                <w:szCs w:val="15"/>
                <w:color w:val="auto"/>
              </w:rPr>
            </w:pPr>
          </w:p>
        </w:tc>
      </w:tr>
      <w:tr>
        <w:trPr>
          <w:trHeight w:val="127"/>
        </w:trPr>
        <w:tc>
          <w:tcPr>
            <w:tcW w:w="178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258"/>
              <w:spacing w:after="0" w:line="127" w:lineRule="exact"/>
              <w:rPr>
                <w:sz w:val="20"/>
                <w:szCs w:val="20"/>
                <w:color w:val="auto"/>
              </w:rPr>
            </w:pPr>
            <w:r>
              <w:rPr>
                <w:rFonts w:ascii="Arial" w:cs="Arial" w:eastAsia="Arial" w:hAnsi="Arial"/>
                <w:sz w:val="12"/>
                <w:szCs w:val="12"/>
                <w:color w:val="auto"/>
              </w:rPr>
              <w:t>Shell interest,</w:t>
            </w:r>
          </w:p>
        </w:tc>
        <w:tc>
          <w:tcPr>
            <w:tcW w:w="1440" w:type="dxa"/>
            <w:vAlign w:val="bottom"/>
            <w:shd w:val="clear" w:color="auto" w:fill="CECAC6"/>
          </w:tcPr>
          <w:p>
            <w:pPr>
              <w:jc w:val="right"/>
              <w:spacing w:after="0" w:line="127" w:lineRule="exact"/>
              <w:rPr>
                <w:sz w:val="20"/>
                <w:szCs w:val="20"/>
                <w:color w:val="auto"/>
              </w:rPr>
            </w:pPr>
            <w:r>
              <w:rPr>
                <w:rFonts w:ascii="Arial" w:cs="Arial" w:eastAsia="Arial" w:hAnsi="Arial"/>
                <w:sz w:val="12"/>
                <w:szCs w:val="12"/>
                <w:color w:val="auto"/>
              </w:rPr>
              <w:t>100% capacity million</w:t>
            </w:r>
          </w:p>
        </w:tc>
        <w:tc>
          <w:tcPr>
            <w:tcW w:w="60" w:type="dxa"/>
            <w:vAlign w:val="bottom"/>
          </w:tcPr>
          <w:p>
            <w:pPr>
              <w:spacing w:after="0"/>
              <w:rPr>
                <w:sz w:val="11"/>
                <w:szCs w:val="11"/>
                <w:color w:val="auto"/>
              </w:rPr>
            </w:pPr>
          </w:p>
        </w:tc>
      </w:tr>
      <w:tr>
        <w:trPr>
          <w:trHeight w:val="153"/>
        </w:trPr>
        <w:tc>
          <w:tcPr>
            <w:tcW w:w="1780" w:type="dxa"/>
            <w:vAlign w:val="bottom"/>
            <w:shd w:val="clear" w:color="auto" w:fill="CECAC6"/>
          </w:tcPr>
          <w:p>
            <w:pPr>
              <w:spacing w:after="0"/>
              <w:rPr>
                <w:sz w:val="13"/>
                <w:szCs w:val="13"/>
                <w:color w:val="auto"/>
              </w:rPr>
            </w:pPr>
          </w:p>
        </w:tc>
        <w:tc>
          <w:tcPr>
            <w:tcW w:w="2260" w:type="dxa"/>
            <w:vAlign w:val="bottom"/>
            <w:gridSpan w:val="2"/>
            <w:shd w:val="clear" w:color="auto" w:fill="CECAC6"/>
          </w:tcPr>
          <w:p>
            <w:pPr>
              <w:jc w:val="right"/>
              <w:ind w:right="258"/>
              <w:spacing w:after="0"/>
              <w:rPr>
                <w:sz w:val="20"/>
                <w:szCs w:val="20"/>
                <w:color w:val="auto"/>
              </w:rPr>
            </w:pPr>
            <w:r>
              <w:rPr>
                <w:rFonts w:ascii="Arial" w:cs="Arial" w:eastAsia="Arial" w:hAnsi="Arial"/>
                <w:sz w:val="12"/>
                <w:szCs w:val="12"/>
                <w:color w:val="auto"/>
              </w:rPr>
              <w:t>direct and indirect (%)</w:t>
            </w:r>
          </w:p>
        </w:tc>
        <w:tc>
          <w:tcPr>
            <w:tcW w:w="14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tonnes per annum</w:t>
            </w:r>
            <w:r>
              <w:rPr>
                <w:rFonts w:ascii="Arial" w:cs="Arial" w:eastAsia="Arial" w:hAnsi="Arial"/>
                <w:sz w:val="12"/>
                <w:szCs w:val="12"/>
                <w:b w:val="1"/>
                <w:bCs w:val="1"/>
                <w:color w:val="auto"/>
              </w:rPr>
              <w:t>[A]</w:t>
            </w:r>
          </w:p>
        </w:tc>
        <w:tc>
          <w:tcPr>
            <w:tcW w:w="60" w:type="dxa"/>
            <w:vAlign w:val="bottom"/>
          </w:tcPr>
          <w:p>
            <w:pPr>
              <w:spacing w:after="0"/>
              <w:rPr>
                <w:sz w:val="13"/>
                <w:szCs w:val="13"/>
                <w:color w:val="auto"/>
              </w:rPr>
            </w:pPr>
          </w:p>
        </w:tc>
      </w:tr>
      <w:tr>
        <w:trPr>
          <w:trHeight w:val="127"/>
        </w:trPr>
        <w:tc>
          <w:tcPr>
            <w:tcW w:w="1780" w:type="dxa"/>
            <w:vAlign w:val="bottom"/>
          </w:tcPr>
          <w:p>
            <w:pPr>
              <w:spacing w:after="0" w:line="128" w:lineRule="exact"/>
              <w:rPr>
                <w:sz w:val="20"/>
                <w:szCs w:val="20"/>
                <w:color w:val="auto"/>
              </w:rPr>
            </w:pPr>
            <w:r>
              <w:rPr>
                <w:rFonts w:ascii="Arial" w:cs="Arial" w:eastAsia="Arial" w:hAnsi="Arial"/>
                <w:sz w:val="12"/>
                <w:szCs w:val="12"/>
                <w:color w:val="auto"/>
              </w:rPr>
              <w:t>Australia NWS Train 5</w:t>
            </w:r>
          </w:p>
        </w:tc>
        <w:tc>
          <w:tcPr>
            <w:tcW w:w="1160" w:type="dxa"/>
            <w:vAlign w:val="bottom"/>
          </w:tcPr>
          <w:p>
            <w:pPr>
              <w:ind w:left="280"/>
              <w:spacing w:after="0" w:line="128" w:lineRule="exact"/>
              <w:rPr>
                <w:sz w:val="20"/>
                <w:szCs w:val="20"/>
                <w:color w:val="auto"/>
              </w:rPr>
            </w:pPr>
            <w:r>
              <w:rPr>
                <w:rFonts w:ascii="Arial" w:cs="Arial" w:eastAsia="Arial" w:hAnsi="Arial"/>
                <w:sz w:val="12"/>
                <w:szCs w:val="12"/>
                <w:color w:val="auto"/>
              </w:rPr>
              <w:t>Karratha</w:t>
            </w:r>
          </w:p>
        </w:tc>
        <w:tc>
          <w:tcPr>
            <w:tcW w:w="110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22</w:t>
            </w:r>
          </w:p>
        </w:tc>
        <w:tc>
          <w:tcPr>
            <w:tcW w:w="1440" w:type="dxa"/>
            <w:vAlign w:val="bottom"/>
          </w:tcPr>
          <w:p>
            <w:pPr>
              <w:jc w:val="right"/>
              <w:spacing w:after="0" w:line="128" w:lineRule="exact"/>
              <w:rPr>
                <w:sz w:val="20"/>
                <w:szCs w:val="20"/>
                <w:color w:val="auto"/>
              </w:rPr>
            </w:pPr>
            <w:r>
              <w:rPr>
                <w:rFonts w:ascii="Arial" w:cs="Arial" w:eastAsia="Arial" w:hAnsi="Arial"/>
                <w:sz w:val="12"/>
                <w:szCs w:val="12"/>
                <w:color w:val="auto"/>
              </w:rPr>
              <w:t>4.4</w:t>
            </w:r>
          </w:p>
        </w:tc>
        <w:tc>
          <w:tcPr>
            <w:tcW w:w="60" w:type="dxa"/>
            <w:vAlign w:val="bottom"/>
          </w:tcPr>
          <w:p>
            <w:pPr>
              <w:spacing w:after="0"/>
              <w:rPr>
                <w:sz w:val="11"/>
                <w:szCs w:val="11"/>
                <w:color w:val="auto"/>
              </w:rPr>
            </w:pP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2"/>
                <w:szCs w:val="12"/>
                <w:color w:val="auto"/>
              </w:rPr>
              <w:t>Sakhalin II Train 1&amp;2</w:t>
            </w:r>
          </w:p>
        </w:tc>
        <w:tc>
          <w:tcPr>
            <w:tcW w:w="1160" w:type="dxa"/>
            <w:vAlign w:val="bottom"/>
          </w:tcPr>
          <w:p>
            <w:pPr>
              <w:ind w:left="280"/>
              <w:spacing w:after="0" w:line="133" w:lineRule="exact"/>
              <w:rPr>
                <w:sz w:val="20"/>
                <w:szCs w:val="20"/>
                <w:color w:val="auto"/>
              </w:rPr>
            </w:pPr>
            <w:r>
              <w:rPr>
                <w:rFonts w:ascii="Arial" w:cs="Arial" w:eastAsia="Arial" w:hAnsi="Arial"/>
                <w:sz w:val="12"/>
                <w:szCs w:val="12"/>
                <w:color w:val="auto"/>
              </w:rPr>
              <w:t>Sakhalin Island</w:t>
            </w:r>
          </w:p>
        </w:tc>
        <w:tc>
          <w:tcPr>
            <w:tcW w:w="11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27.5</w:t>
            </w: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9.6</w:t>
            </w:r>
          </w:p>
        </w:tc>
        <w:tc>
          <w:tcPr>
            <w:tcW w:w="60" w:type="dxa"/>
            <w:vAlign w:val="bottom"/>
          </w:tcPr>
          <w:p>
            <w:pPr>
              <w:spacing w:after="0"/>
              <w:rPr>
                <w:sz w:val="11"/>
                <w:szCs w:val="11"/>
                <w:color w:val="auto"/>
              </w:rPr>
            </w:pP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2"/>
                <w:szCs w:val="12"/>
                <w:color w:val="auto"/>
              </w:rPr>
              <w:t>Qatargas IV</w:t>
            </w:r>
          </w:p>
        </w:tc>
        <w:tc>
          <w:tcPr>
            <w:tcW w:w="1160" w:type="dxa"/>
            <w:vAlign w:val="bottom"/>
          </w:tcPr>
          <w:p>
            <w:pPr>
              <w:ind w:left="280"/>
              <w:spacing w:after="0" w:line="133" w:lineRule="exact"/>
              <w:rPr>
                <w:sz w:val="20"/>
                <w:szCs w:val="20"/>
                <w:color w:val="auto"/>
              </w:rPr>
            </w:pPr>
            <w:r>
              <w:rPr>
                <w:rFonts w:ascii="Arial" w:cs="Arial" w:eastAsia="Arial" w:hAnsi="Arial"/>
                <w:sz w:val="12"/>
                <w:szCs w:val="12"/>
                <w:color w:val="auto"/>
              </w:rPr>
              <w:t>Ras Laffan</w:t>
            </w:r>
          </w:p>
        </w:tc>
        <w:tc>
          <w:tcPr>
            <w:tcW w:w="11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30</w:t>
            </w:r>
          </w:p>
        </w:tc>
        <w:tc>
          <w:tcPr>
            <w:tcW w:w="1440" w:type="dxa"/>
            <w:vAlign w:val="bottom"/>
          </w:tcPr>
          <w:p>
            <w:pPr>
              <w:jc w:val="right"/>
              <w:spacing w:after="0" w:line="133" w:lineRule="exact"/>
              <w:rPr>
                <w:sz w:val="20"/>
                <w:szCs w:val="20"/>
                <w:color w:val="auto"/>
              </w:rPr>
            </w:pPr>
            <w:r>
              <w:rPr>
                <w:rFonts w:ascii="Arial" w:cs="Arial" w:eastAsia="Arial" w:hAnsi="Arial"/>
                <w:sz w:val="12"/>
                <w:szCs w:val="12"/>
                <w:color w:val="auto"/>
              </w:rPr>
              <w:t>7.8</w:t>
            </w:r>
          </w:p>
        </w:tc>
        <w:tc>
          <w:tcPr>
            <w:tcW w:w="60" w:type="dxa"/>
            <w:vAlign w:val="bottom"/>
          </w:tcPr>
          <w:p>
            <w:pPr>
              <w:spacing w:after="0"/>
              <w:rPr>
                <w:sz w:val="11"/>
                <w:szCs w:val="11"/>
                <w:color w:val="auto"/>
              </w:rPr>
            </w:pPr>
          </w:p>
        </w:tc>
      </w:tr>
      <w:tr>
        <w:trPr>
          <w:trHeight w:val="139"/>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Australia Pluto I</w:t>
            </w:r>
          </w:p>
        </w:tc>
        <w:tc>
          <w:tcPr>
            <w:tcW w:w="1160" w:type="dxa"/>
            <w:vAlign w:val="bottom"/>
            <w:tcBorders>
              <w:bottom w:val="single" w:sz="8" w:color="auto"/>
            </w:tcBorders>
          </w:tcPr>
          <w:p>
            <w:pPr>
              <w:ind w:left="280"/>
              <w:spacing w:after="0"/>
              <w:rPr>
                <w:sz w:val="20"/>
                <w:szCs w:val="20"/>
                <w:color w:val="auto"/>
              </w:rPr>
            </w:pPr>
            <w:r>
              <w:rPr>
                <w:rFonts w:ascii="Arial" w:cs="Arial" w:eastAsia="Arial" w:hAnsi="Arial"/>
                <w:sz w:val="12"/>
                <w:szCs w:val="12"/>
                <w:color w:val="auto"/>
              </w:rPr>
              <w:t>Karratha</w:t>
            </w:r>
          </w:p>
        </w:tc>
        <w:tc>
          <w:tcPr>
            <w:tcW w:w="11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31[B]</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60" w:type="dxa"/>
            <w:vAlign w:val="bottom"/>
          </w:tcPr>
          <w:p>
            <w:pPr>
              <w:spacing w:after="0"/>
              <w:rPr>
                <w:sz w:val="12"/>
                <w:szCs w:val="12"/>
                <w:color w:val="auto"/>
              </w:rPr>
            </w:pPr>
          </w:p>
        </w:tc>
      </w:tr>
    </w:tbl>
    <w:p>
      <w:pPr>
        <w:spacing w:after="0" w:line="43" w:lineRule="exact"/>
        <w:rPr>
          <w:sz w:val="20"/>
          <w:szCs w:val="20"/>
          <w:color w:val="auto"/>
        </w:rPr>
      </w:pPr>
    </w:p>
    <w:p>
      <w:pPr>
        <w:ind w:left="220" w:hanging="218"/>
        <w:spacing w:after="0"/>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As reported by the operator.</w:t>
      </w:r>
    </w:p>
    <w:p>
      <w:pPr>
        <w:ind w:left="220" w:hanging="218"/>
        <w:spacing w:after="0"/>
        <w:tabs>
          <w:tab w:leader="none" w:pos="2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Based on 90% Woodside shareholding in the Pluto I 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144780</wp:posOffset>
            </wp:positionV>
            <wp:extent cx="3510280" cy="1098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510280" cy="1098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FFFFFF"/>
        </w:rPr>
        <w:t>SHELL SHARE OF LNG SALES VOLUME (million tonnes)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2180" w:type="dxa"/>
            <w:vAlign w:val="bottom"/>
            <w:shd w:val="clear" w:color="auto" w:fill="CECAC6"/>
          </w:tcPr>
          <w:p>
            <w:pPr>
              <w:spacing w:after="0"/>
              <w:rPr>
                <w:sz w:val="12"/>
                <w:szCs w:val="12"/>
                <w:color w:val="auto"/>
              </w:rPr>
            </w:pPr>
          </w:p>
        </w:tc>
        <w:tc>
          <w:tcPr>
            <w:tcW w:w="700" w:type="dxa"/>
            <w:vAlign w:val="bottom"/>
            <w:gridSpan w:val="2"/>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2005</w:t>
            </w:r>
          </w:p>
        </w:tc>
        <w:tc>
          <w:tcPr>
            <w:tcW w:w="64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2004</w:t>
            </w:r>
          </w:p>
        </w:tc>
        <w:tc>
          <w:tcPr>
            <w:tcW w:w="5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2003</w:t>
            </w:r>
          </w:p>
        </w:tc>
      </w:tr>
      <w:tr>
        <w:trPr>
          <w:trHeight w:val="127"/>
        </w:trPr>
        <w:tc>
          <w:tcPr>
            <w:tcW w:w="20" w:type="dxa"/>
            <w:vAlign w:val="bottom"/>
          </w:tcPr>
          <w:p>
            <w:pPr>
              <w:spacing w:after="0"/>
              <w:rPr>
                <w:sz w:val="11"/>
                <w:szCs w:val="11"/>
                <w:color w:val="auto"/>
              </w:rPr>
            </w:pPr>
          </w:p>
        </w:tc>
        <w:tc>
          <w:tcPr>
            <w:tcW w:w="2180" w:type="dxa"/>
            <w:vAlign w:val="bottom"/>
          </w:tcPr>
          <w:p>
            <w:pPr>
              <w:spacing w:after="0" w:line="128" w:lineRule="exact"/>
              <w:rPr>
                <w:sz w:val="20"/>
                <w:szCs w:val="20"/>
                <w:color w:val="auto"/>
              </w:rPr>
            </w:pPr>
            <w:r>
              <w:rPr>
                <w:rFonts w:ascii="Arial" w:cs="Arial" w:eastAsia="Arial" w:hAnsi="Arial"/>
                <w:sz w:val="12"/>
                <w:szCs w:val="12"/>
                <w:color w:val="auto"/>
              </w:rPr>
              <w:t>Australia</w:t>
            </w:r>
          </w:p>
        </w:tc>
        <w:tc>
          <w:tcPr>
            <w:tcW w:w="280" w:type="dxa"/>
            <w:vAlign w:val="bottom"/>
          </w:tcPr>
          <w:p>
            <w:pPr>
              <w:spacing w:after="0"/>
              <w:rPr>
                <w:sz w:val="11"/>
                <w:szCs w:val="11"/>
                <w:color w:val="auto"/>
              </w:rPr>
            </w:pPr>
          </w:p>
        </w:tc>
        <w:tc>
          <w:tcPr>
            <w:tcW w:w="42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2.6</w:t>
            </w:r>
          </w:p>
        </w:tc>
        <w:tc>
          <w:tcPr>
            <w:tcW w:w="78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2.6</w:t>
            </w:r>
          </w:p>
        </w:tc>
        <w:tc>
          <w:tcPr>
            <w:tcW w:w="6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2.6</w:t>
            </w:r>
          </w:p>
        </w:tc>
        <w:tc>
          <w:tcPr>
            <w:tcW w:w="6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2.0</w:t>
            </w:r>
          </w:p>
        </w:tc>
        <w:tc>
          <w:tcPr>
            <w:tcW w:w="520" w:type="dxa"/>
            <w:vAlign w:val="bottom"/>
          </w:tcPr>
          <w:p>
            <w:pPr>
              <w:jc w:val="right"/>
              <w:spacing w:after="0" w:line="128" w:lineRule="exact"/>
              <w:rPr>
                <w:sz w:val="20"/>
                <w:szCs w:val="20"/>
                <w:color w:val="auto"/>
              </w:rPr>
            </w:pPr>
            <w:r>
              <w:rPr>
                <w:rFonts w:ascii="Arial" w:cs="Arial" w:eastAsia="Arial" w:hAnsi="Arial"/>
                <w:sz w:val="12"/>
                <w:szCs w:val="12"/>
                <w:color w:val="auto"/>
              </w:rPr>
              <w:t>1.8</w:t>
            </w:r>
          </w:p>
        </w:tc>
      </w:tr>
      <w:tr>
        <w:trPr>
          <w:trHeight w:val="133"/>
        </w:trPr>
        <w:tc>
          <w:tcPr>
            <w:tcW w:w="2200" w:type="dxa"/>
            <w:vAlign w:val="bottom"/>
            <w:gridSpan w:val="2"/>
          </w:tcPr>
          <w:p>
            <w:pPr>
              <w:spacing w:after="0" w:line="133" w:lineRule="exact"/>
              <w:rPr>
                <w:sz w:val="20"/>
                <w:szCs w:val="20"/>
                <w:color w:val="auto"/>
              </w:rPr>
            </w:pPr>
            <w:r>
              <w:rPr>
                <w:rFonts w:ascii="Arial" w:cs="Arial" w:eastAsia="Arial" w:hAnsi="Arial"/>
                <w:sz w:val="12"/>
                <w:szCs w:val="12"/>
                <w:color w:val="auto"/>
              </w:rPr>
              <w:t>Brunei</w:t>
            </w:r>
          </w:p>
        </w:tc>
        <w:tc>
          <w:tcPr>
            <w:tcW w:w="280" w:type="dxa"/>
            <w:vAlign w:val="bottom"/>
          </w:tcPr>
          <w:p>
            <w:pPr>
              <w:spacing w:after="0"/>
              <w:rPr>
                <w:sz w:val="11"/>
                <w:szCs w:val="11"/>
                <w:color w:val="auto"/>
              </w:rPr>
            </w:pPr>
          </w:p>
        </w:tc>
        <w:tc>
          <w:tcPr>
            <w:tcW w:w="4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1.9</w:t>
            </w:r>
          </w:p>
        </w:tc>
        <w:tc>
          <w:tcPr>
            <w:tcW w:w="7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1.9</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1.7</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1.8</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1.8</w:t>
            </w:r>
          </w:p>
        </w:tc>
      </w:tr>
      <w:tr>
        <w:trPr>
          <w:trHeight w:val="133"/>
        </w:trPr>
        <w:tc>
          <w:tcPr>
            <w:tcW w:w="2200" w:type="dxa"/>
            <w:vAlign w:val="bottom"/>
            <w:gridSpan w:val="2"/>
          </w:tcPr>
          <w:p>
            <w:pPr>
              <w:spacing w:after="0" w:line="133" w:lineRule="exact"/>
              <w:rPr>
                <w:sz w:val="20"/>
                <w:szCs w:val="20"/>
                <w:color w:val="auto"/>
              </w:rPr>
            </w:pPr>
            <w:r>
              <w:rPr>
                <w:rFonts w:ascii="Arial" w:cs="Arial" w:eastAsia="Arial" w:hAnsi="Arial"/>
                <w:sz w:val="12"/>
                <w:szCs w:val="12"/>
                <w:color w:val="auto"/>
              </w:rPr>
              <w:t>Malaysia</w:t>
            </w:r>
          </w:p>
        </w:tc>
        <w:tc>
          <w:tcPr>
            <w:tcW w:w="280" w:type="dxa"/>
            <w:vAlign w:val="bottom"/>
          </w:tcPr>
          <w:p>
            <w:pPr>
              <w:spacing w:after="0"/>
              <w:rPr>
                <w:sz w:val="11"/>
                <w:szCs w:val="11"/>
                <w:color w:val="auto"/>
              </w:rPr>
            </w:pPr>
          </w:p>
        </w:tc>
        <w:tc>
          <w:tcPr>
            <w:tcW w:w="4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2.3</w:t>
            </w:r>
          </w:p>
        </w:tc>
        <w:tc>
          <w:tcPr>
            <w:tcW w:w="7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2.1</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2.0</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1.9</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r>
      <w:tr>
        <w:trPr>
          <w:trHeight w:val="133"/>
        </w:trPr>
        <w:tc>
          <w:tcPr>
            <w:tcW w:w="2200" w:type="dxa"/>
            <w:vAlign w:val="bottom"/>
            <w:gridSpan w:val="2"/>
          </w:tcPr>
          <w:p>
            <w:pPr>
              <w:spacing w:after="0" w:line="133" w:lineRule="exact"/>
              <w:rPr>
                <w:sz w:val="20"/>
                <w:szCs w:val="20"/>
                <w:color w:val="auto"/>
              </w:rPr>
            </w:pPr>
            <w:r>
              <w:rPr>
                <w:rFonts w:ascii="Arial" w:cs="Arial" w:eastAsia="Arial" w:hAnsi="Arial"/>
                <w:sz w:val="12"/>
                <w:szCs w:val="12"/>
                <w:color w:val="auto"/>
              </w:rPr>
              <w:t>Nigeria</w:t>
            </w:r>
          </w:p>
        </w:tc>
        <w:tc>
          <w:tcPr>
            <w:tcW w:w="280" w:type="dxa"/>
            <w:vAlign w:val="bottom"/>
          </w:tcPr>
          <w:p>
            <w:pPr>
              <w:spacing w:after="0"/>
              <w:rPr>
                <w:sz w:val="11"/>
                <w:szCs w:val="11"/>
                <w:color w:val="auto"/>
              </w:rPr>
            </w:pPr>
          </w:p>
        </w:tc>
        <w:tc>
          <w:tcPr>
            <w:tcW w:w="42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4.2</w:t>
            </w:r>
          </w:p>
        </w:tc>
        <w:tc>
          <w:tcPr>
            <w:tcW w:w="7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3.3</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2.3</w:t>
            </w:r>
          </w:p>
        </w:tc>
        <w:tc>
          <w:tcPr>
            <w:tcW w:w="6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2.4</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2.1</w:t>
            </w:r>
          </w:p>
        </w:tc>
      </w:tr>
      <w:tr>
        <w:trPr>
          <w:trHeight w:val="139"/>
        </w:trPr>
        <w:tc>
          <w:tcPr>
            <w:tcW w:w="2200" w:type="dxa"/>
            <w:vAlign w:val="bottom"/>
            <w:gridSpan w:val="2"/>
          </w:tcPr>
          <w:p>
            <w:pPr>
              <w:spacing w:after="0"/>
              <w:rPr>
                <w:sz w:val="20"/>
                <w:szCs w:val="20"/>
                <w:color w:val="auto"/>
              </w:rPr>
            </w:pPr>
            <w:r>
              <w:rPr>
                <w:rFonts w:ascii="Arial" w:cs="Arial" w:eastAsia="Arial" w:hAnsi="Arial"/>
                <w:sz w:val="12"/>
                <w:szCs w:val="12"/>
                <w:color w:val="auto"/>
              </w:rPr>
              <w:t>Oman</w:t>
            </w:r>
          </w:p>
        </w:tc>
        <w:tc>
          <w:tcPr>
            <w:tcW w:w="280" w:type="dxa"/>
            <w:vAlign w:val="bottom"/>
          </w:tcPr>
          <w:p>
            <w:pPr>
              <w:spacing w:after="0"/>
              <w:rPr>
                <w:sz w:val="12"/>
                <w:szCs w:val="12"/>
                <w:color w:val="auto"/>
              </w:rPr>
            </w:pPr>
          </w:p>
        </w:tc>
        <w:tc>
          <w:tcPr>
            <w:tcW w:w="42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2.2</w:t>
            </w:r>
          </w:p>
        </w:tc>
        <w:tc>
          <w:tcPr>
            <w:tcW w:w="780" w:type="dxa"/>
            <w:vAlign w:val="bottom"/>
          </w:tcPr>
          <w:p>
            <w:pPr>
              <w:jc w:val="right"/>
              <w:ind w:right="118"/>
              <w:spacing w:after="0"/>
              <w:rPr>
                <w:sz w:val="20"/>
                <w:szCs w:val="20"/>
                <w:color w:val="auto"/>
              </w:rPr>
            </w:pPr>
            <w:r>
              <w:rPr>
                <w:rFonts w:ascii="Arial" w:cs="Arial" w:eastAsia="Arial" w:hAnsi="Arial"/>
                <w:sz w:val="12"/>
                <w:szCs w:val="12"/>
                <w:color w:val="auto"/>
              </w:rPr>
              <w:t>2.2</w:t>
            </w:r>
          </w:p>
        </w:tc>
        <w:tc>
          <w:tcPr>
            <w:tcW w:w="640" w:type="dxa"/>
            <w:vAlign w:val="bottom"/>
          </w:tcPr>
          <w:p>
            <w:pPr>
              <w:jc w:val="right"/>
              <w:ind w:right="118"/>
              <w:spacing w:after="0"/>
              <w:rPr>
                <w:sz w:val="20"/>
                <w:szCs w:val="20"/>
                <w:color w:val="auto"/>
              </w:rPr>
            </w:pPr>
            <w:r>
              <w:rPr>
                <w:rFonts w:ascii="Arial" w:cs="Arial" w:eastAsia="Arial" w:hAnsi="Arial"/>
                <w:sz w:val="12"/>
                <w:szCs w:val="12"/>
                <w:color w:val="auto"/>
              </w:rPr>
              <w:t>2.1</w:t>
            </w:r>
          </w:p>
        </w:tc>
        <w:tc>
          <w:tcPr>
            <w:tcW w:w="640" w:type="dxa"/>
            <w:vAlign w:val="bottom"/>
          </w:tcPr>
          <w:p>
            <w:pPr>
              <w:jc w:val="right"/>
              <w:ind w:right="118"/>
              <w:spacing w:after="0"/>
              <w:rPr>
                <w:sz w:val="20"/>
                <w:szCs w:val="20"/>
                <w:color w:val="auto"/>
              </w:rPr>
            </w:pPr>
            <w:r>
              <w:rPr>
                <w:rFonts w:ascii="Arial" w:cs="Arial" w:eastAsia="Arial" w:hAnsi="Arial"/>
                <w:sz w:val="12"/>
                <w:szCs w:val="12"/>
                <w:color w:val="auto"/>
              </w:rPr>
              <w:t>2.1</w:t>
            </w:r>
          </w:p>
        </w:tc>
        <w:tc>
          <w:tcPr>
            <w:tcW w:w="52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0"/>
        </w:trPr>
        <w:tc>
          <w:tcPr>
            <w:tcW w:w="20" w:type="dxa"/>
            <w:vAlign w:val="bottom"/>
          </w:tcPr>
          <w:p>
            <w:pPr>
              <w:spacing w:after="0"/>
              <w:rPr>
                <w:sz w:val="12"/>
                <w:szCs w:val="12"/>
                <w:color w:val="auto"/>
              </w:rPr>
            </w:pPr>
          </w:p>
        </w:tc>
        <w:tc>
          <w:tcPr>
            <w:tcW w:w="2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13.2</w:t>
            </w:r>
          </w:p>
        </w:tc>
        <w:tc>
          <w:tcPr>
            <w:tcW w:w="78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12.1</w:t>
            </w:r>
          </w:p>
        </w:tc>
        <w:tc>
          <w:tcPr>
            <w:tcW w:w="6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10.7</w:t>
            </w:r>
          </w:p>
        </w:tc>
        <w:tc>
          <w:tcPr>
            <w:tcW w:w="6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10.2</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919480</wp:posOffset>
            </wp:positionV>
            <wp:extent cx="725297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540"/>
          </w:cols>
          <w:pgMar w:left="240" w:top="415" w:right="1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40" w:type="dxa"/>
            <w:vAlign w:val="bottom"/>
            <w:gridSpan w:val="2"/>
            <w:shd w:val="clear" w:color="auto" w:fill="6CB43F"/>
          </w:tcPr>
          <w:p>
            <w:pPr>
              <w:ind w:left="20"/>
              <w:spacing w:after="0"/>
              <w:rPr>
                <w:sz w:val="20"/>
                <w:szCs w:val="20"/>
                <w:color w:val="auto"/>
              </w:rPr>
            </w:pPr>
            <w:r>
              <w:rPr>
                <w:rFonts w:ascii="Arial" w:cs="Arial" w:eastAsia="Arial" w:hAnsi="Arial"/>
                <w:sz w:val="12"/>
                <w:szCs w:val="12"/>
                <w:b w:val="1"/>
                <w:bCs w:val="1"/>
                <w:color w:val="FFFFFF"/>
              </w:rPr>
              <w:t>LNG REGASIFICATION TERMINAL CAPACITY (At December 31, 2007)</w:t>
            </w:r>
          </w:p>
        </w:tc>
        <w:tc>
          <w:tcPr>
            <w:tcW w:w="2080" w:type="dxa"/>
            <w:vAlign w:val="bottom"/>
            <w:shd w:val="clear" w:color="auto" w:fill="6CB43F"/>
          </w:tcPr>
          <w:p>
            <w:pPr>
              <w:spacing w:after="0"/>
              <w:rPr>
                <w:sz w:val="12"/>
                <w:szCs w:val="12"/>
                <w:color w:val="auto"/>
              </w:rPr>
            </w:pPr>
          </w:p>
        </w:tc>
        <w:tc>
          <w:tcPr>
            <w:tcW w:w="1380" w:type="dxa"/>
            <w:vAlign w:val="bottom"/>
            <w:shd w:val="clear" w:color="auto" w:fill="6CB43F"/>
          </w:tcPr>
          <w:p>
            <w:pPr>
              <w:spacing w:after="0"/>
              <w:rPr>
                <w:sz w:val="12"/>
                <w:szCs w:val="12"/>
                <w:color w:val="auto"/>
              </w:rPr>
            </w:pPr>
          </w:p>
        </w:tc>
        <w:tc>
          <w:tcPr>
            <w:tcW w:w="2680" w:type="dxa"/>
            <w:vAlign w:val="bottom"/>
            <w:gridSpan w:val="2"/>
            <w:shd w:val="clear" w:color="auto" w:fill="6CB43F"/>
          </w:tcPr>
          <w:p>
            <w:pPr>
              <w:jc w:val="right"/>
              <w:spacing w:after="0"/>
              <w:rPr>
                <w:sz w:val="20"/>
                <w:szCs w:val="20"/>
                <w:color w:val="auto"/>
              </w:rPr>
            </w:pPr>
            <w:r>
              <w:rPr>
                <w:rFonts w:ascii="Arial" w:cs="Arial" w:eastAsia="Arial" w:hAnsi="Arial"/>
                <w:sz w:val="12"/>
                <w:szCs w:val="12"/>
                <w:b w:val="1"/>
                <w:bCs w:val="1"/>
                <w:color w:val="FFFFFF"/>
              </w:rPr>
              <w:t>100% capacity (million tonnes per annum)</w:t>
            </w:r>
          </w:p>
        </w:tc>
      </w:tr>
      <w:tr>
        <w:trPr>
          <w:trHeight w:val="127"/>
        </w:trPr>
        <w:tc>
          <w:tcPr>
            <w:tcW w:w="1600" w:type="dxa"/>
            <w:vAlign w:val="bottom"/>
            <w:shd w:val="clear" w:color="auto" w:fill="CECAC6"/>
          </w:tcPr>
          <w:p>
            <w:pPr>
              <w:spacing w:after="0"/>
              <w:rPr>
                <w:sz w:val="11"/>
                <w:szCs w:val="11"/>
                <w:color w:val="auto"/>
              </w:rPr>
            </w:pPr>
          </w:p>
        </w:tc>
        <w:tc>
          <w:tcPr>
            <w:tcW w:w="2640" w:type="dxa"/>
            <w:vAlign w:val="bottom"/>
            <w:shd w:val="clear" w:color="auto" w:fill="CECAC6"/>
          </w:tcPr>
          <w:p>
            <w:pPr>
              <w:spacing w:after="0"/>
              <w:rPr>
                <w:sz w:val="11"/>
                <w:szCs w:val="11"/>
                <w:color w:val="auto"/>
              </w:rPr>
            </w:pPr>
          </w:p>
        </w:tc>
        <w:tc>
          <w:tcPr>
            <w:tcW w:w="2080" w:type="dxa"/>
            <w:vAlign w:val="bottom"/>
            <w:shd w:val="clear" w:color="auto" w:fill="CECAC6"/>
          </w:tcPr>
          <w:p>
            <w:pPr>
              <w:jc w:val="right"/>
              <w:ind w:right="418"/>
              <w:spacing w:after="0" w:line="128" w:lineRule="exact"/>
              <w:rPr>
                <w:sz w:val="20"/>
                <w:szCs w:val="20"/>
                <w:color w:val="auto"/>
              </w:rPr>
            </w:pPr>
            <w:r>
              <w:rPr>
                <w:rFonts w:ascii="Arial" w:cs="Arial" w:eastAsia="Arial" w:hAnsi="Arial"/>
                <w:sz w:val="12"/>
                <w:szCs w:val="12"/>
                <w:color w:val="auto"/>
              </w:rPr>
              <w:t>Shell capacity rights</w:t>
            </w:r>
          </w:p>
        </w:tc>
        <w:tc>
          <w:tcPr>
            <w:tcW w:w="1380" w:type="dxa"/>
            <w:vAlign w:val="bottom"/>
            <w:shd w:val="clear" w:color="auto" w:fill="CECAC6"/>
          </w:tcPr>
          <w:p>
            <w:pPr>
              <w:jc w:val="right"/>
              <w:ind w:right="218"/>
              <w:spacing w:after="0" w:line="128" w:lineRule="exact"/>
              <w:rPr>
                <w:sz w:val="20"/>
                <w:szCs w:val="20"/>
                <w:color w:val="auto"/>
              </w:rPr>
            </w:pPr>
            <w:r>
              <w:rPr>
                <w:rFonts w:ascii="Arial" w:cs="Arial" w:eastAsia="Arial" w:hAnsi="Arial"/>
                <w:sz w:val="12"/>
                <w:szCs w:val="12"/>
                <w:color w:val="auto"/>
              </w:rPr>
              <w:t>Capacity right</w:t>
            </w:r>
          </w:p>
        </w:tc>
        <w:tc>
          <w:tcPr>
            <w:tcW w:w="162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r>
      <w:tr>
        <w:trPr>
          <w:trHeight w:val="159"/>
        </w:trPr>
        <w:tc>
          <w:tcPr>
            <w:tcW w:w="1600" w:type="dxa"/>
            <w:vAlign w:val="bottom"/>
            <w:tcBorders>
              <w:bottom w:val="single" w:sz="8" w:color="CECAC6"/>
            </w:tcBorders>
            <w:shd w:val="clear" w:color="auto" w:fill="CECAC6"/>
          </w:tcPr>
          <w:p>
            <w:pPr>
              <w:ind w:left="80"/>
              <w:spacing w:after="0"/>
              <w:rPr>
                <w:sz w:val="20"/>
                <w:szCs w:val="20"/>
                <w:color w:val="auto"/>
              </w:rPr>
            </w:pPr>
            <w:r>
              <w:rPr>
                <w:rFonts w:ascii="Arial" w:cs="Arial" w:eastAsia="Arial" w:hAnsi="Arial"/>
                <w:sz w:val="12"/>
                <w:szCs w:val="12"/>
                <w:color w:val="auto"/>
              </w:rPr>
              <w:t>Project name</w:t>
            </w:r>
          </w:p>
        </w:tc>
        <w:tc>
          <w:tcPr>
            <w:tcW w:w="2640" w:type="dxa"/>
            <w:vAlign w:val="bottom"/>
            <w:tcBorders>
              <w:bottom w:val="single" w:sz="8" w:color="CECAC6"/>
            </w:tcBorders>
            <w:shd w:val="clear" w:color="auto" w:fill="CECAC6"/>
          </w:tcPr>
          <w:p>
            <w:pPr>
              <w:ind w:left="300"/>
              <w:spacing w:after="0"/>
              <w:rPr>
                <w:sz w:val="20"/>
                <w:szCs w:val="20"/>
                <w:color w:val="auto"/>
              </w:rPr>
            </w:pPr>
            <w:r>
              <w:rPr>
                <w:rFonts w:ascii="Arial" w:cs="Arial" w:eastAsia="Arial" w:hAnsi="Arial"/>
                <w:sz w:val="12"/>
                <w:szCs w:val="12"/>
                <w:color w:val="auto"/>
              </w:rPr>
              <w:t>Location</w:t>
            </w:r>
          </w:p>
        </w:tc>
        <w:tc>
          <w:tcPr>
            <w:tcW w:w="2080" w:type="dxa"/>
            <w:vAlign w:val="bottom"/>
            <w:tcBorders>
              <w:bottom w:val="single" w:sz="8" w:color="CECAC6"/>
            </w:tcBorders>
            <w:shd w:val="clear" w:color="auto" w:fill="CECAC6"/>
          </w:tcPr>
          <w:p>
            <w:pPr>
              <w:jc w:val="right"/>
              <w:ind w:right="418"/>
              <w:spacing w:after="0"/>
              <w:rPr>
                <w:sz w:val="20"/>
                <w:szCs w:val="20"/>
                <w:color w:val="auto"/>
              </w:rPr>
            </w:pPr>
            <w:r>
              <w:rPr>
                <w:rFonts w:ascii="Arial" w:cs="Arial" w:eastAsia="Arial" w:hAnsi="Arial"/>
                <w:sz w:val="12"/>
                <w:szCs w:val="12"/>
                <w:color w:val="auto"/>
              </w:rPr>
              <w:t>(million tonnes per annum)</w:t>
            </w:r>
          </w:p>
        </w:tc>
        <w:tc>
          <w:tcPr>
            <w:tcW w:w="1380" w:type="dxa"/>
            <w:vAlign w:val="bottom"/>
            <w:tcBorders>
              <w:bottom w:val="single" w:sz="8" w:color="CECAC6"/>
            </w:tcBorders>
            <w:shd w:val="clear" w:color="auto" w:fill="CECAC6"/>
          </w:tcPr>
          <w:p>
            <w:pPr>
              <w:jc w:val="right"/>
              <w:ind w:right="218"/>
              <w:spacing w:after="0"/>
              <w:rPr>
                <w:sz w:val="20"/>
                <w:szCs w:val="20"/>
                <w:color w:val="auto"/>
              </w:rPr>
            </w:pPr>
            <w:r>
              <w:rPr>
                <w:rFonts w:ascii="Arial" w:cs="Arial" w:eastAsia="Arial" w:hAnsi="Arial"/>
                <w:sz w:val="12"/>
                <w:szCs w:val="12"/>
                <w:color w:val="auto"/>
              </w:rPr>
              <w:t>period</w:t>
            </w:r>
          </w:p>
        </w:tc>
        <w:tc>
          <w:tcPr>
            <w:tcW w:w="1620" w:type="dxa"/>
            <w:vAlign w:val="bottom"/>
            <w:tcBorders>
              <w:bottom w:val="single" w:sz="8" w:color="CECAC6"/>
            </w:tcBorders>
            <w:shd w:val="clear" w:color="auto" w:fill="CECAC6"/>
          </w:tcPr>
          <w:p>
            <w:pPr>
              <w:jc w:val="right"/>
              <w:ind w:right="238"/>
              <w:spacing w:after="0"/>
              <w:rPr>
                <w:sz w:val="20"/>
                <w:szCs w:val="20"/>
                <w:color w:val="auto"/>
              </w:rPr>
            </w:pPr>
            <w:r>
              <w:rPr>
                <w:rFonts w:ascii="Arial" w:cs="Arial" w:eastAsia="Arial" w:hAnsi="Arial"/>
                <w:sz w:val="12"/>
                <w:szCs w:val="12"/>
                <w:color w:val="auto"/>
              </w:rPr>
              <w:t>Status</w:t>
            </w:r>
          </w:p>
        </w:tc>
        <w:tc>
          <w:tcPr>
            <w:tcW w:w="1060" w:type="dxa"/>
            <w:vAlign w:val="bottom"/>
            <w:tcBorders>
              <w:bottom w:val="single" w:sz="8" w:color="CECAC6"/>
            </w:tcBorders>
            <w:shd w:val="clear" w:color="auto" w:fill="CECAC6"/>
          </w:tcPr>
          <w:p>
            <w:pPr>
              <w:jc w:val="right"/>
              <w:spacing w:after="0"/>
              <w:rPr>
                <w:sz w:val="20"/>
                <w:szCs w:val="20"/>
                <w:color w:val="auto"/>
              </w:rPr>
            </w:pPr>
            <w:r>
              <w:rPr>
                <w:rFonts w:ascii="Arial" w:cs="Arial" w:eastAsia="Arial" w:hAnsi="Arial"/>
                <w:sz w:val="12"/>
                <w:szCs w:val="12"/>
                <w:color w:val="auto"/>
              </w:rPr>
              <w:t>Start-up date</w:t>
            </w:r>
          </w:p>
        </w:tc>
      </w:tr>
      <w:tr>
        <w:trPr>
          <w:trHeight w:val="127"/>
        </w:trPr>
        <w:tc>
          <w:tcPr>
            <w:tcW w:w="1600" w:type="dxa"/>
            <w:vAlign w:val="bottom"/>
          </w:tcPr>
          <w:p>
            <w:pPr>
              <w:ind w:left="20"/>
              <w:spacing w:after="0" w:line="128" w:lineRule="exact"/>
              <w:rPr>
                <w:sz w:val="20"/>
                <w:szCs w:val="20"/>
                <w:color w:val="auto"/>
              </w:rPr>
            </w:pPr>
            <w:r>
              <w:rPr>
                <w:rFonts w:ascii="Arial" w:cs="Arial" w:eastAsia="Arial" w:hAnsi="Arial"/>
                <w:sz w:val="12"/>
                <w:szCs w:val="12"/>
                <w:color w:val="auto"/>
              </w:rPr>
              <w:t>Huelva</w:t>
            </w:r>
          </w:p>
        </w:tc>
        <w:tc>
          <w:tcPr>
            <w:tcW w:w="2640" w:type="dxa"/>
            <w:vAlign w:val="bottom"/>
          </w:tcPr>
          <w:p>
            <w:pPr>
              <w:ind w:left="300"/>
              <w:spacing w:after="0" w:line="128" w:lineRule="exact"/>
              <w:rPr>
                <w:sz w:val="20"/>
                <w:szCs w:val="20"/>
                <w:color w:val="auto"/>
              </w:rPr>
            </w:pPr>
            <w:r>
              <w:rPr>
                <w:rFonts w:ascii="Arial" w:cs="Arial" w:eastAsia="Arial" w:hAnsi="Arial"/>
                <w:sz w:val="12"/>
                <w:szCs w:val="12"/>
                <w:color w:val="auto"/>
              </w:rPr>
              <w:t>Huelva, Spain</w:t>
            </w:r>
          </w:p>
        </w:tc>
        <w:tc>
          <w:tcPr>
            <w:tcW w:w="2080" w:type="dxa"/>
            <w:vAlign w:val="bottom"/>
          </w:tcPr>
          <w:p>
            <w:pPr>
              <w:ind w:left="1420"/>
              <w:spacing w:after="0" w:line="128" w:lineRule="exact"/>
              <w:rPr>
                <w:sz w:val="20"/>
                <w:szCs w:val="20"/>
                <w:color w:val="auto"/>
              </w:rPr>
            </w:pPr>
            <w:r>
              <w:rPr>
                <w:rFonts w:ascii="Arial" w:cs="Arial" w:eastAsia="Arial" w:hAnsi="Arial"/>
                <w:sz w:val="12"/>
                <w:szCs w:val="12"/>
                <w:color w:val="auto"/>
              </w:rPr>
              <w:t>0.2</w:t>
            </w:r>
            <w:r>
              <w:rPr>
                <w:rFonts w:ascii="Arial" w:cs="Arial" w:eastAsia="Arial" w:hAnsi="Arial"/>
                <w:sz w:val="10"/>
                <w:szCs w:val="10"/>
                <w:color w:val="auto"/>
              </w:rPr>
              <w:t>[A]</w:t>
            </w:r>
          </w:p>
        </w:tc>
        <w:tc>
          <w:tcPr>
            <w:tcW w:w="13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2001-2008</w:t>
            </w:r>
          </w:p>
        </w:tc>
        <w:tc>
          <w:tcPr>
            <w:tcW w:w="16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28" w:lineRule="exact"/>
              <w:rPr>
                <w:sz w:val="20"/>
                <w:szCs w:val="20"/>
                <w:color w:val="auto"/>
              </w:rPr>
            </w:pPr>
            <w:r>
              <w:rPr>
                <w:rFonts w:ascii="Arial" w:cs="Arial" w:eastAsia="Arial" w:hAnsi="Arial"/>
                <w:sz w:val="12"/>
                <w:szCs w:val="12"/>
                <w:color w:val="auto"/>
              </w:rPr>
              <w:t>1988</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Cartagena</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Cartagena, Spain</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0.0</w:t>
            </w:r>
            <w:r>
              <w:rPr>
                <w:rFonts w:ascii="Arial" w:cs="Arial" w:eastAsia="Arial" w:hAnsi="Arial"/>
                <w:sz w:val="10"/>
                <w:szCs w:val="10"/>
                <w:color w:val="auto"/>
              </w:rPr>
              <w:t>[A]</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2002-2034</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1989</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Barcelona</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Barcelona, Spain</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0.9</w:t>
            </w:r>
            <w:r>
              <w:rPr>
                <w:rFonts w:ascii="Arial" w:cs="Arial" w:eastAsia="Arial" w:hAnsi="Arial"/>
                <w:sz w:val="10"/>
                <w:szCs w:val="10"/>
                <w:color w:val="auto"/>
              </w:rPr>
              <w:t>[A]</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2005-2020</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1969</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Hazira</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Gujarat, India</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1.5</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from 2005</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Altamira</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Altamira, Mexico</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3.3</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from 2006</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2006</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Cove Point</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Lusby, MD, USA</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1.8</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2003-2023</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2003</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Elba Island</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Elba Island, GA, USA</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2.8</w:t>
            </w:r>
          </w:p>
        </w:tc>
        <w:tc>
          <w:tcPr>
            <w:tcW w:w="13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2006-2036</w:t>
            </w:r>
            <w:r>
              <w:rPr>
                <w:rFonts w:ascii="Arial" w:cs="Arial" w:eastAsia="Arial" w:hAnsi="Arial"/>
                <w:sz w:val="10"/>
                <w:szCs w:val="10"/>
                <w:color w:val="auto"/>
              </w:rPr>
              <w:t>[B]</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operation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2006</w:t>
            </w:r>
          </w:p>
        </w:tc>
      </w:tr>
      <w:tr>
        <w:trPr>
          <w:trHeight w:val="133"/>
        </w:trPr>
        <w:tc>
          <w:tcPr>
            <w:tcW w:w="1600" w:type="dxa"/>
            <w:vAlign w:val="bottom"/>
          </w:tcPr>
          <w:p>
            <w:pPr>
              <w:ind w:left="20"/>
              <w:spacing w:after="0" w:line="133" w:lineRule="exact"/>
              <w:rPr>
                <w:sz w:val="20"/>
                <w:szCs w:val="20"/>
                <w:color w:val="auto"/>
              </w:rPr>
            </w:pPr>
            <w:r>
              <w:rPr>
                <w:rFonts w:ascii="Arial" w:cs="Arial" w:eastAsia="Arial" w:hAnsi="Arial"/>
                <w:sz w:val="12"/>
                <w:szCs w:val="12"/>
                <w:color w:val="auto"/>
              </w:rPr>
              <w:t>Elba Expansion</w:t>
            </w:r>
          </w:p>
        </w:tc>
        <w:tc>
          <w:tcPr>
            <w:tcW w:w="2640" w:type="dxa"/>
            <w:vAlign w:val="bottom"/>
          </w:tcPr>
          <w:p>
            <w:pPr>
              <w:ind w:left="300"/>
              <w:spacing w:after="0" w:line="133" w:lineRule="exact"/>
              <w:rPr>
                <w:sz w:val="20"/>
                <w:szCs w:val="20"/>
                <w:color w:val="auto"/>
              </w:rPr>
            </w:pPr>
            <w:r>
              <w:rPr>
                <w:rFonts w:ascii="Arial" w:cs="Arial" w:eastAsia="Arial" w:hAnsi="Arial"/>
                <w:sz w:val="12"/>
                <w:szCs w:val="12"/>
                <w:color w:val="auto"/>
              </w:rPr>
              <w:t>Elba Island, GA, USA</w:t>
            </w:r>
          </w:p>
        </w:tc>
        <w:tc>
          <w:tcPr>
            <w:tcW w:w="2080" w:type="dxa"/>
            <w:vAlign w:val="bottom"/>
          </w:tcPr>
          <w:p>
            <w:pPr>
              <w:ind w:left="1420"/>
              <w:spacing w:after="0" w:line="133" w:lineRule="exact"/>
              <w:rPr>
                <w:sz w:val="20"/>
                <w:szCs w:val="20"/>
                <w:color w:val="auto"/>
              </w:rPr>
            </w:pPr>
            <w:r>
              <w:rPr>
                <w:rFonts w:ascii="Arial" w:cs="Arial" w:eastAsia="Arial" w:hAnsi="Arial"/>
                <w:sz w:val="12"/>
                <w:szCs w:val="12"/>
                <w:color w:val="auto"/>
              </w:rPr>
              <w:t>4.5</w:t>
            </w:r>
          </w:p>
        </w:tc>
        <w:tc>
          <w:tcPr>
            <w:tcW w:w="13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2010-2035</w:t>
            </w:r>
          </w:p>
        </w:tc>
        <w:tc>
          <w:tcPr>
            <w:tcW w:w="16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In construction</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2010</w:t>
            </w:r>
          </w:p>
        </w:tc>
      </w:tr>
      <w:tr>
        <w:trPr>
          <w:trHeight w:val="146"/>
        </w:trPr>
        <w:tc>
          <w:tcPr>
            <w:tcW w:w="1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Costa Azul</w:t>
            </w:r>
          </w:p>
        </w:tc>
        <w:tc>
          <w:tcPr>
            <w:tcW w:w="264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Baja California, Mexico</w:t>
            </w:r>
          </w:p>
        </w:tc>
        <w:tc>
          <w:tcPr>
            <w:tcW w:w="2080" w:type="dxa"/>
            <w:vAlign w:val="bottom"/>
            <w:tcBorders>
              <w:bottom w:val="single" w:sz="8" w:color="auto"/>
            </w:tcBorders>
          </w:tcPr>
          <w:p>
            <w:pPr>
              <w:ind w:left="1420"/>
              <w:spacing w:after="0"/>
              <w:rPr>
                <w:sz w:val="20"/>
                <w:szCs w:val="20"/>
                <w:color w:val="auto"/>
              </w:rPr>
            </w:pPr>
            <w:r>
              <w:rPr>
                <w:rFonts w:ascii="Arial" w:cs="Arial" w:eastAsia="Arial" w:hAnsi="Arial"/>
                <w:sz w:val="12"/>
                <w:szCs w:val="12"/>
                <w:color w:val="auto"/>
              </w:rPr>
              <w:t>3.8</w:t>
            </w:r>
          </w:p>
        </w:tc>
        <w:tc>
          <w:tcPr>
            <w:tcW w:w="13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2008-2028</w:t>
            </w:r>
          </w:p>
        </w:tc>
        <w:tc>
          <w:tcPr>
            <w:tcW w:w="16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In construction</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-1005840</wp:posOffset>
            </wp:positionV>
            <wp:extent cx="282575" cy="6115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2575" cy="6115050"/>
                    </a:xfrm>
                    <a:prstGeom prst="rect">
                      <a:avLst/>
                    </a:prstGeom>
                    <a:noFill/>
                  </pic:spPr>
                </pic:pic>
              </a:graphicData>
            </a:graphic>
          </wp:anchor>
        </w:drawing>
      </w:r>
    </w:p>
    <w:p>
      <w:pPr>
        <w:ind w:left="260" w:hanging="253"/>
        <w:spacing w:after="0"/>
        <w:tabs>
          <w:tab w:leader="none" w:pos="2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Capacity rights as at end 2007, which will change over capacity right period.</w:t>
      </w:r>
    </w:p>
    <w:p>
      <w:pPr>
        <w:ind w:left="260" w:hanging="253"/>
        <w:spacing w:after="0"/>
        <w:tabs>
          <w:tab w:leader="none" w:pos="26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Capacity leased to third party until 2010.</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600" w:type="dxa"/>
            <w:vAlign w:val="bottom"/>
            <w:shd w:val="clear" w:color="auto" w:fill="6CB43F"/>
          </w:tcPr>
          <w:p>
            <w:pPr>
              <w:ind w:left="100"/>
              <w:spacing w:after="0"/>
              <w:rPr>
                <w:sz w:val="20"/>
                <w:szCs w:val="20"/>
                <w:color w:val="auto"/>
              </w:rPr>
            </w:pPr>
            <w:r>
              <w:rPr>
                <w:rFonts w:ascii="Arial" w:cs="Arial" w:eastAsia="Arial" w:hAnsi="Arial"/>
                <w:sz w:val="12"/>
                <w:szCs w:val="12"/>
                <w:b w:val="1"/>
                <w:bCs w:val="1"/>
                <w:color w:val="FFFFFF"/>
              </w:rPr>
              <w:t>LNG GAS CARRIERS (At December 31)[A]</w:t>
            </w:r>
          </w:p>
        </w:tc>
        <w:tc>
          <w:tcPr>
            <w:tcW w:w="240" w:type="dxa"/>
            <w:vAlign w:val="bottom"/>
            <w:shd w:val="clear" w:color="auto" w:fill="6CB43F"/>
          </w:tcPr>
          <w:p>
            <w:pPr>
              <w:spacing w:after="0"/>
              <w:rPr>
                <w:sz w:val="13"/>
                <w:szCs w:val="13"/>
                <w:color w:val="auto"/>
              </w:rPr>
            </w:pPr>
          </w:p>
        </w:tc>
        <w:tc>
          <w:tcPr>
            <w:tcW w:w="380" w:type="dxa"/>
            <w:vAlign w:val="bottom"/>
            <w:shd w:val="clear" w:color="auto" w:fill="6CB43F"/>
          </w:tcPr>
          <w:p>
            <w:pPr>
              <w:spacing w:after="0"/>
              <w:rPr>
                <w:sz w:val="13"/>
                <w:szCs w:val="13"/>
                <w:color w:val="auto"/>
              </w:rPr>
            </w:pPr>
          </w:p>
        </w:tc>
        <w:tc>
          <w:tcPr>
            <w:tcW w:w="160" w:type="dxa"/>
            <w:vAlign w:val="bottom"/>
            <w:shd w:val="clear" w:color="auto" w:fill="6CB43F"/>
          </w:tcPr>
          <w:p>
            <w:pPr>
              <w:spacing w:after="0"/>
              <w:rPr>
                <w:sz w:val="13"/>
                <w:szCs w:val="13"/>
                <w:color w:val="auto"/>
              </w:rPr>
            </w:pPr>
          </w:p>
        </w:tc>
        <w:tc>
          <w:tcPr>
            <w:tcW w:w="640" w:type="dxa"/>
            <w:vAlign w:val="bottom"/>
            <w:shd w:val="clear" w:color="auto" w:fill="6CB43F"/>
          </w:tcPr>
          <w:p>
            <w:pPr>
              <w:spacing w:after="0"/>
              <w:rPr>
                <w:sz w:val="13"/>
                <w:szCs w:val="13"/>
                <w:color w:val="auto"/>
              </w:rPr>
            </w:pPr>
          </w:p>
        </w:tc>
        <w:tc>
          <w:tcPr>
            <w:tcW w:w="340" w:type="dxa"/>
            <w:vAlign w:val="bottom"/>
            <w:shd w:val="clear" w:color="auto" w:fill="6CB43F"/>
          </w:tcPr>
          <w:p>
            <w:pPr>
              <w:spacing w:after="0"/>
              <w:rPr>
                <w:sz w:val="13"/>
                <w:szCs w:val="13"/>
                <w:color w:val="auto"/>
              </w:rPr>
            </w:pPr>
          </w:p>
        </w:tc>
        <w:tc>
          <w:tcPr>
            <w:tcW w:w="700" w:type="dxa"/>
            <w:vAlign w:val="bottom"/>
            <w:shd w:val="clear" w:color="auto" w:fill="6CB43F"/>
          </w:tcPr>
          <w:p>
            <w:pPr>
              <w:spacing w:after="0"/>
              <w:rPr>
                <w:sz w:val="13"/>
                <w:szCs w:val="13"/>
                <w:color w:val="auto"/>
              </w:rPr>
            </w:pPr>
          </w:p>
        </w:tc>
        <w:tc>
          <w:tcPr>
            <w:tcW w:w="740" w:type="dxa"/>
            <w:vAlign w:val="bottom"/>
            <w:shd w:val="clear" w:color="auto" w:fill="6CB43F"/>
          </w:tcPr>
          <w:p>
            <w:pPr>
              <w:spacing w:after="0"/>
              <w:rPr>
                <w:sz w:val="13"/>
                <w:szCs w:val="13"/>
                <w:color w:val="auto"/>
              </w:rPr>
            </w:pPr>
          </w:p>
        </w:tc>
        <w:tc>
          <w:tcPr>
            <w:tcW w:w="900" w:type="dxa"/>
            <w:vAlign w:val="bottom"/>
            <w:shd w:val="clear" w:color="auto" w:fill="6CB43F"/>
          </w:tcPr>
          <w:p>
            <w:pPr>
              <w:spacing w:after="0"/>
              <w:rPr>
                <w:sz w:val="13"/>
                <w:szCs w:val="13"/>
                <w:color w:val="auto"/>
              </w:rPr>
            </w:pPr>
          </w:p>
        </w:tc>
        <w:tc>
          <w:tcPr>
            <w:tcW w:w="520" w:type="dxa"/>
            <w:vAlign w:val="bottom"/>
            <w:shd w:val="clear" w:color="auto" w:fill="6CB43F"/>
          </w:tcPr>
          <w:p>
            <w:pPr>
              <w:spacing w:after="0"/>
              <w:rPr>
                <w:sz w:val="13"/>
                <w:szCs w:val="13"/>
                <w:color w:val="auto"/>
              </w:rPr>
            </w:pPr>
          </w:p>
        </w:tc>
        <w:tc>
          <w:tcPr>
            <w:tcW w:w="960" w:type="dxa"/>
            <w:vAlign w:val="bottom"/>
            <w:shd w:val="clear" w:color="auto" w:fill="6CB43F"/>
          </w:tcPr>
          <w:p>
            <w:pPr>
              <w:spacing w:after="0"/>
              <w:rPr>
                <w:sz w:val="13"/>
                <w:szCs w:val="13"/>
                <w:color w:val="auto"/>
              </w:rPr>
            </w:pPr>
          </w:p>
        </w:tc>
        <w:tc>
          <w:tcPr>
            <w:tcW w:w="700" w:type="dxa"/>
            <w:vAlign w:val="bottom"/>
            <w:shd w:val="clear" w:color="auto" w:fill="6CB43F"/>
          </w:tcPr>
          <w:p>
            <w:pPr>
              <w:spacing w:after="0"/>
              <w:rPr>
                <w:sz w:val="13"/>
                <w:szCs w:val="13"/>
                <w:color w:val="auto"/>
              </w:rPr>
            </w:pPr>
          </w:p>
        </w:tc>
        <w:tc>
          <w:tcPr>
            <w:tcW w:w="880" w:type="dxa"/>
            <w:vAlign w:val="bottom"/>
            <w:shd w:val="clear" w:color="auto" w:fill="6CB43F"/>
          </w:tcPr>
          <w:p>
            <w:pPr>
              <w:spacing w:after="0"/>
              <w:rPr>
                <w:sz w:val="13"/>
                <w:szCs w:val="13"/>
                <w:color w:val="auto"/>
              </w:rPr>
            </w:pPr>
          </w:p>
        </w:tc>
        <w:tc>
          <w:tcPr>
            <w:tcW w:w="620" w:type="dxa"/>
            <w:vAlign w:val="bottom"/>
            <w:shd w:val="clear" w:color="auto" w:fill="6CB43F"/>
          </w:tcPr>
          <w:p>
            <w:pPr>
              <w:spacing w:after="0"/>
              <w:rPr>
                <w:sz w:val="13"/>
                <w:szCs w:val="13"/>
                <w:color w:val="auto"/>
              </w:rPr>
            </w:pPr>
          </w:p>
        </w:tc>
      </w:tr>
      <w:tr>
        <w:trPr>
          <w:trHeight w:val="156"/>
        </w:trPr>
        <w:tc>
          <w:tcPr>
            <w:tcW w:w="2600" w:type="dxa"/>
            <w:vAlign w:val="bottom"/>
            <w:shd w:val="clear" w:color="auto" w:fill="CECAC6"/>
          </w:tcPr>
          <w:p>
            <w:pPr>
              <w:spacing w:after="0"/>
              <w:rPr>
                <w:sz w:val="13"/>
                <w:szCs w:val="13"/>
                <w:color w:val="auto"/>
              </w:rPr>
            </w:pPr>
          </w:p>
        </w:tc>
        <w:tc>
          <w:tcPr>
            <w:tcW w:w="240" w:type="dxa"/>
            <w:vAlign w:val="bottom"/>
            <w:shd w:val="clear" w:color="auto" w:fill="CECAC6"/>
          </w:tcPr>
          <w:p>
            <w:pPr>
              <w:spacing w:after="0"/>
              <w:rPr>
                <w:sz w:val="13"/>
                <w:szCs w:val="13"/>
                <w:color w:val="auto"/>
              </w:rPr>
            </w:pPr>
          </w:p>
        </w:tc>
        <w:tc>
          <w:tcPr>
            <w:tcW w:w="380" w:type="dxa"/>
            <w:vAlign w:val="bottom"/>
            <w:shd w:val="clear" w:color="auto" w:fill="CECAC6"/>
          </w:tcPr>
          <w:p>
            <w:pPr>
              <w:spacing w:after="0"/>
              <w:rPr>
                <w:sz w:val="13"/>
                <w:szCs w:val="13"/>
                <w:color w:val="auto"/>
              </w:rPr>
            </w:pPr>
          </w:p>
        </w:tc>
        <w:tc>
          <w:tcPr>
            <w:tcW w:w="160" w:type="dxa"/>
            <w:vAlign w:val="bottom"/>
            <w:shd w:val="clear" w:color="auto" w:fill="CECAC6"/>
          </w:tcPr>
          <w:p>
            <w:pPr>
              <w:spacing w:after="0"/>
              <w:rPr>
                <w:sz w:val="13"/>
                <w:szCs w:val="13"/>
                <w:color w:val="auto"/>
              </w:rPr>
            </w:pPr>
          </w:p>
        </w:tc>
        <w:tc>
          <w:tcPr>
            <w:tcW w:w="640" w:type="dxa"/>
            <w:vAlign w:val="bottom"/>
            <w:shd w:val="clear" w:color="auto" w:fill="CECAC6"/>
          </w:tcPr>
          <w:p>
            <w:pPr>
              <w:spacing w:after="0"/>
              <w:rPr>
                <w:sz w:val="13"/>
                <w:szCs w:val="13"/>
                <w:color w:val="auto"/>
              </w:rPr>
            </w:pPr>
          </w:p>
        </w:tc>
        <w:tc>
          <w:tcPr>
            <w:tcW w:w="340" w:type="dxa"/>
            <w:vAlign w:val="bottom"/>
            <w:shd w:val="clear" w:color="auto" w:fill="CECAC6"/>
          </w:tcPr>
          <w:p>
            <w:pPr>
              <w:spacing w:after="0"/>
              <w:rPr>
                <w:sz w:val="13"/>
                <w:szCs w:val="13"/>
                <w:color w:val="auto"/>
              </w:rPr>
            </w:pPr>
          </w:p>
        </w:tc>
        <w:tc>
          <w:tcPr>
            <w:tcW w:w="700" w:type="dxa"/>
            <w:vAlign w:val="bottom"/>
            <w:shd w:val="clear" w:color="auto" w:fill="CECAC6"/>
          </w:tcPr>
          <w:p>
            <w:pPr>
              <w:spacing w:after="0"/>
              <w:rPr>
                <w:sz w:val="13"/>
                <w:szCs w:val="13"/>
                <w:color w:val="auto"/>
              </w:rPr>
            </w:pPr>
          </w:p>
        </w:tc>
        <w:tc>
          <w:tcPr>
            <w:tcW w:w="1640" w:type="dxa"/>
            <w:vAlign w:val="bottom"/>
            <w:gridSpan w:val="2"/>
            <w:shd w:val="clear" w:color="auto" w:fill="CECAC6"/>
          </w:tcPr>
          <w:p>
            <w:pPr>
              <w:jc w:val="right"/>
              <w:ind w:right="318"/>
              <w:spacing w:after="0"/>
              <w:rPr>
                <w:sz w:val="20"/>
                <w:szCs w:val="20"/>
                <w:color w:val="auto"/>
              </w:rPr>
            </w:pPr>
            <w:r>
              <w:rPr>
                <w:rFonts w:ascii="Arial" w:cs="Arial" w:eastAsia="Arial" w:hAnsi="Arial"/>
                <w:sz w:val="12"/>
                <w:szCs w:val="12"/>
                <w:color w:val="auto"/>
              </w:rPr>
              <w:t>number of ships</w:t>
            </w:r>
          </w:p>
        </w:tc>
        <w:tc>
          <w:tcPr>
            <w:tcW w:w="520" w:type="dxa"/>
            <w:vAlign w:val="bottom"/>
            <w:shd w:val="clear" w:color="auto" w:fill="CECAC6"/>
          </w:tcPr>
          <w:p>
            <w:pPr>
              <w:spacing w:after="0"/>
              <w:rPr>
                <w:sz w:val="13"/>
                <w:szCs w:val="13"/>
                <w:color w:val="auto"/>
              </w:rPr>
            </w:pPr>
          </w:p>
        </w:tc>
        <w:tc>
          <w:tcPr>
            <w:tcW w:w="960" w:type="dxa"/>
            <w:vAlign w:val="bottom"/>
            <w:shd w:val="clear" w:color="auto" w:fill="CECAC6"/>
          </w:tcPr>
          <w:p>
            <w:pPr>
              <w:spacing w:after="0"/>
              <w:rPr>
                <w:sz w:val="13"/>
                <w:szCs w:val="13"/>
                <w:color w:val="auto"/>
              </w:rPr>
            </w:pPr>
          </w:p>
        </w:tc>
        <w:tc>
          <w:tcPr>
            <w:tcW w:w="700" w:type="dxa"/>
            <w:vAlign w:val="bottom"/>
            <w:shd w:val="clear" w:color="auto" w:fill="CECAC6"/>
          </w:tcPr>
          <w:p>
            <w:pPr>
              <w:spacing w:after="0"/>
              <w:rPr>
                <w:sz w:val="13"/>
                <w:szCs w:val="13"/>
                <w:color w:val="auto"/>
              </w:rPr>
            </w:pPr>
          </w:p>
        </w:tc>
        <w:tc>
          <w:tcPr>
            <w:tcW w:w="150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thousand cubic metres</w:t>
            </w:r>
          </w:p>
        </w:tc>
      </w:tr>
      <w:tr>
        <w:trPr>
          <w:trHeight w:val="160"/>
        </w:trPr>
        <w:tc>
          <w:tcPr>
            <w:tcW w:w="2600" w:type="dxa"/>
            <w:vAlign w:val="bottom"/>
            <w:shd w:val="clear" w:color="auto" w:fill="CECAC6"/>
          </w:tcPr>
          <w:p>
            <w:pPr>
              <w:ind w:left="100"/>
              <w:spacing w:after="0"/>
              <w:rPr>
                <w:sz w:val="20"/>
                <w:szCs w:val="20"/>
                <w:color w:val="auto"/>
              </w:rPr>
            </w:pPr>
            <w:r>
              <w:rPr>
                <w:rFonts w:ascii="Arial" w:cs="Arial" w:eastAsia="Arial" w:hAnsi="Arial"/>
                <w:sz w:val="12"/>
                <w:szCs w:val="12"/>
                <w:color w:val="auto"/>
              </w:rPr>
              <w:t>Contract</w:t>
            </w:r>
          </w:p>
        </w:tc>
        <w:tc>
          <w:tcPr>
            <w:tcW w:w="62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160" w:type="dxa"/>
            <w:vAlign w:val="bottom"/>
            <w:shd w:val="clear" w:color="auto" w:fill="CECAC6"/>
          </w:tcPr>
          <w:p>
            <w:pPr>
              <w:spacing w:after="0"/>
              <w:rPr>
                <w:sz w:val="13"/>
                <w:szCs w:val="13"/>
                <w:color w:val="auto"/>
              </w:rPr>
            </w:pPr>
          </w:p>
        </w:tc>
        <w:tc>
          <w:tcPr>
            <w:tcW w:w="6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2006</w:t>
            </w:r>
          </w:p>
        </w:tc>
        <w:tc>
          <w:tcPr>
            <w:tcW w:w="340" w:type="dxa"/>
            <w:vAlign w:val="bottom"/>
            <w:shd w:val="clear" w:color="auto" w:fill="CECAC6"/>
          </w:tcPr>
          <w:p>
            <w:pPr>
              <w:spacing w:after="0"/>
              <w:rPr>
                <w:sz w:val="13"/>
                <w:szCs w:val="13"/>
                <w:color w:val="auto"/>
              </w:rPr>
            </w:pPr>
          </w:p>
        </w:tc>
        <w:tc>
          <w:tcPr>
            <w:tcW w:w="7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2005</w:t>
            </w:r>
          </w:p>
        </w:tc>
        <w:tc>
          <w:tcPr>
            <w:tcW w:w="7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2004</w:t>
            </w:r>
          </w:p>
        </w:tc>
        <w:tc>
          <w:tcPr>
            <w:tcW w:w="9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2003</w:t>
            </w:r>
          </w:p>
        </w:tc>
        <w:tc>
          <w:tcPr>
            <w:tcW w:w="5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2006</w:t>
            </w:r>
          </w:p>
        </w:tc>
        <w:tc>
          <w:tcPr>
            <w:tcW w:w="70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2005</w:t>
            </w:r>
          </w:p>
        </w:tc>
        <w:tc>
          <w:tcPr>
            <w:tcW w:w="8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2004</w:t>
            </w:r>
          </w:p>
        </w:tc>
        <w:tc>
          <w:tcPr>
            <w:tcW w:w="6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2003</w:t>
            </w:r>
          </w:p>
        </w:tc>
      </w:tr>
      <w:tr>
        <w:trPr>
          <w:trHeight w:val="71"/>
        </w:trPr>
        <w:tc>
          <w:tcPr>
            <w:tcW w:w="2600" w:type="dxa"/>
            <w:vAlign w:val="bottom"/>
            <w:shd w:val="clear" w:color="auto" w:fill="CECAC6"/>
          </w:tcPr>
          <w:p>
            <w:pPr>
              <w:spacing w:after="0"/>
              <w:rPr>
                <w:sz w:val="6"/>
                <w:szCs w:val="6"/>
                <w:color w:val="auto"/>
              </w:rPr>
            </w:pPr>
          </w:p>
        </w:tc>
        <w:tc>
          <w:tcPr>
            <w:tcW w:w="240" w:type="dxa"/>
            <w:vAlign w:val="bottom"/>
            <w:shd w:val="clear" w:color="auto" w:fill="CECAC6"/>
          </w:tcPr>
          <w:p>
            <w:pPr>
              <w:spacing w:after="0"/>
              <w:rPr>
                <w:sz w:val="6"/>
                <w:szCs w:val="6"/>
                <w:color w:val="auto"/>
              </w:rPr>
            </w:pPr>
          </w:p>
        </w:tc>
        <w:tc>
          <w:tcPr>
            <w:tcW w:w="380" w:type="dxa"/>
            <w:vAlign w:val="bottom"/>
            <w:shd w:val="clear" w:color="auto" w:fill="CECAC6"/>
          </w:tcPr>
          <w:p>
            <w:pPr>
              <w:spacing w:after="0"/>
              <w:rPr>
                <w:sz w:val="6"/>
                <w:szCs w:val="6"/>
                <w:color w:val="auto"/>
              </w:rPr>
            </w:pPr>
          </w:p>
        </w:tc>
        <w:tc>
          <w:tcPr>
            <w:tcW w:w="160" w:type="dxa"/>
            <w:vAlign w:val="bottom"/>
            <w:shd w:val="clear" w:color="auto" w:fill="CECAC6"/>
          </w:tcPr>
          <w:p>
            <w:pPr>
              <w:spacing w:after="0"/>
              <w:rPr>
                <w:sz w:val="6"/>
                <w:szCs w:val="6"/>
                <w:color w:val="auto"/>
              </w:rPr>
            </w:pPr>
          </w:p>
        </w:tc>
        <w:tc>
          <w:tcPr>
            <w:tcW w:w="640" w:type="dxa"/>
            <w:vAlign w:val="bottom"/>
            <w:shd w:val="clear" w:color="auto" w:fill="CECAC6"/>
          </w:tcPr>
          <w:p>
            <w:pPr>
              <w:spacing w:after="0"/>
              <w:rPr>
                <w:sz w:val="6"/>
                <w:szCs w:val="6"/>
                <w:color w:val="auto"/>
              </w:rPr>
            </w:pPr>
          </w:p>
        </w:tc>
        <w:tc>
          <w:tcPr>
            <w:tcW w:w="340" w:type="dxa"/>
            <w:vAlign w:val="bottom"/>
            <w:shd w:val="clear" w:color="auto" w:fill="CECAC6"/>
          </w:tcPr>
          <w:p>
            <w:pPr>
              <w:spacing w:after="0"/>
              <w:rPr>
                <w:sz w:val="6"/>
                <w:szCs w:val="6"/>
                <w:color w:val="auto"/>
              </w:rPr>
            </w:pPr>
          </w:p>
        </w:tc>
        <w:tc>
          <w:tcPr>
            <w:tcW w:w="700" w:type="dxa"/>
            <w:vAlign w:val="bottom"/>
            <w:shd w:val="clear" w:color="auto" w:fill="CECAC6"/>
          </w:tcPr>
          <w:p>
            <w:pPr>
              <w:spacing w:after="0"/>
              <w:rPr>
                <w:sz w:val="6"/>
                <w:szCs w:val="6"/>
                <w:color w:val="auto"/>
              </w:rPr>
            </w:pPr>
          </w:p>
        </w:tc>
        <w:tc>
          <w:tcPr>
            <w:tcW w:w="740" w:type="dxa"/>
            <w:vAlign w:val="bottom"/>
            <w:shd w:val="clear" w:color="auto" w:fill="CECAC6"/>
          </w:tcPr>
          <w:p>
            <w:pPr>
              <w:spacing w:after="0"/>
              <w:rPr>
                <w:sz w:val="6"/>
                <w:szCs w:val="6"/>
                <w:color w:val="auto"/>
              </w:rPr>
            </w:pPr>
          </w:p>
        </w:tc>
        <w:tc>
          <w:tcPr>
            <w:tcW w:w="900" w:type="dxa"/>
            <w:vAlign w:val="bottom"/>
            <w:shd w:val="clear" w:color="auto" w:fill="CECAC6"/>
          </w:tcPr>
          <w:p>
            <w:pPr>
              <w:spacing w:after="0"/>
              <w:rPr>
                <w:sz w:val="6"/>
                <w:szCs w:val="6"/>
                <w:color w:val="auto"/>
              </w:rPr>
            </w:pPr>
          </w:p>
        </w:tc>
        <w:tc>
          <w:tcPr>
            <w:tcW w:w="520" w:type="dxa"/>
            <w:vAlign w:val="bottom"/>
            <w:shd w:val="clear" w:color="auto" w:fill="CECAC6"/>
          </w:tcPr>
          <w:p>
            <w:pPr>
              <w:spacing w:after="0"/>
              <w:rPr>
                <w:sz w:val="6"/>
                <w:szCs w:val="6"/>
                <w:color w:val="auto"/>
              </w:rPr>
            </w:pPr>
          </w:p>
        </w:tc>
        <w:tc>
          <w:tcPr>
            <w:tcW w:w="960" w:type="dxa"/>
            <w:vAlign w:val="bottom"/>
            <w:shd w:val="clear" w:color="auto" w:fill="CECAC6"/>
          </w:tcPr>
          <w:p>
            <w:pPr>
              <w:spacing w:after="0"/>
              <w:rPr>
                <w:sz w:val="6"/>
                <w:szCs w:val="6"/>
                <w:color w:val="auto"/>
              </w:rPr>
            </w:pPr>
          </w:p>
        </w:tc>
        <w:tc>
          <w:tcPr>
            <w:tcW w:w="700" w:type="dxa"/>
            <w:vAlign w:val="bottom"/>
            <w:shd w:val="clear" w:color="auto" w:fill="CECAC6"/>
          </w:tcPr>
          <w:p>
            <w:pPr>
              <w:spacing w:after="0"/>
              <w:rPr>
                <w:sz w:val="6"/>
                <w:szCs w:val="6"/>
                <w:color w:val="auto"/>
              </w:rPr>
            </w:pPr>
          </w:p>
        </w:tc>
        <w:tc>
          <w:tcPr>
            <w:tcW w:w="880" w:type="dxa"/>
            <w:vAlign w:val="bottom"/>
            <w:shd w:val="clear" w:color="auto" w:fill="CECAC6"/>
          </w:tcPr>
          <w:p>
            <w:pPr>
              <w:spacing w:after="0"/>
              <w:rPr>
                <w:sz w:val="6"/>
                <w:szCs w:val="6"/>
                <w:color w:val="auto"/>
              </w:rPr>
            </w:pPr>
          </w:p>
        </w:tc>
        <w:tc>
          <w:tcPr>
            <w:tcW w:w="620" w:type="dxa"/>
            <w:vAlign w:val="bottom"/>
            <w:shd w:val="clear" w:color="auto" w:fill="CECAC6"/>
          </w:tcPr>
          <w:p>
            <w:pPr>
              <w:spacing w:after="0"/>
              <w:rPr>
                <w:sz w:val="6"/>
                <w:szCs w:val="6"/>
                <w:color w:val="auto"/>
              </w:rPr>
            </w:pPr>
          </w:p>
        </w:tc>
      </w:tr>
      <w:tr>
        <w:trPr>
          <w:trHeight w:val="196"/>
        </w:trPr>
        <w:tc>
          <w:tcPr>
            <w:tcW w:w="2600" w:type="dxa"/>
            <w:vAlign w:val="bottom"/>
          </w:tcPr>
          <w:p>
            <w:pPr>
              <w:ind w:left="20"/>
              <w:spacing w:after="0"/>
              <w:rPr>
                <w:sz w:val="20"/>
                <w:szCs w:val="20"/>
                <w:color w:val="auto"/>
              </w:rPr>
            </w:pPr>
            <w:r>
              <w:rPr>
                <w:rFonts w:ascii="Arial" w:cs="Arial" w:eastAsia="Arial" w:hAnsi="Arial"/>
                <w:sz w:val="12"/>
                <w:szCs w:val="12"/>
                <w:color w:val="auto"/>
              </w:rPr>
              <w:t>Owned/demise-hire (LNG)</w:t>
            </w:r>
          </w:p>
        </w:tc>
        <w:tc>
          <w:tcPr>
            <w:tcW w:w="240" w:type="dxa"/>
            <w:vAlign w:val="bottom"/>
          </w:tcPr>
          <w:p>
            <w:pPr>
              <w:spacing w:after="0"/>
              <w:rPr>
                <w:sz w:val="17"/>
                <w:szCs w:val="17"/>
                <w:color w:val="auto"/>
              </w:rPr>
            </w:pPr>
          </w:p>
        </w:tc>
        <w:tc>
          <w:tcPr>
            <w:tcW w:w="3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6</w:t>
            </w:r>
          </w:p>
        </w:tc>
        <w:tc>
          <w:tcPr>
            <w:tcW w:w="160" w:type="dxa"/>
            <w:vAlign w:val="bottom"/>
            <w:shd w:val="clear" w:color="auto" w:fill="E4E3E1"/>
          </w:tcPr>
          <w:p>
            <w:pPr>
              <w:ind w:left="20"/>
              <w:spacing w:after="0"/>
              <w:rPr>
                <w:sz w:val="20"/>
                <w:szCs w:val="20"/>
                <w:color w:val="auto"/>
              </w:rPr>
            </w:pPr>
            <w:r>
              <w:rPr>
                <w:rFonts w:ascii="Arial" w:cs="Arial" w:eastAsia="Arial" w:hAnsi="Arial"/>
                <w:sz w:val="11"/>
                <w:szCs w:val="11"/>
                <w:color w:val="auto"/>
                <w:w w:val="88"/>
              </w:rPr>
              <w:t>[A]</w:t>
            </w:r>
          </w:p>
        </w:tc>
        <w:tc>
          <w:tcPr>
            <w:tcW w:w="640" w:type="dxa"/>
            <w:vAlign w:val="bottom"/>
          </w:tcPr>
          <w:p>
            <w:pPr>
              <w:jc w:val="right"/>
              <w:spacing w:after="0"/>
              <w:rPr>
                <w:sz w:val="20"/>
                <w:szCs w:val="20"/>
                <w:color w:val="auto"/>
              </w:rPr>
            </w:pPr>
            <w:r>
              <w:rPr>
                <w:rFonts w:ascii="Arial" w:cs="Arial" w:eastAsia="Arial" w:hAnsi="Arial"/>
                <w:sz w:val="12"/>
                <w:szCs w:val="12"/>
                <w:color w:val="auto"/>
              </w:rPr>
              <w:t>6</w:t>
            </w:r>
          </w:p>
        </w:tc>
        <w:tc>
          <w:tcPr>
            <w:tcW w:w="340" w:type="dxa"/>
            <w:vAlign w:val="bottom"/>
          </w:tcPr>
          <w:p>
            <w:pPr>
              <w:spacing w:after="0"/>
              <w:rPr>
                <w:sz w:val="17"/>
                <w:szCs w:val="17"/>
                <w:color w:val="auto"/>
              </w:rPr>
            </w:pP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6</w:t>
            </w:r>
          </w:p>
        </w:tc>
        <w:tc>
          <w:tcPr>
            <w:tcW w:w="740" w:type="dxa"/>
            <w:vAlign w:val="bottom"/>
          </w:tcPr>
          <w:p>
            <w:pPr>
              <w:jc w:val="right"/>
              <w:ind w:right="178"/>
              <w:spacing w:after="0"/>
              <w:rPr>
                <w:sz w:val="20"/>
                <w:szCs w:val="20"/>
                <w:color w:val="auto"/>
              </w:rPr>
            </w:pPr>
            <w:r>
              <w:rPr>
                <w:rFonts w:ascii="Arial" w:cs="Arial" w:eastAsia="Arial" w:hAnsi="Arial"/>
                <w:sz w:val="12"/>
                <w:szCs w:val="12"/>
                <w:color w:val="auto"/>
              </w:rPr>
              <w:t>6</w:t>
            </w:r>
          </w:p>
        </w:tc>
        <w:tc>
          <w:tcPr>
            <w:tcW w:w="900" w:type="dxa"/>
            <w:vAlign w:val="bottom"/>
          </w:tcPr>
          <w:p>
            <w:pPr>
              <w:jc w:val="right"/>
              <w:ind w:right="318"/>
              <w:spacing w:after="0"/>
              <w:rPr>
                <w:sz w:val="20"/>
                <w:szCs w:val="20"/>
                <w:color w:val="auto"/>
              </w:rPr>
            </w:pPr>
            <w:r>
              <w:rPr>
                <w:rFonts w:ascii="Arial" w:cs="Arial" w:eastAsia="Arial" w:hAnsi="Arial"/>
                <w:sz w:val="12"/>
                <w:szCs w:val="12"/>
                <w:color w:val="auto"/>
              </w:rPr>
              <w:t>5</w:t>
            </w:r>
          </w:p>
        </w:tc>
        <w:tc>
          <w:tcPr>
            <w:tcW w:w="52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797</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797</w:t>
            </w: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797</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797</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662</w:t>
            </w:r>
          </w:p>
        </w:tc>
      </w:tr>
      <w:tr>
        <w:trPr>
          <w:trHeight w:val="16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Time-Charter (LNG)</w:t>
            </w:r>
            <w:r>
              <w:rPr>
                <w:rFonts w:ascii="Arial" w:cs="Arial" w:eastAsia="Arial" w:hAnsi="Arial"/>
                <w:sz w:val="10"/>
                <w:szCs w:val="10"/>
                <w:color w:val="auto"/>
              </w:rPr>
              <w:t>[C]</w:t>
            </w: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w:t>
            </w:r>
          </w:p>
        </w:tc>
        <w:tc>
          <w:tcPr>
            <w:tcW w:w="160" w:type="dxa"/>
            <w:vAlign w:val="bottom"/>
            <w:tcBorders>
              <w:bottom w:val="single" w:sz="8" w:color="auto"/>
            </w:tcBorders>
            <w:shd w:val="clear" w:color="auto" w:fill="E4E3E1"/>
          </w:tcPr>
          <w:p>
            <w:pPr>
              <w:ind w:left="20"/>
              <w:spacing w:after="0"/>
              <w:rPr>
                <w:sz w:val="20"/>
                <w:szCs w:val="20"/>
                <w:color w:val="auto"/>
              </w:rPr>
            </w:pPr>
            <w:r>
              <w:rPr>
                <w:rFonts w:ascii="Arial" w:cs="Arial" w:eastAsia="Arial" w:hAnsi="Arial"/>
                <w:sz w:val="11"/>
                <w:szCs w:val="11"/>
                <w:color w:val="auto"/>
                <w:w w:val="88"/>
              </w:rPr>
              <w:t>[B]</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[B]</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w:t>
            </w: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849</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573</w:t>
            </w: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145</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145</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202"/>
        </w:trPr>
        <w:tc>
          <w:tcPr>
            <w:tcW w:w="26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2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w:t>
            </w:r>
          </w:p>
        </w:tc>
        <w:tc>
          <w:tcPr>
            <w:tcW w:w="160" w:type="dxa"/>
            <w:vAlign w:val="bottom"/>
            <w:tcBorders>
              <w:bottom w:val="single" w:sz="8" w:color="auto"/>
            </w:tcBorders>
            <w:shd w:val="clear" w:color="auto" w:fill="E4E3E1"/>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w:t>
            </w: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w:t>
            </w:r>
          </w:p>
        </w:tc>
        <w:tc>
          <w:tcPr>
            <w:tcW w:w="5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1,646</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1,370</w:t>
            </w: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942</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942</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662</w:t>
            </w:r>
          </w:p>
        </w:tc>
      </w:tr>
    </w:tbl>
    <w:p>
      <w:pPr>
        <w:spacing w:after="0" w:line="43" w:lineRule="exact"/>
        <w:rPr>
          <w:sz w:val="20"/>
          <w:szCs w:val="20"/>
          <w:color w:val="auto"/>
        </w:rPr>
      </w:pPr>
    </w:p>
    <w:p>
      <w:pPr>
        <w:ind w:left="260" w:hanging="253"/>
        <w:spacing w:after="0"/>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One of these ships with a capacity of 139,000 cubic metres was held for sale at the end of 2007.</w:t>
      </w:r>
    </w:p>
    <w:p>
      <w:pPr>
        <w:ind w:left="260" w:hanging="253"/>
        <w:spacing w:after="0" w:line="231"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Three of these were on flexible charter based on market demand.</w:t>
      </w:r>
    </w:p>
    <w:p>
      <w:pPr>
        <w:ind w:left="260" w:hanging="253"/>
        <w:spacing w:after="0"/>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Excludes LNG ships owned or chartered by LNG joint ventures.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00" w:type="dxa"/>
            <w:vAlign w:val="bottom"/>
            <w:tcBorders>
              <w:bottom w:val="single" w:sz="8" w:color="6CB43F"/>
            </w:tcBorders>
            <w:gridSpan w:val="3"/>
            <w:shd w:val="clear" w:color="auto" w:fill="6CB43F"/>
          </w:tcPr>
          <w:p>
            <w:pPr>
              <w:ind w:left="60"/>
              <w:spacing w:after="0"/>
              <w:rPr>
                <w:sz w:val="20"/>
                <w:szCs w:val="20"/>
                <w:color w:val="auto"/>
              </w:rPr>
            </w:pPr>
            <w:r>
              <w:rPr>
                <w:rFonts w:ascii="Arial" w:cs="Arial" w:eastAsia="Arial" w:hAnsi="Arial"/>
                <w:sz w:val="12"/>
                <w:szCs w:val="12"/>
                <w:b w:val="1"/>
                <w:bCs w:val="1"/>
                <w:color w:val="FFFFFF"/>
              </w:rPr>
              <w:t>GTL PLANTS (At December 31, 2007)</w:t>
            </w:r>
          </w:p>
        </w:tc>
        <w:tc>
          <w:tcPr>
            <w:tcW w:w="1480" w:type="dxa"/>
            <w:vAlign w:val="bottom"/>
            <w:tcBorders>
              <w:bottom w:val="single" w:sz="8" w:color="6CB43F"/>
            </w:tcBorders>
            <w:shd w:val="clear" w:color="auto" w:fill="6CB43F"/>
          </w:tcPr>
          <w:p>
            <w:pPr>
              <w:spacing w:after="0"/>
              <w:rPr>
                <w:sz w:val="19"/>
                <w:szCs w:val="19"/>
                <w:color w:val="auto"/>
              </w:rPr>
            </w:pPr>
          </w:p>
        </w:tc>
        <w:tc>
          <w:tcPr>
            <w:tcW w:w="900" w:type="dxa"/>
            <w:vAlign w:val="bottom"/>
            <w:tcBorders>
              <w:bottom w:val="single" w:sz="8" w:color="6CB43F"/>
            </w:tcBorders>
            <w:shd w:val="clear" w:color="auto" w:fill="6CB43F"/>
          </w:tcPr>
          <w:p>
            <w:pPr>
              <w:spacing w:after="0"/>
              <w:rPr>
                <w:sz w:val="19"/>
                <w:szCs w:val="19"/>
                <w:color w:val="auto"/>
              </w:rPr>
            </w:pPr>
          </w:p>
        </w:tc>
        <w:tc>
          <w:tcPr>
            <w:tcW w:w="120" w:type="dxa"/>
            <w:vAlign w:val="bottom"/>
            <w:tcBorders>
              <w:bottom w:val="single" w:sz="8" w:color="6CB43F"/>
            </w:tcBorders>
            <w:shd w:val="clear" w:color="auto" w:fill="6CB43F"/>
          </w:tcPr>
          <w:p>
            <w:pPr>
              <w:spacing w:after="0"/>
              <w:rPr>
                <w:sz w:val="19"/>
                <w:szCs w:val="19"/>
                <w:color w:val="auto"/>
              </w:rPr>
            </w:pPr>
          </w:p>
        </w:tc>
        <w:tc>
          <w:tcPr>
            <w:tcW w:w="320" w:type="dxa"/>
            <w:vAlign w:val="bottom"/>
          </w:tcPr>
          <w:p>
            <w:pPr>
              <w:spacing w:after="0"/>
              <w:rPr>
                <w:sz w:val="19"/>
                <w:szCs w:val="19"/>
                <w:color w:val="auto"/>
              </w:rPr>
            </w:pPr>
          </w:p>
        </w:tc>
        <w:tc>
          <w:tcPr>
            <w:tcW w:w="3800" w:type="dxa"/>
            <w:vAlign w:val="bottom"/>
            <w:tcBorders>
              <w:bottom w:val="single" w:sz="8" w:color="6CB43F"/>
            </w:tcBorders>
            <w:gridSpan w:val="4"/>
            <w:shd w:val="clear" w:color="auto" w:fill="6CB43F"/>
          </w:tcPr>
          <w:p>
            <w:pPr>
              <w:jc w:val="right"/>
              <w:ind w:right="506"/>
              <w:spacing w:after="0"/>
              <w:rPr>
                <w:sz w:val="20"/>
                <w:szCs w:val="20"/>
                <w:color w:val="auto"/>
              </w:rPr>
            </w:pPr>
            <w:r>
              <w:rPr>
                <w:rFonts w:ascii="Arial" w:cs="Arial" w:eastAsia="Arial" w:hAnsi="Arial"/>
                <w:sz w:val="12"/>
                <w:szCs w:val="12"/>
                <w:b w:val="1"/>
                <w:bCs w:val="1"/>
                <w:color w:val="FFFFFF"/>
              </w:rPr>
              <w:t>COAL GASIFICATION ASSETS (At December 31, 2007)</w:t>
            </w:r>
          </w:p>
        </w:tc>
        <w:tc>
          <w:tcPr>
            <w:tcW w:w="1160" w:type="dxa"/>
            <w:vAlign w:val="bottom"/>
            <w:tcBorders>
              <w:bottom w:val="single" w:sz="8" w:color="6CB43F"/>
            </w:tcBorders>
            <w:shd w:val="clear" w:color="auto" w:fill="6CB43F"/>
          </w:tcPr>
          <w:p>
            <w:pPr>
              <w:spacing w:after="0"/>
              <w:rPr>
                <w:sz w:val="19"/>
                <w:szCs w:val="19"/>
                <w:color w:val="auto"/>
              </w:rPr>
            </w:pPr>
          </w:p>
        </w:tc>
        <w:tc>
          <w:tcPr>
            <w:tcW w:w="20" w:type="dxa"/>
            <w:vAlign w:val="bottom"/>
            <w:tcBorders>
              <w:bottom w:val="single" w:sz="8" w:color="6CB43F"/>
            </w:tcBorders>
            <w:shd w:val="clear" w:color="auto" w:fill="6CB43F"/>
          </w:tcPr>
          <w:p>
            <w:pPr>
              <w:spacing w:after="0"/>
              <w:rPr>
                <w:sz w:val="19"/>
                <w:szCs w:val="19"/>
                <w:color w:val="auto"/>
              </w:rPr>
            </w:pPr>
          </w:p>
        </w:tc>
        <w:tc>
          <w:tcPr>
            <w:tcW w:w="100" w:type="dxa"/>
            <w:vAlign w:val="bottom"/>
            <w:tcBorders>
              <w:left w:val="single" w:sz="8" w:color="6CB43F"/>
              <w:bottom w:val="single" w:sz="8" w:color="6CB43F"/>
            </w:tcBorders>
            <w:shd w:val="clear" w:color="auto" w:fill="6CB43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040" w:type="dxa"/>
            <w:vAlign w:val="bottom"/>
            <w:tcBorders>
              <w:bottom w:val="single" w:sz="8" w:color="CECAC6"/>
            </w:tcBorders>
            <w:shd w:val="clear" w:color="auto" w:fill="CECAC6"/>
          </w:tcPr>
          <w:p>
            <w:pPr>
              <w:spacing w:after="0"/>
              <w:rPr>
                <w:sz w:val="16"/>
                <w:szCs w:val="16"/>
                <w:color w:val="auto"/>
              </w:rPr>
            </w:pPr>
          </w:p>
        </w:tc>
        <w:tc>
          <w:tcPr>
            <w:tcW w:w="640" w:type="dxa"/>
            <w:vAlign w:val="bottom"/>
            <w:tcBorders>
              <w:bottom w:val="single" w:sz="8" w:color="CECAC6"/>
            </w:tcBorders>
            <w:shd w:val="clear" w:color="auto" w:fill="CECAC6"/>
          </w:tcPr>
          <w:p>
            <w:pPr>
              <w:ind w:left="120"/>
              <w:spacing w:after="0"/>
              <w:rPr>
                <w:sz w:val="20"/>
                <w:szCs w:val="20"/>
                <w:color w:val="auto"/>
              </w:rPr>
            </w:pPr>
            <w:r>
              <w:rPr>
                <w:rFonts w:ascii="Arial" w:cs="Arial" w:eastAsia="Arial" w:hAnsi="Arial"/>
                <w:sz w:val="12"/>
                <w:szCs w:val="12"/>
                <w:color w:val="auto"/>
              </w:rPr>
              <w:t>Location</w:t>
            </w:r>
          </w:p>
        </w:tc>
        <w:tc>
          <w:tcPr>
            <w:tcW w:w="2400" w:type="dxa"/>
            <w:vAlign w:val="bottom"/>
            <w:tcBorders>
              <w:bottom w:val="single" w:sz="8" w:color="CECAC6"/>
            </w:tcBorders>
            <w:gridSpan w:val="2"/>
            <w:shd w:val="clear" w:color="auto" w:fill="CECAC6"/>
          </w:tcPr>
          <w:p>
            <w:pPr>
              <w:jc w:val="right"/>
              <w:spacing w:after="0"/>
              <w:rPr>
                <w:sz w:val="20"/>
                <w:szCs w:val="20"/>
                <w:color w:val="auto"/>
              </w:rPr>
            </w:pPr>
            <w:r>
              <w:rPr>
                <w:rFonts w:ascii="Arial" w:cs="Arial" w:eastAsia="Arial" w:hAnsi="Arial"/>
                <w:sz w:val="12"/>
                <w:szCs w:val="12"/>
                <w:color w:val="auto"/>
              </w:rPr>
              <w:t>Shell interest %  100% capacity (bbl/day)</w:t>
            </w:r>
          </w:p>
        </w:tc>
        <w:tc>
          <w:tcPr>
            <w:tcW w:w="900" w:type="dxa"/>
            <w:vAlign w:val="bottom"/>
            <w:tcBorders>
              <w:bottom w:val="single" w:sz="8" w:color="CECAC6"/>
            </w:tcBorders>
            <w:shd w:val="clear" w:color="auto" w:fill="CECAC6"/>
          </w:tcPr>
          <w:p>
            <w:pPr>
              <w:jc w:val="right"/>
              <w:ind w:right="38"/>
              <w:spacing w:after="0"/>
              <w:rPr>
                <w:sz w:val="20"/>
                <w:szCs w:val="20"/>
                <w:color w:val="auto"/>
              </w:rPr>
            </w:pPr>
            <w:r>
              <w:rPr>
                <w:rFonts w:ascii="Arial" w:cs="Arial" w:eastAsia="Arial" w:hAnsi="Arial"/>
                <w:sz w:val="12"/>
                <w:szCs w:val="12"/>
                <w:color w:val="auto"/>
              </w:rPr>
              <w:t>Status</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Borders>
              <w:bottom w:val="single" w:sz="8" w:color="CECAC6"/>
            </w:tcBorders>
            <w:shd w:val="clear" w:color="auto" w:fill="CECAC6"/>
          </w:tcPr>
          <w:p>
            <w:pPr>
              <w:spacing w:after="0"/>
              <w:rPr>
                <w:sz w:val="16"/>
                <w:szCs w:val="16"/>
                <w:color w:val="auto"/>
              </w:rPr>
            </w:pPr>
          </w:p>
        </w:tc>
        <w:tc>
          <w:tcPr>
            <w:tcW w:w="240" w:type="dxa"/>
            <w:vAlign w:val="bottom"/>
            <w:tcBorders>
              <w:bottom w:val="single" w:sz="8" w:color="CECAC6"/>
            </w:tcBorders>
            <w:shd w:val="clear" w:color="auto" w:fill="CECAC6"/>
          </w:tcPr>
          <w:p>
            <w:pPr>
              <w:spacing w:after="0"/>
              <w:rPr>
                <w:sz w:val="16"/>
                <w:szCs w:val="16"/>
                <w:color w:val="auto"/>
              </w:rPr>
            </w:pPr>
          </w:p>
        </w:tc>
        <w:tc>
          <w:tcPr>
            <w:tcW w:w="1060" w:type="dxa"/>
            <w:vAlign w:val="bottom"/>
            <w:tcBorders>
              <w:bottom w:val="single" w:sz="8" w:color="CECAC6"/>
            </w:tcBorders>
            <w:shd w:val="clear" w:color="auto" w:fill="CECAC6"/>
          </w:tcPr>
          <w:p>
            <w:pPr>
              <w:spacing w:after="0"/>
              <w:rPr>
                <w:sz w:val="16"/>
                <w:szCs w:val="16"/>
                <w:color w:val="auto"/>
              </w:rPr>
            </w:pPr>
          </w:p>
        </w:tc>
        <w:tc>
          <w:tcPr>
            <w:tcW w:w="1460" w:type="dxa"/>
            <w:vAlign w:val="bottom"/>
            <w:tcBorders>
              <w:bottom w:val="single" w:sz="8" w:color="CECAC6"/>
            </w:tcBorders>
            <w:shd w:val="clear" w:color="auto" w:fill="CECAC6"/>
          </w:tcPr>
          <w:p>
            <w:pPr>
              <w:spacing w:after="0"/>
              <w:rPr>
                <w:sz w:val="16"/>
                <w:szCs w:val="16"/>
                <w:color w:val="auto"/>
              </w:rPr>
            </w:pPr>
          </w:p>
        </w:tc>
        <w:tc>
          <w:tcPr>
            <w:tcW w:w="1180" w:type="dxa"/>
            <w:vAlign w:val="bottom"/>
            <w:tcBorders>
              <w:bottom w:val="single" w:sz="8" w:color="CECAC6"/>
            </w:tcBorders>
            <w:gridSpan w:val="2"/>
            <w:shd w:val="clear" w:color="auto" w:fill="CECAC6"/>
          </w:tcPr>
          <w:p>
            <w:pPr>
              <w:jc w:val="right"/>
              <w:ind w:right="40"/>
              <w:spacing w:after="0"/>
              <w:rPr>
                <w:sz w:val="20"/>
                <w:szCs w:val="20"/>
                <w:color w:val="auto"/>
              </w:rPr>
            </w:pPr>
            <w:r>
              <w:rPr>
                <w:rFonts w:ascii="Arial" w:cs="Arial" w:eastAsia="Arial" w:hAnsi="Arial"/>
                <w:sz w:val="12"/>
                <w:szCs w:val="12"/>
                <w:color w:val="auto"/>
              </w:rPr>
              <w:t>100% capacity</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040" w:type="dxa"/>
            <w:vAlign w:val="bottom"/>
            <w:vMerge w:val="restart"/>
          </w:tcPr>
          <w:p>
            <w:pPr>
              <w:spacing w:after="0"/>
              <w:rPr>
                <w:sz w:val="20"/>
                <w:szCs w:val="20"/>
                <w:color w:val="auto"/>
              </w:rPr>
            </w:pPr>
            <w:r>
              <w:rPr>
                <w:rFonts w:ascii="Arial" w:cs="Arial" w:eastAsia="Arial" w:hAnsi="Arial"/>
                <w:sz w:val="12"/>
                <w:szCs w:val="12"/>
                <w:color w:val="auto"/>
              </w:rPr>
              <w:t>Malaysia</w:t>
            </w:r>
          </w:p>
        </w:tc>
        <w:tc>
          <w:tcPr>
            <w:tcW w:w="640" w:type="dxa"/>
            <w:vAlign w:val="bottom"/>
            <w:vMerge w:val="restart"/>
          </w:tcPr>
          <w:p>
            <w:pPr>
              <w:ind w:left="120"/>
              <w:spacing w:after="0"/>
              <w:rPr>
                <w:sz w:val="20"/>
                <w:szCs w:val="20"/>
                <w:color w:val="auto"/>
              </w:rPr>
            </w:pPr>
            <w:r>
              <w:rPr>
                <w:rFonts w:ascii="Arial" w:cs="Arial" w:eastAsia="Arial" w:hAnsi="Arial"/>
                <w:sz w:val="12"/>
                <w:szCs w:val="12"/>
                <w:color w:val="auto"/>
              </w:rPr>
              <w:t>Bintulu</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72%</w:t>
            </w:r>
          </w:p>
        </w:tc>
        <w:tc>
          <w:tcPr>
            <w:tcW w:w="1480" w:type="dxa"/>
            <w:vAlign w:val="bottom"/>
            <w:vMerge w:val="restart"/>
          </w:tcPr>
          <w:p>
            <w:pPr>
              <w:jc w:val="right"/>
              <w:ind w:right="178"/>
              <w:spacing w:after="0"/>
              <w:rPr>
                <w:sz w:val="20"/>
                <w:szCs w:val="20"/>
                <w:color w:val="auto"/>
              </w:rPr>
            </w:pPr>
            <w:r>
              <w:rPr>
                <w:rFonts w:ascii="Arial" w:cs="Arial" w:eastAsia="Arial" w:hAnsi="Arial"/>
                <w:sz w:val="12"/>
                <w:szCs w:val="12"/>
                <w:color w:val="auto"/>
              </w:rPr>
              <w:t>14,700</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In operation</w:t>
            </w:r>
          </w:p>
        </w:tc>
        <w:tc>
          <w:tcPr>
            <w:tcW w:w="320" w:type="dxa"/>
            <w:vAlign w:val="bottom"/>
          </w:tcPr>
          <w:p>
            <w:pPr>
              <w:spacing w:after="0"/>
              <w:rPr>
                <w:sz w:val="8"/>
                <w:szCs w:val="8"/>
                <w:color w:val="auto"/>
              </w:rPr>
            </w:pPr>
          </w:p>
        </w:tc>
        <w:tc>
          <w:tcPr>
            <w:tcW w:w="1040" w:type="dxa"/>
            <w:vAlign w:val="bottom"/>
            <w:shd w:val="clear" w:color="auto" w:fill="CECAC6"/>
          </w:tcPr>
          <w:p>
            <w:pPr>
              <w:spacing w:after="0"/>
              <w:rPr>
                <w:sz w:val="8"/>
                <w:szCs w:val="8"/>
                <w:color w:val="auto"/>
              </w:rPr>
            </w:pPr>
          </w:p>
        </w:tc>
        <w:tc>
          <w:tcPr>
            <w:tcW w:w="240" w:type="dxa"/>
            <w:vAlign w:val="bottom"/>
            <w:shd w:val="clear" w:color="auto" w:fill="CECAC6"/>
          </w:tcPr>
          <w:p>
            <w:pPr>
              <w:spacing w:after="0"/>
              <w:rPr>
                <w:sz w:val="8"/>
                <w:szCs w:val="8"/>
                <w:color w:val="auto"/>
              </w:rPr>
            </w:pPr>
          </w:p>
        </w:tc>
        <w:tc>
          <w:tcPr>
            <w:tcW w:w="1060" w:type="dxa"/>
            <w:vAlign w:val="bottom"/>
            <w:shd w:val="clear" w:color="auto" w:fill="CECAC6"/>
          </w:tcPr>
          <w:p>
            <w:pPr>
              <w:jc w:val="right"/>
              <w:ind w:right="306"/>
              <w:spacing w:after="0" w:line="80" w:lineRule="exact"/>
              <w:rPr>
                <w:sz w:val="20"/>
                <w:szCs w:val="20"/>
                <w:color w:val="auto"/>
              </w:rPr>
            </w:pPr>
            <w:r>
              <w:rPr>
                <w:rFonts w:ascii="Arial" w:cs="Arial" w:eastAsia="Arial" w:hAnsi="Arial"/>
                <w:sz w:val="9"/>
                <w:szCs w:val="9"/>
                <w:color w:val="auto"/>
              </w:rPr>
              <w:t>Location</w:t>
            </w:r>
          </w:p>
        </w:tc>
        <w:tc>
          <w:tcPr>
            <w:tcW w:w="1460" w:type="dxa"/>
            <w:vAlign w:val="bottom"/>
            <w:shd w:val="clear" w:color="auto" w:fill="CECAC6"/>
          </w:tcPr>
          <w:p>
            <w:pPr>
              <w:jc w:val="right"/>
              <w:ind w:right="266"/>
              <w:spacing w:after="0" w:line="80" w:lineRule="exact"/>
              <w:rPr>
                <w:sz w:val="20"/>
                <w:szCs w:val="20"/>
                <w:color w:val="auto"/>
              </w:rPr>
            </w:pPr>
            <w:r>
              <w:rPr>
                <w:rFonts w:ascii="Arial" w:cs="Arial" w:eastAsia="Arial" w:hAnsi="Arial"/>
                <w:sz w:val="9"/>
                <w:szCs w:val="9"/>
                <w:color w:val="auto"/>
              </w:rPr>
              <w:t>Shell interest %</w:t>
            </w:r>
          </w:p>
        </w:tc>
        <w:tc>
          <w:tcPr>
            <w:tcW w:w="1180" w:type="dxa"/>
            <w:vAlign w:val="bottom"/>
            <w:gridSpan w:val="2"/>
            <w:shd w:val="clear" w:color="auto" w:fill="CECAC6"/>
          </w:tcPr>
          <w:p>
            <w:pPr>
              <w:jc w:val="right"/>
              <w:ind w:right="40"/>
              <w:spacing w:after="0" w:line="80" w:lineRule="exact"/>
              <w:rPr>
                <w:sz w:val="20"/>
                <w:szCs w:val="20"/>
                <w:color w:val="auto"/>
              </w:rPr>
            </w:pPr>
            <w:r>
              <w:rPr>
                <w:rFonts w:ascii="Arial" w:cs="Arial" w:eastAsia="Arial" w:hAnsi="Arial"/>
                <w:sz w:val="9"/>
                <w:szCs w:val="9"/>
                <w:color w:val="auto"/>
              </w:rPr>
              <w:t>(tonnes/day)</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0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vMerge w:val="restart"/>
          </w:tcPr>
          <w:p>
            <w:pPr>
              <w:jc w:val="right"/>
              <w:ind w:right="658"/>
              <w:spacing w:after="0" w:line="127" w:lineRule="exact"/>
              <w:rPr>
                <w:sz w:val="20"/>
                <w:szCs w:val="20"/>
                <w:color w:val="auto"/>
              </w:rPr>
            </w:pPr>
            <w:r>
              <w:rPr>
                <w:rFonts w:ascii="Arial" w:cs="Arial" w:eastAsia="Arial" w:hAnsi="Arial"/>
                <w:sz w:val="12"/>
                <w:szCs w:val="12"/>
                <w:color w:val="auto"/>
                <w:w w:val="95"/>
              </w:rPr>
              <w:t>China</w:t>
            </w:r>
          </w:p>
        </w:tc>
        <w:tc>
          <w:tcPr>
            <w:tcW w:w="240" w:type="dxa"/>
            <w:vAlign w:val="bottom"/>
          </w:tcPr>
          <w:p>
            <w:pPr>
              <w:spacing w:after="0"/>
              <w:rPr>
                <w:sz w:val="4"/>
                <w:szCs w:val="4"/>
                <w:color w:val="auto"/>
              </w:rPr>
            </w:pPr>
          </w:p>
        </w:tc>
        <w:tc>
          <w:tcPr>
            <w:tcW w:w="1060" w:type="dxa"/>
            <w:vAlign w:val="bottom"/>
            <w:vMerge w:val="restart"/>
          </w:tcPr>
          <w:p>
            <w:pPr>
              <w:jc w:val="right"/>
              <w:ind w:right="306"/>
              <w:spacing w:after="0" w:line="127" w:lineRule="exact"/>
              <w:rPr>
                <w:sz w:val="20"/>
                <w:szCs w:val="20"/>
                <w:color w:val="auto"/>
              </w:rPr>
            </w:pPr>
            <w:r>
              <w:rPr>
                <w:rFonts w:ascii="Arial" w:cs="Arial" w:eastAsia="Arial" w:hAnsi="Arial"/>
                <w:sz w:val="12"/>
                <w:szCs w:val="12"/>
                <w:color w:val="auto"/>
              </w:rPr>
              <w:t>Yueyang</w:t>
            </w:r>
          </w:p>
        </w:tc>
        <w:tc>
          <w:tcPr>
            <w:tcW w:w="1460" w:type="dxa"/>
            <w:vAlign w:val="bottom"/>
            <w:vMerge w:val="restart"/>
          </w:tcPr>
          <w:p>
            <w:pPr>
              <w:jc w:val="right"/>
              <w:ind w:right="286"/>
              <w:spacing w:after="0" w:line="127" w:lineRule="exact"/>
              <w:rPr>
                <w:sz w:val="20"/>
                <w:szCs w:val="20"/>
                <w:color w:val="auto"/>
              </w:rPr>
            </w:pPr>
            <w:r>
              <w:rPr>
                <w:rFonts w:ascii="Arial" w:cs="Arial" w:eastAsia="Arial" w:hAnsi="Arial"/>
                <w:sz w:val="12"/>
                <w:szCs w:val="12"/>
                <w:color w:val="auto"/>
              </w:rPr>
              <w:t>50</w:t>
            </w:r>
          </w:p>
        </w:tc>
        <w:tc>
          <w:tcPr>
            <w:tcW w:w="1160" w:type="dxa"/>
            <w:vAlign w:val="bottom"/>
            <w:vMerge w:val="restart"/>
          </w:tcPr>
          <w:p>
            <w:pPr>
              <w:ind w:left="820"/>
              <w:spacing w:after="0" w:line="127" w:lineRule="exact"/>
              <w:rPr>
                <w:sz w:val="20"/>
                <w:szCs w:val="20"/>
                <w:color w:val="auto"/>
              </w:rPr>
            </w:pPr>
            <w:r>
              <w:rPr>
                <w:rFonts w:ascii="Arial" w:cs="Arial" w:eastAsia="Arial" w:hAnsi="Arial"/>
                <w:sz w:val="12"/>
                <w:szCs w:val="12"/>
                <w:color w:val="auto"/>
              </w:rPr>
              <w:t>2,000</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1040" w:type="dxa"/>
            <w:vAlign w:val="bottom"/>
          </w:tcPr>
          <w:p>
            <w:pPr>
              <w:spacing w:after="0" w:line="106" w:lineRule="exact"/>
              <w:rPr>
                <w:sz w:val="20"/>
                <w:szCs w:val="20"/>
                <w:color w:val="auto"/>
              </w:rPr>
            </w:pPr>
            <w:r>
              <w:rPr>
                <w:rFonts w:ascii="Arial" w:cs="Arial" w:eastAsia="Arial" w:hAnsi="Arial"/>
                <w:sz w:val="12"/>
                <w:szCs w:val="12"/>
                <w:color w:val="auto"/>
              </w:rPr>
              <w:t>Pearl Train 1</w:t>
            </w:r>
          </w:p>
        </w:tc>
        <w:tc>
          <w:tcPr>
            <w:tcW w:w="640" w:type="dxa"/>
            <w:vAlign w:val="bottom"/>
          </w:tcPr>
          <w:p>
            <w:pPr>
              <w:ind w:left="120"/>
              <w:spacing w:after="0" w:line="106" w:lineRule="exact"/>
              <w:rPr>
                <w:sz w:val="20"/>
                <w:szCs w:val="20"/>
                <w:color w:val="auto"/>
              </w:rPr>
            </w:pPr>
            <w:r>
              <w:rPr>
                <w:rFonts w:ascii="Arial" w:cs="Arial" w:eastAsia="Arial" w:hAnsi="Arial"/>
                <w:sz w:val="12"/>
                <w:szCs w:val="12"/>
                <w:color w:val="auto"/>
              </w:rPr>
              <w:t>Qatar</w:t>
            </w:r>
          </w:p>
        </w:tc>
        <w:tc>
          <w:tcPr>
            <w:tcW w:w="920" w:type="dxa"/>
            <w:vAlign w:val="bottom"/>
          </w:tcPr>
          <w:p>
            <w:pPr>
              <w:jc w:val="right"/>
              <w:spacing w:after="0" w:line="106" w:lineRule="exact"/>
              <w:rPr>
                <w:sz w:val="20"/>
                <w:szCs w:val="20"/>
                <w:color w:val="auto"/>
              </w:rPr>
            </w:pPr>
            <w:r>
              <w:rPr>
                <w:rFonts w:ascii="Arial" w:cs="Arial" w:eastAsia="Arial" w:hAnsi="Arial"/>
                <w:sz w:val="12"/>
                <w:szCs w:val="12"/>
                <w:color w:val="auto"/>
              </w:rPr>
              <w:t>100%</w:t>
            </w:r>
          </w:p>
        </w:tc>
        <w:tc>
          <w:tcPr>
            <w:tcW w:w="1480" w:type="dxa"/>
            <w:vAlign w:val="bottom"/>
          </w:tcPr>
          <w:p>
            <w:pPr>
              <w:jc w:val="right"/>
              <w:ind w:right="178"/>
              <w:spacing w:after="0" w:line="106" w:lineRule="exact"/>
              <w:rPr>
                <w:sz w:val="20"/>
                <w:szCs w:val="20"/>
                <w:color w:val="auto"/>
              </w:rPr>
            </w:pPr>
            <w:r>
              <w:rPr>
                <w:rFonts w:ascii="Arial" w:cs="Arial" w:eastAsia="Arial" w:hAnsi="Arial"/>
                <w:sz w:val="12"/>
                <w:szCs w:val="12"/>
                <w:color w:val="auto"/>
              </w:rPr>
              <w:t>70,000</w:t>
            </w:r>
          </w:p>
        </w:tc>
        <w:tc>
          <w:tcPr>
            <w:tcW w:w="1020" w:type="dxa"/>
            <w:vAlign w:val="bottom"/>
            <w:gridSpan w:val="2"/>
          </w:tcPr>
          <w:p>
            <w:pPr>
              <w:jc w:val="right"/>
              <w:ind w:right="160"/>
              <w:spacing w:after="0" w:line="106" w:lineRule="exact"/>
              <w:rPr>
                <w:sz w:val="20"/>
                <w:szCs w:val="20"/>
                <w:color w:val="auto"/>
              </w:rPr>
            </w:pPr>
            <w:r>
              <w:rPr>
                <w:rFonts w:ascii="Arial" w:cs="Arial" w:eastAsia="Arial" w:hAnsi="Arial"/>
                <w:sz w:val="12"/>
                <w:szCs w:val="12"/>
                <w:color w:val="auto"/>
              </w:rPr>
              <w:t>In construction</w:t>
            </w:r>
          </w:p>
        </w:tc>
        <w:tc>
          <w:tcPr>
            <w:tcW w:w="320" w:type="dxa"/>
            <w:vAlign w:val="bottom"/>
          </w:tcPr>
          <w:p>
            <w:pPr>
              <w:spacing w:after="0"/>
              <w:rPr>
                <w:sz w:val="9"/>
                <w:szCs w:val="9"/>
                <w:color w:val="auto"/>
              </w:rPr>
            </w:pPr>
          </w:p>
        </w:tc>
        <w:tc>
          <w:tcPr>
            <w:tcW w:w="104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46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640" w:type="dxa"/>
            <w:vAlign w:val="bottom"/>
          </w:tcPr>
          <w:p>
            <w:pPr>
              <w:ind w:left="120"/>
              <w:spacing w:after="0"/>
              <w:rPr>
                <w:sz w:val="20"/>
                <w:szCs w:val="20"/>
                <w:color w:val="auto"/>
              </w:rPr>
            </w:pPr>
            <w:r>
              <w:rPr>
                <w:rFonts w:ascii="Arial" w:cs="Arial" w:eastAsia="Arial" w:hAnsi="Arial"/>
                <w:sz w:val="12"/>
                <w:szCs w:val="12"/>
                <w:color w:val="auto"/>
              </w:rPr>
              <w:t>Qatar</w:t>
            </w:r>
          </w:p>
        </w:tc>
        <w:tc>
          <w:tcPr>
            <w:tcW w:w="920" w:type="dxa"/>
            <w:vAlign w:val="bottom"/>
          </w:tcPr>
          <w:p>
            <w:pPr>
              <w:jc w:val="right"/>
              <w:spacing w:after="0"/>
              <w:rPr>
                <w:sz w:val="20"/>
                <w:szCs w:val="20"/>
                <w:color w:val="auto"/>
              </w:rPr>
            </w:pPr>
            <w:r>
              <w:rPr>
                <w:rFonts w:ascii="Arial" w:cs="Arial" w:eastAsia="Arial" w:hAnsi="Arial"/>
                <w:sz w:val="12"/>
                <w:szCs w:val="12"/>
                <w:color w:val="auto"/>
              </w:rPr>
              <w:t>100%</w:t>
            </w:r>
          </w:p>
        </w:tc>
        <w:tc>
          <w:tcPr>
            <w:tcW w:w="1480" w:type="dxa"/>
            <w:vAlign w:val="bottom"/>
          </w:tcPr>
          <w:p>
            <w:pPr>
              <w:jc w:val="right"/>
              <w:ind w:right="178"/>
              <w:spacing w:after="0"/>
              <w:rPr>
                <w:sz w:val="20"/>
                <w:szCs w:val="20"/>
                <w:color w:val="auto"/>
              </w:rPr>
            </w:pPr>
            <w:r>
              <w:rPr>
                <w:rFonts w:ascii="Arial" w:cs="Arial" w:eastAsia="Arial" w:hAnsi="Arial"/>
                <w:sz w:val="12"/>
                <w:szCs w:val="12"/>
                <w:color w:val="auto"/>
              </w:rPr>
              <w:t>70,000</w:t>
            </w:r>
          </w:p>
        </w:tc>
        <w:tc>
          <w:tcPr>
            <w:tcW w:w="1020" w:type="dxa"/>
            <w:vAlign w:val="bottom"/>
            <w:gridSpan w:val="2"/>
          </w:tcPr>
          <w:p>
            <w:pPr>
              <w:ind w:left="800"/>
              <w:spacing w:after="0"/>
              <w:rPr>
                <w:sz w:val="20"/>
                <w:szCs w:val="20"/>
                <w:color w:val="auto"/>
              </w:rPr>
            </w:pPr>
            <w:r>
              <w:rPr>
                <w:rFonts w:ascii="Arial" w:cs="Arial" w:eastAsia="Arial" w:hAnsi="Arial"/>
                <w:sz w:val="12"/>
                <w:szCs w:val="12"/>
                <w:color w:val="auto"/>
              </w:rPr>
              <w:t>In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40" w:type="dxa"/>
            <w:vAlign w:val="bottom"/>
          </w:tcPr>
          <w:p>
            <w:pPr>
              <w:spacing w:after="0"/>
              <w:rPr>
                <w:sz w:val="20"/>
                <w:szCs w:val="20"/>
                <w:color w:val="auto"/>
              </w:rPr>
            </w:pPr>
            <w:r>
              <w:rPr>
                <w:rFonts w:ascii="Arial" w:cs="Arial" w:eastAsia="Arial" w:hAnsi="Arial"/>
                <w:sz w:val="12"/>
                <w:szCs w:val="12"/>
                <w:color w:val="auto"/>
              </w:rPr>
              <w:t>Pearl Train 2</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2"/>
                <w:szCs w:val="12"/>
                <w:color w:val="auto"/>
              </w:rPr>
              <w:t>construction</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0"/>
        </w:trPr>
        <w:tc>
          <w:tcPr>
            <w:tcW w:w="10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80" w:type="dxa"/>
            <w:vAlign w:val="bottom"/>
            <w:gridSpan w:val="4"/>
            <w:shd w:val="clear" w:color="auto" w:fill="6CB43F"/>
          </w:tcPr>
          <w:p>
            <w:pPr>
              <w:jc w:val="right"/>
              <w:ind w:right="238"/>
              <w:spacing w:after="0"/>
              <w:rPr>
                <w:sz w:val="20"/>
                <w:szCs w:val="20"/>
                <w:color w:val="auto"/>
              </w:rPr>
            </w:pPr>
            <w:r>
              <w:rPr>
                <w:rFonts w:ascii="Arial" w:cs="Arial" w:eastAsia="Arial" w:hAnsi="Arial"/>
                <w:sz w:val="12"/>
                <w:szCs w:val="12"/>
                <w:b w:val="1"/>
                <w:bCs w:val="1"/>
                <w:color w:val="FFFFFF"/>
              </w:rPr>
              <w:t>WIND POWER GENERATION CAPACITY (At December 31, 2007)</w:t>
            </w:r>
          </w:p>
        </w:tc>
        <w:tc>
          <w:tcPr>
            <w:tcW w:w="900" w:type="dxa"/>
            <w:vAlign w:val="bottom"/>
            <w:shd w:val="clear" w:color="auto" w:fill="6CB43F"/>
          </w:tcPr>
          <w:p>
            <w:pPr>
              <w:spacing w:after="0"/>
              <w:rPr>
                <w:sz w:val="16"/>
                <w:szCs w:val="16"/>
                <w:color w:val="auto"/>
              </w:rPr>
            </w:pPr>
          </w:p>
        </w:tc>
        <w:tc>
          <w:tcPr>
            <w:tcW w:w="120" w:type="dxa"/>
            <w:vAlign w:val="bottom"/>
            <w:shd w:val="clear" w:color="auto" w:fill="6CB43F"/>
          </w:tcPr>
          <w:p>
            <w:pPr>
              <w:spacing w:after="0"/>
              <w:rPr>
                <w:sz w:val="16"/>
                <w:szCs w:val="16"/>
                <w:color w:val="auto"/>
              </w:rPr>
            </w:pPr>
          </w:p>
        </w:tc>
        <w:tc>
          <w:tcPr>
            <w:tcW w:w="320" w:type="dxa"/>
            <w:vAlign w:val="bottom"/>
            <w:shd w:val="clear" w:color="auto" w:fill="6CB43F"/>
          </w:tcPr>
          <w:p>
            <w:pPr>
              <w:spacing w:after="0"/>
              <w:rPr>
                <w:sz w:val="16"/>
                <w:szCs w:val="16"/>
                <w:color w:val="auto"/>
              </w:rPr>
            </w:pPr>
          </w:p>
        </w:tc>
        <w:tc>
          <w:tcPr>
            <w:tcW w:w="1040" w:type="dxa"/>
            <w:vAlign w:val="bottom"/>
            <w:shd w:val="clear" w:color="auto" w:fill="6CB43F"/>
          </w:tcPr>
          <w:p>
            <w:pPr>
              <w:spacing w:after="0"/>
              <w:rPr>
                <w:sz w:val="16"/>
                <w:szCs w:val="16"/>
                <w:color w:val="auto"/>
              </w:rPr>
            </w:pPr>
          </w:p>
        </w:tc>
        <w:tc>
          <w:tcPr>
            <w:tcW w:w="240" w:type="dxa"/>
            <w:vAlign w:val="bottom"/>
            <w:shd w:val="clear" w:color="auto" w:fill="6CB43F"/>
          </w:tcPr>
          <w:p>
            <w:pPr>
              <w:spacing w:after="0"/>
              <w:rPr>
                <w:sz w:val="16"/>
                <w:szCs w:val="16"/>
                <w:color w:val="auto"/>
              </w:rPr>
            </w:pPr>
          </w:p>
        </w:tc>
        <w:tc>
          <w:tcPr>
            <w:tcW w:w="1060" w:type="dxa"/>
            <w:vAlign w:val="bottom"/>
            <w:shd w:val="clear" w:color="auto" w:fill="6CB43F"/>
          </w:tcPr>
          <w:p>
            <w:pPr>
              <w:spacing w:after="0"/>
              <w:rPr>
                <w:sz w:val="16"/>
                <w:szCs w:val="16"/>
                <w:color w:val="auto"/>
              </w:rPr>
            </w:pPr>
          </w:p>
        </w:tc>
        <w:tc>
          <w:tcPr>
            <w:tcW w:w="1460" w:type="dxa"/>
            <w:vAlign w:val="bottom"/>
            <w:shd w:val="clear" w:color="auto" w:fill="6CB43F"/>
          </w:tcPr>
          <w:p>
            <w:pPr>
              <w:spacing w:after="0"/>
              <w:rPr>
                <w:sz w:val="16"/>
                <w:szCs w:val="16"/>
                <w:color w:val="auto"/>
              </w:rPr>
            </w:pPr>
          </w:p>
        </w:tc>
        <w:tc>
          <w:tcPr>
            <w:tcW w:w="1160" w:type="dxa"/>
            <w:vAlign w:val="bottom"/>
            <w:shd w:val="clear" w:color="auto" w:fill="6CB43F"/>
          </w:tcPr>
          <w:p>
            <w:pPr>
              <w:spacing w:after="0"/>
              <w:rPr>
                <w:sz w:val="16"/>
                <w:szCs w:val="16"/>
                <w:color w:val="auto"/>
              </w:rPr>
            </w:pPr>
          </w:p>
        </w:tc>
        <w:tc>
          <w:tcPr>
            <w:tcW w:w="20" w:type="dxa"/>
            <w:vAlign w:val="bottom"/>
            <w:shd w:val="clear" w:color="auto" w:fill="6CB43F"/>
          </w:tcPr>
          <w:p>
            <w:pPr>
              <w:spacing w:after="0"/>
              <w:rPr>
                <w:sz w:val="16"/>
                <w:szCs w:val="16"/>
                <w:color w:val="auto"/>
              </w:rPr>
            </w:pPr>
          </w:p>
        </w:tc>
        <w:tc>
          <w:tcPr>
            <w:tcW w:w="100" w:type="dxa"/>
            <w:vAlign w:val="bottom"/>
            <w:tcBorders>
              <w:left w:val="single" w:sz="8" w:color="6CB43F"/>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ECAC6"/>
          </w:tcPr>
          <w:p>
            <w:pPr>
              <w:ind w:left="20"/>
              <w:spacing w:after="0"/>
              <w:rPr>
                <w:sz w:val="20"/>
                <w:szCs w:val="20"/>
                <w:color w:val="auto"/>
              </w:rPr>
            </w:pPr>
            <w:r>
              <w:rPr>
                <w:rFonts w:ascii="Arial" w:cs="Arial" w:eastAsia="Arial" w:hAnsi="Arial"/>
                <w:sz w:val="12"/>
                <w:szCs w:val="12"/>
                <w:color w:val="auto"/>
              </w:rPr>
              <w:t>Project name</w:t>
            </w:r>
          </w:p>
        </w:tc>
        <w:tc>
          <w:tcPr>
            <w:tcW w:w="640" w:type="dxa"/>
            <w:vAlign w:val="bottom"/>
            <w:shd w:val="clear" w:color="auto" w:fill="CECAC6"/>
          </w:tcPr>
          <w:p>
            <w:pPr>
              <w:spacing w:after="0"/>
              <w:rPr>
                <w:sz w:val="12"/>
                <w:szCs w:val="12"/>
                <w:color w:val="auto"/>
              </w:rPr>
            </w:pPr>
          </w:p>
        </w:tc>
        <w:tc>
          <w:tcPr>
            <w:tcW w:w="920" w:type="dxa"/>
            <w:vAlign w:val="bottom"/>
            <w:shd w:val="clear" w:color="auto" w:fill="CECAC6"/>
          </w:tcPr>
          <w:p>
            <w:pPr>
              <w:spacing w:after="0"/>
              <w:rPr>
                <w:sz w:val="12"/>
                <w:szCs w:val="12"/>
                <w:color w:val="auto"/>
              </w:rPr>
            </w:pPr>
          </w:p>
        </w:tc>
        <w:tc>
          <w:tcPr>
            <w:tcW w:w="1480" w:type="dxa"/>
            <w:vAlign w:val="bottom"/>
            <w:shd w:val="clear" w:color="auto" w:fill="CECAC6"/>
          </w:tcPr>
          <w:p>
            <w:pPr>
              <w:jc w:val="right"/>
              <w:ind w:right="558"/>
              <w:spacing w:after="0"/>
              <w:rPr>
                <w:sz w:val="20"/>
                <w:szCs w:val="20"/>
                <w:color w:val="auto"/>
              </w:rPr>
            </w:pPr>
            <w:r>
              <w:rPr>
                <w:rFonts w:ascii="Arial" w:cs="Arial" w:eastAsia="Arial" w:hAnsi="Arial"/>
                <w:sz w:val="12"/>
                <w:szCs w:val="12"/>
                <w:color w:val="auto"/>
              </w:rPr>
              <w:t>Location</w:t>
            </w:r>
          </w:p>
        </w:tc>
        <w:tc>
          <w:tcPr>
            <w:tcW w:w="2380" w:type="dxa"/>
            <w:vAlign w:val="bottom"/>
            <w:gridSpan w:val="4"/>
            <w:shd w:val="clear" w:color="auto" w:fill="CECAC6"/>
          </w:tcPr>
          <w:p>
            <w:pPr>
              <w:jc w:val="right"/>
              <w:ind w:right="838"/>
              <w:spacing w:after="0"/>
              <w:rPr>
                <w:sz w:val="20"/>
                <w:szCs w:val="20"/>
                <w:color w:val="auto"/>
              </w:rPr>
            </w:pPr>
            <w:r>
              <w:rPr>
                <w:rFonts w:ascii="Arial" w:cs="Arial" w:eastAsia="Arial" w:hAnsi="Arial"/>
                <w:sz w:val="12"/>
                <w:szCs w:val="12"/>
                <w:color w:val="auto"/>
              </w:rPr>
              <w:t>Capacity (MW)</w:t>
            </w:r>
          </w:p>
        </w:tc>
        <w:tc>
          <w:tcPr>
            <w:tcW w:w="1300" w:type="dxa"/>
            <w:vAlign w:val="bottom"/>
            <w:gridSpan w:val="2"/>
            <w:shd w:val="clear" w:color="auto" w:fill="CECAC6"/>
          </w:tcPr>
          <w:p>
            <w:pPr>
              <w:jc w:val="right"/>
              <w:ind w:right="226"/>
              <w:spacing w:after="0"/>
              <w:rPr>
                <w:sz w:val="20"/>
                <w:szCs w:val="20"/>
                <w:color w:val="auto"/>
              </w:rPr>
            </w:pPr>
            <w:r>
              <w:rPr>
                <w:rFonts w:ascii="Arial" w:cs="Arial" w:eastAsia="Arial" w:hAnsi="Arial"/>
                <w:sz w:val="12"/>
                <w:szCs w:val="12"/>
                <w:color w:val="auto"/>
              </w:rPr>
              <w:t>Shell interest (%)</w:t>
            </w:r>
          </w:p>
        </w:tc>
        <w:tc>
          <w:tcPr>
            <w:tcW w:w="1460" w:type="dxa"/>
            <w:vAlign w:val="bottom"/>
            <w:shd w:val="clear" w:color="auto" w:fill="CECAC6"/>
          </w:tcPr>
          <w:p>
            <w:pPr>
              <w:spacing w:after="0"/>
              <w:rPr>
                <w:sz w:val="12"/>
                <w:szCs w:val="12"/>
                <w:color w:val="auto"/>
              </w:rPr>
            </w:pPr>
          </w:p>
        </w:tc>
        <w:tc>
          <w:tcPr>
            <w:tcW w:w="1160" w:type="dxa"/>
            <w:vAlign w:val="bottom"/>
            <w:shd w:val="clear" w:color="auto" w:fill="CECAC6"/>
          </w:tcPr>
          <w:p>
            <w:pPr>
              <w:ind w:left="820"/>
              <w:spacing w:after="0"/>
              <w:rPr>
                <w:sz w:val="20"/>
                <w:szCs w:val="20"/>
                <w:color w:val="auto"/>
              </w:rPr>
            </w:pPr>
            <w:r>
              <w:rPr>
                <w:rFonts w:ascii="Arial" w:cs="Arial" w:eastAsia="Arial" w:hAnsi="Arial"/>
                <w:sz w:val="12"/>
                <w:szCs w:val="12"/>
                <w:color w:val="auto"/>
                <w:w w:val="93"/>
              </w:rPr>
              <w:t>Status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40" w:type="dxa"/>
            <w:vAlign w:val="bottom"/>
          </w:tcPr>
          <w:p>
            <w:pPr>
              <w:ind w:left="20"/>
              <w:spacing w:after="0" w:line="128" w:lineRule="exact"/>
              <w:rPr>
                <w:sz w:val="20"/>
                <w:szCs w:val="20"/>
                <w:color w:val="auto"/>
              </w:rPr>
            </w:pPr>
            <w:r>
              <w:rPr>
                <w:rFonts w:ascii="Arial" w:cs="Arial" w:eastAsia="Arial" w:hAnsi="Arial"/>
                <w:sz w:val="12"/>
                <w:szCs w:val="12"/>
                <w:color w:val="auto"/>
              </w:rPr>
              <w:t>Cabazon Pass</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28" w:lineRule="exact"/>
              <w:rPr>
                <w:sz w:val="20"/>
                <w:szCs w:val="20"/>
                <w:color w:val="auto"/>
              </w:rPr>
            </w:pPr>
            <w:r>
              <w:rPr>
                <w:rFonts w:ascii="Arial" w:cs="Arial" w:eastAsia="Arial" w:hAnsi="Arial"/>
                <w:sz w:val="12"/>
                <w:szCs w:val="12"/>
                <w:color w:val="auto"/>
              </w:rPr>
              <w:t>California,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28" w:lineRule="exact"/>
              <w:rPr>
                <w:sz w:val="20"/>
                <w:szCs w:val="20"/>
                <w:color w:val="auto"/>
              </w:rPr>
            </w:pPr>
            <w:r>
              <w:rPr>
                <w:rFonts w:ascii="Arial" w:cs="Arial" w:eastAsia="Arial" w:hAnsi="Arial"/>
                <w:sz w:val="12"/>
                <w:szCs w:val="12"/>
                <w:color w:val="auto"/>
              </w:rPr>
              <w:t>41</w:t>
            </w:r>
          </w:p>
        </w:tc>
        <w:tc>
          <w:tcPr>
            <w:tcW w:w="1300" w:type="dxa"/>
            <w:vAlign w:val="bottom"/>
            <w:gridSpan w:val="2"/>
          </w:tcPr>
          <w:p>
            <w:pPr>
              <w:jc w:val="right"/>
              <w:ind w:right="226"/>
              <w:spacing w:after="0" w:line="128"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60" w:type="dxa"/>
            <w:vAlign w:val="bottom"/>
          </w:tcPr>
          <w:p>
            <w:pPr>
              <w:jc w:val="right"/>
              <w:spacing w:after="0" w:line="128" w:lineRule="exact"/>
              <w:rPr>
                <w:sz w:val="20"/>
                <w:szCs w:val="20"/>
                <w:color w:val="auto"/>
              </w:rPr>
            </w:pPr>
            <w:r>
              <w:rPr>
                <w:rFonts w:ascii="Arial" w:cs="Arial" w:eastAsia="Arial" w:hAnsi="Arial"/>
                <w:sz w:val="12"/>
                <w:szCs w:val="12"/>
                <w:color w:val="auto"/>
              </w:rPr>
              <w:t>In operation</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Whitewater Hill</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California,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62</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Rock River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Wyoming,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50</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Top of Iowa</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Iowa,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80</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White Deer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Texas,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80</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Colorado Green</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Colorado,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162</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Brazos</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80" w:type="dxa"/>
            <w:vAlign w:val="bottom"/>
          </w:tcPr>
          <w:p>
            <w:pPr>
              <w:jc w:val="right"/>
              <w:ind w:right="558"/>
              <w:spacing w:after="0" w:line="133" w:lineRule="exact"/>
              <w:rPr>
                <w:sz w:val="20"/>
                <w:szCs w:val="20"/>
                <w:color w:val="auto"/>
              </w:rPr>
            </w:pPr>
            <w:r>
              <w:rPr>
                <w:rFonts w:ascii="Arial" w:cs="Arial" w:eastAsia="Arial" w:hAnsi="Arial"/>
                <w:sz w:val="12"/>
                <w:szCs w:val="12"/>
                <w:color w:val="auto"/>
              </w:rPr>
              <w:t>Texas,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160</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Harburg</w:t>
            </w:r>
          </w:p>
        </w:tc>
        <w:tc>
          <w:tcPr>
            <w:tcW w:w="640" w:type="dxa"/>
            <w:vAlign w:val="bottom"/>
          </w:tcPr>
          <w:p>
            <w:pPr>
              <w:spacing w:after="0"/>
              <w:rPr>
                <w:sz w:val="11"/>
                <w:szCs w:val="11"/>
                <w:color w:val="auto"/>
              </w:rPr>
            </w:pPr>
          </w:p>
        </w:tc>
        <w:tc>
          <w:tcPr>
            <w:tcW w:w="2400" w:type="dxa"/>
            <w:vAlign w:val="bottom"/>
            <w:gridSpan w:val="2"/>
          </w:tcPr>
          <w:p>
            <w:pPr>
              <w:jc w:val="right"/>
              <w:ind w:right="558"/>
              <w:spacing w:after="0" w:line="133" w:lineRule="exact"/>
              <w:rPr>
                <w:sz w:val="20"/>
                <w:szCs w:val="20"/>
                <w:color w:val="auto"/>
              </w:rPr>
            </w:pPr>
            <w:r>
              <w:rPr>
                <w:rFonts w:ascii="Arial" w:cs="Arial" w:eastAsia="Arial" w:hAnsi="Arial"/>
                <w:sz w:val="12"/>
                <w:szCs w:val="12"/>
                <w:color w:val="auto"/>
              </w:rPr>
              <w:t>Harburg, Germany</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4</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100%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La Muela</w:t>
            </w:r>
          </w:p>
        </w:tc>
        <w:tc>
          <w:tcPr>
            <w:tcW w:w="640" w:type="dxa"/>
            <w:vAlign w:val="bottom"/>
          </w:tcPr>
          <w:p>
            <w:pPr>
              <w:spacing w:after="0"/>
              <w:rPr>
                <w:sz w:val="11"/>
                <w:szCs w:val="11"/>
                <w:color w:val="auto"/>
              </w:rPr>
            </w:pPr>
          </w:p>
        </w:tc>
        <w:tc>
          <w:tcPr>
            <w:tcW w:w="2400" w:type="dxa"/>
            <w:vAlign w:val="bottom"/>
            <w:gridSpan w:val="2"/>
          </w:tcPr>
          <w:p>
            <w:pPr>
              <w:jc w:val="right"/>
              <w:ind w:right="558"/>
              <w:spacing w:after="0" w:line="133" w:lineRule="exact"/>
              <w:rPr>
                <w:sz w:val="20"/>
                <w:szCs w:val="20"/>
                <w:color w:val="auto"/>
              </w:rPr>
            </w:pPr>
            <w:r>
              <w:rPr>
                <w:rFonts w:ascii="Arial" w:cs="Arial" w:eastAsia="Arial" w:hAnsi="Arial"/>
                <w:sz w:val="12"/>
                <w:szCs w:val="12"/>
                <w:color w:val="auto"/>
              </w:rPr>
              <w:t>La Muela, Spain</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99</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40%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ind w:left="20"/>
              <w:spacing w:after="0" w:line="133" w:lineRule="exact"/>
              <w:rPr>
                <w:sz w:val="20"/>
                <w:szCs w:val="20"/>
                <w:color w:val="auto"/>
              </w:rPr>
            </w:pPr>
            <w:r>
              <w:rPr>
                <w:rFonts w:ascii="Arial" w:cs="Arial" w:eastAsia="Arial" w:hAnsi="Arial"/>
                <w:sz w:val="12"/>
                <w:szCs w:val="12"/>
                <w:color w:val="auto"/>
              </w:rPr>
              <w:t>NoordzeeWind</w:t>
            </w:r>
          </w:p>
        </w:tc>
        <w:tc>
          <w:tcPr>
            <w:tcW w:w="640" w:type="dxa"/>
            <w:vAlign w:val="bottom"/>
          </w:tcPr>
          <w:p>
            <w:pPr>
              <w:spacing w:after="0"/>
              <w:rPr>
                <w:sz w:val="11"/>
                <w:szCs w:val="11"/>
                <w:color w:val="auto"/>
              </w:rPr>
            </w:pPr>
          </w:p>
        </w:tc>
        <w:tc>
          <w:tcPr>
            <w:tcW w:w="2400" w:type="dxa"/>
            <w:vAlign w:val="bottom"/>
            <w:gridSpan w:val="2"/>
          </w:tcPr>
          <w:p>
            <w:pPr>
              <w:jc w:val="right"/>
              <w:ind w:right="538"/>
              <w:spacing w:after="0" w:line="133" w:lineRule="exact"/>
              <w:rPr>
                <w:sz w:val="20"/>
                <w:szCs w:val="20"/>
                <w:color w:val="auto"/>
              </w:rPr>
            </w:pPr>
            <w:r>
              <w:rPr>
                <w:rFonts w:ascii="Arial" w:cs="Arial" w:eastAsia="Arial" w:hAnsi="Arial"/>
                <w:sz w:val="12"/>
                <w:szCs w:val="12"/>
                <w:color w:val="auto"/>
              </w:rPr>
              <w:t>Egmond aan Zee, Netherlands</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108</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operation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Mount Storm Phase I</w:t>
            </w:r>
          </w:p>
        </w:tc>
        <w:tc>
          <w:tcPr>
            <w:tcW w:w="2400" w:type="dxa"/>
            <w:vAlign w:val="bottom"/>
            <w:gridSpan w:val="2"/>
          </w:tcPr>
          <w:p>
            <w:pPr>
              <w:jc w:val="right"/>
              <w:ind w:right="558"/>
              <w:spacing w:after="0" w:line="133" w:lineRule="exact"/>
              <w:rPr>
                <w:sz w:val="20"/>
                <w:szCs w:val="20"/>
                <w:color w:val="auto"/>
              </w:rPr>
            </w:pPr>
            <w:r>
              <w:rPr>
                <w:rFonts w:ascii="Arial" w:cs="Arial" w:eastAsia="Arial" w:hAnsi="Arial"/>
                <w:sz w:val="12"/>
                <w:szCs w:val="12"/>
                <w:color w:val="auto"/>
              </w:rPr>
              <w:t>West Virginia, USA</w:t>
            </w: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838"/>
              <w:spacing w:after="0" w:line="133" w:lineRule="exact"/>
              <w:rPr>
                <w:sz w:val="20"/>
                <w:szCs w:val="20"/>
                <w:color w:val="auto"/>
              </w:rPr>
            </w:pPr>
            <w:r>
              <w:rPr>
                <w:rFonts w:ascii="Arial" w:cs="Arial" w:eastAsia="Arial" w:hAnsi="Arial"/>
                <w:sz w:val="12"/>
                <w:szCs w:val="12"/>
                <w:color w:val="auto"/>
              </w:rPr>
              <w:t>164</w:t>
            </w:r>
          </w:p>
        </w:tc>
        <w:tc>
          <w:tcPr>
            <w:tcW w:w="1300" w:type="dxa"/>
            <w:vAlign w:val="bottom"/>
            <w:gridSpan w:val="2"/>
          </w:tcPr>
          <w:p>
            <w:pPr>
              <w:jc w:val="right"/>
              <w:ind w:right="226"/>
              <w:spacing w:after="0" w:line="133" w:lineRule="exact"/>
              <w:rPr>
                <w:sz w:val="20"/>
                <w:szCs w:val="20"/>
                <w:color w:val="auto"/>
              </w:rPr>
            </w:pPr>
            <w:r>
              <w:rPr>
                <w:rFonts w:ascii="Arial" w:cs="Arial" w:eastAsia="Arial" w:hAnsi="Arial"/>
                <w:sz w:val="12"/>
                <w:szCs w:val="12"/>
                <w:color w:val="auto"/>
              </w:rPr>
              <w:t>50%</w:t>
            </w:r>
          </w:p>
        </w:tc>
        <w:tc>
          <w:tcPr>
            <w:tcW w:w="1460" w:type="dxa"/>
            <w:vAlign w:val="bottom"/>
          </w:tcPr>
          <w:p>
            <w:pPr>
              <w:spacing w:after="0"/>
              <w:rPr>
                <w:sz w:val="11"/>
                <w:szCs w:val="11"/>
                <w:color w:val="auto"/>
              </w:rPr>
            </w:pPr>
          </w:p>
        </w:tc>
        <w:tc>
          <w:tcPr>
            <w:tcW w:w="11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In construction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80" w:type="dxa"/>
            <w:vAlign w:val="bottom"/>
            <w:gridSpan w:val="2"/>
          </w:tcPr>
          <w:p>
            <w:pPr>
              <w:ind w:left="20"/>
              <w:spacing w:after="0"/>
              <w:rPr>
                <w:sz w:val="20"/>
                <w:szCs w:val="20"/>
                <w:color w:val="auto"/>
              </w:rPr>
            </w:pPr>
            <w:r>
              <w:rPr>
                <w:rFonts w:ascii="Arial" w:cs="Arial" w:eastAsia="Arial" w:hAnsi="Arial"/>
                <w:sz w:val="12"/>
                <w:szCs w:val="12"/>
                <w:color w:val="auto"/>
              </w:rPr>
              <w:t>Mount Storm Phase II</w:t>
            </w:r>
          </w:p>
        </w:tc>
        <w:tc>
          <w:tcPr>
            <w:tcW w:w="2400" w:type="dxa"/>
            <w:vAlign w:val="bottom"/>
            <w:gridSpan w:val="2"/>
          </w:tcPr>
          <w:p>
            <w:pPr>
              <w:jc w:val="right"/>
              <w:ind w:right="558"/>
              <w:spacing w:after="0"/>
              <w:rPr>
                <w:sz w:val="20"/>
                <w:szCs w:val="20"/>
                <w:color w:val="auto"/>
              </w:rPr>
            </w:pPr>
            <w:r>
              <w:rPr>
                <w:rFonts w:ascii="Arial" w:cs="Arial" w:eastAsia="Arial" w:hAnsi="Arial"/>
                <w:sz w:val="12"/>
                <w:szCs w:val="12"/>
                <w:color w:val="auto"/>
              </w:rPr>
              <w:t>West Virginia, USA</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right"/>
              <w:ind w:right="838"/>
              <w:spacing w:after="0"/>
              <w:rPr>
                <w:sz w:val="20"/>
                <w:szCs w:val="20"/>
                <w:color w:val="auto"/>
              </w:rPr>
            </w:pPr>
            <w:r>
              <w:rPr>
                <w:rFonts w:ascii="Arial" w:cs="Arial" w:eastAsia="Arial" w:hAnsi="Arial"/>
                <w:sz w:val="12"/>
                <w:szCs w:val="12"/>
                <w:color w:val="auto"/>
              </w:rPr>
              <w:t>100</w:t>
            </w:r>
          </w:p>
        </w:tc>
        <w:tc>
          <w:tcPr>
            <w:tcW w:w="1300" w:type="dxa"/>
            <w:vAlign w:val="bottom"/>
            <w:gridSpan w:val="2"/>
          </w:tcPr>
          <w:p>
            <w:pPr>
              <w:jc w:val="right"/>
              <w:ind w:right="226"/>
              <w:spacing w:after="0"/>
              <w:rPr>
                <w:sz w:val="20"/>
                <w:szCs w:val="20"/>
                <w:color w:val="auto"/>
              </w:rPr>
            </w:pPr>
            <w:r>
              <w:rPr>
                <w:rFonts w:ascii="Arial" w:cs="Arial" w:eastAsia="Arial" w:hAnsi="Arial"/>
                <w:sz w:val="12"/>
                <w:szCs w:val="12"/>
                <w:color w:val="auto"/>
              </w:rPr>
              <w:t>50%</w:t>
            </w:r>
          </w:p>
        </w:tc>
        <w:tc>
          <w:tcPr>
            <w:tcW w:w="1460" w:type="dxa"/>
            <w:vAlign w:val="bottom"/>
          </w:tcPr>
          <w:p>
            <w:pPr>
              <w:spacing w:after="0"/>
              <w:rPr>
                <w:sz w:val="12"/>
                <w:szCs w:val="1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2"/>
                <w:szCs w:val="12"/>
                <w:color w:val="auto"/>
              </w:rPr>
              <w:t>In construction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020"/>
        <w:spacing w:after="0"/>
        <w:tabs>
          <w:tab w:leader="none" w:pos="102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1427480</wp:posOffset>
            </wp:positionV>
            <wp:extent cx="725297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GAS &amp; POWER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EUROPE</w:t>
      </w:r>
    </w:p>
    <w:p>
      <w:pPr>
        <w:spacing w:after="0" w:line="19"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Shell Energy Europe B.V., a wholly-owned Shell company located in the Netherlands, continued to develop gas and power activities throughout Europe, and provided advice and assistance to wholly-owned Shell affiliates active in the natural gas sector in Denmark, Germany, Hungary, Italy, Spain, the Netherlands, the UK, Ukraine, Turkey and other countries within Europe.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Other specific activities are summarised as follows:</w:t>
      </w:r>
    </w:p>
    <w:p>
      <w:pPr>
        <w:spacing w:after="0" w:line="208" w:lineRule="exact"/>
        <w:rPr>
          <w:sz w:val="20"/>
          <w:szCs w:val="20"/>
          <w:color w:val="auto"/>
        </w:rPr>
      </w:pPr>
    </w:p>
    <w:p>
      <w:pPr>
        <w:ind w:right="40"/>
        <w:spacing w:after="0" w:line="263" w:lineRule="auto"/>
        <w:rPr>
          <w:sz w:val="20"/>
          <w:szCs w:val="20"/>
          <w:color w:val="auto"/>
        </w:rPr>
      </w:pPr>
      <w:r>
        <w:rPr>
          <w:rFonts w:ascii="Arial" w:cs="Arial" w:eastAsia="Arial" w:hAnsi="Arial"/>
          <w:sz w:val="14"/>
          <w:szCs w:val="14"/>
          <w:b w:val="1"/>
          <w:bCs w:val="1"/>
          <w:color w:val="auto"/>
        </w:rPr>
        <w:t xml:space="preserve">Germany </w:t>
      </w:r>
      <w:r>
        <w:rPr>
          <w:rFonts w:ascii="Arial" w:cs="Arial" w:eastAsia="Arial" w:hAnsi="Arial"/>
          <w:sz w:val="14"/>
          <w:szCs w:val="14"/>
          <w:color w:val="auto"/>
        </w:rPr>
        <w:t>BEB Erdgas und Erdöl GmbH, a joint venture in which Shell holds 50%</w:t>
      </w:r>
      <w:r>
        <w:rPr>
          <w:rFonts w:ascii="Arial" w:cs="Arial" w:eastAsia="Arial" w:hAnsi="Arial"/>
          <w:sz w:val="14"/>
          <w:szCs w:val="14"/>
          <w:b w:val="1"/>
          <w:bCs w:val="1"/>
          <w:color w:val="auto"/>
        </w:rPr>
        <w:t xml:space="preserve"> </w:t>
      </w:r>
      <w:r>
        <w:rPr>
          <w:rFonts w:ascii="Arial" w:cs="Arial" w:eastAsia="Arial" w:hAnsi="Arial"/>
          <w:sz w:val="14"/>
          <w:szCs w:val="14"/>
          <w:color w:val="auto"/>
        </w:rPr>
        <w:t>interest, is a major producer of gas in Germany and also one of the country’s gas transmission companies. Through BEB, Shell has indirect minority shareholdings in gas transmission, storage and distribution companies in Germany. In November 2007, Shell and ExxonMobil agreed to sell their joint interest in the gas transportation business of BEB to N.V. Nederlandse Gasunie. The sale is expected to be completed in 2008.</w:t>
      </w:r>
    </w:p>
    <w:p>
      <w:pPr>
        <w:spacing w:after="0" w:line="194" w:lineRule="exact"/>
        <w:rPr>
          <w:sz w:val="20"/>
          <w:szCs w:val="20"/>
          <w:color w:val="auto"/>
        </w:rPr>
      </w:pPr>
    </w:p>
    <w:p>
      <w:pPr>
        <w:jc w:val="both"/>
        <w:spacing w:after="0" w:line="302" w:lineRule="auto"/>
        <w:rPr>
          <w:sz w:val="20"/>
          <w:szCs w:val="20"/>
          <w:color w:val="auto"/>
        </w:rPr>
      </w:pPr>
      <w:r>
        <w:rPr>
          <w:rFonts w:ascii="Arial" w:cs="Arial" w:eastAsia="Arial" w:hAnsi="Arial"/>
          <w:sz w:val="13"/>
          <w:szCs w:val="13"/>
          <w:color w:val="auto"/>
        </w:rPr>
        <w:t>Shell holds a 50% interest in Avancis GmbH, a joint venture with Saint Gobain, for the manufacture of CIS thin-film technology solar panels. A small-scale production facility is under construction and is expected to be completed around the end of 2008.</w:t>
      </w:r>
    </w:p>
    <w:p>
      <w:pPr>
        <w:spacing w:after="0" w:line="164"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b w:val="1"/>
          <w:bCs w:val="1"/>
          <w:color w:val="auto"/>
        </w:rPr>
        <w:t xml:space="preserve">Greece </w:t>
      </w:r>
      <w:r>
        <w:rPr>
          <w:rFonts w:ascii="Arial" w:cs="Arial" w:eastAsia="Arial" w:hAnsi="Arial"/>
          <w:sz w:val="14"/>
          <w:szCs w:val="14"/>
          <w:color w:val="auto"/>
        </w:rPr>
        <w:t>A Shell company holds a 24% interest in Attiki Gas Supply Company S.A., a</w:t>
      </w:r>
      <w:r>
        <w:rPr>
          <w:rFonts w:ascii="Arial" w:cs="Arial" w:eastAsia="Arial" w:hAnsi="Arial"/>
          <w:sz w:val="14"/>
          <w:szCs w:val="14"/>
          <w:b w:val="1"/>
          <w:bCs w:val="1"/>
          <w:color w:val="auto"/>
        </w:rPr>
        <w:t xml:space="preserve"> </w:t>
      </w:r>
      <w:r>
        <w:rPr>
          <w:rFonts w:ascii="Arial" w:cs="Arial" w:eastAsia="Arial" w:hAnsi="Arial"/>
          <w:sz w:val="14"/>
          <w:szCs w:val="14"/>
          <w:color w:val="auto"/>
        </w:rPr>
        <w:t>local gas distribution company supplying residential, commercial and small industrial customers. Attiki Gas Supply Company S.A. holds a distribution licence to develop the distribution system infrastructure and to distribute gas to residential, commercial and small industrial customers in the Athens area.</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b w:val="1"/>
          <w:bCs w:val="1"/>
          <w:color w:val="auto"/>
        </w:rPr>
        <w:t xml:space="preserve">Hungary </w:t>
      </w:r>
      <w:r>
        <w:rPr>
          <w:rFonts w:ascii="Arial" w:cs="Arial" w:eastAsia="Arial" w:hAnsi="Arial"/>
          <w:sz w:val="14"/>
          <w:szCs w:val="14"/>
          <w:color w:val="auto"/>
        </w:rPr>
        <w:t>In July 2007, Shell announced the expansion of its activities into natural gas</w:t>
      </w:r>
      <w:r>
        <w:rPr>
          <w:rFonts w:ascii="Arial" w:cs="Arial" w:eastAsia="Arial" w:hAnsi="Arial"/>
          <w:sz w:val="14"/>
          <w:szCs w:val="14"/>
          <w:b w:val="1"/>
          <w:bCs w:val="1"/>
          <w:color w:val="auto"/>
        </w:rPr>
        <w:t xml:space="preserve"> </w:t>
      </w:r>
      <w:r>
        <w:rPr>
          <w:rFonts w:ascii="Arial" w:cs="Arial" w:eastAsia="Arial" w:hAnsi="Arial"/>
          <w:sz w:val="14"/>
          <w:szCs w:val="14"/>
          <w:color w:val="auto"/>
        </w:rPr>
        <w:t>marketing. Following the successful conclusion of a recent license application process, Shell has concluded its first gas sale and purchase agreements with suppliers and industrial customers.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b w:val="1"/>
          <w:bCs w:val="1"/>
          <w:color w:val="auto"/>
        </w:rPr>
        <w:t xml:space="preserve">Italy </w:t>
      </w:r>
      <w:r>
        <w:rPr>
          <w:rFonts w:ascii="Arial" w:cs="Arial" w:eastAsia="Arial" w:hAnsi="Arial"/>
          <w:sz w:val="14"/>
          <w:szCs w:val="14"/>
          <w:color w:val="auto"/>
        </w:rPr>
        <w:t>Work continues on developing the LNG regasification terminal in Italy based on</w:t>
      </w:r>
      <w:r>
        <w:rPr>
          <w:rFonts w:ascii="Arial" w:cs="Arial" w:eastAsia="Arial" w:hAnsi="Arial"/>
          <w:sz w:val="14"/>
          <w:szCs w:val="14"/>
          <w:b w:val="1"/>
          <w:bCs w:val="1"/>
          <w:color w:val="auto"/>
        </w:rPr>
        <w:t xml:space="preserve"> </w:t>
      </w:r>
      <w:r>
        <w:rPr>
          <w:rFonts w:ascii="Arial" w:cs="Arial" w:eastAsia="Arial" w:hAnsi="Arial"/>
          <w:sz w:val="14"/>
          <w:szCs w:val="14"/>
          <w:color w:val="auto"/>
        </w:rPr>
        <w:t>the joint venture agreement (Shell interest 50%) entered into with ERG Power and Gas S.p.A. in June 2005. The terminal is planned to have an initial capacity of around 5.8 million tonnes per annum of LNG.</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b w:val="1"/>
          <w:bCs w:val="1"/>
          <w:color w:val="auto"/>
        </w:rPr>
        <w:t xml:space="preserve">The Netherlands </w:t>
      </w:r>
      <w:r>
        <w:rPr>
          <w:rFonts w:ascii="Arial" w:cs="Arial" w:eastAsia="Arial" w:hAnsi="Arial"/>
          <w:sz w:val="14"/>
          <w:szCs w:val="14"/>
          <w:color w:val="auto"/>
        </w:rPr>
        <w:t>A Shell company holds a 25% interest in GasTerra B.V., a marketer</w:t>
      </w:r>
      <w:r>
        <w:rPr>
          <w:rFonts w:ascii="Arial" w:cs="Arial" w:eastAsia="Arial" w:hAnsi="Arial"/>
          <w:sz w:val="14"/>
          <w:szCs w:val="14"/>
          <w:b w:val="1"/>
          <w:bCs w:val="1"/>
          <w:color w:val="auto"/>
        </w:rPr>
        <w:t xml:space="preserve"> </w:t>
      </w:r>
      <w:r>
        <w:rPr>
          <w:rFonts w:ascii="Arial" w:cs="Arial" w:eastAsia="Arial" w:hAnsi="Arial"/>
          <w:sz w:val="14"/>
          <w:szCs w:val="14"/>
          <w:color w:val="auto"/>
        </w:rPr>
        <w:t>of Dutch natural gas. GasTerra was previously operating under the name of Gasunie Trade &amp; Supply.</w:t>
      </w:r>
    </w:p>
    <w:p>
      <w:pPr>
        <w:spacing w:after="0" w:line="183" w:lineRule="exact"/>
        <w:rPr>
          <w:sz w:val="20"/>
          <w:szCs w:val="20"/>
          <w:color w:val="auto"/>
        </w:rPr>
      </w:pPr>
    </w:p>
    <w:p>
      <w:pPr>
        <w:jc w:val="both"/>
        <w:ind w:right="20"/>
        <w:spacing w:after="0" w:line="287" w:lineRule="auto"/>
        <w:rPr>
          <w:sz w:val="20"/>
          <w:szCs w:val="20"/>
          <w:color w:val="auto"/>
        </w:rPr>
      </w:pPr>
      <w:r>
        <w:rPr>
          <w:rFonts w:ascii="Arial" w:cs="Arial" w:eastAsia="Arial" w:hAnsi="Arial"/>
          <w:sz w:val="14"/>
          <w:szCs w:val="14"/>
          <w:color w:val="auto"/>
        </w:rPr>
        <w:t>Offshore Windpark Egmond aan Zee in the Netherlands has 36 turbines with an overall capacity of 108 MW. It is a 50:50 joint venture between Shell and Nuon.</w:t>
      </w:r>
    </w:p>
    <w:p>
      <w:pPr>
        <w:spacing w:after="0" w:line="170" w:lineRule="exact"/>
        <w:rPr>
          <w:sz w:val="20"/>
          <w:szCs w:val="20"/>
          <w:color w:val="auto"/>
        </w:rPr>
      </w:pPr>
    </w:p>
    <w:p>
      <w:pPr>
        <w:jc w:val="both"/>
        <w:ind w:right="20"/>
        <w:spacing w:after="0" w:line="306" w:lineRule="auto"/>
        <w:rPr>
          <w:sz w:val="20"/>
          <w:szCs w:val="20"/>
          <w:color w:val="auto"/>
        </w:rPr>
      </w:pPr>
      <w:r>
        <w:rPr>
          <w:rFonts w:ascii="Arial" w:cs="Arial" w:eastAsia="Arial" w:hAnsi="Arial"/>
          <w:sz w:val="13"/>
          <w:szCs w:val="13"/>
          <w:b w:val="1"/>
          <w:bCs w:val="1"/>
          <w:color w:val="auto"/>
        </w:rPr>
        <w:t xml:space="preserve">Spain </w:t>
      </w:r>
      <w:r>
        <w:rPr>
          <w:rFonts w:ascii="Arial" w:cs="Arial" w:eastAsia="Arial" w:hAnsi="Arial"/>
          <w:sz w:val="13"/>
          <w:szCs w:val="13"/>
          <w:color w:val="auto"/>
        </w:rPr>
        <w:t>Shell has contractual interests in three regasification terminals, a 40% interest in</w:t>
      </w:r>
      <w:r>
        <w:rPr>
          <w:rFonts w:ascii="Arial" w:cs="Arial" w:eastAsia="Arial" w:hAnsi="Arial"/>
          <w:sz w:val="13"/>
          <w:szCs w:val="13"/>
          <w:b w:val="1"/>
          <w:bCs w:val="1"/>
          <w:color w:val="auto"/>
        </w:rPr>
        <w:t xml:space="preserve"> </w:t>
      </w:r>
      <w:r>
        <w:rPr>
          <w:rFonts w:ascii="Arial" w:cs="Arial" w:eastAsia="Arial" w:hAnsi="Arial"/>
          <w:sz w:val="13"/>
          <w:szCs w:val="13"/>
          <w:color w:val="auto"/>
        </w:rPr>
        <w:t>a 99 MW operational wind park, La Muela, and a long-term contractual arrangement to supply gas and sell power from a 754 MW power generation plant.</w:t>
      </w:r>
    </w:p>
    <w:p>
      <w:pPr>
        <w:spacing w:after="0" w:line="161" w:lineRule="exact"/>
        <w:rPr>
          <w:sz w:val="20"/>
          <w:szCs w:val="20"/>
          <w:color w:val="auto"/>
        </w:rPr>
      </w:pPr>
    </w:p>
    <w:p>
      <w:pPr>
        <w:ind w:right="140"/>
        <w:spacing w:after="0" w:line="275" w:lineRule="auto"/>
        <w:rPr>
          <w:sz w:val="20"/>
          <w:szCs w:val="20"/>
          <w:color w:val="auto"/>
        </w:rPr>
      </w:pPr>
      <w:r>
        <w:rPr>
          <w:rFonts w:ascii="Arial" w:cs="Arial" w:eastAsia="Arial" w:hAnsi="Arial"/>
          <w:sz w:val="14"/>
          <w:szCs w:val="14"/>
          <w:b w:val="1"/>
          <w:bCs w:val="1"/>
          <w:color w:val="auto"/>
        </w:rPr>
        <w:t xml:space="preserve">UK </w:t>
      </w:r>
      <w:r>
        <w:rPr>
          <w:rFonts w:ascii="Arial" w:cs="Arial" w:eastAsia="Arial" w:hAnsi="Arial"/>
          <w:sz w:val="14"/>
          <w:szCs w:val="14"/>
          <w:color w:val="auto"/>
        </w:rPr>
        <w:t>Shell licensed its coal gasification technology to Powerfuel Plc in April 2007 for</w:t>
      </w:r>
      <w:r>
        <w:rPr>
          <w:rFonts w:ascii="Arial" w:cs="Arial" w:eastAsia="Arial" w:hAnsi="Arial"/>
          <w:sz w:val="14"/>
          <w:szCs w:val="14"/>
          <w:b w:val="1"/>
          <w:bCs w:val="1"/>
          <w:color w:val="auto"/>
        </w:rPr>
        <w:t xml:space="preserve"> </w:t>
      </w:r>
      <w:r>
        <w:rPr>
          <w:rFonts w:ascii="Arial" w:cs="Arial" w:eastAsia="Arial" w:hAnsi="Arial"/>
          <w:sz w:val="14"/>
          <w:szCs w:val="14"/>
          <w:color w:val="auto"/>
        </w:rPr>
        <w:t>the proposed 900 MW integrated gasification combined cycle power station in Hatfield, South Yorkshire.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hanging="273"/>
        <w:spacing w:after="0"/>
        <w:tabs>
          <w:tab w:leader="none" w:pos="280" w:val="left"/>
        </w:tabs>
        <w:numPr>
          <w:ilvl w:val="0"/>
          <w:numId w:val="4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AFRICA</w:t>
      </w:r>
    </w:p>
    <w:p>
      <w:pPr>
        <w:spacing w:after="0" w:line="19"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b w:val="1"/>
          <w:bCs w:val="1"/>
          <w:color w:val="auto"/>
        </w:rPr>
        <w:t xml:space="preserve">Algeria </w:t>
      </w:r>
      <w:r>
        <w:rPr>
          <w:rFonts w:ascii="Arial" w:cs="Arial" w:eastAsia="Arial" w:hAnsi="Arial"/>
          <w:sz w:val="14"/>
          <w:szCs w:val="14"/>
          <w:color w:val="auto"/>
        </w:rPr>
        <w:t>Shell declined to bid for the integrated Tinrhert GTL project in 2007. Co-operation continues between Shell and Sonatrach under a memorandum of understanding signed in February 2006, covering multiple business initiatives, both in Algeria and internationally.</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auto"/>
        </w:rPr>
        <w:t xml:space="preserve">Libya </w:t>
      </w:r>
      <w:r>
        <w:rPr>
          <w:rFonts w:ascii="Arial" w:cs="Arial" w:eastAsia="Arial" w:hAnsi="Arial"/>
          <w:sz w:val="14"/>
          <w:szCs w:val="14"/>
          <w:color w:val="auto"/>
        </w:rPr>
        <w:t>In May 2005, Shell and National Oil Corporation of the Great Socialist People’s</w:t>
      </w:r>
      <w:r>
        <w:rPr>
          <w:rFonts w:ascii="Arial" w:cs="Arial" w:eastAsia="Arial" w:hAnsi="Arial"/>
          <w:sz w:val="14"/>
          <w:szCs w:val="14"/>
          <w:b w:val="1"/>
          <w:bCs w:val="1"/>
          <w:color w:val="auto"/>
        </w:rPr>
        <w:t xml:space="preserve"> </w:t>
      </w:r>
      <w:r>
        <w:rPr>
          <w:rFonts w:ascii="Arial" w:cs="Arial" w:eastAsia="Arial" w:hAnsi="Arial"/>
          <w:sz w:val="14"/>
          <w:szCs w:val="14"/>
          <w:color w:val="auto"/>
        </w:rPr>
        <w:t>Libyan Arab Jamahiriya (NOC) signed an LNG development agreement for the rejuvenation and upgrade of the existing LNG plant at Marsa Al Brega on the Libyan coast, together with exploration and development of five areas located in Libya’s major oil and gas producing Sirte Basin. Seismic data acquisition and analysis is now complete and exploration drilling is planned to start in 2008. The engineering design of the rejuvenation of the Marsa Al Brega LNG plant is also complete and construction is expected to start in 2008 under the management of an NOC subsidiary. Options to expand Marsa Al Brega and possibly build a new LNG plant are features of the agreement.</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4"/>
          <w:szCs w:val="14"/>
          <w:b w:val="1"/>
          <w:bCs w:val="1"/>
          <w:color w:val="auto"/>
        </w:rPr>
        <w:t xml:space="preserve">Nigeria </w:t>
      </w:r>
      <w:r>
        <w:rPr>
          <w:rFonts w:ascii="Arial" w:cs="Arial" w:eastAsia="Arial" w:hAnsi="Arial"/>
          <w:sz w:val="14"/>
          <w:szCs w:val="14"/>
          <w:color w:val="auto"/>
        </w:rPr>
        <w:t>Shell has a 26% interest in Nigeria LNG Ltd (NLNG), which had an LNG</w:t>
      </w:r>
      <w:r>
        <w:rPr>
          <w:rFonts w:ascii="Arial" w:cs="Arial" w:eastAsia="Arial" w:hAnsi="Arial"/>
          <w:sz w:val="14"/>
          <w:szCs w:val="14"/>
          <w:b w:val="1"/>
          <w:bCs w:val="1"/>
          <w:color w:val="auto"/>
        </w:rPr>
        <w:t xml:space="preserve"> </w:t>
      </w:r>
      <w:r>
        <w:rPr>
          <w:rFonts w:ascii="Arial" w:cs="Arial" w:eastAsia="Arial" w:hAnsi="Arial"/>
          <w:sz w:val="14"/>
          <w:szCs w:val="14"/>
          <w:color w:val="auto"/>
        </w:rPr>
        <w:t>capacity at year-end 2007 of 21.6 million tonnes per annum (100%), including the recently completed train 6, which increased capacity by 4 million tonnes per annum (100%). Train 6 is expected to ramp up to full production over time as increased gas supply to the plant is made available. NLNG is also progressing development for a possible seventh LNG train. NLNG currently has operational control of 23 LNG vessels.</w:t>
      </w:r>
    </w:p>
    <w:p>
      <w:pPr>
        <w:spacing w:after="0" w:line="194"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In March 2007, Shell signed a shareholders agreement with the Nigerian National Petroleum Corporation (NNPC) and other partners for the joint development of the Olokola LNG project in Nigeria (Shell interest 19.5%, previously 18.5%). This project, which may ultimately include up to four LNG trains, is currently in the front-end engineering and design phase.</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Shell has an 18% interest in the West Africa Gas Pipeline Project. This project is under construction and is planned to supply gas from Nigeria to the neighbouring countries of Ghana, Benin and Togo.</w:t>
      </w:r>
    </w:p>
    <w:p>
      <w:pPr>
        <w:spacing w:after="0" w:line="185" w:lineRule="exact"/>
        <w:rPr>
          <w:sz w:val="20"/>
          <w:szCs w:val="20"/>
          <w:color w:val="auto"/>
        </w:rPr>
      </w:pPr>
    </w:p>
    <w:p>
      <w:pPr>
        <w:ind w:right="240"/>
        <w:spacing w:after="0" w:line="272" w:lineRule="auto"/>
        <w:rPr>
          <w:sz w:val="20"/>
          <w:szCs w:val="20"/>
          <w:color w:val="auto"/>
        </w:rPr>
      </w:pPr>
      <w:r>
        <w:rPr>
          <w:rFonts w:ascii="Arial" w:cs="Arial" w:eastAsia="Arial" w:hAnsi="Arial"/>
          <w:sz w:val="14"/>
          <w:szCs w:val="14"/>
          <w:color w:val="auto"/>
        </w:rPr>
        <w:t>Within Nigeria, we operate a gas sales and distribution company, Shell Nigeria Gas (Shell interest 100%), to supply gas to a number of industrial and commercial customers in the south of the country.</w:t>
      </w:r>
    </w:p>
    <w:p>
      <w:pPr>
        <w:spacing w:after="0" w:line="185"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color w:val="auto"/>
        </w:rPr>
        <w:t>Also in Nigeria, Shell and its partners are nearing completion of construction of the Afam VI power plant in the Niger Delta (Shell interest 30%).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MIDDLE EAST, RUSSIA AND CIS</w:t>
      </w:r>
    </w:p>
    <w:p>
      <w:pPr>
        <w:spacing w:after="0" w:line="19" w:lineRule="exact"/>
        <w:rPr>
          <w:sz w:val="20"/>
          <w:szCs w:val="20"/>
          <w:color w:val="auto"/>
        </w:rPr>
      </w:pPr>
    </w:p>
    <w:p>
      <w:pPr>
        <w:ind w:right="80"/>
        <w:spacing w:after="0" w:line="293" w:lineRule="auto"/>
        <w:rPr>
          <w:sz w:val="20"/>
          <w:szCs w:val="20"/>
          <w:color w:val="auto"/>
        </w:rPr>
      </w:pPr>
      <w:r>
        <w:rPr>
          <w:rFonts w:ascii="Arial" w:cs="Arial" w:eastAsia="Arial" w:hAnsi="Arial"/>
          <w:sz w:val="13"/>
          <w:szCs w:val="13"/>
          <w:b w:val="1"/>
          <w:bCs w:val="1"/>
          <w:color w:val="auto"/>
        </w:rPr>
        <w:t xml:space="preserve">Egypt </w:t>
      </w:r>
      <w:r>
        <w:rPr>
          <w:rFonts w:ascii="Arial" w:cs="Arial" w:eastAsia="Arial" w:hAnsi="Arial"/>
          <w:sz w:val="13"/>
          <w:szCs w:val="13"/>
          <w:color w:val="auto"/>
        </w:rPr>
        <w:t>At the end of 2006, Shell held a controlling interest (47%) in Fayum Gas</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and an 18% interest in Natgas, local gas distribution companies in Egypt. In February 2007, Shell divested its interest (47%) in Fayum Gas Company.</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3"/>
          <w:szCs w:val="13"/>
          <w:b w:val="1"/>
          <w:bCs w:val="1"/>
          <w:color w:val="auto"/>
        </w:rPr>
        <w:t xml:space="preserve">Iran </w:t>
      </w:r>
      <w:r>
        <w:rPr>
          <w:rFonts w:ascii="Arial" w:cs="Arial" w:eastAsia="Arial" w:hAnsi="Arial"/>
          <w:sz w:val="13"/>
          <w:szCs w:val="13"/>
          <w:color w:val="auto"/>
        </w:rPr>
        <w:t>A project framework agreement for the Persian LNG project (Shell interest 25%)</w:t>
      </w:r>
      <w:r>
        <w:rPr>
          <w:rFonts w:ascii="Arial" w:cs="Arial" w:eastAsia="Arial" w:hAnsi="Arial"/>
          <w:sz w:val="13"/>
          <w:szCs w:val="13"/>
          <w:b w:val="1"/>
          <w:bCs w:val="1"/>
          <w:color w:val="auto"/>
        </w:rPr>
        <w:t xml:space="preserve"> </w:t>
      </w:r>
      <w:r>
        <w:rPr>
          <w:rFonts w:ascii="Arial" w:cs="Arial" w:eastAsia="Arial" w:hAnsi="Arial"/>
          <w:sz w:val="13"/>
          <w:szCs w:val="13"/>
          <w:color w:val="auto"/>
        </w:rPr>
        <w:t>was signed in 2004 with Repsol and the National Iranian Oil Co. to take forward the Persian LNG project to the next stage of design. Under this agreement, it is envisaged that Shell would acquire 50% interest in an agreement to develop phases of the South Pars fields in the Northern Gulf, as contractor, and a 25% interest in the midstream liquefaction company. Front-end engineering design work for the offshore facilities and for the liquefaction plant continued during 2007. The parties will not reach a final decision on whether to proceed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892175</wp:posOffset>
            </wp:positionV>
            <wp:extent cx="725297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4980"/>
          </w:cols>
          <w:pgMar w:left="240" w:top="415" w:right="1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project until the remaining significant commercial and engineering work is complete.</w:t>
      </w:r>
    </w:p>
    <w:p>
      <w:pPr>
        <w:spacing w:after="0" w:line="169" w:lineRule="exact"/>
        <w:rPr>
          <w:sz w:val="20"/>
          <w:szCs w:val="20"/>
          <w:color w:val="auto"/>
        </w:rPr>
      </w:pPr>
    </w:p>
    <w:p>
      <w:pPr>
        <w:spacing w:after="0" w:line="288" w:lineRule="auto"/>
        <w:rPr>
          <w:sz w:val="20"/>
          <w:szCs w:val="20"/>
          <w:color w:val="auto"/>
        </w:rPr>
      </w:pPr>
      <w:r>
        <w:rPr>
          <w:rFonts w:ascii="Arial" w:cs="Arial" w:eastAsia="Arial" w:hAnsi="Arial"/>
          <w:sz w:val="15"/>
          <w:szCs w:val="15"/>
          <w:b w:val="1"/>
          <w:bCs w:val="1"/>
          <w:color w:val="auto"/>
        </w:rPr>
        <w:t xml:space="preserve">Oman </w:t>
      </w:r>
      <w:r>
        <w:rPr>
          <w:rFonts w:ascii="Arial" w:cs="Arial" w:eastAsia="Arial" w:hAnsi="Arial"/>
          <w:sz w:val="15"/>
          <w:szCs w:val="15"/>
          <w:color w:val="auto"/>
        </w:rPr>
        <w:t>Shell has a 30% interest in Oman LNG L.L.C. (Oman LNG). This</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has an annual capacity of 7.1 million tonnes per annum. Most of the LNG is sold to Korea and Japan under long-term contracts, with remaining volumes sold to customers on short-term sales agreements. The Qalhat LNG S.A.O.C. project (in which Oman LNG has a 37% equity interest, giving Shell an 11% indirect interest) was commissioned in 2005.</w:t>
      </w:r>
    </w:p>
    <w:p>
      <w:pPr>
        <w:spacing w:after="0" w:line="175" w:lineRule="exact"/>
        <w:rPr>
          <w:sz w:val="20"/>
          <w:szCs w:val="20"/>
          <w:color w:val="auto"/>
        </w:rPr>
      </w:pPr>
    </w:p>
    <w:p>
      <w:pPr>
        <w:ind w:right="20"/>
        <w:spacing w:after="0" w:line="285" w:lineRule="auto"/>
        <w:rPr>
          <w:sz w:val="20"/>
          <w:szCs w:val="20"/>
          <w:color w:val="auto"/>
        </w:rPr>
      </w:pPr>
      <w:r>
        <w:rPr>
          <w:rFonts w:ascii="Arial" w:cs="Arial" w:eastAsia="Arial" w:hAnsi="Arial"/>
          <w:sz w:val="13"/>
          <w:szCs w:val="13"/>
          <w:b w:val="1"/>
          <w:bCs w:val="1"/>
          <w:color w:val="auto"/>
        </w:rPr>
        <w:t xml:space="preserve">Qatar </w:t>
      </w:r>
      <w:r>
        <w:rPr>
          <w:rFonts w:ascii="Arial" w:cs="Arial" w:eastAsia="Arial" w:hAnsi="Arial"/>
          <w:sz w:val="13"/>
          <w:szCs w:val="13"/>
          <w:color w:val="auto"/>
        </w:rPr>
        <w:t>In 2006, following approval from Qatar Petroleum, Shell made the final</w:t>
      </w:r>
      <w:r>
        <w:rPr>
          <w:rFonts w:ascii="Arial" w:cs="Arial" w:eastAsia="Arial" w:hAnsi="Arial"/>
          <w:sz w:val="13"/>
          <w:szCs w:val="13"/>
          <w:b w:val="1"/>
          <w:bCs w:val="1"/>
          <w:color w:val="auto"/>
        </w:rPr>
        <w:t xml:space="preserve"> </w:t>
      </w:r>
      <w:r>
        <w:rPr>
          <w:rFonts w:ascii="Arial" w:cs="Arial" w:eastAsia="Arial" w:hAnsi="Arial"/>
          <w:sz w:val="13"/>
          <w:szCs w:val="13"/>
          <w:color w:val="auto"/>
        </w:rPr>
        <w:t>investment decision and began construction on the integrated Pearl GTL project, which is being developed under a development and production sharing agreement with the government of the State of Qatar. Shell provides 100% of project funding. The fully integrated project includes upstream production of some 1.6 billion cubic feet per day of wellhead gas from Qatar’s North Field, transport and processing of the gas to produce around 120,000 barrels of oil equivalent per day of natural gas liquids and ethane, and the construction of a new onshore GTL complex to convert the remaining gas into 140,000 barrels per day of clean liquid hydrocarbon products.</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3"/>
          <w:szCs w:val="13"/>
          <w:color w:val="auto"/>
        </w:rPr>
        <w:t>Construction of the Qatargas 4 LNG project continues (Shell interest 30%). The project comprises the integrated development of upstream gas production facilities to produce 1.4 billion cubic feet per day of natural gas, including an average of approximately 70,000 barrels per day of associated natural gas liquids from Qatar’s North Field, a single LNG train yielding around 7.8 million tonnes per annum of LNG and shipping of the LNG to the intended markets. The final investment decision was taken in December 2005. At the same time the engineering, procurement and construction (EPC) contract for the onshore facilities was awarded.</w:t>
      </w:r>
    </w:p>
    <w:p>
      <w:pPr>
        <w:spacing w:after="0" w:line="174" w:lineRule="exact"/>
        <w:rPr>
          <w:sz w:val="20"/>
          <w:szCs w:val="20"/>
          <w:color w:val="auto"/>
        </w:rPr>
      </w:pPr>
    </w:p>
    <w:p>
      <w:pPr>
        <w:ind w:right="80"/>
        <w:spacing w:after="0" w:line="289" w:lineRule="auto"/>
        <w:rPr>
          <w:sz w:val="20"/>
          <w:szCs w:val="20"/>
          <w:color w:val="auto"/>
        </w:rPr>
      </w:pPr>
      <w:r>
        <w:rPr>
          <w:rFonts w:ascii="Arial" w:cs="Arial" w:eastAsia="Arial" w:hAnsi="Arial"/>
          <w:sz w:val="13"/>
          <w:szCs w:val="13"/>
          <w:b w:val="1"/>
          <w:bCs w:val="1"/>
          <w:color w:val="auto"/>
        </w:rPr>
        <w:t xml:space="preserve">Russia </w:t>
      </w:r>
      <w:r>
        <w:rPr>
          <w:rFonts w:ascii="Arial" w:cs="Arial" w:eastAsia="Arial" w:hAnsi="Arial"/>
          <w:sz w:val="13"/>
          <w:szCs w:val="13"/>
          <w:color w:val="auto"/>
        </w:rPr>
        <w:t>On April 18, 2007, Gazprom, Shell, Mitsui and Mitsubishi completed the sale</w:t>
      </w:r>
      <w:r>
        <w:rPr>
          <w:rFonts w:ascii="Arial" w:cs="Arial" w:eastAsia="Arial" w:hAnsi="Arial"/>
          <w:sz w:val="13"/>
          <w:szCs w:val="13"/>
          <w:b w:val="1"/>
          <w:bCs w:val="1"/>
          <w:color w:val="auto"/>
        </w:rPr>
        <w:t xml:space="preserve"> </w:t>
      </w:r>
      <w:r>
        <w:rPr>
          <w:rFonts w:ascii="Arial" w:cs="Arial" w:eastAsia="Arial" w:hAnsi="Arial"/>
          <w:sz w:val="13"/>
          <w:szCs w:val="13"/>
          <w:color w:val="auto"/>
        </w:rPr>
        <w:t>and purchase agreement to transfer shares in Sakhalin Energy Investment Company Ltd. (SEIC). Gazprom acquired a 50% interest plus one share, while Shell retains a 27.5% interest, with Mitsui and Mitsubishi holding a 12.5% and 10% interest respectively (see Summary of results, page 17). This project includes a two train LNG plant with a total capacity of 9.6 million tonnes per annum.</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ASIA PACIFIC</w:t>
      </w:r>
    </w:p>
    <w:p>
      <w:pPr>
        <w:spacing w:after="0" w:line="19" w:lineRule="exact"/>
        <w:rPr>
          <w:sz w:val="20"/>
          <w:szCs w:val="20"/>
          <w:color w:val="auto"/>
        </w:rPr>
      </w:pPr>
    </w:p>
    <w:p>
      <w:pPr>
        <w:spacing w:after="0" w:line="284" w:lineRule="auto"/>
        <w:rPr>
          <w:sz w:val="20"/>
          <w:szCs w:val="20"/>
          <w:color w:val="auto"/>
        </w:rPr>
      </w:pPr>
      <w:r>
        <w:rPr>
          <w:rFonts w:ascii="Arial" w:cs="Arial" w:eastAsia="Arial" w:hAnsi="Arial"/>
          <w:sz w:val="13"/>
          <w:szCs w:val="13"/>
          <w:b w:val="1"/>
          <w:bCs w:val="1"/>
          <w:color w:val="auto"/>
        </w:rPr>
        <w:t xml:space="preserve">Australia </w:t>
      </w:r>
      <w:r>
        <w:rPr>
          <w:rFonts w:ascii="Arial" w:cs="Arial" w:eastAsia="Arial" w:hAnsi="Arial"/>
          <w:sz w:val="13"/>
          <w:szCs w:val="13"/>
          <w:color w:val="auto"/>
        </w:rPr>
        <w:t>Shell has a combined 22% direct and indirect (via Woodside) interest in the</w:t>
      </w:r>
      <w:r>
        <w:rPr>
          <w:rFonts w:ascii="Arial" w:cs="Arial" w:eastAsia="Arial" w:hAnsi="Arial"/>
          <w:sz w:val="13"/>
          <w:szCs w:val="13"/>
          <w:b w:val="1"/>
          <w:bCs w:val="1"/>
          <w:color w:val="auto"/>
        </w:rPr>
        <w:t xml:space="preserve"> </w:t>
      </w:r>
      <w:r>
        <w:rPr>
          <w:rFonts w:ascii="Arial" w:cs="Arial" w:eastAsia="Arial" w:hAnsi="Arial"/>
          <w:sz w:val="13"/>
          <w:szCs w:val="13"/>
          <w:color w:val="auto"/>
        </w:rPr>
        <w:t>LNG export phase and a 25% interest in the domestic gas phase of a joint venture which develops and produces the gas fields of the North West Shelf (NWS). Current capacity (100%) of the LNG plant at year-end 2007 was 11.9 million tonnes per annum. The LNG is sold mainly to customers in Japan. Shell directly and indirectly has a 22% interest in seven LNG vessels used to deliver LNG from the NWS.</w:t>
      </w:r>
    </w:p>
    <w:p>
      <w:pPr>
        <w:spacing w:after="0" w:line="179"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The construction of a fifth NWS LNG train began in 2005. First cargoes of LNG from Train 5 are anticipated by the end of 2008. This will raise total capacity of the plant to 16.3 million tonnes per annum (100%). Shell has a 5% interest in two LNG vessels under construction in China that will be used to deliver LNG from the NWS under a long-term contract.</w:t>
      </w:r>
    </w:p>
    <w:p>
      <w:pPr>
        <w:spacing w:after="0" w:line="190" w:lineRule="exact"/>
        <w:rPr>
          <w:sz w:val="20"/>
          <w:szCs w:val="20"/>
          <w:color w:val="auto"/>
        </w:rPr>
      </w:pPr>
    </w:p>
    <w:p>
      <w:pPr>
        <w:jc w:val="both"/>
        <w:ind w:right="100"/>
        <w:spacing w:after="0" w:line="272" w:lineRule="auto"/>
        <w:rPr>
          <w:sz w:val="20"/>
          <w:szCs w:val="20"/>
          <w:color w:val="auto"/>
        </w:rPr>
      </w:pPr>
      <w:r>
        <w:rPr>
          <w:rFonts w:ascii="Arial" w:cs="Arial" w:eastAsia="Arial" w:hAnsi="Arial"/>
          <w:sz w:val="14"/>
          <w:szCs w:val="14"/>
          <w:color w:val="auto"/>
        </w:rPr>
        <w:t>Through its shareholding in Woodside, Shell has an indirect 31% interest in the Pluto LNG project located in the Carnarvon Basin in Western Australia. Woodside formally launched the Pluto project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7" w:lineRule="auto"/>
        <w:rPr>
          <w:sz w:val="20"/>
          <w:szCs w:val="20"/>
          <w:color w:val="auto"/>
        </w:rPr>
      </w:pPr>
      <w:r>
        <w:rPr>
          <w:rFonts w:ascii="Arial" w:cs="Arial" w:eastAsia="Arial" w:hAnsi="Arial"/>
          <w:sz w:val="14"/>
          <w:szCs w:val="14"/>
          <w:color w:val="auto"/>
        </w:rPr>
        <w:t>November 2007; when on-stream, production throughput is forecasted to be 4.3 million tonnes per annum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-375920</wp:posOffset>
            </wp:positionV>
            <wp:extent cx="282575" cy="78066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2575" cy="7806690"/>
                    </a:xfrm>
                    <a:prstGeom prst="rect">
                      <a:avLst/>
                    </a:prstGeom>
                    <a:noFill/>
                  </pic:spPr>
                </pic:pic>
              </a:graphicData>
            </a:graphic>
          </wp:anchor>
        </w:drawing>
      </w:r>
    </w:p>
    <w:p>
      <w:pPr>
        <w:spacing w:after="0" w:line="154"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Shell has a 25% interest in the Gorgon joint venture that is considering development of an LNG plant on Barrow Island off Western Australia, to be supplied with natural gas from the offshore Gorgon and Jansz fields.</w:t>
      </w:r>
    </w:p>
    <w:p>
      <w:pPr>
        <w:spacing w:after="0" w:line="185" w:lineRule="exact"/>
        <w:rPr>
          <w:sz w:val="20"/>
          <w:szCs w:val="20"/>
          <w:color w:val="auto"/>
        </w:rPr>
      </w:pPr>
    </w:p>
    <w:p>
      <w:pPr>
        <w:ind w:right="40"/>
        <w:spacing w:after="0" w:line="267" w:lineRule="auto"/>
        <w:rPr>
          <w:sz w:val="20"/>
          <w:szCs w:val="20"/>
          <w:color w:val="auto"/>
        </w:rPr>
      </w:pPr>
      <w:r>
        <w:rPr>
          <w:rFonts w:ascii="Arial" w:cs="Arial" w:eastAsia="Arial" w:hAnsi="Arial"/>
          <w:sz w:val="14"/>
          <w:szCs w:val="14"/>
          <w:color w:val="auto"/>
        </w:rPr>
        <w:t>Shell is also involved in several other exploration licences in the Browse and Carnarvon Basin and in the Timor Sea, which include opportunities for LNG export. In July 2007, the Prelude gas discovery in Shell’s wholly-owned WA-371P permit in the Browse Basin was announced.</w:t>
      </w:r>
    </w:p>
    <w:p>
      <w:pPr>
        <w:spacing w:after="0" w:line="185" w:lineRule="exact"/>
        <w:rPr>
          <w:sz w:val="20"/>
          <w:szCs w:val="20"/>
          <w:color w:val="auto"/>
        </w:rPr>
      </w:pPr>
    </w:p>
    <w:p>
      <w:pPr>
        <w:ind w:right="380"/>
        <w:spacing w:after="0" w:line="311" w:lineRule="auto"/>
        <w:rPr>
          <w:sz w:val="20"/>
          <w:szCs w:val="20"/>
          <w:color w:val="auto"/>
        </w:rPr>
      </w:pPr>
      <w:r>
        <w:rPr>
          <w:rFonts w:ascii="Arial" w:cs="Arial" w:eastAsia="Arial" w:hAnsi="Arial"/>
          <w:sz w:val="12"/>
          <w:szCs w:val="12"/>
          <w:b w:val="1"/>
          <w:bCs w:val="1"/>
          <w:color w:val="auto"/>
        </w:rPr>
        <w:t xml:space="preserve">Brunei </w:t>
      </w:r>
      <w:r>
        <w:rPr>
          <w:rFonts w:ascii="Arial" w:cs="Arial" w:eastAsia="Arial" w:hAnsi="Arial"/>
          <w:sz w:val="12"/>
          <w:szCs w:val="12"/>
          <w:color w:val="auto"/>
        </w:rPr>
        <w:t>Shell has a 25% interest in Brunei LNG Sendirian Berhad. This company</w:t>
      </w:r>
      <w:r>
        <w:rPr>
          <w:rFonts w:ascii="Arial" w:cs="Arial" w:eastAsia="Arial" w:hAnsi="Arial"/>
          <w:sz w:val="12"/>
          <w:szCs w:val="12"/>
          <w:b w:val="1"/>
          <w:bCs w:val="1"/>
          <w:color w:val="auto"/>
        </w:rPr>
        <w:t xml:space="preserve"> </w:t>
      </w:r>
      <w:r>
        <w:rPr>
          <w:rFonts w:ascii="Arial" w:cs="Arial" w:eastAsia="Arial" w:hAnsi="Arial"/>
          <w:sz w:val="12"/>
          <w:szCs w:val="12"/>
          <w:color w:val="auto"/>
        </w:rPr>
        <w:t>liquefies and sells gas to customers in Japan and Korea. Current LNG capacity is</w:t>
      </w:r>
    </w:p>
    <w:p>
      <w:pPr>
        <w:ind w:right="60"/>
        <w:spacing w:after="0" w:line="264" w:lineRule="auto"/>
        <w:rPr>
          <w:sz w:val="20"/>
          <w:szCs w:val="20"/>
          <w:color w:val="auto"/>
        </w:rPr>
      </w:pPr>
      <w:r>
        <w:rPr>
          <w:rFonts w:ascii="Arial" w:cs="Arial" w:eastAsia="Arial" w:hAnsi="Arial"/>
          <w:sz w:val="14"/>
          <w:szCs w:val="14"/>
          <w:color w:val="auto"/>
        </w:rPr>
        <w:t>7.2 million tonnes per annum (100%). The LNG continues to be delivered by a fleet of seven LNG vessels owned by Brunei Shell Tankers Sendirian Berhad (Shell interest 25%), and an additional LNG vessel owned by Brunei Gas Carriers Sendirian Berhad (Shell interest 10%).</w:t>
      </w:r>
    </w:p>
    <w:p>
      <w:pPr>
        <w:spacing w:after="0" w:line="186" w:lineRule="exact"/>
        <w:rPr>
          <w:sz w:val="20"/>
          <w:szCs w:val="20"/>
          <w:color w:val="auto"/>
        </w:rPr>
      </w:pPr>
    </w:p>
    <w:p>
      <w:pPr>
        <w:ind w:right="160"/>
        <w:spacing w:after="0" w:line="269" w:lineRule="auto"/>
        <w:rPr>
          <w:sz w:val="20"/>
          <w:szCs w:val="20"/>
          <w:color w:val="auto"/>
        </w:rPr>
      </w:pPr>
      <w:r>
        <w:rPr>
          <w:rFonts w:ascii="Arial" w:cs="Arial" w:eastAsia="Arial" w:hAnsi="Arial"/>
          <w:sz w:val="14"/>
          <w:szCs w:val="14"/>
          <w:b w:val="1"/>
          <w:bCs w:val="1"/>
          <w:color w:val="auto"/>
        </w:rPr>
        <w:t xml:space="preserve">China </w:t>
      </w:r>
      <w:r>
        <w:rPr>
          <w:rFonts w:ascii="Arial" w:cs="Arial" w:eastAsia="Arial" w:hAnsi="Arial"/>
          <w:sz w:val="14"/>
          <w:szCs w:val="14"/>
          <w:color w:val="auto"/>
        </w:rPr>
        <w:t>The 50:50 joint venture with China Petroleum and Chemical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(Sinopec) at Yueyang, which represents Shell’s first investment in a coal gasification plant, began commercial operations in May 2007. The plant supplies synthesis gas to Sinopec downstream business units.</w:t>
      </w:r>
    </w:p>
    <w:p>
      <w:pPr>
        <w:spacing w:after="0" w:line="188"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An additional coal gasification licence was sold in October 2007, bringing the total number of Shell licences sold in China to 16. There are now five projects in China, which have started up in 2007 (including the Shell Yueyang joint venture plant) using Shell coal gasification technology.</w:t>
      </w:r>
    </w:p>
    <w:p>
      <w:pPr>
        <w:spacing w:after="0" w:line="189" w:lineRule="exact"/>
        <w:rPr>
          <w:sz w:val="20"/>
          <w:szCs w:val="20"/>
          <w:color w:val="auto"/>
        </w:rPr>
      </w:pPr>
    </w:p>
    <w:p>
      <w:pPr>
        <w:ind w:right="20"/>
        <w:spacing w:after="0" w:line="302" w:lineRule="auto"/>
        <w:rPr>
          <w:sz w:val="20"/>
          <w:szCs w:val="20"/>
          <w:color w:val="auto"/>
        </w:rPr>
      </w:pPr>
      <w:r>
        <w:rPr>
          <w:rFonts w:ascii="Arial" w:cs="Arial" w:eastAsia="Arial" w:hAnsi="Arial"/>
          <w:sz w:val="13"/>
          <w:szCs w:val="13"/>
          <w:color w:val="auto"/>
        </w:rPr>
        <w:t>We participate in Hangzhou Natural Gas Company Limited (Shell interest 39%), a joint venture with the Hangzhou Gas Group and Hong Kong China Gas, which supplies natural gas to industrial and commercial customers in Hangzhou, China.</w:t>
      </w:r>
    </w:p>
    <w:p>
      <w:pPr>
        <w:spacing w:after="0" w:line="164"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b w:val="1"/>
          <w:bCs w:val="1"/>
          <w:color w:val="auto"/>
        </w:rPr>
        <w:t xml:space="preserve">India </w:t>
      </w:r>
      <w:r>
        <w:rPr>
          <w:rFonts w:ascii="Arial" w:cs="Arial" w:eastAsia="Arial" w:hAnsi="Arial"/>
          <w:sz w:val="14"/>
          <w:szCs w:val="14"/>
          <w:color w:val="auto"/>
        </w:rPr>
        <w:t>Shell holds a 74% interest in three legal entities that own assets at Hazira,</w:t>
      </w:r>
      <w:r>
        <w:rPr>
          <w:rFonts w:ascii="Arial" w:cs="Arial" w:eastAsia="Arial" w:hAnsi="Arial"/>
          <w:sz w:val="14"/>
          <w:szCs w:val="14"/>
          <w:b w:val="1"/>
          <w:bCs w:val="1"/>
          <w:color w:val="auto"/>
        </w:rPr>
        <w:t xml:space="preserve"> </w:t>
      </w:r>
      <w:r>
        <w:rPr>
          <w:rFonts w:ascii="Arial" w:cs="Arial" w:eastAsia="Arial" w:hAnsi="Arial"/>
          <w:sz w:val="14"/>
          <w:szCs w:val="14"/>
          <w:color w:val="auto"/>
        </w:rPr>
        <w:t>located in the state of Gujarat, covering the LNG regasification and storage terminal, port facilities, and marketing activities. The terminal facilities, commissioned in 2005, are being used to import LNG and sell regasified LNG to customers in Gujarat and northwest India.</w:t>
      </w:r>
    </w:p>
    <w:p>
      <w:pPr>
        <w:spacing w:after="0" w:line="191" w:lineRule="exact"/>
        <w:rPr>
          <w:sz w:val="20"/>
          <w:szCs w:val="20"/>
          <w:color w:val="auto"/>
        </w:rPr>
      </w:pPr>
    </w:p>
    <w:p>
      <w:pPr>
        <w:ind w:right="400"/>
        <w:spacing w:after="0" w:line="287" w:lineRule="auto"/>
        <w:rPr>
          <w:sz w:val="20"/>
          <w:szCs w:val="20"/>
          <w:color w:val="auto"/>
        </w:rPr>
      </w:pPr>
      <w:r>
        <w:rPr>
          <w:rFonts w:ascii="Arial" w:cs="Arial" w:eastAsia="Arial" w:hAnsi="Arial"/>
          <w:sz w:val="14"/>
          <w:szCs w:val="14"/>
          <w:color w:val="auto"/>
        </w:rPr>
        <w:t>In November 2007, Shell completed the sale of its rural solar business in India to Environ Energy Global.</w:t>
      </w:r>
    </w:p>
    <w:p>
      <w:pPr>
        <w:spacing w:after="0" w:line="170"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b w:val="1"/>
          <w:bCs w:val="1"/>
          <w:color w:val="auto"/>
        </w:rPr>
        <w:t xml:space="preserve">Malaysia </w:t>
      </w:r>
      <w:r>
        <w:rPr>
          <w:rFonts w:ascii="Arial" w:cs="Arial" w:eastAsia="Arial" w:hAnsi="Arial"/>
          <w:sz w:val="14"/>
          <w:szCs w:val="14"/>
          <w:color w:val="auto"/>
        </w:rPr>
        <w:t>Shell holds a 15% interest in each of the Malaysia LNG Dua Sendirian</w:t>
      </w:r>
      <w:r>
        <w:rPr>
          <w:rFonts w:ascii="Arial" w:cs="Arial" w:eastAsia="Arial" w:hAnsi="Arial"/>
          <w:sz w:val="14"/>
          <w:szCs w:val="14"/>
          <w:b w:val="1"/>
          <w:bCs w:val="1"/>
          <w:color w:val="auto"/>
        </w:rPr>
        <w:t xml:space="preserve"> </w:t>
      </w:r>
      <w:r>
        <w:rPr>
          <w:rFonts w:ascii="Arial" w:cs="Arial" w:eastAsia="Arial" w:hAnsi="Arial"/>
          <w:sz w:val="14"/>
          <w:szCs w:val="14"/>
          <w:color w:val="auto"/>
        </w:rPr>
        <w:t>Berhad and Malaysia LNG Tiga Sendirian Berhad projects. Current total LNG capacity is 14.6 million tonnes per annum (100%), and the Dua plant is currently undergoing a minor expansion. Our interests in the Dua and Tiga plants are due to expire in 2015 and 2023, respectively.</w:t>
      </w:r>
    </w:p>
    <w:p>
      <w:pPr>
        <w:spacing w:after="0" w:line="191" w:lineRule="exact"/>
        <w:rPr>
          <w:sz w:val="20"/>
          <w:szCs w:val="20"/>
          <w:color w:val="auto"/>
        </w:rPr>
      </w:pPr>
    </w:p>
    <w:p>
      <w:pPr>
        <w:ind w:right="40"/>
        <w:spacing w:after="0" w:line="319" w:lineRule="auto"/>
        <w:rPr>
          <w:sz w:val="20"/>
          <w:szCs w:val="20"/>
          <w:color w:val="auto"/>
        </w:rPr>
      </w:pPr>
      <w:r>
        <w:rPr>
          <w:rFonts w:ascii="Arial" w:cs="Arial" w:eastAsia="Arial" w:hAnsi="Arial"/>
          <w:sz w:val="12"/>
          <w:szCs w:val="12"/>
          <w:color w:val="auto"/>
        </w:rPr>
        <w:t>Located adjacent to the LNG facilities is a GTL plant, operated by Shell MDS (Malaysia) Sendirian Berhad (Shell interest 72%). This 14,700 barrels per day capacity plant converts some three million cubic metres per day of natural gas into high-quality middle distillates and other speciality products using Shell-developed technology. It supplies a wide range of liquid and wax products to markets around the world.</w:t>
      </w:r>
    </w:p>
    <w:p>
      <w:pPr>
        <w:spacing w:after="0" w:line="200" w:lineRule="exact"/>
        <w:rPr>
          <w:sz w:val="20"/>
          <w:szCs w:val="20"/>
          <w:color w:val="auto"/>
        </w:rPr>
      </w:pPr>
    </w:p>
    <w:p>
      <w:pPr>
        <w:spacing w:after="0" w:line="26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1706245</wp:posOffset>
            </wp:positionV>
            <wp:extent cx="725297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GAS &amp; POWER</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USA AND CANADA</w:t>
      </w:r>
    </w:p>
    <w:p>
      <w:pPr>
        <w:spacing w:after="0" w:line="19" w:lineRule="exact"/>
        <w:rPr>
          <w:sz w:val="20"/>
          <w:szCs w:val="20"/>
          <w:color w:val="auto"/>
        </w:rPr>
      </w:pPr>
    </w:p>
    <w:p>
      <w:pPr>
        <w:ind w:right="20"/>
        <w:spacing w:after="0" w:line="288" w:lineRule="auto"/>
        <w:rPr>
          <w:sz w:val="20"/>
          <w:szCs w:val="20"/>
          <w:color w:val="auto"/>
        </w:rPr>
      </w:pPr>
      <w:r>
        <w:rPr>
          <w:rFonts w:ascii="Arial" w:cs="Arial" w:eastAsia="Arial" w:hAnsi="Arial"/>
          <w:sz w:val="13"/>
          <w:szCs w:val="13"/>
          <w:color w:val="auto"/>
        </w:rPr>
        <w:t>During 2007, the Gas &amp; Power business portfolio in North America included a holding of capacity rights in US LNG import terminals; natural gas and power marketing, trading and storage; long-term gas transportation contracts; long-term power tolling contracts and energy management services and interests in wind energy projects.</w:t>
      </w:r>
    </w:p>
    <w:p>
      <w:pPr>
        <w:spacing w:after="0" w:line="176" w:lineRule="exact"/>
        <w:rPr>
          <w:sz w:val="20"/>
          <w:szCs w:val="20"/>
          <w:color w:val="auto"/>
        </w:rPr>
      </w:pPr>
    </w:p>
    <w:p>
      <w:pPr>
        <w:ind w:right="40"/>
        <w:spacing w:after="0" w:line="287" w:lineRule="auto"/>
        <w:rPr>
          <w:sz w:val="20"/>
          <w:szCs w:val="20"/>
          <w:color w:val="auto"/>
        </w:rPr>
      </w:pPr>
      <w:r>
        <w:rPr>
          <w:rFonts w:ascii="Arial" w:cs="Arial" w:eastAsia="Arial" w:hAnsi="Arial"/>
          <w:sz w:val="13"/>
          <w:szCs w:val="13"/>
          <w:color w:val="auto"/>
        </w:rPr>
        <w:t>The scope of the business continues to increase, encompassing existing LNG import capacity rights at the Cove Point and Elba Island regasification terminals as well as the continued evaluation of various options to expand LNG import capabilities. During the year Shell entered into an agreement with the owner of Elba Island regasification terminal for 45% of the capacity rights to a terminal expansion and pipeline offtake linking the terminal with an existing main gas pipeline.</w:t>
      </w:r>
    </w:p>
    <w:p>
      <w:pPr>
        <w:spacing w:after="0" w:line="179" w:lineRule="exact"/>
        <w:rPr>
          <w:sz w:val="20"/>
          <w:szCs w:val="20"/>
          <w:color w:val="auto"/>
        </w:rPr>
      </w:pPr>
    </w:p>
    <w:p>
      <w:pPr>
        <w:ind w:right="180"/>
        <w:spacing w:after="0" w:line="290" w:lineRule="auto"/>
        <w:rPr>
          <w:sz w:val="20"/>
          <w:szCs w:val="20"/>
          <w:color w:val="auto"/>
        </w:rPr>
      </w:pPr>
      <w:r>
        <w:rPr>
          <w:rFonts w:ascii="Arial" w:cs="Arial" w:eastAsia="Arial" w:hAnsi="Arial"/>
          <w:sz w:val="13"/>
          <w:szCs w:val="13"/>
          <w:color w:val="auto"/>
        </w:rPr>
        <w:t>Shell Energy North America (USA), L.P. (formerly Coral Energy Holding L.P.) and certain of its subsidiaries (all 100% Shell subsidiaries) acquired substantially all the operating assets of Avista Energy Inc, an energy marketing and trading subsidiary of Avista Corporation. The acquisition enhances Shell’s gas and power marketing presence in the Pacific Northwest and Western Canada.</w:t>
      </w:r>
    </w:p>
    <w:p>
      <w:pPr>
        <w:spacing w:after="0" w:line="176" w:lineRule="exact"/>
        <w:rPr>
          <w:sz w:val="20"/>
          <w:szCs w:val="20"/>
          <w:color w:val="auto"/>
        </w:rPr>
      </w:pPr>
    </w:p>
    <w:p>
      <w:pPr>
        <w:ind w:right="460"/>
        <w:spacing w:after="0" w:line="287" w:lineRule="auto"/>
        <w:rPr>
          <w:sz w:val="20"/>
          <w:szCs w:val="20"/>
          <w:color w:val="auto"/>
        </w:rPr>
      </w:pPr>
      <w:r>
        <w:rPr>
          <w:rFonts w:ascii="Arial" w:cs="Arial" w:eastAsia="Arial" w:hAnsi="Arial"/>
          <w:sz w:val="14"/>
          <w:szCs w:val="14"/>
          <w:color w:val="auto"/>
        </w:rPr>
        <w:t>During 2007, Shell completed the sale of its investments in Enterprise Products Partners LP.</w:t>
      </w:r>
    </w:p>
    <w:p>
      <w:pPr>
        <w:spacing w:after="0" w:line="174"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In September 2007, Shell licensed its coal gasification technology to Baard Energy LLC for the coal gasification portion of Baard’s proposed coal-to-liquid fuel (CTL) project located in Columbiana County, Ohio. This was the first Shell coal gasification licence sold in North America.</w:t>
      </w:r>
    </w:p>
    <w:p>
      <w:pPr>
        <w:spacing w:after="0" w:line="189" w:lineRule="exact"/>
        <w:rPr>
          <w:sz w:val="20"/>
          <w:szCs w:val="20"/>
          <w:color w:val="auto"/>
        </w:rPr>
      </w:pPr>
    </w:p>
    <w:p>
      <w:pPr>
        <w:spacing w:after="0" w:line="294" w:lineRule="auto"/>
        <w:rPr>
          <w:sz w:val="20"/>
          <w:szCs w:val="20"/>
          <w:color w:val="auto"/>
        </w:rPr>
      </w:pPr>
      <w:r>
        <w:rPr>
          <w:rFonts w:ascii="Arial" w:cs="Arial" w:eastAsia="Arial" w:hAnsi="Arial"/>
          <w:sz w:val="13"/>
          <w:szCs w:val="13"/>
          <w:color w:val="auto"/>
        </w:rPr>
        <w:t>The wind energy business in the USA continues to grow. In early 2007, construction on the 164 MW Mount Storm wind project in West Virginia (Shell interest 50%) was initiated with completion expected in 2008. In addition, an investment decision was made late 2007 to begin the construction of a 100 MW expansion of Mount Storm.</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WESTERN HEMISPHERE</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4"/>
          <w:szCs w:val="14"/>
          <w:b w:val="1"/>
          <w:bCs w:val="1"/>
          <w:color w:val="auto"/>
        </w:rPr>
        <w:t xml:space="preserve">Bolivia </w:t>
      </w:r>
      <w:r>
        <w:rPr>
          <w:rFonts w:ascii="Arial" w:cs="Arial" w:eastAsia="Arial" w:hAnsi="Arial"/>
          <w:sz w:val="14"/>
          <w:szCs w:val="14"/>
          <w:color w:val="auto"/>
        </w:rPr>
        <w:t>Shell has a 25% interest in Transredes Transporte De Hidrocarburos S.A.</w:t>
      </w:r>
      <w:r>
        <w:rPr>
          <w:rFonts w:ascii="Arial" w:cs="Arial" w:eastAsia="Arial" w:hAnsi="Arial"/>
          <w:sz w:val="14"/>
          <w:szCs w:val="14"/>
          <w:b w:val="1"/>
          <w:bCs w:val="1"/>
          <w:color w:val="auto"/>
        </w:rPr>
        <w:t xml:space="preserve"> </w:t>
      </w:r>
      <w:r>
        <w:rPr>
          <w:rFonts w:ascii="Arial" w:cs="Arial" w:eastAsia="Arial" w:hAnsi="Arial"/>
          <w:sz w:val="14"/>
          <w:szCs w:val="14"/>
          <w:color w:val="auto"/>
        </w:rPr>
        <w:t>(Transredes), an oil and gas pipeline company that owns over 3,500 miles of pipeline network. Shell also buys and exports natural gas to Brazil through a pipeline owned by Gas Transboliviano S.A. (combined Shell interests 30%), and interconnected to Transredes.</w:t>
      </w:r>
    </w:p>
    <w:p>
      <w:pPr>
        <w:spacing w:after="0" w:line="195" w:lineRule="exact"/>
        <w:rPr>
          <w:sz w:val="20"/>
          <w:szCs w:val="20"/>
          <w:color w:val="auto"/>
        </w:rPr>
      </w:pPr>
    </w:p>
    <w:p>
      <w:pPr>
        <w:ind w:right="20"/>
        <w:spacing w:after="0" w:line="267" w:lineRule="auto"/>
        <w:rPr>
          <w:sz w:val="20"/>
          <w:szCs w:val="20"/>
          <w:color w:val="auto"/>
        </w:rPr>
      </w:pPr>
      <w:r>
        <w:rPr>
          <w:rFonts w:ascii="Arial" w:cs="Arial" w:eastAsia="Arial" w:hAnsi="Arial"/>
          <w:sz w:val="14"/>
          <w:szCs w:val="14"/>
          <w:color w:val="auto"/>
        </w:rPr>
        <w:t>On May 1, 2006, the Bolivian Government issued a nationalisation decree for hydrocarbon natural resources and related processing and transportation elements. Shell continues discussions with the Government on this decree and its impact on Shell investments in the country.</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4"/>
          <w:szCs w:val="14"/>
          <w:b w:val="1"/>
          <w:bCs w:val="1"/>
          <w:color w:val="auto"/>
        </w:rPr>
        <w:t xml:space="preserve">Brazil </w:t>
      </w:r>
      <w:r>
        <w:rPr>
          <w:rFonts w:ascii="Arial" w:cs="Arial" w:eastAsia="Arial" w:hAnsi="Arial"/>
          <w:sz w:val="14"/>
          <w:szCs w:val="14"/>
          <w:color w:val="auto"/>
        </w:rPr>
        <w:t>Companhia de Gas de São Paulo (Comgás) is a Brazilian natural gas</w:t>
      </w:r>
      <w:r>
        <w:rPr>
          <w:rFonts w:ascii="Arial" w:cs="Arial" w:eastAsia="Arial" w:hAnsi="Arial"/>
          <w:sz w:val="14"/>
          <w:szCs w:val="14"/>
          <w:b w:val="1"/>
          <w:bCs w:val="1"/>
          <w:color w:val="auto"/>
        </w:rPr>
        <w:t xml:space="preserve"> </w:t>
      </w:r>
      <w:r>
        <w:rPr>
          <w:rFonts w:ascii="Arial" w:cs="Arial" w:eastAsia="Arial" w:hAnsi="Arial"/>
          <w:sz w:val="14"/>
          <w:szCs w:val="14"/>
          <w:color w:val="auto"/>
        </w:rPr>
        <w:t>distribution company in the state of São Paulo. Shell holds an 18% interest through a joint venture.</w:t>
      </w:r>
    </w:p>
    <w:p>
      <w:pPr>
        <w:spacing w:after="0" w:line="183" w:lineRule="exact"/>
        <w:rPr>
          <w:sz w:val="20"/>
          <w:szCs w:val="20"/>
          <w:color w:val="auto"/>
        </w:rPr>
      </w:pPr>
    </w:p>
    <w:p>
      <w:pPr>
        <w:ind w:right="320"/>
        <w:spacing w:after="0" w:line="267" w:lineRule="auto"/>
        <w:rPr>
          <w:sz w:val="20"/>
          <w:szCs w:val="20"/>
          <w:color w:val="auto"/>
        </w:rPr>
      </w:pPr>
      <w:r>
        <w:rPr>
          <w:rFonts w:ascii="Arial" w:cs="Arial" w:eastAsia="Arial" w:hAnsi="Arial"/>
          <w:sz w:val="14"/>
          <w:szCs w:val="14"/>
          <w:color w:val="auto"/>
        </w:rPr>
        <w:t>Transportadora Brasileira Bolivia Brasil S.A. (Br), (combined Shell interests 7%), connected to Gas Transboliviano S.A. (Bol), constitutes the Brazilian side of the Bolivia-Brazil pipeline with around 1,400 miles of pipeline network covering five Brazilian states.</w:t>
      </w:r>
    </w:p>
    <w:p>
      <w:pPr>
        <w:spacing w:after="0" w:line="200" w:lineRule="exact"/>
        <w:rPr>
          <w:sz w:val="20"/>
          <w:szCs w:val="20"/>
          <w:color w:val="auto"/>
        </w:rPr>
      </w:pPr>
    </w:p>
    <w:p>
      <w:pPr>
        <w:spacing w:after="0" w:line="327" w:lineRule="exact"/>
        <w:rPr>
          <w:sz w:val="20"/>
          <w:szCs w:val="20"/>
          <w:color w:val="auto"/>
        </w:rPr>
      </w:pPr>
    </w:p>
    <w:p>
      <w:pPr>
        <w:ind w:left="280" w:hanging="273"/>
        <w:spacing w:after="0"/>
        <w:tabs>
          <w:tab w:leader="none" w:pos="280" w:val="left"/>
        </w:tabs>
        <w:numPr>
          <w:ilvl w:val="0"/>
          <w:numId w:val="4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0"/>
        <w:spacing w:after="0" w:line="272" w:lineRule="auto"/>
        <w:rPr>
          <w:sz w:val="20"/>
          <w:szCs w:val="20"/>
          <w:color w:val="auto"/>
        </w:rPr>
      </w:pPr>
      <w:r>
        <w:rPr>
          <w:rFonts w:ascii="Arial" w:cs="Arial" w:eastAsia="Arial" w:hAnsi="Arial"/>
          <w:sz w:val="14"/>
          <w:szCs w:val="14"/>
          <w:color w:val="auto"/>
        </w:rPr>
        <w:t>In the western part of Brazil, Shell has a 50% interest across four companies related to an integrated pipeline and 480 MW power station project in Cuiabá. The pipeline also crosses through eastern Bolivia.</w:t>
      </w:r>
    </w:p>
    <w:p>
      <w:pPr>
        <w:spacing w:after="0" w:line="181"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b w:val="1"/>
          <w:bCs w:val="1"/>
          <w:color w:val="auto"/>
        </w:rPr>
        <w:t xml:space="preserve">Mexico </w:t>
      </w:r>
      <w:r>
        <w:rPr>
          <w:rFonts w:ascii="Arial" w:cs="Arial" w:eastAsia="Arial" w:hAnsi="Arial"/>
          <w:sz w:val="13"/>
          <w:szCs w:val="13"/>
          <w:color w:val="auto"/>
        </w:rPr>
        <w:t>Shell has a 50% interest in an LNG regasification terminal at Altamira,</w:t>
      </w:r>
      <w:r>
        <w:rPr>
          <w:rFonts w:ascii="Arial" w:cs="Arial" w:eastAsia="Arial" w:hAnsi="Arial"/>
          <w:sz w:val="13"/>
          <w:szCs w:val="13"/>
          <w:b w:val="1"/>
          <w:bCs w:val="1"/>
          <w:color w:val="auto"/>
        </w:rPr>
        <w:t xml:space="preserve"> </w:t>
      </w:r>
      <w:r>
        <w:rPr>
          <w:rFonts w:ascii="Arial" w:cs="Arial" w:eastAsia="Arial" w:hAnsi="Arial"/>
          <w:sz w:val="13"/>
          <w:szCs w:val="13"/>
          <w:color w:val="auto"/>
        </w:rPr>
        <w:t>Tamaulipas, on Mexico’s Gulf coast. The facility started commercial operations in September 2006, and has a capacity of 4.4 million tonnes per annum. A separate marketing company (Shell interest 75%) holds the capacity rights in the terminal and will supply up to the equivalent of 3.9 million tonnes per annum natural gas for 15 years to the state power company, CFE. Shell also holds capacity rights</w:t>
      </w:r>
    </w:p>
    <w:p>
      <w:pPr>
        <w:ind w:right="480"/>
        <w:spacing w:after="0" w:line="276" w:lineRule="auto"/>
        <w:rPr>
          <w:sz w:val="20"/>
          <w:szCs w:val="20"/>
          <w:color w:val="auto"/>
        </w:rPr>
      </w:pPr>
      <w:r>
        <w:rPr>
          <w:rFonts w:ascii="Arial" w:cs="Arial" w:eastAsia="Arial" w:hAnsi="Arial"/>
          <w:sz w:val="14"/>
          <w:szCs w:val="14"/>
          <w:color w:val="auto"/>
        </w:rPr>
        <w:t>(3.75 million tonnes per annum) to the Costa Azul LNG import terminal under construction in Baja California on Mexico’s west coast.</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LNG SUPPLY AND SHIPPING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31635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Three operations, Shell Western LNG (SWLNG), Shell Eastern LNG (SELNG) and Shell North American LNG (SNALNG) (all 100% Shell subsidiaries), aim to secure LNG supplies for downstream natural gas markets. SWLNG sources LNG in the West and supplies our outlets in the Atlantic Basin (currently Spain, Mexico and through SNALNG the USA); SNALNG is the exclusive buyer for the US terminals. SELNG sources LNG in the East, and supplies our terminal in India and other potential outlets in the Pacific region, including China and the west coast of Mexico. These operations primarily use ships (currently a fleet of 12) which have been acquired, leased or chartered by Shell Tankers Singapore Limited, Shell Tankers (UK) Ltd, Shell Bermuda (Overseas) Ltd., and SWLNG.</w:t>
      </w:r>
    </w:p>
    <w:p>
      <w:pPr>
        <w:spacing w:after="0" w:line="194"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Opportunities to optimise the composition of the LNG shipping fleet and ensure continued access to efficient and, quality shipping tonnage are reviewed on a periodic basis. By year-end, one vessel was being held for sale as a result of the latest fleet review. The sale was completed in early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3521710</wp:posOffset>
            </wp:positionV>
            <wp:extent cx="725297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4960"/>
          </w:cols>
          <w:pgMar w:left="240" w:top="415" w:right="1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471805</wp:posOffset>
            </wp:positionV>
            <wp:extent cx="3332480" cy="6123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32480" cy="6123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rPr>
          <w:sz w:val="20"/>
          <w:szCs w:val="20"/>
          <w:color w:val="auto"/>
        </w:rPr>
      </w:pPr>
      <w:r>
        <w:rPr>
          <w:rFonts w:ascii="Arial" w:cs="Arial" w:eastAsia="Arial" w:hAnsi="Arial"/>
          <w:sz w:val="36"/>
          <w:szCs w:val="36"/>
          <w:color w:val="auto"/>
        </w:rPr>
        <w:t>Oil Sands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HIGHLIGHTS</w:t>
      </w:r>
    </w:p>
    <w:p>
      <w:pPr>
        <w:spacing w:after="0" w:line="78" w:lineRule="exact"/>
        <w:rPr>
          <w:sz w:val="20"/>
          <w:szCs w:val="20"/>
          <w:color w:val="auto"/>
        </w:rPr>
      </w:pPr>
    </w:p>
    <w:p>
      <w:pPr>
        <w:ind w:left="240" w:hanging="100"/>
        <w:spacing w:after="0"/>
        <w:tabs>
          <w:tab w:leader="none" w:pos="2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Segment earnings of $582 million.</w:t>
      </w:r>
    </w:p>
    <w:p>
      <w:pPr>
        <w:spacing w:after="0" w:line="24" w:lineRule="exact"/>
        <w:rPr>
          <w:rFonts w:ascii="Arial" w:cs="Arial" w:eastAsia="Arial" w:hAnsi="Arial"/>
          <w:sz w:val="16"/>
          <w:szCs w:val="16"/>
          <w:b w:val="1"/>
          <w:bCs w:val="1"/>
          <w:color w:val="auto"/>
        </w:rPr>
      </w:pPr>
    </w:p>
    <w:p>
      <w:pPr>
        <w:ind w:left="240" w:right="20" w:hanging="100"/>
        <w:spacing w:after="0" w:line="260" w:lineRule="auto"/>
        <w:tabs>
          <w:tab w:leader="none" w:pos="2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Filed regulatory permits to increase production to 462,000 (Shell share) barrels per day.</w:t>
      </w:r>
    </w:p>
    <w:p>
      <w:pPr>
        <w:ind w:left="240" w:right="340" w:hanging="100"/>
        <w:spacing w:after="0" w:line="260" w:lineRule="auto"/>
        <w:tabs>
          <w:tab w:leader="none" w:pos="2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Filed regulatory permits to increase upgrading capacity to 574,000 (Shell share) barrels per day.</w:t>
      </w:r>
    </w:p>
    <w:p>
      <w:pPr>
        <w:ind w:left="240" w:right="40" w:hanging="100"/>
        <w:spacing w:after="0" w:line="281" w:lineRule="auto"/>
        <w:tabs>
          <w:tab w:leader="none" w:pos="2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Completed integration of Shell Canada’s oil sands activities into Shell’s downstream business.</w:t>
      </w:r>
    </w:p>
    <w:p>
      <w:pPr>
        <w:spacing w:after="0" w:line="115" w:lineRule="exact"/>
        <w:rPr>
          <w:sz w:val="20"/>
          <w:szCs w:val="20"/>
          <w:color w:val="auto"/>
        </w:rPr>
      </w:pPr>
    </w:p>
    <w:tbl>
      <w:tblPr>
        <w:tblLayout w:type="fixed"/>
        <w:tblInd w:w="140" w:type="dxa"/>
        <w:tblCellMar>
          <w:top w:w="0" w:type="dxa"/>
          <w:left w:w="0" w:type="dxa"/>
          <w:bottom w:w="0" w:type="dxa"/>
          <w:right w:w="0" w:type="dxa"/>
        </w:tblCellMar>
      </w:tblPr>
      <w:tr>
        <w:trPr>
          <w:trHeight w:val="152"/>
        </w:trPr>
        <w:tc>
          <w:tcPr>
            <w:tcW w:w="80" w:type="dxa"/>
            <w:vAlign w:val="bottom"/>
            <w:shd w:val="clear" w:color="auto" w:fill="005696"/>
          </w:tcPr>
          <w:p>
            <w:pPr>
              <w:spacing w:after="0"/>
              <w:rPr>
                <w:sz w:val="13"/>
                <w:szCs w:val="13"/>
                <w:color w:val="auto"/>
              </w:rPr>
            </w:pPr>
          </w:p>
        </w:tc>
        <w:tc>
          <w:tcPr>
            <w:tcW w:w="2900" w:type="dxa"/>
            <w:vAlign w:val="bottom"/>
            <w:shd w:val="clear" w:color="auto" w:fill="005696"/>
          </w:tcPr>
          <w:p>
            <w:pPr>
              <w:spacing w:after="0"/>
              <w:rPr>
                <w:sz w:val="20"/>
                <w:szCs w:val="20"/>
                <w:color w:val="auto"/>
              </w:rPr>
            </w:pPr>
            <w:r>
              <w:rPr>
                <w:rFonts w:ascii="Arial" w:cs="Arial" w:eastAsia="Arial" w:hAnsi="Arial"/>
                <w:sz w:val="12"/>
                <w:szCs w:val="12"/>
                <w:b w:val="1"/>
                <w:bCs w:val="1"/>
                <w:color w:val="FFFFFF"/>
              </w:rPr>
              <w:t>EARNINGS[A]</w:t>
            </w:r>
          </w:p>
        </w:tc>
        <w:tc>
          <w:tcPr>
            <w:tcW w:w="260" w:type="dxa"/>
            <w:vAlign w:val="bottom"/>
            <w:tcBorders>
              <w:right w:val="single" w:sz="8" w:color="005696"/>
            </w:tcBorders>
            <w:shd w:val="clear" w:color="auto" w:fill="005696"/>
          </w:tcPr>
          <w:p>
            <w:pPr>
              <w:spacing w:after="0"/>
              <w:rPr>
                <w:sz w:val="13"/>
                <w:szCs w:val="13"/>
                <w:color w:val="auto"/>
              </w:rPr>
            </w:pPr>
          </w:p>
        </w:tc>
        <w:tc>
          <w:tcPr>
            <w:tcW w:w="420" w:type="dxa"/>
            <w:vAlign w:val="bottom"/>
            <w:tcBorders>
              <w:right w:val="single" w:sz="8" w:color="005696"/>
            </w:tcBorders>
            <w:shd w:val="clear" w:color="auto" w:fill="005696"/>
          </w:tcPr>
          <w:p>
            <w:pPr>
              <w:spacing w:after="0"/>
              <w:rPr>
                <w:sz w:val="13"/>
                <w:szCs w:val="13"/>
                <w:color w:val="auto"/>
              </w:rPr>
            </w:pPr>
          </w:p>
        </w:tc>
        <w:tc>
          <w:tcPr>
            <w:tcW w:w="680" w:type="dxa"/>
            <w:vAlign w:val="bottom"/>
            <w:shd w:val="clear" w:color="auto" w:fill="005696"/>
          </w:tcPr>
          <w:p>
            <w:pPr>
              <w:spacing w:after="0"/>
              <w:rPr>
                <w:sz w:val="13"/>
                <w:szCs w:val="13"/>
                <w:color w:val="auto"/>
              </w:rPr>
            </w:pPr>
          </w:p>
        </w:tc>
        <w:tc>
          <w:tcPr>
            <w:tcW w:w="640" w:type="dxa"/>
            <w:vAlign w:val="bottom"/>
            <w:shd w:val="clear" w:color="auto" w:fill="005696"/>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80" w:type="dxa"/>
            <w:vAlign w:val="bottom"/>
            <w:shd w:val="clear" w:color="auto" w:fill="CECAC6"/>
          </w:tcPr>
          <w:p>
            <w:pPr>
              <w:spacing w:after="0"/>
              <w:rPr>
                <w:sz w:val="11"/>
                <w:szCs w:val="11"/>
                <w:color w:val="auto"/>
              </w:rPr>
            </w:pPr>
          </w:p>
        </w:tc>
        <w:tc>
          <w:tcPr>
            <w:tcW w:w="2900" w:type="dxa"/>
            <w:vAlign w:val="bottom"/>
            <w:shd w:val="clear" w:color="auto" w:fill="CECAC6"/>
          </w:tcPr>
          <w:p>
            <w:pPr>
              <w:spacing w:after="0"/>
              <w:rPr>
                <w:sz w:val="11"/>
                <w:szCs w:val="11"/>
                <w:color w:val="auto"/>
              </w:rPr>
            </w:pPr>
          </w:p>
        </w:tc>
        <w:tc>
          <w:tcPr>
            <w:tcW w:w="680" w:type="dxa"/>
            <w:vAlign w:val="bottom"/>
            <w:tcBorders>
              <w:right w:val="single" w:sz="8" w:color="CECAC6"/>
            </w:tcBorders>
            <w:gridSpan w:val="2"/>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6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33"/>
        </w:trPr>
        <w:tc>
          <w:tcPr>
            <w:tcW w:w="80" w:type="dxa"/>
            <w:vAlign w:val="bottom"/>
          </w:tcPr>
          <w:p>
            <w:pPr>
              <w:spacing w:after="0"/>
              <w:rPr>
                <w:sz w:val="11"/>
                <w:szCs w:val="11"/>
                <w:color w:val="auto"/>
              </w:rPr>
            </w:pPr>
          </w:p>
        </w:tc>
        <w:tc>
          <w:tcPr>
            <w:tcW w:w="2900" w:type="dxa"/>
            <w:vAlign w:val="bottom"/>
          </w:tcPr>
          <w:p>
            <w:pPr>
              <w:spacing w:after="0" w:line="128" w:lineRule="exact"/>
              <w:rPr>
                <w:sz w:val="20"/>
                <w:szCs w:val="20"/>
                <w:color w:val="auto"/>
              </w:rPr>
            </w:pPr>
            <w:r>
              <w:rPr>
                <w:rFonts w:ascii="Arial" w:cs="Arial" w:eastAsia="Arial" w:hAnsi="Arial"/>
                <w:sz w:val="12"/>
                <w:szCs w:val="12"/>
                <w:color w:val="auto"/>
              </w:rPr>
              <w:t>Revenue (including intersegment sales)</w:t>
            </w:r>
          </w:p>
        </w:tc>
        <w:tc>
          <w:tcPr>
            <w:tcW w:w="260" w:type="dxa"/>
            <w:vAlign w:val="bottom"/>
            <w:tcBorders>
              <w:right w:val="single" w:sz="8" w:color="E4E3E1"/>
            </w:tcBorders>
          </w:tcPr>
          <w:p>
            <w:pPr>
              <w:spacing w:after="0"/>
              <w:rPr>
                <w:sz w:val="11"/>
                <w:szCs w:val="11"/>
                <w:color w:val="auto"/>
              </w:rPr>
            </w:pPr>
          </w:p>
        </w:tc>
        <w:tc>
          <w:tcPr>
            <w:tcW w:w="420" w:type="dxa"/>
            <w:vAlign w:val="bottom"/>
            <w:tcBorders>
              <w:right w:val="single" w:sz="8" w:color="E4E3E1"/>
            </w:tcBorders>
            <w:shd w:val="clear" w:color="auto" w:fill="E4E3E1"/>
          </w:tcPr>
          <w:p>
            <w:pPr>
              <w:jc w:val="right"/>
              <w:spacing w:after="0" w:line="128" w:lineRule="exact"/>
              <w:rPr>
                <w:sz w:val="20"/>
                <w:szCs w:val="20"/>
                <w:color w:val="auto"/>
              </w:rPr>
            </w:pPr>
            <w:r>
              <w:rPr>
                <w:rFonts w:ascii="Arial" w:cs="Arial" w:eastAsia="Arial" w:hAnsi="Arial"/>
                <w:sz w:val="12"/>
                <w:szCs w:val="12"/>
                <w:color w:val="auto"/>
              </w:rPr>
              <w:t>2,854</w:t>
            </w:r>
          </w:p>
        </w:tc>
        <w:tc>
          <w:tcPr>
            <w:tcW w:w="6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2,499</w:t>
            </w:r>
          </w:p>
        </w:tc>
        <w:tc>
          <w:tcPr>
            <w:tcW w:w="6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2,464</w:t>
            </w:r>
          </w:p>
        </w:tc>
      </w:tr>
      <w:tr>
        <w:trPr>
          <w:trHeight w:val="133"/>
        </w:trPr>
        <w:tc>
          <w:tcPr>
            <w:tcW w:w="80" w:type="dxa"/>
            <w:vAlign w:val="bottom"/>
          </w:tcPr>
          <w:p>
            <w:pPr>
              <w:spacing w:after="0"/>
              <w:rPr>
                <w:sz w:val="11"/>
                <w:szCs w:val="11"/>
                <w:color w:val="auto"/>
              </w:rPr>
            </w:pPr>
          </w:p>
        </w:tc>
        <w:tc>
          <w:tcPr>
            <w:tcW w:w="2900" w:type="dxa"/>
            <w:vAlign w:val="bottom"/>
          </w:tcPr>
          <w:p>
            <w:pPr>
              <w:spacing w:after="0" w:line="133" w:lineRule="exact"/>
              <w:rPr>
                <w:sz w:val="20"/>
                <w:szCs w:val="20"/>
                <w:color w:val="auto"/>
              </w:rPr>
            </w:pPr>
            <w:r>
              <w:rPr>
                <w:rFonts w:ascii="Arial" w:cs="Arial" w:eastAsia="Arial" w:hAnsi="Arial"/>
                <w:sz w:val="12"/>
                <w:szCs w:val="12"/>
                <w:color w:val="auto"/>
              </w:rPr>
              <w:t>Purchases (including change in inventories)</w:t>
            </w:r>
          </w:p>
        </w:tc>
        <w:tc>
          <w:tcPr>
            <w:tcW w:w="260" w:type="dxa"/>
            <w:vAlign w:val="bottom"/>
            <w:tcBorders>
              <w:right w:val="single" w:sz="8" w:color="E4E3E1"/>
            </w:tcBorders>
          </w:tcPr>
          <w:p>
            <w:pPr>
              <w:spacing w:after="0"/>
              <w:rPr>
                <w:sz w:val="11"/>
                <w:szCs w:val="11"/>
                <w:color w:val="auto"/>
              </w:rPr>
            </w:pPr>
          </w:p>
        </w:tc>
        <w:tc>
          <w:tcPr>
            <w:tcW w:w="420" w:type="dxa"/>
            <w:vAlign w:val="bottom"/>
            <w:tcBorders>
              <w:right w:val="single" w:sz="8" w:color="E4E3E1"/>
            </w:tcBorders>
            <w:shd w:val="clear" w:color="auto" w:fill="E4E3E1"/>
          </w:tcPr>
          <w:p>
            <w:pPr>
              <w:jc w:val="right"/>
              <w:spacing w:after="0" w:line="133" w:lineRule="exact"/>
              <w:rPr>
                <w:sz w:val="20"/>
                <w:szCs w:val="20"/>
                <w:color w:val="auto"/>
              </w:rPr>
            </w:pPr>
            <w:r>
              <w:rPr>
                <w:rFonts w:ascii="Arial" w:cs="Arial" w:eastAsia="Arial" w:hAnsi="Arial"/>
                <w:sz w:val="12"/>
                <w:szCs w:val="12"/>
                <w:color w:val="auto"/>
                <w:w w:val="89"/>
                <w:shd w:val="clear" w:color="auto" w:fill="E4E3E1"/>
              </w:rPr>
              <w:t>(1,010)</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(830)</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(623)</w:t>
            </w:r>
          </w:p>
        </w:tc>
      </w:tr>
      <w:tr>
        <w:trPr>
          <w:trHeight w:val="127"/>
        </w:trPr>
        <w:tc>
          <w:tcPr>
            <w:tcW w:w="80" w:type="dxa"/>
            <w:vAlign w:val="bottom"/>
          </w:tcPr>
          <w:p>
            <w:pPr>
              <w:spacing w:after="0"/>
              <w:rPr>
                <w:sz w:val="11"/>
                <w:szCs w:val="11"/>
                <w:color w:val="auto"/>
              </w:rPr>
            </w:pPr>
          </w:p>
        </w:tc>
        <w:tc>
          <w:tcPr>
            <w:tcW w:w="2900" w:type="dxa"/>
            <w:vAlign w:val="bottom"/>
          </w:tcPr>
          <w:p>
            <w:pPr>
              <w:spacing w:after="0" w:line="128" w:lineRule="exact"/>
              <w:rPr>
                <w:sz w:val="20"/>
                <w:szCs w:val="20"/>
                <w:color w:val="auto"/>
              </w:rPr>
            </w:pPr>
            <w:r>
              <w:rPr>
                <w:rFonts w:ascii="Arial" w:cs="Arial" w:eastAsia="Arial" w:hAnsi="Arial"/>
                <w:sz w:val="12"/>
                <w:szCs w:val="12"/>
                <w:color w:val="auto"/>
              </w:rPr>
              <w:t>Depreciation</w:t>
            </w:r>
          </w:p>
        </w:tc>
        <w:tc>
          <w:tcPr>
            <w:tcW w:w="260" w:type="dxa"/>
            <w:vAlign w:val="bottom"/>
            <w:tcBorders>
              <w:right w:val="single" w:sz="8" w:color="E4E3E1"/>
            </w:tcBorders>
          </w:tcPr>
          <w:p>
            <w:pPr>
              <w:spacing w:after="0"/>
              <w:rPr>
                <w:sz w:val="11"/>
                <w:szCs w:val="11"/>
                <w:color w:val="auto"/>
              </w:rPr>
            </w:pPr>
          </w:p>
        </w:tc>
        <w:tc>
          <w:tcPr>
            <w:tcW w:w="420" w:type="dxa"/>
            <w:vAlign w:val="bottom"/>
          </w:tcPr>
          <w:p>
            <w:pPr>
              <w:jc w:val="right"/>
              <w:spacing w:after="0" w:line="128" w:lineRule="exact"/>
              <w:rPr>
                <w:sz w:val="20"/>
                <w:szCs w:val="20"/>
                <w:color w:val="auto"/>
              </w:rPr>
            </w:pPr>
            <w:r>
              <w:rPr>
                <w:rFonts w:ascii="Arial" w:cs="Arial" w:eastAsia="Arial" w:hAnsi="Arial"/>
                <w:sz w:val="12"/>
                <w:szCs w:val="12"/>
                <w:color w:val="auto"/>
              </w:rPr>
              <w:t>(166)</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(172)</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(179)</w:t>
            </w:r>
          </w:p>
        </w:tc>
      </w:tr>
      <w:tr>
        <w:trPr>
          <w:trHeight w:val="133"/>
        </w:trPr>
        <w:tc>
          <w:tcPr>
            <w:tcW w:w="80" w:type="dxa"/>
            <w:vAlign w:val="bottom"/>
          </w:tcPr>
          <w:p>
            <w:pPr>
              <w:spacing w:after="0"/>
              <w:rPr>
                <w:sz w:val="11"/>
                <w:szCs w:val="11"/>
                <w:color w:val="auto"/>
              </w:rPr>
            </w:pPr>
          </w:p>
        </w:tc>
        <w:tc>
          <w:tcPr>
            <w:tcW w:w="2900" w:type="dxa"/>
            <w:vAlign w:val="bottom"/>
          </w:tcPr>
          <w:p>
            <w:pPr>
              <w:spacing w:after="0" w:line="133" w:lineRule="exact"/>
              <w:rPr>
                <w:sz w:val="20"/>
                <w:szCs w:val="20"/>
                <w:color w:val="auto"/>
              </w:rPr>
            </w:pPr>
            <w:r>
              <w:rPr>
                <w:rFonts w:ascii="Arial" w:cs="Arial" w:eastAsia="Arial" w:hAnsi="Arial"/>
                <w:sz w:val="12"/>
                <w:szCs w:val="12"/>
                <w:color w:val="auto"/>
              </w:rPr>
              <w:t>Operating expenses</w:t>
            </w:r>
          </w:p>
        </w:tc>
        <w:tc>
          <w:tcPr>
            <w:tcW w:w="260" w:type="dxa"/>
            <w:vAlign w:val="bottom"/>
            <w:tcBorders>
              <w:right w:val="single" w:sz="8" w:color="E4E3E1"/>
            </w:tcBorders>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(967)</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(722)</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(664)</w:t>
            </w:r>
          </w:p>
        </w:tc>
      </w:tr>
      <w:tr>
        <w:trPr>
          <w:trHeight w:val="133"/>
        </w:trPr>
        <w:tc>
          <w:tcPr>
            <w:tcW w:w="80" w:type="dxa"/>
            <w:vAlign w:val="bottom"/>
          </w:tcPr>
          <w:p>
            <w:pPr>
              <w:spacing w:after="0"/>
              <w:rPr>
                <w:sz w:val="11"/>
                <w:szCs w:val="11"/>
                <w:color w:val="auto"/>
              </w:rPr>
            </w:pPr>
          </w:p>
        </w:tc>
        <w:tc>
          <w:tcPr>
            <w:tcW w:w="2900" w:type="dxa"/>
            <w:vAlign w:val="bottom"/>
          </w:tcPr>
          <w:p>
            <w:pPr>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260" w:type="dxa"/>
            <w:vAlign w:val="bottom"/>
            <w:tcBorders>
              <w:right w:val="single" w:sz="8" w:color="E4E3E1"/>
            </w:tcBorders>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80" w:type="dxa"/>
            <w:vAlign w:val="bottom"/>
          </w:tcPr>
          <w:p>
            <w:pPr>
              <w:spacing w:after="0"/>
              <w:rPr>
                <w:sz w:val="11"/>
                <w:szCs w:val="11"/>
                <w:color w:val="auto"/>
              </w:rPr>
            </w:pPr>
          </w:p>
        </w:tc>
        <w:tc>
          <w:tcPr>
            <w:tcW w:w="2900" w:type="dxa"/>
            <w:vAlign w:val="bottom"/>
          </w:tcPr>
          <w:p>
            <w:pPr>
              <w:spacing w:after="0" w:line="133" w:lineRule="exact"/>
              <w:rPr>
                <w:sz w:val="20"/>
                <w:szCs w:val="20"/>
                <w:color w:val="auto"/>
              </w:rPr>
            </w:pPr>
            <w:r>
              <w:rPr>
                <w:rFonts w:ascii="Arial" w:cs="Arial" w:eastAsia="Arial" w:hAnsi="Arial"/>
                <w:sz w:val="12"/>
                <w:szCs w:val="12"/>
                <w:color w:val="auto"/>
              </w:rPr>
              <w:t>Other income/(expense)</w:t>
            </w:r>
          </w:p>
        </w:tc>
        <w:tc>
          <w:tcPr>
            <w:tcW w:w="260" w:type="dxa"/>
            <w:vAlign w:val="bottom"/>
            <w:tcBorders>
              <w:right w:val="single" w:sz="8" w:color="E4E3E1"/>
            </w:tcBorders>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6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w:t>
            </w:r>
          </w:p>
        </w:tc>
      </w:tr>
      <w:tr>
        <w:trPr>
          <w:trHeight w:val="139"/>
        </w:trPr>
        <w:tc>
          <w:tcPr>
            <w:tcW w:w="80" w:type="dxa"/>
            <w:vAlign w:val="bottom"/>
          </w:tcPr>
          <w:p>
            <w:pPr>
              <w:spacing w:after="0"/>
              <w:rPr>
                <w:sz w:val="12"/>
                <w:szCs w:val="12"/>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260" w:type="dxa"/>
            <w:vAlign w:val="bottom"/>
            <w:tcBorders>
              <w:bottom w:val="single" w:sz="8" w:color="auto"/>
              <w:right w:val="single" w:sz="8" w:color="E4E3E1"/>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(347)</w:t>
            </w:r>
          </w:p>
        </w:tc>
      </w:tr>
      <w:tr>
        <w:trPr>
          <w:trHeight w:val="140"/>
        </w:trPr>
        <w:tc>
          <w:tcPr>
            <w:tcW w:w="80" w:type="dxa"/>
            <w:vAlign w:val="bottom"/>
          </w:tcPr>
          <w:p>
            <w:pPr>
              <w:spacing w:after="0"/>
              <w:rPr>
                <w:sz w:val="12"/>
                <w:szCs w:val="12"/>
                <w:color w:val="auto"/>
              </w:rPr>
            </w:pPr>
          </w:p>
        </w:tc>
        <w:tc>
          <w:tcPr>
            <w:tcW w:w="2900" w:type="dxa"/>
            <w:vAlign w:val="bottom"/>
          </w:tcPr>
          <w:p>
            <w:pPr>
              <w:spacing w:after="0"/>
              <w:rPr>
                <w:sz w:val="20"/>
                <w:szCs w:val="20"/>
                <w:color w:val="auto"/>
              </w:rPr>
            </w:pPr>
            <w:r>
              <w:rPr>
                <w:rFonts w:ascii="Arial" w:cs="Arial" w:eastAsia="Arial" w:hAnsi="Arial"/>
                <w:sz w:val="12"/>
                <w:szCs w:val="12"/>
                <w:color w:val="auto"/>
              </w:rPr>
              <w:t>Segment earnings from continuing operations</w:t>
            </w:r>
          </w:p>
        </w:tc>
        <w:tc>
          <w:tcPr>
            <w:tcW w:w="260" w:type="dxa"/>
            <w:vAlign w:val="bottom"/>
            <w:tcBorders>
              <w:right w:val="single" w:sz="8" w:color="E4E3E1"/>
            </w:tcBorders>
          </w:tcPr>
          <w:p>
            <w:pPr>
              <w:spacing w:after="0"/>
              <w:rPr>
                <w:sz w:val="12"/>
                <w:szCs w:val="12"/>
                <w:color w:val="auto"/>
              </w:rPr>
            </w:pPr>
          </w:p>
        </w:tc>
        <w:tc>
          <w:tcPr>
            <w:tcW w:w="420" w:type="dxa"/>
            <w:vAlign w:val="bottom"/>
            <w:tcBorders>
              <w:right w:val="single" w:sz="8" w:color="E4E3E1"/>
            </w:tcBorders>
            <w:shd w:val="clear" w:color="auto" w:fill="E4E3E1"/>
          </w:tcPr>
          <w:p>
            <w:pPr>
              <w:jc w:val="right"/>
              <w:spacing w:after="0" w:line="134" w:lineRule="exact"/>
              <w:rPr>
                <w:sz w:val="20"/>
                <w:szCs w:val="20"/>
                <w:color w:val="auto"/>
              </w:rPr>
            </w:pPr>
            <w:r>
              <w:rPr>
                <w:rFonts w:ascii="Arial" w:cs="Arial" w:eastAsia="Arial" w:hAnsi="Arial"/>
                <w:sz w:val="12"/>
                <w:szCs w:val="12"/>
                <w:color w:val="auto"/>
              </w:rPr>
              <w:t>582</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651</w:t>
            </w:r>
          </w:p>
        </w:tc>
        <w:tc>
          <w:tcPr>
            <w:tcW w:w="640" w:type="dxa"/>
            <w:vAlign w:val="bottom"/>
          </w:tcPr>
          <w:p>
            <w:pPr>
              <w:jc w:val="right"/>
              <w:ind w:right="18"/>
              <w:spacing w:after="0"/>
              <w:rPr>
                <w:sz w:val="20"/>
                <w:szCs w:val="20"/>
                <w:color w:val="auto"/>
              </w:rPr>
            </w:pPr>
            <w:r>
              <w:rPr>
                <w:rFonts w:ascii="Arial" w:cs="Arial" w:eastAsia="Arial" w:hAnsi="Arial"/>
                <w:sz w:val="12"/>
                <w:szCs w:val="12"/>
                <w:color w:val="auto"/>
              </w:rPr>
              <w:t>661</w:t>
            </w:r>
          </w:p>
        </w:tc>
      </w:tr>
      <w:tr>
        <w:trPr>
          <w:trHeight w:val="153"/>
        </w:trPr>
        <w:tc>
          <w:tcPr>
            <w:tcW w:w="80" w:type="dxa"/>
            <w:vAlign w:val="bottom"/>
          </w:tcPr>
          <w:p>
            <w:pPr>
              <w:spacing w:after="0"/>
              <w:rPr>
                <w:sz w:val="13"/>
                <w:szCs w:val="13"/>
                <w:color w:val="auto"/>
              </w:rPr>
            </w:pPr>
          </w:p>
        </w:tc>
        <w:tc>
          <w:tcPr>
            <w:tcW w:w="29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Income/(loss) from discontinued operations</w:t>
            </w:r>
          </w:p>
        </w:tc>
        <w:tc>
          <w:tcPr>
            <w:tcW w:w="260" w:type="dxa"/>
            <w:vAlign w:val="bottom"/>
            <w:tcBorders>
              <w:bottom w:val="single" w:sz="8" w:color="auto"/>
              <w:right w:val="single" w:sz="8" w:color="E4E3E1"/>
            </w:tcBorders>
          </w:tcPr>
          <w:p>
            <w:pPr>
              <w:spacing w:after="0"/>
              <w:rPr>
                <w:sz w:val="13"/>
                <w:szCs w:val="13"/>
                <w:color w:val="auto"/>
              </w:rPr>
            </w:pPr>
          </w:p>
        </w:tc>
        <w:tc>
          <w:tcPr>
            <w:tcW w:w="420" w:type="dxa"/>
            <w:vAlign w:val="bottom"/>
            <w:tcBorders>
              <w:bottom w:val="single" w:sz="8" w:color="auto"/>
              <w:right w:val="single" w:sz="8" w:color="E4E3E1"/>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14"/>
        </w:trPr>
        <w:tc>
          <w:tcPr>
            <w:tcW w:w="80" w:type="dxa"/>
            <w:vAlign w:val="bottom"/>
          </w:tcPr>
          <w:p>
            <w:pPr>
              <w:spacing w:after="0"/>
              <w:rPr>
                <w:sz w:val="9"/>
                <w:szCs w:val="9"/>
                <w:color w:val="auto"/>
              </w:rPr>
            </w:pPr>
          </w:p>
        </w:tc>
        <w:tc>
          <w:tcPr>
            <w:tcW w:w="2900" w:type="dxa"/>
            <w:vAlign w:val="bottom"/>
          </w:tcPr>
          <w:p>
            <w:pPr>
              <w:spacing w:after="0" w:line="114" w:lineRule="exact"/>
              <w:rPr>
                <w:sz w:val="20"/>
                <w:szCs w:val="20"/>
                <w:color w:val="auto"/>
              </w:rPr>
            </w:pPr>
            <w:r>
              <w:rPr>
                <w:rFonts w:ascii="Arial" w:cs="Arial" w:eastAsia="Arial" w:hAnsi="Arial"/>
                <w:sz w:val="12"/>
                <w:szCs w:val="12"/>
                <w:b w:val="1"/>
                <w:bCs w:val="1"/>
                <w:color w:val="auto"/>
              </w:rPr>
              <w:t>Segment earnings</w:t>
            </w:r>
          </w:p>
        </w:tc>
        <w:tc>
          <w:tcPr>
            <w:tcW w:w="260" w:type="dxa"/>
            <w:vAlign w:val="bottom"/>
          </w:tcPr>
          <w:p>
            <w:pPr>
              <w:spacing w:after="0"/>
              <w:rPr>
                <w:sz w:val="9"/>
                <w:szCs w:val="9"/>
                <w:color w:val="auto"/>
              </w:rPr>
            </w:pPr>
          </w:p>
        </w:tc>
        <w:tc>
          <w:tcPr>
            <w:tcW w:w="420" w:type="dxa"/>
            <w:vAlign w:val="bottom"/>
            <w:tcBorders>
              <w:top w:val="single" w:sz="8" w:color="E4E3E1"/>
            </w:tcBorders>
          </w:tcPr>
          <w:p>
            <w:pPr>
              <w:jc w:val="right"/>
              <w:spacing w:after="0" w:line="114" w:lineRule="exact"/>
              <w:rPr>
                <w:sz w:val="20"/>
                <w:szCs w:val="20"/>
                <w:color w:val="auto"/>
              </w:rPr>
            </w:pPr>
            <w:r>
              <w:rPr>
                <w:rFonts w:ascii="Arial" w:cs="Arial" w:eastAsia="Arial" w:hAnsi="Arial"/>
                <w:sz w:val="12"/>
                <w:szCs w:val="12"/>
                <w:b w:val="1"/>
                <w:bCs w:val="1"/>
                <w:color w:val="auto"/>
              </w:rPr>
              <w:t>582</w:t>
            </w:r>
          </w:p>
        </w:tc>
        <w:tc>
          <w:tcPr>
            <w:tcW w:w="680" w:type="dxa"/>
            <w:vAlign w:val="bottom"/>
          </w:tcPr>
          <w:p>
            <w:pPr>
              <w:jc w:val="right"/>
              <w:ind w:right="18"/>
              <w:spacing w:after="0" w:line="114" w:lineRule="exact"/>
              <w:rPr>
                <w:sz w:val="20"/>
                <w:szCs w:val="20"/>
                <w:color w:val="auto"/>
              </w:rPr>
            </w:pPr>
            <w:r>
              <w:rPr>
                <w:rFonts w:ascii="Arial" w:cs="Arial" w:eastAsia="Arial" w:hAnsi="Arial"/>
                <w:sz w:val="12"/>
                <w:szCs w:val="12"/>
                <w:b w:val="1"/>
                <w:bCs w:val="1"/>
                <w:color w:val="auto"/>
              </w:rPr>
              <w:t>651</w:t>
            </w:r>
          </w:p>
        </w:tc>
        <w:tc>
          <w:tcPr>
            <w:tcW w:w="640" w:type="dxa"/>
            <w:vAlign w:val="bottom"/>
          </w:tcPr>
          <w:p>
            <w:pPr>
              <w:jc w:val="right"/>
              <w:ind w:right="18"/>
              <w:spacing w:after="0" w:line="114" w:lineRule="exact"/>
              <w:rPr>
                <w:sz w:val="20"/>
                <w:szCs w:val="20"/>
                <w:color w:val="auto"/>
              </w:rPr>
            </w:pPr>
            <w:r>
              <w:rPr>
                <w:rFonts w:ascii="Arial" w:cs="Arial" w:eastAsia="Arial" w:hAnsi="Arial"/>
                <w:sz w:val="12"/>
                <w:szCs w:val="12"/>
                <w:b w:val="1"/>
                <w:bCs w:val="1"/>
                <w:color w:val="auto"/>
              </w:rPr>
              <w:t>661</w:t>
            </w:r>
          </w:p>
        </w:tc>
      </w:tr>
    </w:tbl>
    <w:p>
      <w:pPr>
        <w:jc w:val="both"/>
        <w:ind w:left="340" w:right="20" w:hanging="200"/>
        <w:spacing w:after="0"/>
        <w:tabs>
          <w:tab w:leader="none" w:pos="3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As from 2007, the Oil Sands earnings are disclosed separately. Previously these were reported as part of Exploration &amp; Production earnings. For comparison purposes, 2006 and 2005 earnings were reclassified accordingly.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-592455</wp:posOffset>
            </wp:positionV>
            <wp:extent cx="3877310" cy="64535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877310" cy="6453505"/>
                    </a:xfrm>
                    <a:prstGeom prst="rect">
                      <a:avLst/>
                    </a:prstGeom>
                    <a:noFill/>
                  </pic:spPr>
                </pic:pic>
              </a:graphicData>
            </a:graphic>
          </wp:anchor>
        </w:drawing>
      </w:r>
    </w:p>
    <w:p>
      <w:pPr>
        <w:spacing w:after="0" w:line="107"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The Oil Sands business in Canada, with an average of 1,000 employees in 2007, is part of Shell’s downstream organisation and produces synthetic crude oils for use as refinery feedstocks.</w:t>
      </w:r>
    </w:p>
    <w:p>
      <w:pPr>
        <w:spacing w:after="0" w:line="180"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The current operation has two process steps: extraction of bitumen from the oil sands at the Muskeg River Mine in north-eastern Alberta, followed by upgrading the bitumen to synthetic crude oil at the Scotford Upgrader near Edmonton, Alberta. A significant portion of the output of the Scotford Upgrader is sold to the nearby Shell Scotford Refinery, as well as to the Shell Sarnia Refinery in Ontario. The balance of the synthetic crude is sold to the general marketplace.</w:t>
      </w:r>
    </w:p>
    <w:p>
      <w:pPr>
        <w:spacing w:after="0" w:line="183"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The main performance indicator for the Oil Sands business is production. Careful monitoring of production numbers allows us to track the profitability and reliability of the segment, helping to provide strong returns for Shell.</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31635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07"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Segment earnings in 2007 were $582 million compared to $651 million in 2006 and 2005 earnings of $661 million. The decrease in 2007 from 2006 was largely due to an unplanned shutdown in September and a fire in November at the Scotford Upgrader as well as higher operating and maintenance costs and increased royalty expense. Gains from a Canadian tax rate change were $94 million in 2007, down from $120 million in 2006. Segment earnings in 2006 slightly decreased from 2005 due to the first scheduled turnaround at the Muskeg River Mine and Scotford Upgrader offset by increased oil prices and a favourable tax adjustment. Earnings in 2005 included a non-operational gain of $65 million related to a prior period insurance settlement.</w:t>
      </w:r>
    </w:p>
    <w:p>
      <w:pPr>
        <w:spacing w:after="0" w:line="181"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Shell’s share of mined oil sands net production for 2007 averaged 81,000 barrels per day compared with 82,000 barrels per day in 2006 and 95,000 barrels per day in 2005. Net production represents total production after the deduction of royalty obligations to the Alberta government. The average realised oil price for 2007 was $61.97 a barrel compared to $53.93 a barrel in 2006 and $47.67 a barrel in 2005.</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31635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The business environment for Oil Sands continued to be intense in 2007, dominated by the rapid growth of multiple major projects and rising capital and operating costs. Despite high oil prices, a stronger Canadian dollar and widening domestic light/heavy differentials – driven by increased heavy oil production – have created substantial market risk for Canadian bitumen producers. The Alberta Provincial Government has announced its intention to introduce legislation, effective 2009, that would change the Alberta royalty system. The proposed royalty system would introduce a graduated scale dependent on oil prices. As with the current system, two scales would be used: a lower version for projects that have not recovered their capital costs, and an increased version once payout has occurred. As currently proposed, the rates would slide from 1% to 9% of gross revenue and 25% to 40% on net profits interest respectively, reaching the maximum for both versions when oil is priced at Canadian $120 per barrel or higher.</w:t>
      </w:r>
    </w:p>
    <w:p>
      <w:pPr>
        <w:spacing w:after="0" w:line="17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1503680</wp:posOffset>
            </wp:positionV>
            <wp:extent cx="725297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20" w:space="280"/>
            <w:col w:w="5000"/>
          </w:cols>
          <w:pgMar w:left="240" w:top="415" w:right="1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OIL SANDS</w:t>
      </w:r>
    </w:p>
    <w:p>
      <w:pPr>
        <w:spacing w:after="0" w:line="200" w:lineRule="exact"/>
        <w:rPr>
          <w:sz w:val="20"/>
          <w:szCs w:val="20"/>
          <w:color w:val="auto"/>
        </w:rPr>
      </w:pPr>
    </w:p>
    <w:p>
      <w:pPr>
        <w:spacing w:after="0" w:line="221" w:lineRule="exact"/>
        <w:rPr>
          <w:sz w:val="20"/>
          <w:szCs w:val="20"/>
          <w:color w:val="auto"/>
        </w:rPr>
      </w:pPr>
    </w:p>
    <w:p>
      <w:pPr>
        <w:ind w:right="180"/>
        <w:spacing w:after="0" w:line="247" w:lineRule="auto"/>
        <w:rPr>
          <w:sz w:val="20"/>
          <w:szCs w:val="20"/>
          <w:color w:val="auto"/>
        </w:rPr>
      </w:pPr>
      <w:r>
        <w:rPr>
          <w:rFonts w:ascii="Arial" w:cs="Arial" w:eastAsia="Arial" w:hAnsi="Arial"/>
          <w:sz w:val="13"/>
          <w:szCs w:val="13"/>
          <w:color w:val="auto"/>
        </w:rPr>
        <w:t>The extent of greenhouse gas legislation in Canada as a whole remains uncertain. However, the current Alberta Provincial Government has introduced, and the federal government intends to introduce, legislation that requires reductions in allowable emissions of CO</w:t>
      </w:r>
      <w:r>
        <w:rPr>
          <w:rFonts w:ascii="Arial" w:cs="Arial" w:eastAsia="Arial" w:hAnsi="Arial"/>
          <w:sz w:val="11"/>
          <w:szCs w:val="11"/>
          <w:color w:val="auto"/>
        </w:rPr>
        <w:t>2</w:t>
      </w:r>
      <w:r>
        <w:rPr>
          <w:rFonts w:ascii="Arial" w:cs="Arial" w:eastAsia="Arial" w:hAnsi="Arial"/>
          <w:sz w:val="13"/>
          <w:szCs w:val="13"/>
          <w:color w:val="auto"/>
        </w:rPr>
        <w:t xml:space="preserve"> in relation to oil sands’ production. Reductions in allowable emissions could impact current production and future expansions.</w:t>
      </w:r>
    </w:p>
    <w:p>
      <w:pPr>
        <w:spacing w:after="0" w:line="17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Looking ahead to 2008, we expect that the business environment will include increasing cost pressures and increased competition for skilled workers. This is despite an expected softening of industry growth plans due to the rising costs and the impact of the proposed changes to the Alberta royalty system if introduced. While overall production levels and human resource requirements are expected to grow throughout 2008, it is not expected to be at the pace anticipated at this time last year.</w:t>
      </w:r>
    </w:p>
    <w:p>
      <w:pPr>
        <w:spacing w:after="0" w:line="177"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Our strategy is to be the leading oil sands operator in the industry by continuing to focus on operational and project execution excellence, and leveraging Shell’s extensive, high quality land positions to drive profitable growth. This will be accomplished by continuing to build on the capabilities and experience of Shell staff, and by managing growth within the overarching principles of HSSE and sustainable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 AND 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Capital investment was $1.9 billion in 2007, up from $0.9 billion in 2006. Our main investments centred on the first expansion phase (Expansion 1) of the Athabasca Oil Sands Project (AOSP). Other investments were made on projects designed to increase the efficiencies of base operations.</w:t>
      </w:r>
    </w:p>
    <w:p>
      <w:pPr>
        <w:spacing w:after="0" w:line="179" w:lineRule="exact"/>
        <w:rPr>
          <w:sz w:val="20"/>
          <w:szCs w:val="20"/>
          <w:color w:val="auto"/>
        </w:rPr>
      </w:pPr>
    </w:p>
    <w:p>
      <w:pPr>
        <w:ind w:right="460"/>
        <w:spacing w:after="0" w:line="328" w:lineRule="auto"/>
        <w:rPr>
          <w:sz w:val="20"/>
          <w:szCs w:val="20"/>
          <w:color w:val="auto"/>
        </w:rPr>
      </w:pPr>
      <w:r>
        <w:rPr>
          <w:rFonts w:ascii="Arial" w:cs="Arial" w:eastAsia="Arial" w:hAnsi="Arial"/>
          <w:sz w:val="12"/>
          <w:szCs w:val="12"/>
          <w:color w:val="auto"/>
        </w:rPr>
        <w:t>Expansion 1, a fully integrated 100,000 barrels per day (60,000 b/d Shell share) expansion of oil sands mining and upgrading facilities, is well under way.</w:t>
      </w:r>
    </w:p>
    <w:p>
      <w:pPr>
        <w:spacing w:after="0" w:line="129"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Construction was completed on the new Albian Village, a state-of-the-art facility built to house 2,500 Expansion 1 workers at the mine site. A new airstrip at the site was also completed to provide for the efficient and safe transport of our labour force to the mine.</w:t>
      </w:r>
    </w:p>
    <w:p>
      <w:pPr>
        <w:spacing w:after="0" w:line="151" w:lineRule="exact"/>
        <w:rPr>
          <w:sz w:val="20"/>
          <w:szCs w:val="20"/>
          <w:color w:val="auto"/>
        </w:rPr>
      </w:pPr>
    </w:p>
    <w:p>
      <w:pPr>
        <w:jc w:val="both"/>
        <w:ind w:right="280"/>
        <w:spacing w:after="0" w:line="235" w:lineRule="auto"/>
        <w:rPr>
          <w:sz w:val="20"/>
          <w:szCs w:val="20"/>
          <w:color w:val="auto"/>
        </w:rPr>
      </w:pPr>
      <w:r>
        <w:rPr>
          <w:rFonts w:ascii="Arial" w:cs="Arial" w:eastAsia="Arial" w:hAnsi="Arial"/>
          <w:sz w:val="14"/>
          <w:szCs w:val="14"/>
          <w:color w:val="auto"/>
        </w:rPr>
        <w:t>Front-end definition work has progressed on AOSP Expansions 2 and 3. However, Shell and the AOSP joint owners have not made any final investment decisions on these expansions.</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Shell acquired the Shell Canada minority interest which resulted in the full integration of the Oil Sands business into its downstream business.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The key objective of our research and development (R&amp;D) in oil sands is to improve technologies to reduce costs, and to lower related emissions of CO</w:t>
      </w:r>
      <w:r>
        <w:rPr>
          <w:rFonts w:ascii="Arial" w:cs="Arial" w:eastAsia="Arial" w:hAnsi="Arial"/>
          <w:sz w:val="12"/>
          <w:szCs w:val="12"/>
          <w:color w:val="auto"/>
        </w:rPr>
        <w:t>2</w:t>
      </w:r>
      <w:r>
        <w:rPr>
          <w:rFonts w:ascii="Arial" w:cs="Arial" w:eastAsia="Arial" w:hAnsi="Arial"/>
          <w:sz w:val="14"/>
          <w:szCs w:val="14"/>
          <w:color w:val="auto"/>
        </w:rPr>
        <w:t xml:space="preserve"> and the use of fresh water. This aims to help improve the economics of existing operations, make lower-grade ores economically viable for the business and provide a basis for sustainable growth.</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The existing Oil Sands mining interest is held through a joint venture (Shell interest 60%) with Chevron and Marathon Oil each having a 20% interest. Shell has substantial oil sands lease holdings in the Athabasca</w:t>
      </w:r>
    </w:p>
    <w:p>
      <w:pPr>
        <w:spacing w:after="0" w:line="184" w:lineRule="exact"/>
        <w:rPr>
          <w:sz w:val="20"/>
          <w:szCs w:val="20"/>
          <w:color w:val="auto"/>
        </w:rPr>
      </w:pPr>
    </w:p>
    <w:p>
      <w:pPr>
        <w:ind w:left="280" w:hanging="273"/>
        <w:spacing w:after="0"/>
        <w:tabs>
          <w:tab w:leader="none" w:pos="280" w:val="left"/>
        </w:tabs>
        <w:numPr>
          <w:ilvl w:val="0"/>
          <w:numId w:val="4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region of northern Alberta covering over 1,330 square kilometres that have the potential for recovery by surface mining. Initial commercial development of these leases started in 1999. This initial stage of development, the Muskeg River Mine, is located on the western part of Oil Sands Lease No. 7277080T13 (Lease 13).</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3"/>
          <w:szCs w:val="13"/>
          <w:color w:val="auto"/>
        </w:rPr>
        <w:t>Shell originally acquired the mineral rights to Lease 13 (7277080T13) in 1956. The Lease 13 resource has since been thoroughly characterised in association with a variety of development studies; however mining area developments with Muskeg River represent the first commercial operation on the lease. With the start of commercial mine operations on the western portion of Lease 13, the whole of Lease 13 covering 240 square kilometres is characterised as having “continued producing” status and the right to access the bitumen resource on the lease has been extended indefinitely so long as production is continuing. After the establishment of the AOSP joint venture in 1999, Lease 13 was formally transferred to Albian Sands Energy Inc. to be held in trust for the AOSP joint venture participants.</w:t>
      </w:r>
    </w:p>
    <w:p>
      <w:pPr>
        <w:spacing w:after="0" w:line="183"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Lease 13 is situated immediately east of the Athabasca River Valley. Most of the lease comprises gently undulating terrain that ranges in elevation from 330 metres above sea level in the south-east to 284 metres in the west. The McMurray Formation is the contiguous geological unit containing the bitumen hydrocarbon resource. The McMurray Formation was laid down in a marine shoreline setting and is composed, generally, of a sequence of sediments that get finer in an upward direction – from pebbles five millimetres in diameter, through sand, to silt and mud 0.06 millimetres in diameter and finer. When the McMurray Formation contains bitumen in a sand-sized sediment coarser than approximately 0.12 millimetres, this is characterised as oil sands. The McMurray Formation is present at varying depths beneath the ground over much of northern Alberta. Over 3,400 square kilometres of land has been classified by the Energy Resources Conservation Board (ERCB) as surface minable. Within this area, the McMurray Formation is near surface and can be excavated economically with existing mining equipment. The Devonian limestone that lies beneath the McMurray Formation is within 20 metres to 150 metres of the surface.</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The AOSP’s surface minable development is in north-eastern Alberta approximately 75 kilometres north of the city of Fort McMurray and is readily accessible by public roads. Both mining areas (Muskeg River currently in operation and Jackpine which is under construction) have integrated oil sands mining and mineral processing facilities. The oil sands ore is open-pit mined, using a truck and shovel operation, and the mined ore is processed in on-site bitumen extraction and clean-up facilities to yield a bitumen product. Power and steam for the operations is provided from an on-site co-generation facility, which is owned and operated by an independent power company, in combination with boiler facilities owned by the joint venture. The bitumen is transported by pipeline for upgrading at the Scotford Upgrader, located in the Edmonton area of central Alberta. Scotford’s upgrading process adds hydrogen to the bitumen, breaking up the large hydrocarbon molecules. This process produces a wide range of synthetic crude oils which are suitable feedstock for refineries, which will process them into refined products like gasoline. The Scotford Upgrader began operations in late 2002 and has a design capacity rate of 155,000 b/d (93,000 b/d Shell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1647825</wp:posOffset>
            </wp:positionV>
            <wp:extent cx="725297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Muskeg River Mine received its primary regulatory approvals in 1999. An application to amend this approval was submitted to the ERCB and Alberta Environment (AENV) in April 2005. This amendment increased dry bitumen production to 270,000 b/d (162,000 b/d Shell share) and included the addition of minable bitumen resources on Shell’s Oil Sands Lease 90 (7280880T90) and Oil Sands Lease AT30 (7280090AT30.) Lease AT30 was acquired from Syncrude through a commercial swap arrangement. The application provided significant background detail on the geology, mine planning features and a development scheme for the expansion of processing facilities and mine production levels at the Muskeg River Mine. The application formed the basis of the approval from the ERCB for the expanded Muskeg River Mine in December 2006.</w:t>
      </w:r>
    </w:p>
    <w:p>
      <w:pPr>
        <w:spacing w:after="0" w:line="183"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The first expansion, as agreed by Shell and the other joint venture participants in 2006, is proceeding with mining and the associated bitumen extraction processing plant at the Jackpine Mine with a capacity of 100,000 b/d (60,000 b/d Shell share) linked to expanded bitumen froth treatment facilities at the Muskeg River Mine facility. This was done with a view to (i) provide increased operational flexibility with two mining pits, (ii) take advantage of installed infrastructure at the Muskeg River Mine, and (iii) reduce execution risk by spreading the construction work forces over two construction sites. Full commercial production is scheduled for late 2010. The Jackpine mining area development, with a production capacity of 200,000 b/d, (120,000 b/d Shell share), was approved under a separate regulatory approval in 2004. Future growth plans will consider additional production from Muskeg River and expanded processing facilities and production at the Jackpine site, all under existing regulatory approvals.</w:t>
      </w:r>
    </w:p>
    <w:p>
      <w:pPr>
        <w:spacing w:after="0" w:line="185"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Shell also holds a number of other minable oil sands leases in the Athabasca region with expiry dates ranging from 2008 to 2020, all of which may be extended by completing a minimum level of development prior to their expiry. There are no current, and no known previous, commercial operations on any of these lease holdings. The Muskeg River Mine and Jackpine Mine with the adjacent and acquired minable oil sands leases, represent a multi-billion dollar investment for Shell.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32899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89935" cy="8255"/>
                    </a:xfrm>
                    <a:prstGeom prst="rect">
                      <a:avLst/>
                    </a:prstGeom>
                    <a:noFill/>
                  </pic:spPr>
                </pic:pic>
              </a:graphicData>
            </a:graphic>
          </wp:anchor>
        </w:drawing>
      </w:r>
    </w:p>
    <w:p>
      <w:pPr>
        <w:spacing w:after="0" w:line="187" w:lineRule="exact"/>
        <w:rPr>
          <w:sz w:val="20"/>
          <w:szCs w:val="20"/>
          <w:color w:val="auto"/>
        </w:rPr>
      </w:pPr>
    </w:p>
    <w:p>
      <w:pPr>
        <w:ind w:right="140"/>
        <w:spacing w:after="0" w:line="269" w:lineRule="auto"/>
        <w:rPr>
          <w:sz w:val="20"/>
          <w:szCs w:val="20"/>
          <w:color w:val="auto"/>
        </w:rPr>
      </w:pPr>
      <w:r>
        <w:rPr>
          <w:rFonts w:ascii="Arial" w:cs="Arial" w:eastAsia="Arial" w:hAnsi="Arial"/>
          <w:sz w:val="12"/>
          <w:szCs w:val="12"/>
          <w:color w:val="auto"/>
        </w:rPr>
        <w:t>Details of Shell subsidiaries’ estimated net proven and probable minable oil sands reserves are summarised in the following table and are set out under the heading “Supplementary Information – Oil sands (unaudited)” on page 170. Minable oil sands reserves cannot be measured exactly since estimation of reserves involves subjective judgement. Estimates remain subject to revision. Proven and probable minable oil sands reserves are net of any quantities that are to be taken by others as royalties in kind.</w:t>
      </w:r>
    </w:p>
    <w:p>
      <w:pPr>
        <w:spacing w:after="0" w:line="164"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Shell has significant interests in proven minable oil sands reserves in Canada associated with the Athabasca Oil Sands Project. Shell views these reserves and their development as an integral part of the company’s total downstream operations. However, since SEC regulations define these reserves as mining-related and not part of conventional oil and gas reserves, they are presented separately to the conventional oil and gas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120"/>
        <w:spacing w:after="0" w:line="267" w:lineRule="auto"/>
        <w:rPr>
          <w:sz w:val="20"/>
          <w:szCs w:val="20"/>
          <w:color w:val="auto"/>
        </w:rPr>
      </w:pPr>
      <w:r>
        <w:rPr>
          <w:rFonts w:ascii="Arial" w:cs="Arial" w:eastAsia="Arial" w:hAnsi="Arial"/>
          <w:sz w:val="12"/>
          <w:szCs w:val="12"/>
          <w:color w:val="auto"/>
        </w:rPr>
        <w:t>The Muskeg River Mine development on Lease 13 was designed to access proven and probable reserves from Lease 13 west of the Muskeg River. At the average design production level of 155,000 b/d, 1.7 billion barrels of bitumen were initially estimated to be recoverable over the project life. The ultimate pit limits, mine- plans, and remaining reserve estimates are updated annually to incorporate the results from the development drilling programmes and the actual performance of the processing facilities. The reserve estimates are based on the results from over 1,840 drill holes completed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-805180</wp:posOffset>
            </wp:positionV>
            <wp:extent cx="282575" cy="7586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2575" cy="7586980"/>
                    </a:xfrm>
                    <a:prstGeom prst="rect">
                      <a:avLst/>
                    </a:prstGeom>
                    <a:noFill/>
                  </pic:spPr>
                </pic:pic>
              </a:graphicData>
            </a:graphic>
          </wp:anchor>
        </w:drawing>
      </w:r>
    </w:p>
    <w:p>
      <w:pPr>
        <w:spacing w:after="0" w:line="144" w:lineRule="exact"/>
        <w:rPr>
          <w:sz w:val="20"/>
          <w:szCs w:val="20"/>
          <w:color w:val="auto"/>
        </w:rPr>
      </w:pPr>
    </w:p>
    <w:p>
      <w:pPr>
        <w:ind w:right="180"/>
        <w:spacing w:after="0" w:line="225" w:lineRule="auto"/>
        <w:rPr>
          <w:sz w:val="20"/>
          <w:szCs w:val="20"/>
          <w:color w:val="auto"/>
        </w:rPr>
      </w:pPr>
      <w:r>
        <w:rPr>
          <w:rFonts w:ascii="Arial" w:cs="Arial" w:eastAsia="Arial" w:hAnsi="Arial"/>
          <w:sz w:val="14"/>
          <w:szCs w:val="14"/>
          <w:color w:val="auto"/>
        </w:rPr>
        <w:t>The Jackpine mining development on Lease 13 was designed to access proven and probable reserves of 1.3 billion barrels from Lease 13 east of Jackpine Creek at the average design production level of 100,000 b/d. The ultimate pit limits and mine plans were determined from the detailed mining and tailings development studies for the project. This includes the results from over 990 drill holes completed during the initial exploration drilling programmes and the more recent development drilling programmes over the last five years.</w:t>
      </w:r>
    </w:p>
    <w:p>
      <w:pPr>
        <w:spacing w:after="0" w:line="182" w:lineRule="exact"/>
        <w:rPr>
          <w:sz w:val="20"/>
          <w:szCs w:val="20"/>
          <w:color w:val="auto"/>
        </w:rPr>
      </w:pPr>
    </w:p>
    <w:p>
      <w:pPr>
        <w:ind w:right="140"/>
        <w:spacing w:after="0"/>
        <w:rPr>
          <w:sz w:val="20"/>
          <w:szCs w:val="20"/>
          <w:color w:val="auto"/>
        </w:rPr>
      </w:pPr>
      <w:r>
        <w:rPr>
          <w:rFonts w:ascii="Arial" w:cs="Arial" w:eastAsia="Arial" w:hAnsi="Arial"/>
          <w:sz w:val="13"/>
          <w:szCs w:val="13"/>
          <w:color w:val="auto"/>
        </w:rPr>
        <w:t>To provide continuity of disclosure to the investor as well as to continue to provide SEC Industry Guide 7 disclosures, both proven and proven plus probable minable oil sands reserves are being provided for 2007. The opening balance for 2007 for net proven minable oil sands reserves was 1,134 million barrels, including a minority interest of</w:t>
      </w:r>
    </w:p>
    <w:p>
      <w:pPr>
        <w:ind w:right="100"/>
        <w:spacing w:after="0" w:line="241" w:lineRule="auto"/>
        <w:rPr>
          <w:sz w:val="20"/>
          <w:szCs w:val="20"/>
          <w:color w:val="auto"/>
        </w:rPr>
      </w:pPr>
      <w:r>
        <w:rPr>
          <w:rFonts w:ascii="Arial" w:cs="Arial" w:eastAsia="Arial" w:hAnsi="Arial"/>
          <w:sz w:val="13"/>
          <w:szCs w:val="13"/>
          <w:color w:val="auto"/>
        </w:rPr>
        <w:t>250 million barrels. Acquisition of the minority shareholder interest by Shell occurred in 2007. Net proven and probable minable oil sands reserves were 1,473 million barrels at December 31, 2007, a net addition of 27 million barrels compared to 2006 (before taking account of production of 29 million barrels). The minable oil sands reserves are not included in the standardised measure of discounted cash flows for conventional oil and gas reserves presented on pages 168 to 169.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3580" w:type="dxa"/>
            <w:vAlign w:val="bottom"/>
            <w:shd w:val="clear" w:color="auto" w:fill="005696"/>
          </w:tcPr>
          <w:p>
            <w:pPr>
              <w:ind w:left="40"/>
              <w:spacing w:after="0"/>
              <w:rPr>
                <w:sz w:val="20"/>
                <w:szCs w:val="20"/>
                <w:color w:val="auto"/>
              </w:rPr>
            </w:pPr>
            <w:r>
              <w:rPr>
                <w:rFonts w:ascii="Arial" w:cs="Arial" w:eastAsia="Arial" w:hAnsi="Arial"/>
                <w:sz w:val="12"/>
                <w:szCs w:val="12"/>
                <w:b w:val="1"/>
                <w:bCs w:val="1"/>
                <w:color w:val="FFFFFF"/>
              </w:rPr>
              <w:t>MINED OIL SANDS NET PRODUCTION</w:t>
            </w:r>
            <w:r>
              <w:rPr>
                <w:rFonts w:ascii="Arial" w:cs="Arial" w:eastAsia="Arial" w:hAnsi="Arial"/>
                <w:sz w:val="24"/>
                <w:szCs w:val="24"/>
                <w:b w:val="1"/>
                <w:bCs w:val="1"/>
                <w:color w:val="FFFFFF"/>
                <w:vertAlign w:val="subscript"/>
              </w:rPr>
              <w:t>[A]</w:t>
            </w:r>
          </w:p>
        </w:tc>
        <w:tc>
          <w:tcPr>
            <w:tcW w:w="1560" w:type="dxa"/>
            <w:vAlign w:val="bottom"/>
            <w:gridSpan w:val="3"/>
            <w:shd w:val="clear" w:color="auto" w:fill="005696"/>
          </w:tcPr>
          <w:p>
            <w:pPr>
              <w:jc w:val="right"/>
              <w:spacing w:after="0"/>
              <w:rPr>
                <w:sz w:val="20"/>
                <w:szCs w:val="20"/>
                <w:color w:val="auto"/>
              </w:rPr>
            </w:pPr>
            <w:r>
              <w:rPr>
                <w:rFonts w:ascii="Arial" w:cs="Arial" w:eastAsia="Arial" w:hAnsi="Arial"/>
                <w:sz w:val="12"/>
                <w:szCs w:val="12"/>
                <w:b w:val="1"/>
                <w:bCs w:val="1"/>
                <w:color w:val="FFFFFF"/>
              </w:rPr>
              <w:t>thousand barrels/day</w:t>
            </w:r>
          </w:p>
        </w:tc>
      </w:tr>
      <w:tr>
        <w:trPr>
          <w:trHeight w:val="193"/>
        </w:trPr>
        <w:tc>
          <w:tcPr>
            <w:tcW w:w="3580" w:type="dxa"/>
            <w:vAlign w:val="bottom"/>
            <w:tcBorders>
              <w:bottom w:val="single" w:sz="8" w:color="CECAC6"/>
            </w:tcBorders>
            <w:shd w:val="clear" w:color="auto" w:fill="CECAC6"/>
          </w:tcPr>
          <w:p>
            <w:pPr>
              <w:spacing w:after="0"/>
              <w:rPr>
                <w:sz w:val="16"/>
                <w:szCs w:val="16"/>
                <w:color w:val="auto"/>
              </w:rPr>
            </w:pPr>
          </w:p>
        </w:tc>
        <w:tc>
          <w:tcPr>
            <w:tcW w:w="380" w:type="dxa"/>
            <w:vAlign w:val="bottom"/>
            <w:tcBorders>
              <w:bottom w:val="single" w:sz="8" w:color="CECAC6"/>
            </w:tcBorders>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720" w:type="dxa"/>
            <w:vAlign w:val="bottom"/>
            <w:tcBorders>
              <w:bottom w:val="single" w:sz="8" w:color="CECAC6"/>
            </w:tcBorders>
            <w:shd w:val="clear" w:color="auto" w:fill="CECAC6"/>
          </w:tcPr>
          <w:p>
            <w:pPr>
              <w:jc w:val="right"/>
              <w:ind w:right="98"/>
              <w:spacing w:after="0"/>
              <w:rPr>
                <w:sz w:val="20"/>
                <w:szCs w:val="20"/>
                <w:color w:val="auto"/>
              </w:rPr>
            </w:pPr>
            <w:r>
              <w:rPr>
                <w:rFonts w:ascii="Arial" w:cs="Arial" w:eastAsia="Arial" w:hAnsi="Arial"/>
                <w:sz w:val="12"/>
                <w:szCs w:val="12"/>
                <w:color w:val="auto"/>
              </w:rPr>
              <w:t>2006</w:t>
            </w:r>
          </w:p>
        </w:tc>
        <w:tc>
          <w:tcPr>
            <w:tcW w:w="460" w:type="dxa"/>
            <w:vAlign w:val="bottom"/>
            <w:tcBorders>
              <w:bottom w:val="single" w:sz="8" w:color="CECAC6"/>
            </w:tcBorders>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73"/>
        </w:trPr>
        <w:tc>
          <w:tcPr>
            <w:tcW w:w="3580" w:type="dxa"/>
            <w:vAlign w:val="bottom"/>
          </w:tcPr>
          <w:p>
            <w:pPr>
              <w:ind w:left="20"/>
              <w:spacing w:after="0"/>
              <w:rPr>
                <w:sz w:val="20"/>
                <w:szCs w:val="20"/>
                <w:color w:val="auto"/>
              </w:rPr>
            </w:pPr>
            <w:r>
              <w:rPr>
                <w:rFonts w:ascii="Arial" w:cs="Arial" w:eastAsia="Arial" w:hAnsi="Arial"/>
                <w:sz w:val="12"/>
                <w:szCs w:val="12"/>
                <w:color w:val="auto"/>
              </w:rPr>
              <w:t>Athabasca Oil Sands Project</w:t>
            </w:r>
          </w:p>
        </w:tc>
        <w:tc>
          <w:tcPr>
            <w:tcW w:w="3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81</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82</w:t>
            </w:r>
          </w:p>
        </w:tc>
        <w:tc>
          <w:tcPr>
            <w:tcW w:w="460" w:type="dxa"/>
            <w:vAlign w:val="bottom"/>
          </w:tcPr>
          <w:p>
            <w:pPr>
              <w:jc w:val="right"/>
              <w:spacing w:after="0"/>
              <w:rPr>
                <w:sz w:val="20"/>
                <w:szCs w:val="20"/>
                <w:color w:val="auto"/>
              </w:rPr>
            </w:pPr>
            <w:r>
              <w:rPr>
                <w:rFonts w:ascii="Arial" w:cs="Arial" w:eastAsia="Arial" w:hAnsi="Arial"/>
                <w:sz w:val="12"/>
                <w:szCs w:val="12"/>
                <w:color w:val="auto"/>
              </w:rPr>
              <w:t>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326453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64535" cy="1714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 Volumes represent Shell’s share of production (60%) net of royalty payments.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20" w:type="dxa"/>
            <w:vAlign w:val="bottom"/>
            <w:gridSpan w:val="2"/>
            <w:shd w:val="clear" w:color="auto" w:fill="005696"/>
          </w:tcPr>
          <w:p>
            <w:pPr>
              <w:ind w:left="80"/>
              <w:spacing w:after="0"/>
              <w:rPr>
                <w:sz w:val="20"/>
                <w:szCs w:val="20"/>
                <w:color w:val="auto"/>
              </w:rPr>
            </w:pPr>
            <w:r>
              <w:rPr>
                <w:rFonts w:ascii="Arial" w:cs="Arial" w:eastAsia="Arial" w:hAnsi="Arial"/>
                <w:sz w:val="12"/>
                <w:szCs w:val="12"/>
                <w:b w:val="1"/>
                <w:bCs w:val="1"/>
                <w:color w:val="FFFFFF"/>
              </w:rPr>
              <w:t>PROVEN AND PROBABLE MINABLE OIL SANDS RESERVES</w:t>
            </w:r>
          </w:p>
        </w:tc>
        <w:tc>
          <w:tcPr>
            <w:tcW w:w="760" w:type="dxa"/>
            <w:vAlign w:val="bottom"/>
            <w:shd w:val="clear" w:color="auto" w:fill="005696"/>
          </w:tcPr>
          <w:p>
            <w:pPr>
              <w:spacing w:after="0"/>
              <w:rPr>
                <w:sz w:val="13"/>
                <w:szCs w:val="13"/>
                <w:color w:val="auto"/>
              </w:rPr>
            </w:pPr>
          </w:p>
        </w:tc>
        <w:tc>
          <w:tcPr>
            <w:tcW w:w="460" w:type="dxa"/>
            <w:vAlign w:val="bottom"/>
            <w:shd w:val="clear" w:color="auto" w:fill="005696"/>
          </w:tcPr>
          <w:p>
            <w:pPr>
              <w:spacing w:after="0"/>
              <w:rPr>
                <w:sz w:val="13"/>
                <w:szCs w:val="13"/>
                <w:color w:val="auto"/>
              </w:rPr>
            </w:pPr>
          </w:p>
        </w:tc>
      </w:tr>
      <w:tr>
        <w:trPr>
          <w:trHeight w:val="166"/>
        </w:trPr>
        <w:tc>
          <w:tcPr>
            <w:tcW w:w="3520" w:type="dxa"/>
            <w:vAlign w:val="bottom"/>
            <w:shd w:val="clear" w:color="auto" w:fill="005696"/>
          </w:tcPr>
          <w:p>
            <w:pPr>
              <w:ind w:left="80"/>
              <w:spacing w:after="0"/>
              <w:rPr>
                <w:sz w:val="20"/>
                <w:szCs w:val="20"/>
                <w:color w:val="auto"/>
              </w:rPr>
            </w:pPr>
            <w:r>
              <w:rPr>
                <w:rFonts w:ascii="Arial" w:cs="Arial" w:eastAsia="Arial" w:hAnsi="Arial"/>
                <w:sz w:val="12"/>
                <w:szCs w:val="12"/>
                <w:b w:val="1"/>
                <w:bCs w:val="1"/>
                <w:color w:val="FFFFFF"/>
              </w:rPr>
              <w:t>(At December 31)</w:t>
            </w:r>
          </w:p>
        </w:tc>
        <w:tc>
          <w:tcPr>
            <w:tcW w:w="400" w:type="dxa"/>
            <w:vAlign w:val="bottom"/>
            <w:shd w:val="clear" w:color="auto" w:fill="005696"/>
          </w:tcPr>
          <w:p>
            <w:pPr>
              <w:spacing w:after="0"/>
              <w:rPr>
                <w:sz w:val="14"/>
                <w:szCs w:val="14"/>
                <w:color w:val="auto"/>
              </w:rPr>
            </w:pPr>
          </w:p>
        </w:tc>
        <w:tc>
          <w:tcPr>
            <w:tcW w:w="1220" w:type="dxa"/>
            <w:vAlign w:val="bottom"/>
            <w:gridSpan w:val="2"/>
            <w:shd w:val="clear" w:color="auto" w:fill="005696"/>
          </w:tcPr>
          <w:p>
            <w:pPr>
              <w:jc w:val="right"/>
              <w:spacing w:after="0"/>
              <w:rPr>
                <w:sz w:val="20"/>
                <w:szCs w:val="20"/>
                <w:color w:val="auto"/>
              </w:rPr>
            </w:pPr>
            <w:r>
              <w:rPr>
                <w:rFonts w:ascii="Arial" w:cs="Arial" w:eastAsia="Arial" w:hAnsi="Arial"/>
                <w:sz w:val="12"/>
                <w:szCs w:val="12"/>
                <w:b w:val="1"/>
                <w:bCs w:val="1"/>
                <w:color w:val="FFFFFF"/>
              </w:rPr>
              <w:t>million barrels</w:t>
            </w:r>
          </w:p>
        </w:tc>
      </w:tr>
      <w:tr>
        <w:trPr>
          <w:trHeight w:val="193"/>
        </w:trPr>
        <w:tc>
          <w:tcPr>
            <w:tcW w:w="3520" w:type="dxa"/>
            <w:vAlign w:val="bottom"/>
            <w:tcBorders>
              <w:bottom w:val="single" w:sz="8" w:color="CECAC6"/>
            </w:tcBorders>
            <w:shd w:val="clear" w:color="auto" w:fill="CECAC6"/>
          </w:tcPr>
          <w:p>
            <w:pPr>
              <w:spacing w:after="0"/>
              <w:rPr>
                <w:sz w:val="16"/>
                <w:szCs w:val="16"/>
                <w:color w:val="auto"/>
              </w:rPr>
            </w:pPr>
          </w:p>
        </w:tc>
        <w:tc>
          <w:tcPr>
            <w:tcW w:w="400" w:type="dxa"/>
            <w:vAlign w:val="bottom"/>
            <w:tcBorders>
              <w:bottom w:val="single" w:sz="8" w:color="CECAC6"/>
            </w:tcBorders>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760" w:type="dxa"/>
            <w:vAlign w:val="bottom"/>
            <w:tcBorders>
              <w:bottom w:val="single" w:sz="8" w:color="CECAC6"/>
            </w:tcBorders>
            <w:shd w:val="clear" w:color="auto" w:fill="CECAC6"/>
          </w:tcPr>
          <w:p>
            <w:pPr>
              <w:jc w:val="right"/>
              <w:ind w:right="98"/>
              <w:spacing w:after="0"/>
              <w:rPr>
                <w:sz w:val="20"/>
                <w:szCs w:val="20"/>
                <w:color w:val="auto"/>
              </w:rPr>
            </w:pPr>
            <w:r>
              <w:rPr>
                <w:rFonts w:ascii="Arial" w:cs="Arial" w:eastAsia="Arial" w:hAnsi="Arial"/>
                <w:sz w:val="12"/>
                <w:szCs w:val="12"/>
                <w:color w:val="auto"/>
              </w:rPr>
              <w:t>2006</w:t>
            </w:r>
          </w:p>
        </w:tc>
        <w:tc>
          <w:tcPr>
            <w:tcW w:w="460" w:type="dxa"/>
            <w:vAlign w:val="bottom"/>
            <w:tcBorders>
              <w:bottom w:val="single" w:sz="8" w:color="CECAC6"/>
            </w:tcBorders>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67"/>
        </w:trPr>
        <w:tc>
          <w:tcPr>
            <w:tcW w:w="3520" w:type="dxa"/>
            <w:vAlign w:val="bottom"/>
          </w:tcPr>
          <w:p>
            <w:pPr>
              <w:ind w:left="20"/>
              <w:spacing w:after="0"/>
              <w:rPr>
                <w:sz w:val="20"/>
                <w:szCs w:val="20"/>
                <w:color w:val="auto"/>
              </w:rPr>
            </w:pPr>
            <w:r>
              <w:rPr>
                <w:rFonts w:ascii="Arial" w:cs="Arial" w:eastAsia="Arial" w:hAnsi="Arial"/>
                <w:sz w:val="12"/>
                <w:szCs w:val="12"/>
                <w:color w:val="auto"/>
              </w:rPr>
              <w:t>Shell subsidiaries</w:t>
            </w:r>
          </w:p>
        </w:tc>
        <w:tc>
          <w:tcPr>
            <w:tcW w:w="400" w:type="dxa"/>
            <w:vAlign w:val="bottom"/>
            <w:shd w:val="clear" w:color="auto" w:fill="E4E3E1"/>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33"/>
        </w:trPr>
        <w:tc>
          <w:tcPr>
            <w:tcW w:w="3520" w:type="dxa"/>
            <w:vAlign w:val="bottom"/>
          </w:tcPr>
          <w:p>
            <w:pPr>
              <w:ind w:left="20"/>
              <w:spacing w:after="0" w:line="133" w:lineRule="exact"/>
              <w:rPr>
                <w:sz w:val="20"/>
                <w:szCs w:val="20"/>
                <w:color w:val="auto"/>
              </w:rPr>
            </w:pPr>
            <w:r>
              <w:rPr>
                <w:rFonts w:ascii="Arial" w:cs="Arial" w:eastAsia="Arial" w:hAnsi="Arial"/>
                <w:sz w:val="12"/>
                <w:szCs w:val="12"/>
                <w:color w:val="auto"/>
              </w:rPr>
              <w:t>Net proven reserves</w:t>
            </w:r>
            <w:r>
              <w:rPr>
                <w:rFonts w:ascii="Arial" w:cs="Arial" w:eastAsia="Arial" w:hAnsi="Arial"/>
                <w:sz w:val="10"/>
                <w:szCs w:val="10"/>
                <w:color w:val="auto"/>
              </w:rPr>
              <w:t>[A]</w:t>
            </w:r>
          </w:p>
        </w:tc>
        <w:tc>
          <w:tcPr>
            <w:tcW w:w="40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1,111</w:t>
            </w: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1,134</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746</w:t>
            </w:r>
          </w:p>
        </w:tc>
      </w:tr>
      <w:tr>
        <w:trPr>
          <w:trHeight w:val="139"/>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Net probable reserves</w:t>
            </w:r>
            <w:r>
              <w:rPr>
                <w:rFonts w:ascii="Arial" w:cs="Arial" w:eastAsia="Arial" w:hAnsi="Arial"/>
                <w:sz w:val="10"/>
                <w:szCs w:val="10"/>
                <w:color w:val="auto"/>
              </w:rPr>
              <w:t>[B]</w:t>
            </w:r>
          </w:p>
        </w:tc>
        <w:tc>
          <w:tcPr>
            <w:tcW w:w="4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362</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341</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w:t>
            </w:r>
          </w:p>
        </w:tc>
      </w:tr>
      <w:tr>
        <w:trPr>
          <w:trHeight w:val="140"/>
        </w:trPr>
        <w:tc>
          <w:tcPr>
            <w:tcW w:w="3520" w:type="dxa"/>
            <w:vAlign w:val="bottom"/>
          </w:tcPr>
          <w:p>
            <w:pPr>
              <w:ind w:left="20"/>
              <w:spacing w:after="0"/>
              <w:rPr>
                <w:sz w:val="20"/>
                <w:szCs w:val="20"/>
                <w:color w:val="auto"/>
              </w:rPr>
            </w:pPr>
            <w:r>
              <w:rPr>
                <w:rFonts w:ascii="Arial" w:cs="Arial" w:eastAsia="Arial" w:hAnsi="Arial"/>
                <w:sz w:val="12"/>
                <w:szCs w:val="12"/>
                <w:color w:val="auto"/>
              </w:rPr>
              <w:t>Net proven and probable reserves</w:t>
            </w:r>
          </w:p>
        </w:tc>
        <w:tc>
          <w:tcPr>
            <w:tcW w:w="400" w:type="dxa"/>
            <w:vAlign w:val="bottom"/>
            <w:shd w:val="clear" w:color="auto" w:fill="E4E3E1"/>
          </w:tcPr>
          <w:p>
            <w:pPr>
              <w:jc w:val="right"/>
              <w:spacing w:after="0"/>
              <w:rPr>
                <w:sz w:val="20"/>
                <w:szCs w:val="20"/>
                <w:color w:val="auto"/>
              </w:rPr>
            </w:pPr>
            <w:r>
              <w:rPr>
                <w:rFonts w:ascii="Arial" w:cs="Arial" w:eastAsia="Arial" w:hAnsi="Arial"/>
                <w:sz w:val="12"/>
                <w:szCs w:val="12"/>
                <w:color w:val="auto"/>
              </w:rPr>
              <w:t>1,473</w:t>
            </w:r>
          </w:p>
        </w:tc>
        <w:tc>
          <w:tcPr>
            <w:tcW w:w="760" w:type="dxa"/>
            <w:vAlign w:val="bottom"/>
          </w:tcPr>
          <w:p>
            <w:pPr>
              <w:jc w:val="right"/>
              <w:ind w:right="98"/>
              <w:spacing w:after="0"/>
              <w:rPr>
                <w:sz w:val="20"/>
                <w:szCs w:val="20"/>
                <w:color w:val="auto"/>
              </w:rPr>
            </w:pPr>
            <w:r>
              <w:rPr>
                <w:rFonts w:ascii="Arial" w:cs="Arial" w:eastAsia="Arial" w:hAnsi="Arial"/>
                <w:sz w:val="12"/>
                <w:szCs w:val="12"/>
                <w:color w:val="auto"/>
              </w:rPr>
              <w:t>1,475</w:t>
            </w:r>
          </w:p>
        </w:tc>
        <w:tc>
          <w:tcPr>
            <w:tcW w:w="460" w:type="dxa"/>
            <w:vAlign w:val="bottom"/>
          </w:tcPr>
          <w:p>
            <w:pPr>
              <w:jc w:val="right"/>
              <w:spacing w:after="0"/>
              <w:rPr>
                <w:sz w:val="20"/>
                <w:szCs w:val="20"/>
                <w:color w:val="auto"/>
              </w:rPr>
            </w:pPr>
            <w:r>
              <w:rPr>
                <w:rFonts w:ascii="Arial" w:cs="Arial" w:eastAsia="Arial" w:hAnsi="Arial"/>
                <w:sz w:val="12"/>
                <w:szCs w:val="12"/>
                <w:color w:val="auto"/>
              </w:rPr>
              <w:t>865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326453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64535" cy="17145"/>
                    </a:xfrm>
                    <a:prstGeom prst="rect">
                      <a:avLst/>
                    </a:prstGeom>
                    <a:noFill/>
                  </pic:spPr>
                </pic:pic>
              </a:graphicData>
            </a:graphic>
          </wp:anchor>
        </w:drawing>
      </w:r>
    </w:p>
    <w:p>
      <w:pPr>
        <w:ind w:left="200" w:right="80" w:hanging="194"/>
        <w:spacing w:after="0" w:line="231" w:lineRule="auto"/>
        <w:tabs>
          <w:tab w:leader="none" w:pos="2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Proven minable oil sands reserves are computed from dimensions revealed in drill holes and the bitumen grades are computed from the results of detailed sampling. The sites for inspection, sampling, and measurement are spaced so closely and the geological character is so well defined that size, shape, depth, and bitumen content of the reserves are well established.</w:t>
      </w:r>
    </w:p>
    <w:p>
      <w:pPr>
        <w:spacing w:after="0" w:line="1" w:lineRule="exact"/>
        <w:rPr>
          <w:rFonts w:ascii="Arial" w:cs="Arial" w:eastAsia="Arial" w:hAnsi="Arial"/>
          <w:sz w:val="12"/>
          <w:szCs w:val="12"/>
          <w:color w:val="auto"/>
        </w:rPr>
      </w:pPr>
    </w:p>
    <w:p>
      <w:pPr>
        <w:ind w:left="200" w:right="40" w:hanging="194"/>
        <w:spacing w:after="0" w:line="236" w:lineRule="auto"/>
        <w:tabs>
          <w:tab w:leader="none" w:pos="2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Probable minable oil sands reserves are computed from information similar to that used for proven reserves, however, the sites for inspection, sampling, and measurement are farther apart or are otherwise less adequately spaced. Although the degree of assurance is less than that for proven reserves, it is sufficient to assume continuity between points of observation.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-3540760</wp:posOffset>
            </wp:positionH>
            <wp:positionV relativeFrom="paragraph">
              <wp:posOffset>2653665</wp:posOffset>
            </wp:positionV>
            <wp:extent cx="725297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140" w:space="440"/>
            <w:col w:w="5160"/>
          </w:cols>
          <w:pgMar w:left="240" w:top="415" w:right="919" w:bottom="1440" w:gutter="0" w:footer="0" w:header="0"/>
        </w:sectPr>
      </w:pPr>
    </w:p>
    <w:bookmarkStart w:id="48" w:name="page49"/>
    <w:bookmarkEnd w:id="48"/>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494030</wp:posOffset>
            </wp:positionV>
            <wp:extent cx="3281680" cy="7341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81680" cy="7341235"/>
                    </a:xfrm>
                    <a:prstGeom prst="rect">
                      <a:avLst/>
                    </a:prstGeom>
                    <a:noFill/>
                  </pic:spPr>
                </pic:pic>
              </a:graphicData>
            </a:graphic>
          </wp:anchor>
        </w:drawing>
      </w:r>
    </w:p>
    <w:p>
      <w:pPr>
        <w:sectPr>
          <w:pgSz w:w="11900" w:h="16838" w:orient="portrait"/>
          <w:cols w:equalWidth="0" w:num="1">
            <w:col w:w="10380"/>
          </w:cols>
          <w:pgMar w:left="240" w:top="415" w:right="1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00"/>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36"/>
          <w:szCs w:val="36"/>
          <w:color w:val="auto"/>
        </w:rPr>
        <w:t>Oil Products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HIGHLIGHTS</w:t>
      </w:r>
    </w:p>
    <w:p>
      <w:pPr>
        <w:spacing w:after="0" w:line="131" w:lineRule="exact"/>
        <w:rPr>
          <w:sz w:val="20"/>
          <w:szCs w:val="20"/>
          <w:color w:val="auto"/>
        </w:rPr>
      </w:pP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Segment earnings of $10.4 billion.</w:t>
      </w:r>
    </w:p>
    <w:p>
      <w:pPr>
        <w:spacing w:after="0" w:line="24" w:lineRule="exact"/>
        <w:rPr>
          <w:rFonts w:ascii="Arial" w:cs="Arial" w:eastAsia="Arial" w:hAnsi="Arial"/>
          <w:sz w:val="16"/>
          <w:szCs w:val="16"/>
          <w:b w:val="1"/>
          <w:bCs w:val="1"/>
          <w:color w:val="auto"/>
        </w:rPr>
      </w:pPr>
    </w:p>
    <w:p>
      <w:pPr>
        <w:jc w:val="both"/>
        <w:ind w:left="280" w:right="200" w:hanging="180"/>
        <w:spacing w:after="0" w:line="297" w:lineRule="auto"/>
        <w:tabs>
          <w:tab w:leader="none" w:pos="280" w:val="left"/>
        </w:tabs>
        <w:numPr>
          <w:ilvl w:val="0"/>
          <w:numId w:val="51"/>
        </w:numPr>
        <w:rPr>
          <w:rFonts w:ascii="Arial" w:cs="Arial" w:eastAsia="Arial" w:hAnsi="Arial"/>
          <w:sz w:val="14"/>
          <w:szCs w:val="14"/>
          <w:b w:val="1"/>
          <w:bCs w:val="1"/>
          <w:color w:val="auto"/>
        </w:rPr>
      </w:pPr>
      <w:r>
        <w:rPr>
          <w:rFonts w:ascii="Arial" w:cs="Arial" w:eastAsia="Arial" w:hAnsi="Arial"/>
          <w:sz w:val="14"/>
          <w:szCs w:val="14"/>
          <w:b w:val="1"/>
          <w:bCs w:val="1"/>
          <w:color w:val="auto"/>
        </w:rPr>
        <w:t>Final investment decision taken to proceed with the 325,000 barrels per day expansion of the Motiva Port Arthur Refinery in the USA.</w:t>
      </w:r>
    </w:p>
    <w:p>
      <w:pPr>
        <w:spacing w:after="0" w:line="1" w:lineRule="exact"/>
        <w:rPr>
          <w:rFonts w:ascii="Arial" w:cs="Arial" w:eastAsia="Arial" w:hAnsi="Arial"/>
          <w:sz w:val="14"/>
          <w:szCs w:val="14"/>
          <w:b w:val="1"/>
          <w:bCs w:val="1"/>
          <w:color w:val="auto"/>
        </w:rPr>
      </w:pP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of Shell Canada minority interest.</w:t>
      </w:r>
    </w:p>
    <w:p>
      <w:pPr>
        <w:spacing w:after="0" w:line="15" w:lineRule="exact"/>
        <w:rPr>
          <w:rFonts w:ascii="Arial" w:cs="Arial" w:eastAsia="Arial" w:hAnsi="Arial"/>
          <w:sz w:val="16"/>
          <w:szCs w:val="16"/>
          <w:b w:val="1"/>
          <w:bCs w:val="1"/>
          <w:color w:val="auto"/>
        </w:rPr>
      </w:pP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Retail growth in Ukraine, Malaysia and Scandinavia.</w:t>
      </w:r>
    </w:p>
    <w:p>
      <w:pPr>
        <w:spacing w:after="0" w:line="15" w:lineRule="exact"/>
        <w:rPr>
          <w:rFonts w:ascii="Arial" w:cs="Arial" w:eastAsia="Arial" w:hAnsi="Arial"/>
          <w:sz w:val="16"/>
          <w:szCs w:val="16"/>
          <w:b w:val="1"/>
          <w:bCs w:val="1"/>
          <w:color w:val="auto"/>
        </w:rPr>
      </w:pPr>
    </w:p>
    <w:p>
      <w:pPr>
        <w:ind w:left="280" w:right="300" w:hanging="180"/>
        <w:spacing w:after="0" w:line="260" w:lineRule="auto"/>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Completion of the sale of the Los Angeles refinery and 250 service stations in the USA.</w:t>
      </w: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Progress on the sale of three French refineries.</w:t>
      </w:r>
    </w:p>
    <w:p>
      <w:pPr>
        <w:spacing w:after="0" w:line="15" w:lineRule="exact"/>
        <w:rPr>
          <w:rFonts w:ascii="Arial" w:cs="Arial" w:eastAsia="Arial" w:hAnsi="Arial"/>
          <w:sz w:val="16"/>
          <w:szCs w:val="16"/>
          <w:b w:val="1"/>
          <w:bCs w:val="1"/>
          <w:color w:val="auto"/>
        </w:rPr>
      </w:pP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Launch of Shell Sulphur Solutions.</w:t>
      </w:r>
    </w:p>
    <w:p>
      <w:pPr>
        <w:spacing w:after="0" w:line="15" w:lineRule="exact"/>
        <w:rPr>
          <w:rFonts w:ascii="Arial" w:cs="Arial" w:eastAsia="Arial" w:hAnsi="Arial"/>
          <w:sz w:val="16"/>
          <w:szCs w:val="16"/>
          <w:b w:val="1"/>
          <w:bCs w:val="1"/>
          <w:color w:val="auto"/>
        </w:rPr>
      </w:pPr>
    </w:p>
    <w:p>
      <w:pPr>
        <w:ind w:left="280" w:hanging="180"/>
        <w:spacing w:after="0"/>
        <w:tabs>
          <w:tab w:leader="none" w:pos="2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Creation of a new Future Fuels and CO</w:t>
      </w:r>
      <w:r>
        <w:rPr>
          <w:rFonts w:ascii="Arial" w:cs="Arial" w:eastAsia="Arial" w:hAnsi="Arial"/>
          <w:sz w:val="13"/>
          <w:szCs w:val="13"/>
          <w:b w:val="1"/>
          <w:bCs w:val="1"/>
          <w:color w:val="auto"/>
        </w:rPr>
        <w:t>2</w:t>
      </w:r>
      <w:r>
        <w:rPr>
          <w:rFonts w:ascii="Arial" w:cs="Arial" w:eastAsia="Arial" w:hAnsi="Arial"/>
          <w:sz w:val="16"/>
          <w:szCs w:val="16"/>
          <w:b w:val="1"/>
          <w:bCs w:val="1"/>
          <w:color w:val="auto"/>
        </w:rPr>
        <w:t xml:space="preserve"> business unit.</w:t>
      </w:r>
    </w:p>
    <w:p>
      <w:pPr>
        <w:spacing w:after="0" w:line="162" w:lineRule="exact"/>
        <w:rPr>
          <w:sz w:val="20"/>
          <w:szCs w:val="20"/>
          <w:color w:val="auto"/>
        </w:rPr>
      </w:pPr>
    </w:p>
    <w:tbl>
      <w:tblPr>
        <w:tblLayout w:type="fixed"/>
        <w:tblInd w:w="100" w:type="dxa"/>
        <w:tblCellMar>
          <w:top w:w="0" w:type="dxa"/>
          <w:left w:w="0" w:type="dxa"/>
          <w:bottom w:w="0" w:type="dxa"/>
          <w:right w:w="0" w:type="dxa"/>
        </w:tblCellMar>
      </w:tblPr>
      <w:tr>
        <w:trPr>
          <w:trHeight w:val="139"/>
        </w:trPr>
        <w:tc>
          <w:tcPr>
            <w:tcW w:w="980" w:type="dxa"/>
            <w:vAlign w:val="bottom"/>
            <w:shd w:val="clear" w:color="auto" w:fill="EE2E24"/>
          </w:tcPr>
          <w:p>
            <w:pPr>
              <w:spacing w:after="0"/>
              <w:rPr>
                <w:sz w:val="20"/>
                <w:szCs w:val="20"/>
                <w:color w:val="auto"/>
              </w:rPr>
            </w:pPr>
            <w:r>
              <w:rPr>
                <w:rFonts w:ascii="Arial" w:cs="Arial" w:eastAsia="Arial" w:hAnsi="Arial"/>
                <w:sz w:val="12"/>
                <w:szCs w:val="12"/>
                <w:b w:val="1"/>
                <w:bCs w:val="1"/>
                <w:color w:val="FFFFFF"/>
              </w:rPr>
              <w:t>EARNINGS</w:t>
            </w:r>
          </w:p>
        </w:tc>
        <w:tc>
          <w:tcPr>
            <w:tcW w:w="920" w:type="dxa"/>
            <w:vAlign w:val="bottom"/>
            <w:shd w:val="clear" w:color="auto" w:fill="EE2E24"/>
          </w:tcPr>
          <w:p>
            <w:pPr>
              <w:spacing w:after="0"/>
              <w:rPr>
                <w:sz w:val="12"/>
                <w:szCs w:val="12"/>
                <w:color w:val="auto"/>
              </w:rPr>
            </w:pPr>
          </w:p>
        </w:tc>
        <w:tc>
          <w:tcPr>
            <w:tcW w:w="1060" w:type="dxa"/>
            <w:vAlign w:val="bottom"/>
            <w:shd w:val="clear" w:color="auto" w:fill="EE2E24"/>
          </w:tcPr>
          <w:p>
            <w:pPr>
              <w:spacing w:after="0"/>
              <w:rPr>
                <w:sz w:val="12"/>
                <w:szCs w:val="12"/>
                <w:color w:val="auto"/>
              </w:rPr>
            </w:pPr>
          </w:p>
        </w:tc>
        <w:tc>
          <w:tcPr>
            <w:tcW w:w="160" w:type="dxa"/>
            <w:vAlign w:val="bottom"/>
            <w:tcBorders>
              <w:right w:val="single" w:sz="8" w:color="EE2E24"/>
            </w:tcBorders>
            <w:shd w:val="clear" w:color="auto" w:fill="EE2E24"/>
          </w:tcPr>
          <w:p>
            <w:pPr>
              <w:spacing w:after="0"/>
              <w:rPr>
                <w:sz w:val="12"/>
                <w:szCs w:val="12"/>
                <w:color w:val="auto"/>
              </w:rPr>
            </w:pPr>
          </w:p>
        </w:tc>
        <w:tc>
          <w:tcPr>
            <w:tcW w:w="560" w:type="dxa"/>
            <w:vAlign w:val="bottom"/>
            <w:shd w:val="clear" w:color="auto" w:fill="EE2E24"/>
          </w:tcPr>
          <w:p>
            <w:pPr>
              <w:spacing w:after="0"/>
              <w:rPr>
                <w:sz w:val="12"/>
                <w:szCs w:val="12"/>
                <w:color w:val="auto"/>
              </w:rPr>
            </w:pPr>
          </w:p>
        </w:tc>
        <w:tc>
          <w:tcPr>
            <w:tcW w:w="100" w:type="dxa"/>
            <w:vAlign w:val="bottom"/>
            <w:shd w:val="clear" w:color="auto" w:fill="EE2E24"/>
          </w:tcPr>
          <w:p>
            <w:pPr>
              <w:spacing w:after="0"/>
              <w:rPr>
                <w:sz w:val="12"/>
                <w:szCs w:val="12"/>
                <w:color w:val="auto"/>
              </w:rPr>
            </w:pPr>
          </w:p>
        </w:tc>
        <w:tc>
          <w:tcPr>
            <w:tcW w:w="600" w:type="dxa"/>
            <w:vAlign w:val="bottom"/>
            <w:shd w:val="clear" w:color="auto" w:fill="EE2E24"/>
          </w:tcPr>
          <w:p>
            <w:pPr>
              <w:spacing w:after="0"/>
              <w:rPr>
                <w:sz w:val="12"/>
                <w:szCs w:val="12"/>
                <w:color w:val="auto"/>
              </w:rPr>
            </w:pPr>
          </w:p>
        </w:tc>
        <w:tc>
          <w:tcPr>
            <w:tcW w:w="600" w:type="dxa"/>
            <w:vAlign w:val="bottom"/>
            <w:shd w:val="clear" w:color="auto" w:fill="EE2E24"/>
          </w:tcPr>
          <w:p>
            <w:pPr>
              <w:jc w:val="right"/>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33"/>
        </w:trPr>
        <w:tc>
          <w:tcPr>
            <w:tcW w:w="980" w:type="dxa"/>
            <w:vAlign w:val="bottom"/>
            <w:shd w:val="clear" w:color="auto" w:fill="E4E3E1"/>
          </w:tcPr>
          <w:p>
            <w:pPr>
              <w:spacing w:after="0"/>
              <w:rPr>
                <w:sz w:val="11"/>
                <w:szCs w:val="11"/>
                <w:color w:val="auto"/>
              </w:rPr>
            </w:pPr>
          </w:p>
        </w:tc>
        <w:tc>
          <w:tcPr>
            <w:tcW w:w="920" w:type="dxa"/>
            <w:vAlign w:val="bottom"/>
            <w:shd w:val="clear" w:color="auto" w:fill="E4E3E1"/>
          </w:tcPr>
          <w:p>
            <w:pPr>
              <w:spacing w:after="0"/>
              <w:rPr>
                <w:sz w:val="11"/>
                <w:szCs w:val="11"/>
                <w:color w:val="auto"/>
              </w:rPr>
            </w:pPr>
          </w:p>
        </w:tc>
        <w:tc>
          <w:tcPr>
            <w:tcW w:w="1060" w:type="dxa"/>
            <w:vAlign w:val="bottom"/>
            <w:shd w:val="clear" w:color="auto" w:fill="E4E3E1"/>
          </w:tcPr>
          <w:p>
            <w:pPr>
              <w:spacing w:after="0"/>
              <w:rPr>
                <w:sz w:val="11"/>
                <w:szCs w:val="11"/>
                <w:color w:val="auto"/>
              </w:rPr>
            </w:pPr>
          </w:p>
        </w:tc>
        <w:tc>
          <w:tcPr>
            <w:tcW w:w="720" w:type="dxa"/>
            <w:vAlign w:val="bottom"/>
            <w:gridSpan w:val="2"/>
            <w:shd w:val="clear" w:color="auto" w:fill="E4E3E1"/>
          </w:tcPr>
          <w:p>
            <w:pPr>
              <w:jc w:val="right"/>
              <w:spacing w:after="0" w:line="128" w:lineRule="exact"/>
              <w:rPr>
                <w:sz w:val="20"/>
                <w:szCs w:val="20"/>
                <w:color w:val="auto"/>
              </w:rPr>
            </w:pPr>
            <w:r>
              <w:rPr>
                <w:rFonts w:ascii="Arial" w:cs="Arial" w:eastAsia="Arial" w:hAnsi="Arial"/>
                <w:sz w:val="12"/>
                <w:szCs w:val="12"/>
                <w:color w:val="auto"/>
              </w:rPr>
              <w:t>2007</w:t>
            </w:r>
          </w:p>
        </w:tc>
        <w:tc>
          <w:tcPr>
            <w:tcW w:w="100" w:type="dxa"/>
            <w:vAlign w:val="bottom"/>
            <w:shd w:val="clear" w:color="auto" w:fill="E4E3E1"/>
          </w:tcPr>
          <w:p>
            <w:pPr>
              <w:spacing w:after="0"/>
              <w:rPr>
                <w:sz w:val="11"/>
                <w:szCs w:val="11"/>
                <w:color w:val="auto"/>
              </w:rPr>
            </w:pPr>
          </w:p>
        </w:tc>
        <w:tc>
          <w:tcPr>
            <w:tcW w:w="60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2006</w:t>
            </w:r>
          </w:p>
        </w:tc>
        <w:tc>
          <w:tcPr>
            <w:tcW w:w="60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33"/>
        </w:trPr>
        <w:tc>
          <w:tcPr>
            <w:tcW w:w="2960" w:type="dxa"/>
            <w:vAlign w:val="bottom"/>
            <w:gridSpan w:val="3"/>
          </w:tcPr>
          <w:p>
            <w:pPr>
              <w:spacing w:after="0" w:line="128" w:lineRule="exact"/>
              <w:rPr>
                <w:sz w:val="20"/>
                <w:szCs w:val="20"/>
                <w:color w:val="auto"/>
              </w:rPr>
            </w:pPr>
            <w:r>
              <w:rPr>
                <w:rFonts w:ascii="Arial" w:cs="Arial" w:eastAsia="Arial" w:hAnsi="Arial"/>
                <w:sz w:val="12"/>
                <w:szCs w:val="12"/>
                <w:color w:val="auto"/>
              </w:rPr>
              <w:t>Revenue (including intersegment sales)</w:t>
            </w: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286,072</w:t>
            </w:r>
          </w:p>
        </w:tc>
        <w:tc>
          <w:tcPr>
            <w:tcW w:w="100" w:type="dxa"/>
            <w:vAlign w:val="bottom"/>
          </w:tcPr>
          <w:p>
            <w:pPr>
              <w:spacing w:after="0"/>
              <w:rPr>
                <w:sz w:val="11"/>
                <w:szCs w:val="11"/>
                <w:color w:val="auto"/>
              </w:rPr>
            </w:pPr>
          </w:p>
        </w:tc>
        <w:tc>
          <w:tcPr>
            <w:tcW w:w="6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251,309</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253,853</w:t>
            </w:r>
          </w:p>
        </w:tc>
        <w:tc>
          <w:tcPr>
            <w:tcW w:w="0" w:type="dxa"/>
            <w:vAlign w:val="bottom"/>
          </w:tcPr>
          <w:p>
            <w:pPr>
              <w:spacing w:after="0"/>
              <w:rPr>
                <w:sz w:val="1"/>
                <w:szCs w:val="1"/>
                <w:color w:val="auto"/>
              </w:rPr>
            </w:pPr>
          </w:p>
        </w:tc>
      </w:tr>
      <w:tr>
        <w:trPr>
          <w:trHeight w:val="127"/>
        </w:trPr>
        <w:tc>
          <w:tcPr>
            <w:tcW w:w="2960" w:type="dxa"/>
            <w:vAlign w:val="bottom"/>
            <w:gridSpan w:val="3"/>
          </w:tcPr>
          <w:p>
            <w:pPr>
              <w:spacing w:after="0" w:line="128" w:lineRule="exact"/>
              <w:rPr>
                <w:sz w:val="20"/>
                <w:szCs w:val="20"/>
                <w:color w:val="auto"/>
              </w:rPr>
            </w:pPr>
            <w:r>
              <w:rPr>
                <w:rFonts w:ascii="Arial" w:cs="Arial" w:eastAsia="Arial" w:hAnsi="Arial"/>
                <w:sz w:val="12"/>
                <w:szCs w:val="12"/>
                <w:color w:val="auto"/>
              </w:rPr>
              <w:t>Purchases (including change in inventories)</w:t>
            </w: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w w:val="93"/>
                <w:shd w:val="clear" w:color="auto" w:fill="E4E3E1"/>
              </w:rPr>
              <w:t>(252,763)</w:t>
            </w:r>
          </w:p>
        </w:tc>
        <w:tc>
          <w:tcPr>
            <w:tcW w:w="100" w:type="dxa"/>
            <w:vAlign w:val="bottom"/>
          </w:tcPr>
          <w:p>
            <w:pPr>
              <w:spacing w:after="0"/>
              <w:rPr>
                <w:sz w:val="11"/>
                <w:szCs w:val="11"/>
                <w:color w:val="auto"/>
              </w:rPr>
            </w:pP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(222,962)</w:t>
            </w:r>
          </w:p>
        </w:tc>
        <w:tc>
          <w:tcPr>
            <w:tcW w:w="600" w:type="dxa"/>
            <w:vAlign w:val="bottom"/>
          </w:tcPr>
          <w:p>
            <w:pPr>
              <w:jc w:val="right"/>
              <w:spacing w:after="0" w:line="128" w:lineRule="exact"/>
              <w:rPr>
                <w:sz w:val="20"/>
                <w:szCs w:val="20"/>
                <w:color w:val="auto"/>
              </w:rPr>
            </w:pPr>
            <w:r>
              <w:rPr>
                <w:rFonts w:ascii="Arial" w:cs="Arial" w:eastAsia="Arial" w:hAnsi="Arial"/>
                <w:sz w:val="12"/>
                <w:szCs w:val="12"/>
                <w:color w:val="auto"/>
              </w:rPr>
              <w:t>(223,482)</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Depreciation</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(2,440)</w:t>
            </w:r>
          </w:p>
        </w:tc>
        <w:tc>
          <w:tcPr>
            <w:tcW w:w="10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(2,580)</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(2,622)</w:t>
            </w:r>
          </w:p>
        </w:tc>
        <w:tc>
          <w:tcPr>
            <w:tcW w:w="0" w:type="dxa"/>
            <w:vAlign w:val="bottom"/>
          </w:tcPr>
          <w:p>
            <w:pPr>
              <w:spacing w:after="0"/>
              <w:rPr>
                <w:sz w:val="1"/>
                <w:szCs w:val="1"/>
                <w:color w:val="auto"/>
              </w:rPr>
            </w:pPr>
          </w:p>
        </w:tc>
      </w:tr>
      <w:tr>
        <w:trPr>
          <w:trHeight w:val="133"/>
        </w:trPr>
        <w:tc>
          <w:tcPr>
            <w:tcW w:w="1900" w:type="dxa"/>
            <w:vAlign w:val="bottom"/>
            <w:gridSpan w:val="2"/>
          </w:tcPr>
          <w:p>
            <w:pPr>
              <w:spacing w:after="0" w:line="133" w:lineRule="exact"/>
              <w:rPr>
                <w:sz w:val="20"/>
                <w:szCs w:val="20"/>
                <w:color w:val="auto"/>
              </w:rPr>
            </w:pPr>
            <w:r>
              <w:rPr>
                <w:rFonts w:ascii="Arial" w:cs="Arial" w:eastAsia="Arial" w:hAnsi="Arial"/>
                <w:sz w:val="12"/>
                <w:szCs w:val="12"/>
                <w:color w:val="auto"/>
              </w:rPr>
              <w:t>Operating expenses</w:t>
            </w:r>
          </w:p>
        </w:tc>
        <w:tc>
          <w:tcPr>
            <w:tcW w:w="1060" w:type="dxa"/>
            <w:vAlign w:val="bottom"/>
          </w:tcPr>
          <w:p>
            <w:pPr>
              <w:spacing w:after="0"/>
              <w:rPr>
                <w:sz w:val="11"/>
                <w:szCs w:val="11"/>
                <w:color w:val="auto"/>
              </w:rPr>
            </w:pP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(19,551)</w:t>
            </w:r>
          </w:p>
        </w:tc>
        <w:tc>
          <w:tcPr>
            <w:tcW w:w="10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(18,389)</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highlight w:val="white"/>
              </w:rPr>
              <w:t>(16,141)</w:t>
            </w:r>
          </w:p>
        </w:tc>
        <w:tc>
          <w:tcPr>
            <w:tcW w:w="0" w:type="dxa"/>
            <w:vAlign w:val="bottom"/>
          </w:tcPr>
          <w:p>
            <w:pPr>
              <w:spacing w:after="0"/>
              <w:rPr>
                <w:sz w:val="1"/>
                <w:szCs w:val="1"/>
                <w:color w:val="auto"/>
              </w:rPr>
            </w:pPr>
          </w:p>
        </w:tc>
      </w:tr>
      <w:tr>
        <w:trPr>
          <w:trHeight w:val="133"/>
        </w:trPr>
        <w:tc>
          <w:tcPr>
            <w:tcW w:w="2960" w:type="dxa"/>
            <w:vAlign w:val="bottom"/>
            <w:gridSpan w:val="3"/>
          </w:tcPr>
          <w:p>
            <w:pPr>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2,221</w:t>
            </w:r>
          </w:p>
        </w:tc>
        <w:tc>
          <w:tcPr>
            <w:tcW w:w="100" w:type="dxa"/>
            <w:vAlign w:val="bottom"/>
          </w:tcPr>
          <w:p>
            <w:pPr>
              <w:spacing w:after="0"/>
              <w:rPr>
                <w:sz w:val="11"/>
                <w:szCs w:val="11"/>
                <w:color w:val="auto"/>
              </w:rPr>
            </w:pP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1,712</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1,713</w:t>
            </w:r>
          </w:p>
        </w:tc>
        <w:tc>
          <w:tcPr>
            <w:tcW w:w="0" w:type="dxa"/>
            <w:vAlign w:val="bottom"/>
          </w:tcPr>
          <w:p>
            <w:pPr>
              <w:spacing w:after="0"/>
              <w:rPr>
                <w:sz w:val="1"/>
                <w:szCs w:val="1"/>
                <w:color w:val="auto"/>
              </w:rPr>
            </w:pPr>
          </w:p>
        </w:tc>
      </w:tr>
      <w:tr>
        <w:trPr>
          <w:trHeight w:val="133"/>
        </w:trPr>
        <w:tc>
          <w:tcPr>
            <w:tcW w:w="1900" w:type="dxa"/>
            <w:vAlign w:val="bottom"/>
            <w:gridSpan w:val="2"/>
          </w:tcPr>
          <w:p>
            <w:pPr>
              <w:spacing w:after="0" w:line="133" w:lineRule="exact"/>
              <w:rPr>
                <w:sz w:val="20"/>
                <w:szCs w:val="20"/>
                <w:color w:val="auto"/>
              </w:rPr>
            </w:pPr>
            <w:r>
              <w:rPr>
                <w:rFonts w:ascii="Arial" w:cs="Arial" w:eastAsia="Arial" w:hAnsi="Arial"/>
                <w:sz w:val="12"/>
                <w:szCs w:val="12"/>
                <w:color w:val="auto"/>
              </w:rPr>
              <w:t>Other income/(expense)</w:t>
            </w:r>
          </w:p>
        </w:tc>
        <w:tc>
          <w:tcPr>
            <w:tcW w:w="1060" w:type="dxa"/>
            <w:vAlign w:val="bottom"/>
          </w:tcPr>
          <w:p>
            <w:pPr>
              <w:spacing w:after="0"/>
              <w:rPr>
                <w:sz w:val="11"/>
                <w:szCs w:val="11"/>
                <w:color w:val="auto"/>
              </w:rPr>
            </w:pPr>
          </w:p>
        </w:tc>
        <w:tc>
          <w:tcPr>
            <w:tcW w:w="160" w:type="dxa"/>
            <w:vAlign w:val="bottom"/>
            <w:tcBorders>
              <w:right w:val="single" w:sz="8" w:color="E4E3E1"/>
            </w:tcBorders>
          </w:tcPr>
          <w:p>
            <w:pPr>
              <w:spacing w:after="0"/>
              <w:rPr>
                <w:sz w:val="11"/>
                <w:szCs w:val="11"/>
                <w:color w:val="auto"/>
              </w:rPr>
            </w:pP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13</w:t>
            </w:r>
          </w:p>
        </w:tc>
        <w:tc>
          <w:tcPr>
            <w:tcW w:w="100" w:type="dxa"/>
            <w:vAlign w:val="bottom"/>
          </w:tcPr>
          <w:p>
            <w:pPr>
              <w:spacing w:after="0"/>
              <w:rPr>
                <w:sz w:val="11"/>
                <w:szCs w:val="11"/>
                <w:color w:val="auto"/>
              </w:rPr>
            </w:pP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9"/>
        </w:trPr>
        <w:tc>
          <w:tcPr>
            <w:tcW w:w="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9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60" w:type="dxa"/>
            <w:vAlign w:val="bottom"/>
            <w:tcBorders>
              <w:bottom w:val="single" w:sz="8" w:color="auto"/>
              <w:right w:val="single" w:sz="8" w:color="E4E3E1"/>
            </w:tcBorders>
          </w:tcPr>
          <w:p>
            <w:pPr>
              <w:spacing w:after="0"/>
              <w:rPr>
                <w:sz w:val="12"/>
                <w:szCs w:val="12"/>
                <w:color w:val="auto"/>
              </w:rPr>
            </w:pPr>
          </w:p>
        </w:tc>
        <w:tc>
          <w:tcPr>
            <w:tcW w:w="5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(3,113)</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(3,408)</w:t>
            </w:r>
          </w:p>
        </w:tc>
        <w:tc>
          <w:tcPr>
            <w:tcW w:w="0" w:type="dxa"/>
            <w:vAlign w:val="bottom"/>
          </w:tcPr>
          <w:p>
            <w:pPr>
              <w:spacing w:after="0"/>
              <w:rPr>
                <w:sz w:val="1"/>
                <w:szCs w:val="1"/>
                <w:color w:val="auto"/>
              </w:rPr>
            </w:pPr>
          </w:p>
        </w:tc>
      </w:tr>
      <w:tr>
        <w:trPr>
          <w:trHeight w:val="140"/>
        </w:trPr>
        <w:tc>
          <w:tcPr>
            <w:tcW w:w="2960" w:type="dxa"/>
            <w:vAlign w:val="bottom"/>
            <w:gridSpan w:val="3"/>
          </w:tcPr>
          <w:p>
            <w:pPr>
              <w:spacing w:after="0"/>
              <w:rPr>
                <w:sz w:val="20"/>
                <w:szCs w:val="20"/>
                <w:color w:val="auto"/>
              </w:rPr>
            </w:pPr>
            <w:r>
              <w:rPr>
                <w:rFonts w:ascii="Arial" w:cs="Arial" w:eastAsia="Arial" w:hAnsi="Arial"/>
                <w:sz w:val="12"/>
                <w:szCs w:val="12"/>
                <w:color w:val="auto"/>
              </w:rPr>
              <w:t>Segment earnings from continuing operations</w:t>
            </w:r>
          </w:p>
        </w:tc>
        <w:tc>
          <w:tcPr>
            <w:tcW w:w="160" w:type="dxa"/>
            <w:vAlign w:val="bottom"/>
            <w:tcBorders>
              <w:right w:val="single" w:sz="8" w:color="E4E3E1"/>
            </w:tcBorders>
          </w:tcPr>
          <w:p>
            <w:pPr>
              <w:spacing w:after="0"/>
              <w:rPr>
                <w:sz w:val="12"/>
                <w:szCs w:val="12"/>
                <w:color w:val="auto"/>
              </w:rPr>
            </w:pP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shd w:val="clear" w:color="auto" w:fill="E4E3E1"/>
              </w:rPr>
              <w:t>10,439</w:t>
            </w:r>
          </w:p>
        </w:tc>
        <w:tc>
          <w:tcPr>
            <w:tcW w:w="100" w:type="dxa"/>
            <w:vAlign w:val="bottom"/>
          </w:tcPr>
          <w:p>
            <w:pPr>
              <w:spacing w:after="0"/>
              <w:rPr>
                <w:sz w:val="12"/>
                <w:szCs w:val="12"/>
                <w:color w:val="auto"/>
              </w:rPr>
            </w:pP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7,125</w:t>
            </w:r>
          </w:p>
        </w:tc>
        <w:tc>
          <w:tcPr>
            <w:tcW w:w="600" w:type="dxa"/>
            <w:vAlign w:val="bottom"/>
          </w:tcPr>
          <w:p>
            <w:pPr>
              <w:jc w:val="right"/>
              <w:spacing w:after="0"/>
              <w:rPr>
                <w:sz w:val="20"/>
                <w:szCs w:val="20"/>
                <w:color w:val="auto"/>
              </w:rPr>
            </w:pPr>
            <w:r>
              <w:rPr>
                <w:rFonts w:ascii="Arial" w:cs="Arial" w:eastAsia="Arial" w:hAnsi="Arial"/>
                <w:sz w:val="12"/>
                <w:szCs w:val="12"/>
                <w:color w:val="auto"/>
              </w:rPr>
              <w:t>9,982</w:t>
            </w:r>
          </w:p>
        </w:tc>
        <w:tc>
          <w:tcPr>
            <w:tcW w:w="0" w:type="dxa"/>
            <w:vAlign w:val="bottom"/>
          </w:tcPr>
          <w:p>
            <w:pPr>
              <w:spacing w:after="0"/>
              <w:rPr>
                <w:sz w:val="1"/>
                <w:szCs w:val="1"/>
                <w:color w:val="auto"/>
              </w:rPr>
            </w:pPr>
          </w:p>
        </w:tc>
      </w:tr>
      <w:tr>
        <w:trPr>
          <w:trHeight w:val="133"/>
        </w:trPr>
        <w:tc>
          <w:tcPr>
            <w:tcW w:w="2960" w:type="dxa"/>
            <w:vAlign w:val="bottom"/>
            <w:tcBorders>
              <w:bottom w:val="single" w:sz="8" w:color="auto"/>
            </w:tcBorders>
            <w:gridSpan w:val="3"/>
          </w:tcPr>
          <w:p>
            <w:pPr>
              <w:spacing w:after="0" w:line="133" w:lineRule="exact"/>
              <w:rPr>
                <w:sz w:val="20"/>
                <w:szCs w:val="20"/>
                <w:color w:val="auto"/>
              </w:rPr>
            </w:pPr>
            <w:r>
              <w:rPr>
                <w:rFonts w:ascii="Arial" w:cs="Arial" w:eastAsia="Arial" w:hAnsi="Arial"/>
                <w:sz w:val="12"/>
                <w:szCs w:val="12"/>
                <w:color w:val="auto"/>
              </w:rPr>
              <w:t>Income/(loss) from discontinued operations</w:t>
            </w:r>
          </w:p>
        </w:tc>
        <w:tc>
          <w:tcPr>
            <w:tcW w:w="160" w:type="dxa"/>
            <w:vAlign w:val="bottom"/>
            <w:tcBorders>
              <w:bottom w:val="single" w:sz="8" w:color="auto"/>
              <w:right w:val="single" w:sz="8" w:color="E4E3E1"/>
            </w:tcBorders>
          </w:tcPr>
          <w:p>
            <w:pPr>
              <w:spacing w:after="0"/>
              <w:rPr>
                <w:sz w:val="11"/>
                <w:szCs w:val="11"/>
                <w:color w:val="auto"/>
              </w:rPr>
            </w:pPr>
          </w:p>
        </w:tc>
        <w:tc>
          <w:tcPr>
            <w:tcW w:w="560" w:type="dxa"/>
            <w:vAlign w:val="bottom"/>
            <w:tcBorders>
              <w:bottom w:val="single" w:sz="8" w:color="auto"/>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900" w:type="dxa"/>
            <w:vAlign w:val="bottom"/>
            <w:gridSpan w:val="2"/>
          </w:tcPr>
          <w:p>
            <w:pPr>
              <w:spacing w:after="0"/>
              <w:rPr>
                <w:sz w:val="20"/>
                <w:szCs w:val="20"/>
                <w:color w:val="auto"/>
              </w:rPr>
            </w:pPr>
            <w:r>
              <w:rPr>
                <w:rFonts w:ascii="Arial" w:cs="Arial" w:eastAsia="Arial" w:hAnsi="Arial"/>
                <w:sz w:val="12"/>
                <w:szCs w:val="12"/>
                <w:b w:val="1"/>
                <w:bCs w:val="1"/>
                <w:color w:val="auto"/>
              </w:rPr>
              <w:t>Segment earnings</w:t>
            </w:r>
          </w:p>
        </w:tc>
        <w:tc>
          <w:tcPr>
            <w:tcW w:w="1060" w:type="dxa"/>
            <w:vAlign w:val="bottom"/>
          </w:tcPr>
          <w:p>
            <w:pPr>
              <w:spacing w:after="0"/>
              <w:rPr>
                <w:sz w:val="12"/>
                <w:szCs w:val="12"/>
                <w:color w:val="auto"/>
              </w:rPr>
            </w:pPr>
          </w:p>
        </w:tc>
        <w:tc>
          <w:tcPr>
            <w:tcW w:w="160" w:type="dxa"/>
            <w:vAlign w:val="bottom"/>
            <w:tcBorders>
              <w:right w:val="single" w:sz="8" w:color="E4E3E1"/>
            </w:tcBorders>
          </w:tcPr>
          <w:p>
            <w:pPr>
              <w:spacing w:after="0"/>
              <w:rPr>
                <w:sz w:val="12"/>
                <w:szCs w:val="12"/>
                <w:color w:val="auto"/>
              </w:rPr>
            </w:pP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b w:val="1"/>
                <w:bCs w:val="1"/>
                <w:color w:val="auto"/>
                <w:shd w:val="clear" w:color="auto" w:fill="E4E3E1"/>
              </w:rPr>
              <w:t>10,439</w:t>
            </w:r>
          </w:p>
        </w:tc>
        <w:tc>
          <w:tcPr>
            <w:tcW w:w="100" w:type="dxa"/>
            <w:vAlign w:val="bottom"/>
          </w:tcPr>
          <w:p>
            <w:pPr>
              <w:spacing w:after="0"/>
              <w:rPr>
                <w:sz w:val="12"/>
                <w:szCs w:val="12"/>
                <w:color w:val="auto"/>
              </w:rPr>
            </w:pPr>
          </w:p>
        </w:tc>
        <w:tc>
          <w:tcPr>
            <w:tcW w:w="600" w:type="dxa"/>
            <w:vAlign w:val="bottom"/>
          </w:tcPr>
          <w:p>
            <w:pPr>
              <w:jc w:val="right"/>
              <w:ind w:right="38"/>
              <w:spacing w:after="0"/>
              <w:rPr>
                <w:sz w:val="20"/>
                <w:szCs w:val="20"/>
                <w:color w:val="auto"/>
              </w:rPr>
            </w:pPr>
            <w:r>
              <w:rPr>
                <w:rFonts w:ascii="Arial" w:cs="Arial" w:eastAsia="Arial" w:hAnsi="Arial"/>
                <w:sz w:val="12"/>
                <w:szCs w:val="12"/>
                <w:b w:val="1"/>
                <w:bCs w:val="1"/>
                <w:color w:val="auto"/>
              </w:rPr>
              <w:t>7,125</w:t>
            </w: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9,982</w:t>
            </w:r>
          </w:p>
        </w:tc>
        <w:tc>
          <w:tcPr>
            <w:tcW w:w="0" w:type="dxa"/>
            <w:vAlign w:val="bottom"/>
          </w:tcPr>
          <w:p>
            <w:pPr>
              <w:spacing w:after="0"/>
              <w:rPr>
                <w:sz w:val="1"/>
                <w:szCs w:val="1"/>
                <w:color w:val="auto"/>
              </w:rPr>
            </w:pPr>
          </w:p>
        </w:tc>
      </w:tr>
      <w:tr>
        <w:trPr>
          <w:trHeight w:val="253"/>
        </w:trPr>
        <w:tc>
          <w:tcPr>
            <w:tcW w:w="3780" w:type="dxa"/>
            <w:vAlign w:val="bottom"/>
            <w:gridSpan w:val="6"/>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3780" w:type="dxa"/>
            <w:vAlign w:val="bottom"/>
            <w:gridSpan w:val="6"/>
            <w:shd w:val="clear" w:color="auto" w:fill="EE2E24"/>
          </w:tcPr>
          <w:p>
            <w:pPr>
              <w:spacing w:after="0" w:line="133" w:lineRule="exact"/>
              <w:rPr>
                <w:sz w:val="20"/>
                <w:szCs w:val="20"/>
                <w:color w:val="auto"/>
              </w:rPr>
            </w:pPr>
            <w:r>
              <w:rPr>
                <w:rFonts w:ascii="Arial" w:cs="Arial" w:eastAsia="Arial" w:hAnsi="Arial"/>
                <w:sz w:val="12"/>
                <w:szCs w:val="12"/>
                <w:b w:val="1"/>
                <w:bCs w:val="1"/>
                <w:color w:val="FFFFFF"/>
              </w:rPr>
              <w:t>COUNTRIES IN WHICH OIL PRODUCTS HAS OPERATIONS</w:t>
            </w:r>
          </w:p>
        </w:tc>
        <w:tc>
          <w:tcPr>
            <w:tcW w:w="600" w:type="dxa"/>
            <w:vAlign w:val="bottom"/>
            <w:shd w:val="clear" w:color="auto" w:fill="EE2E24"/>
          </w:tcPr>
          <w:p>
            <w:pPr>
              <w:spacing w:after="0"/>
              <w:rPr>
                <w:sz w:val="11"/>
                <w:szCs w:val="11"/>
                <w:color w:val="auto"/>
              </w:rPr>
            </w:pPr>
          </w:p>
        </w:tc>
        <w:tc>
          <w:tcPr>
            <w:tcW w:w="600" w:type="dxa"/>
            <w:vAlign w:val="bottom"/>
            <w:shd w:val="clear" w:color="auto" w:fill="EE2E24"/>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980" w:type="dxa"/>
            <w:vAlign w:val="bottom"/>
          </w:tcPr>
          <w:p>
            <w:pPr>
              <w:spacing w:after="0" w:line="128" w:lineRule="exact"/>
              <w:rPr>
                <w:sz w:val="20"/>
                <w:szCs w:val="20"/>
                <w:color w:val="auto"/>
              </w:rPr>
            </w:pPr>
            <w:r>
              <w:rPr>
                <w:rFonts w:ascii="Arial" w:cs="Arial" w:eastAsia="Arial" w:hAnsi="Arial"/>
                <w:sz w:val="12"/>
                <w:szCs w:val="12"/>
                <w:b w:val="1"/>
                <w:bCs w:val="1"/>
                <w:color w:val="auto"/>
              </w:rPr>
              <w:t>Europe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Africa</w:t>
            </w:r>
          </w:p>
        </w:tc>
        <w:tc>
          <w:tcPr>
            <w:tcW w:w="1060" w:type="dxa"/>
            <w:vAlign w:val="bottom"/>
          </w:tcPr>
          <w:p>
            <w:pPr>
              <w:ind w:left="120"/>
              <w:spacing w:after="0" w:line="128" w:lineRule="exact"/>
              <w:rPr>
                <w:sz w:val="20"/>
                <w:szCs w:val="20"/>
                <w:color w:val="auto"/>
              </w:rPr>
            </w:pPr>
            <w:r>
              <w:rPr>
                <w:rFonts w:ascii="Arial" w:cs="Arial" w:eastAsia="Arial" w:hAnsi="Arial"/>
                <w:sz w:val="12"/>
                <w:szCs w:val="12"/>
                <w:color w:val="auto"/>
              </w:rPr>
              <w:t>Sudan</w:t>
            </w:r>
          </w:p>
        </w:tc>
        <w:tc>
          <w:tcPr>
            <w:tcW w:w="820" w:type="dxa"/>
            <w:vAlign w:val="bottom"/>
            <w:gridSpan w:val="3"/>
          </w:tcPr>
          <w:p>
            <w:pPr>
              <w:ind w:left="60"/>
              <w:spacing w:after="0" w:line="128" w:lineRule="exact"/>
              <w:rPr>
                <w:sz w:val="20"/>
                <w:szCs w:val="20"/>
                <w:color w:val="auto"/>
              </w:rPr>
            </w:pPr>
            <w:r>
              <w:rPr>
                <w:rFonts w:ascii="Arial" w:cs="Arial" w:eastAsia="Arial" w:hAnsi="Arial"/>
                <w:sz w:val="12"/>
                <w:szCs w:val="12"/>
                <w:color w:val="auto"/>
              </w:rPr>
              <w:t>Laos</w:t>
            </w:r>
          </w:p>
        </w:tc>
        <w:tc>
          <w:tcPr>
            <w:tcW w:w="1200" w:type="dxa"/>
            <w:vAlign w:val="bottom"/>
            <w:gridSpan w:val="2"/>
          </w:tcPr>
          <w:p>
            <w:pPr>
              <w:ind w:left="260"/>
              <w:spacing w:after="0" w:line="128" w:lineRule="exact"/>
              <w:rPr>
                <w:sz w:val="20"/>
                <w:szCs w:val="20"/>
                <w:color w:val="auto"/>
              </w:rPr>
            </w:pPr>
            <w:r>
              <w:rPr>
                <w:rFonts w:ascii="Arial" w:cs="Arial" w:eastAsia="Arial" w:hAnsi="Arial"/>
                <w:sz w:val="12"/>
                <w:szCs w:val="12"/>
                <w:color w:val="auto"/>
              </w:rPr>
              <w:t>Mexico</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Austria</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Algeria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Swaziland</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Malaysia</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Nicaragua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Belgium</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Benin</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Tanzania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New Zealand</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Panama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Bulgaria</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Botswana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Togo</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Pakistan</w:t>
            </w:r>
          </w:p>
        </w:tc>
        <w:tc>
          <w:tcPr>
            <w:tcW w:w="600" w:type="dxa"/>
            <w:vAlign w:val="bottom"/>
          </w:tcPr>
          <w:p>
            <w:pPr>
              <w:ind w:left="260"/>
              <w:spacing w:after="0" w:line="133" w:lineRule="exact"/>
              <w:rPr>
                <w:sz w:val="20"/>
                <w:szCs w:val="20"/>
                <w:color w:val="auto"/>
              </w:rPr>
            </w:pPr>
            <w:r>
              <w:rPr>
                <w:rFonts w:ascii="Arial" w:cs="Arial" w:eastAsia="Arial" w:hAnsi="Arial"/>
                <w:sz w:val="12"/>
                <w:szCs w:val="12"/>
                <w:color w:val="auto"/>
              </w:rPr>
              <w:t>Peru</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Croatia</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Burkina Faso</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Tunisia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Philippines</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Surinam</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Czech Republic</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Cape Verde</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Uganda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Singapore</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Venezuela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Denmark</w:t>
            </w:r>
          </w:p>
        </w:tc>
        <w:tc>
          <w:tcPr>
            <w:tcW w:w="920" w:type="dxa"/>
            <w:vAlign w:val="bottom"/>
          </w:tcPr>
          <w:p>
            <w:pPr>
              <w:ind w:left="160"/>
              <w:spacing w:after="0" w:line="133" w:lineRule="exact"/>
              <w:rPr>
                <w:sz w:val="20"/>
                <w:szCs w:val="20"/>
                <w:color w:val="auto"/>
              </w:rPr>
            </w:pPr>
            <w:r>
              <w:rPr>
                <w:rFonts w:ascii="Arial" w:cs="Arial" w:eastAsia="Arial" w:hAnsi="Arial"/>
                <w:sz w:val="12"/>
                <w:szCs w:val="12"/>
                <w:color w:val="auto"/>
              </w:rPr>
              <w:t>Islands</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Zimbabwe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South Korea</w:t>
            </w:r>
          </w:p>
        </w:tc>
        <w:tc>
          <w:tcPr>
            <w:tcW w:w="120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The Caribbean</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Finland</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Cote d’Ivoire</w:t>
            </w:r>
          </w:p>
        </w:tc>
        <w:tc>
          <w:tcPr>
            <w:tcW w:w="10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Middle East,</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Sri Lanka</w:t>
            </w: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980" w:type="dxa"/>
            <w:vAlign w:val="bottom"/>
          </w:tcPr>
          <w:p>
            <w:pPr>
              <w:spacing w:after="0" w:line="120" w:lineRule="exact"/>
              <w:rPr>
                <w:sz w:val="20"/>
                <w:szCs w:val="20"/>
                <w:color w:val="auto"/>
              </w:rPr>
            </w:pPr>
            <w:r>
              <w:rPr>
                <w:rFonts w:ascii="Arial" w:cs="Arial" w:eastAsia="Arial" w:hAnsi="Arial"/>
                <w:sz w:val="12"/>
                <w:szCs w:val="12"/>
                <w:color w:val="auto"/>
              </w:rPr>
              <w:t>France</w:t>
            </w: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auto"/>
              </w:rPr>
              <w:t>Djibouti</w:t>
            </w:r>
          </w:p>
        </w:tc>
        <w:tc>
          <w:tcPr>
            <w:tcW w:w="1060" w:type="dxa"/>
            <w:vAlign w:val="bottom"/>
            <w:vMerge w:val="continue"/>
          </w:tcPr>
          <w:p>
            <w:pPr>
              <w:spacing w:after="0"/>
              <w:rPr>
                <w:sz w:val="10"/>
                <w:szCs w:val="10"/>
                <w:color w:val="auto"/>
              </w:rPr>
            </w:pPr>
          </w:p>
        </w:tc>
        <w:tc>
          <w:tcPr>
            <w:tcW w:w="820" w:type="dxa"/>
            <w:vAlign w:val="bottom"/>
            <w:gridSpan w:val="3"/>
          </w:tcPr>
          <w:p>
            <w:pPr>
              <w:ind w:left="60"/>
              <w:spacing w:after="0" w:line="120" w:lineRule="exact"/>
              <w:rPr>
                <w:sz w:val="20"/>
                <w:szCs w:val="20"/>
                <w:color w:val="auto"/>
              </w:rPr>
            </w:pPr>
            <w:r>
              <w:rPr>
                <w:rFonts w:ascii="Arial" w:cs="Arial" w:eastAsia="Arial" w:hAnsi="Arial"/>
                <w:sz w:val="12"/>
                <w:szCs w:val="12"/>
                <w:color w:val="auto"/>
              </w:rPr>
              <w:t>Taiwan</w:t>
            </w:r>
          </w:p>
        </w:tc>
        <w:tc>
          <w:tcPr>
            <w:tcW w:w="1200" w:type="dxa"/>
            <w:vAlign w:val="bottom"/>
            <w:gridSpan w:val="2"/>
          </w:tcPr>
          <w:p>
            <w:pPr>
              <w:ind w:left="260"/>
              <w:spacing w:after="0" w:line="120" w:lineRule="exact"/>
              <w:rPr>
                <w:sz w:val="20"/>
                <w:szCs w:val="20"/>
                <w:color w:val="auto"/>
              </w:rPr>
            </w:pPr>
            <w:r>
              <w:rPr>
                <w:rFonts w:ascii="Arial" w:cs="Arial" w:eastAsia="Arial" w:hAnsi="Arial"/>
                <w:sz w:val="12"/>
                <w:szCs w:val="12"/>
                <w:color w:val="auto"/>
              </w:rPr>
              <w:t>Dominican</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Germany</w:t>
            </w:r>
          </w:p>
        </w:tc>
        <w:tc>
          <w:tcPr>
            <w:tcW w:w="920" w:type="dxa"/>
            <w:vAlign w:val="bottom"/>
          </w:tcPr>
          <w:p>
            <w:pPr>
              <w:ind w:left="60"/>
              <w:spacing w:after="0"/>
              <w:rPr>
                <w:sz w:val="20"/>
                <w:szCs w:val="20"/>
                <w:color w:val="auto"/>
              </w:rPr>
            </w:pPr>
            <w:r>
              <w:rPr>
                <w:rFonts w:ascii="Arial" w:cs="Arial" w:eastAsia="Arial" w:hAnsi="Arial"/>
                <w:sz w:val="12"/>
                <w:szCs w:val="12"/>
                <w:color w:val="auto"/>
              </w:rPr>
              <w:t>Egypt</w:t>
            </w:r>
          </w:p>
        </w:tc>
        <w:tc>
          <w:tcPr>
            <w:tcW w:w="1060" w:type="dxa"/>
            <w:vAlign w:val="bottom"/>
          </w:tcPr>
          <w:p>
            <w:pPr>
              <w:ind w:left="120"/>
              <w:spacing w:after="0"/>
              <w:rPr>
                <w:sz w:val="20"/>
                <w:szCs w:val="20"/>
                <w:color w:val="auto"/>
              </w:rPr>
            </w:pPr>
            <w:r>
              <w:rPr>
                <w:rFonts w:ascii="Arial" w:cs="Arial" w:eastAsia="Arial" w:hAnsi="Arial"/>
                <w:sz w:val="12"/>
                <w:szCs w:val="12"/>
                <w:b w:val="1"/>
                <w:bCs w:val="1"/>
                <w:color w:val="auto"/>
              </w:rPr>
              <w:t>Russia, CIS</w:t>
            </w:r>
            <w:r>
              <w:rPr>
                <w:rFonts w:ascii="Arial" w:cs="Arial" w:eastAsia="Arial" w:hAnsi="Arial"/>
                <w:sz w:val="10"/>
                <w:szCs w:val="10"/>
                <w:color w:val="auto"/>
              </w:rPr>
              <w:t>[A]</w:t>
            </w:r>
          </w:p>
        </w:tc>
        <w:tc>
          <w:tcPr>
            <w:tcW w:w="820" w:type="dxa"/>
            <w:vAlign w:val="bottom"/>
            <w:gridSpan w:val="3"/>
          </w:tcPr>
          <w:p>
            <w:pPr>
              <w:ind w:left="60"/>
              <w:spacing w:after="0"/>
              <w:rPr>
                <w:sz w:val="20"/>
                <w:szCs w:val="20"/>
                <w:color w:val="auto"/>
              </w:rPr>
            </w:pPr>
            <w:r>
              <w:rPr>
                <w:rFonts w:ascii="Arial" w:cs="Arial" w:eastAsia="Arial" w:hAnsi="Arial"/>
                <w:sz w:val="12"/>
                <w:szCs w:val="12"/>
                <w:color w:val="auto"/>
              </w:rPr>
              <w:t>Thailand</w:t>
            </w:r>
          </w:p>
        </w:tc>
        <w:tc>
          <w:tcPr>
            <w:tcW w:w="1200" w:type="dxa"/>
            <w:vAlign w:val="bottom"/>
            <w:gridSpan w:val="2"/>
          </w:tcPr>
          <w:p>
            <w:pPr>
              <w:ind w:left="360"/>
              <w:spacing w:after="0"/>
              <w:rPr>
                <w:sz w:val="20"/>
                <w:szCs w:val="20"/>
                <w:color w:val="auto"/>
              </w:rPr>
            </w:pPr>
            <w:r>
              <w:rPr>
                <w:rFonts w:ascii="Arial" w:cs="Arial" w:eastAsia="Arial" w:hAnsi="Arial"/>
                <w:sz w:val="12"/>
                <w:szCs w:val="12"/>
                <w:color w:val="auto"/>
              </w:rPr>
              <w:t>Republic</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Gibraltar</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Ethiopia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Iran</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Vietnam</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French Antilles &amp;</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Greece</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Gabon</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Oman</w:t>
            </w: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USA</w:t>
            </w:r>
          </w:p>
        </w:tc>
        <w:tc>
          <w:tcPr>
            <w:tcW w:w="1200" w:type="dxa"/>
            <w:vAlign w:val="bottom"/>
            <w:gridSpan w:val="2"/>
          </w:tcPr>
          <w:p>
            <w:pPr>
              <w:ind w:left="360"/>
              <w:spacing w:after="0" w:line="133" w:lineRule="exact"/>
              <w:rPr>
                <w:sz w:val="20"/>
                <w:szCs w:val="20"/>
                <w:color w:val="auto"/>
              </w:rPr>
            </w:pPr>
            <w:r>
              <w:rPr>
                <w:rFonts w:ascii="Arial" w:cs="Arial" w:eastAsia="Arial" w:hAnsi="Arial"/>
                <w:sz w:val="12"/>
                <w:szCs w:val="12"/>
                <w:color w:val="auto"/>
              </w:rPr>
              <w:t>Guiana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Hungary</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The Gambia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Russia</w:t>
            </w:r>
          </w:p>
        </w:tc>
        <w:tc>
          <w:tcPr>
            <w:tcW w:w="820" w:type="dxa"/>
            <w:vAlign w:val="bottom"/>
            <w:gridSpan w:val="3"/>
            <w:vMerge w:val="continue"/>
          </w:tcPr>
          <w:p>
            <w:pPr>
              <w:spacing w:after="0"/>
              <w:rPr>
                <w:sz w:val="11"/>
                <w:szCs w:val="11"/>
                <w:color w:val="auto"/>
              </w:rPr>
            </w:pP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Jamaica</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Ireland</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Ghana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Saudi Arabia</w:t>
            </w:r>
          </w:p>
        </w:tc>
        <w:tc>
          <w:tcPr>
            <w:tcW w:w="8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Canada</w:t>
            </w: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Puerto Rico</w:t>
            </w: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Italy</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Guinea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Ukraine</w:t>
            </w:r>
          </w:p>
        </w:tc>
        <w:tc>
          <w:tcPr>
            <w:tcW w:w="820" w:type="dxa"/>
            <w:vAlign w:val="bottom"/>
            <w:gridSpan w:val="3"/>
            <w:vMerge w:val="continue"/>
          </w:tcPr>
          <w:p>
            <w:pPr>
              <w:spacing w:after="0"/>
              <w:rPr>
                <w:sz w:val="11"/>
                <w:szCs w:val="11"/>
                <w:color w:val="auto"/>
              </w:rPr>
            </w:pPr>
          </w:p>
        </w:tc>
        <w:tc>
          <w:tcPr>
            <w:tcW w:w="1200" w:type="dxa"/>
            <w:vAlign w:val="bottom"/>
            <w:gridSpan w:val="2"/>
          </w:tcPr>
          <w:p>
            <w:pPr>
              <w:ind w:left="260"/>
              <w:spacing w:after="0" w:line="133" w:lineRule="exact"/>
              <w:rPr>
                <w:sz w:val="20"/>
                <w:szCs w:val="20"/>
                <w:color w:val="auto"/>
              </w:rPr>
            </w:pPr>
            <w:r>
              <w:rPr>
                <w:rFonts w:ascii="Arial" w:cs="Arial" w:eastAsia="Arial" w:hAnsi="Arial"/>
                <w:sz w:val="12"/>
                <w:szCs w:val="12"/>
                <w:color w:val="auto"/>
              </w:rPr>
              <w:t>Trinidad &amp;</w:t>
            </w:r>
          </w:p>
        </w:tc>
        <w:tc>
          <w:tcPr>
            <w:tcW w:w="0" w:type="dxa"/>
            <w:vAlign w:val="bottom"/>
          </w:tcPr>
          <w:p>
            <w:pPr>
              <w:spacing w:after="0"/>
              <w:rPr>
                <w:sz w:val="1"/>
                <w:szCs w:val="1"/>
                <w:color w:val="auto"/>
              </w:rPr>
            </w:pPr>
          </w:p>
        </w:tc>
      </w:tr>
      <w:tr>
        <w:trPr>
          <w:trHeight w:val="119"/>
        </w:trPr>
        <w:tc>
          <w:tcPr>
            <w:tcW w:w="980" w:type="dxa"/>
            <w:vAlign w:val="bottom"/>
          </w:tcPr>
          <w:p>
            <w:pPr>
              <w:spacing w:after="0" w:line="120" w:lineRule="exact"/>
              <w:rPr>
                <w:sz w:val="20"/>
                <w:szCs w:val="20"/>
                <w:color w:val="auto"/>
              </w:rPr>
            </w:pPr>
            <w:r>
              <w:rPr>
                <w:rFonts w:ascii="Arial" w:cs="Arial" w:eastAsia="Arial" w:hAnsi="Arial"/>
                <w:sz w:val="12"/>
                <w:szCs w:val="12"/>
                <w:color w:val="auto"/>
              </w:rPr>
              <w:t>Luxembourg</w:t>
            </w:r>
          </w:p>
        </w:tc>
        <w:tc>
          <w:tcPr>
            <w:tcW w:w="920" w:type="dxa"/>
            <w:vAlign w:val="bottom"/>
          </w:tcPr>
          <w:p>
            <w:pPr>
              <w:ind w:left="60"/>
              <w:spacing w:after="0" w:line="120" w:lineRule="exact"/>
              <w:rPr>
                <w:sz w:val="20"/>
                <w:szCs w:val="20"/>
                <w:color w:val="auto"/>
              </w:rPr>
            </w:pPr>
            <w:r>
              <w:rPr>
                <w:rFonts w:ascii="Arial" w:cs="Arial" w:eastAsia="Arial" w:hAnsi="Arial"/>
                <w:sz w:val="12"/>
                <w:szCs w:val="12"/>
                <w:color w:val="auto"/>
              </w:rPr>
              <w:t>Kenya</w:t>
            </w:r>
          </w:p>
        </w:tc>
        <w:tc>
          <w:tcPr>
            <w:tcW w:w="1060" w:type="dxa"/>
            <w:vAlign w:val="bottom"/>
          </w:tcPr>
          <w:p>
            <w:pPr>
              <w:ind w:left="120"/>
              <w:spacing w:after="0" w:line="120" w:lineRule="exact"/>
              <w:rPr>
                <w:sz w:val="20"/>
                <w:szCs w:val="20"/>
                <w:color w:val="auto"/>
              </w:rPr>
            </w:pPr>
            <w:r>
              <w:rPr>
                <w:rFonts w:ascii="Arial" w:cs="Arial" w:eastAsia="Arial" w:hAnsi="Arial"/>
                <w:sz w:val="12"/>
                <w:szCs w:val="12"/>
                <w:color w:val="auto"/>
              </w:rPr>
              <w:t>United Arab</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ind w:left="360"/>
              <w:spacing w:after="0" w:line="120" w:lineRule="exact"/>
              <w:rPr>
                <w:sz w:val="20"/>
                <w:szCs w:val="20"/>
                <w:color w:val="auto"/>
              </w:rPr>
            </w:pPr>
            <w:r>
              <w:rPr>
                <w:rFonts w:ascii="Arial" w:cs="Arial" w:eastAsia="Arial" w:hAnsi="Arial"/>
                <w:sz w:val="12"/>
                <w:szCs w:val="12"/>
                <w:color w:val="auto"/>
              </w:rPr>
              <w:t>Tobago</w:t>
            </w:r>
          </w:p>
        </w:tc>
        <w:tc>
          <w:tcPr>
            <w:tcW w:w="0" w:type="dxa"/>
            <w:vAlign w:val="bottom"/>
          </w:tcPr>
          <w:p>
            <w:pPr>
              <w:spacing w:after="0"/>
              <w:rPr>
                <w:sz w:val="1"/>
                <w:szCs w:val="1"/>
                <w:color w:val="auto"/>
              </w:rPr>
            </w:pPr>
          </w:p>
        </w:tc>
      </w:tr>
      <w:tr>
        <w:trPr>
          <w:trHeight w:val="147"/>
        </w:trPr>
        <w:tc>
          <w:tcPr>
            <w:tcW w:w="980" w:type="dxa"/>
            <w:vAlign w:val="bottom"/>
          </w:tcPr>
          <w:p>
            <w:pPr>
              <w:spacing w:after="0"/>
              <w:rPr>
                <w:sz w:val="20"/>
                <w:szCs w:val="20"/>
                <w:color w:val="auto"/>
              </w:rPr>
            </w:pPr>
            <w:r>
              <w:rPr>
                <w:rFonts w:ascii="Arial" w:cs="Arial" w:eastAsia="Arial" w:hAnsi="Arial"/>
                <w:sz w:val="12"/>
                <w:szCs w:val="12"/>
                <w:color w:val="auto"/>
              </w:rPr>
              <w:t>The Netherlands</w:t>
            </w:r>
          </w:p>
        </w:tc>
        <w:tc>
          <w:tcPr>
            <w:tcW w:w="920" w:type="dxa"/>
            <w:vAlign w:val="bottom"/>
          </w:tcPr>
          <w:p>
            <w:pPr>
              <w:ind w:left="60"/>
              <w:spacing w:after="0"/>
              <w:rPr>
                <w:sz w:val="20"/>
                <w:szCs w:val="20"/>
                <w:color w:val="auto"/>
              </w:rPr>
            </w:pPr>
            <w:r>
              <w:rPr>
                <w:rFonts w:ascii="Arial" w:cs="Arial" w:eastAsia="Arial" w:hAnsi="Arial"/>
                <w:sz w:val="12"/>
                <w:szCs w:val="12"/>
                <w:color w:val="auto"/>
              </w:rPr>
              <w:t>Lesotho</w:t>
            </w:r>
          </w:p>
        </w:tc>
        <w:tc>
          <w:tcPr>
            <w:tcW w:w="1060" w:type="dxa"/>
            <w:vAlign w:val="bottom"/>
          </w:tcPr>
          <w:p>
            <w:pPr>
              <w:ind w:left="220"/>
              <w:spacing w:after="0"/>
              <w:rPr>
                <w:sz w:val="20"/>
                <w:szCs w:val="20"/>
                <w:color w:val="auto"/>
              </w:rPr>
            </w:pPr>
            <w:r>
              <w:rPr>
                <w:rFonts w:ascii="Arial" w:cs="Arial" w:eastAsia="Arial" w:hAnsi="Arial"/>
                <w:sz w:val="12"/>
                <w:szCs w:val="12"/>
                <w:color w:val="auto"/>
              </w:rPr>
              <w:t>Emirates</w:t>
            </w:r>
          </w:p>
        </w:tc>
        <w:tc>
          <w:tcPr>
            <w:tcW w:w="1420" w:type="dxa"/>
            <w:vAlign w:val="bottom"/>
            <w:gridSpan w:val="4"/>
          </w:tcPr>
          <w:p>
            <w:pPr>
              <w:ind w:left="60"/>
              <w:spacing w:after="0"/>
              <w:rPr>
                <w:sz w:val="20"/>
                <w:szCs w:val="20"/>
                <w:color w:val="auto"/>
              </w:rPr>
            </w:pPr>
            <w:r>
              <w:rPr>
                <w:rFonts w:ascii="Arial" w:cs="Arial" w:eastAsia="Arial" w:hAnsi="Arial"/>
                <w:sz w:val="12"/>
                <w:szCs w:val="12"/>
                <w:b w:val="1"/>
                <w:bCs w:val="1"/>
                <w:color w:val="auto"/>
              </w:rPr>
              <w:t>Latin America</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Norway</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Madagascar</w:t>
            </w:r>
          </w:p>
        </w:tc>
        <w:tc>
          <w:tcPr>
            <w:tcW w:w="10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Asia Pacific</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Argentina</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Poland</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Mali</w:t>
            </w:r>
          </w:p>
        </w:tc>
        <w:tc>
          <w:tcPr>
            <w:tcW w:w="1060" w:type="dxa"/>
            <w:vAlign w:val="bottom"/>
            <w:vMerge w:val="continue"/>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Bolivia</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Portugal</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Mauritius</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Australia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Brazil</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Slovakia</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Morocco</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Brunei</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Chile</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Slovenia</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Mozambique</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China (including</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Colombia</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Spain</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Namibia</w:t>
            </w:r>
          </w:p>
        </w:tc>
        <w:tc>
          <w:tcPr>
            <w:tcW w:w="1060" w:type="dxa"/>
            <w:vAlign w:val="bottom"/>
          </w:tcPr>
          <w:p>
            <w:pPr>
              <w:ind w:left="140"/>
              <w:spacing w:after="0" w:line="133" w:lineRule="exact"/>
              <w:rPr>
                <w:sz w:val="20"/>
                <w:szCs w:val="20"/>
                <w:color w:val="auto"/>
              </w:rPr>
            </w:pPr>
            <w:r>
              <w:rPr>
                <w:rFonts w:ascii="Arial" w:cs="Arial" w:eastAsia="Arial" w:hAnsi="Arial"/>
                <w:sz w:val="12"/>
                <w:szCs w:val="12"/>
                <w:color w:val="auto"/>
              </w:rPr>
              <w:t>Hong Kong)</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Costa Rica</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Sweden</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Nigeria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Guam</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Ecuador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Switzerland</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La Réunion</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India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El Salvador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Turkey</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Senegal</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Indonesia</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Guatemala</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980" w:type="dxa"/>
            <w:vAlign w:val="bottom"/>
          </w:tcPr>
          <w:p>
            <w:pPr>
              <w:spacing w:after="0" w:line="133" w:lineRule="exact"/>
              <w:rPr>
                <w:sz w:val="20"/>
                <w:szCs w:val="20"/>
                <w:color w:val="auto"/>
              </w:rPr>
            </w:pPr>
            <w:r>
              <w:rPr>
                <w:rFonts w:ascii="Arial" w:cs="Arial" w:eastAsia="Arial" w:hAnsi="Arial"/>
                <w:sz w:val="12"/>
                <w:szCs w:val="12"/>
                <w:color w:val="auto"/>
              </w:rPr>
              <w:t>UK</w:t>
            </w:r>
          </w:p>
        </w:tc>
        <w:tc>
          <w:tcPr>
            <w:tcW w:w="920" w:type="dxa"/>
            <w:vAlign w:val="bottom"/>
          </w:tcPr>
          <w:p>
            <w:pPr>
              <w:ind w:left="60"/>
              <w:spacing w:after="0" w:line="133" w:lineRule="exact"/>
              <w:rPr>
                <w:sz w:val="20"/>
                <w:szCs w:val="20"/>
                <w:color w:val="auto"/>
              </w:rPr>
            </w:pPr>
            <w:r>
              <w:rPr>
                <w:rFonts w:ascii="Arial" w:cs="Arial" w:eastAsia="Arial" w:hAnsi="Arial"/>
                <w:sz w:val="12"/>
                <w:szCs w:val="12"/>
                <w:color w:val="auto"/>
              </w:rPr>
              <w:t>South Africa</w:t>
            </w:r>
          </w:p>
        </w:tc>
        <w:tc>
          <w:tcPr>
            <w:tcW w:w="1060" w:type="dxa"/>
            <w:vAlign w:val="bottom"/>
          </w:tcPr>
          <w:p>
            <w:pPr>
              <w:ind w:left="120"/>
              <w:spacing w:after="0" w:line="133" w:lineRule="exact"/>
              <w:rPr>
                <w:sz w:val="20"/>
                <w:szCs w:val="20"/>
                <w:color w:val="auto"/>
              </w:rPr>
            </w:pPr>
            <w:r>
              <w:rPr>
                <w:rFonts w:ascii="Arial" w:cs="Arial" w:eastAsia="Arial" w:hAnsi="Arial"/>
                <w:sz w:val="12"/>
                <w:szCs w:val="12"/>
                <w:color w:val="auto"/>
              </w:rPr>
              <w:t>Japan</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Honduras</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Arial" w:cs="Arial" w:eastAsia="Arial" w:hAnsi="Arial"/>
          <w:sz w:val="12"/>
          <w:szCs w:val="12"/>
          <w:color w:val="auto"/>
        </w:rPr>
        <w:t>[A] Commonwealth of Independent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 w:hanging="280"/>
        <w:spacing w:after="0"/>
        <w:tabs>
          <w:tab w:leader="none" w:pos="380" w:val="left"/>
        </w:tabs>
        <w:numPr>
          <w:ilvl w:val="0"/>
          <w:numId w:val="5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31038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80" w:lineRule="exact"/>
        <w:rPr>
          <w:sz w:val="20"/>
          <w:szCs w:val="20"/>
          <w:color w:val="auto"/>
        </w:rPr>
      </w:pPr>
    </w:p>
    <w:p>
      <w:pPr>
        <w:ind w:left="8"/>
        <w:spacing w:after="0" w:line="247" w:lineRule="auto"/>
        <w:rPr>
          <w:sz w:val="20"/>
          <w:szCs w:val="20"/>
          <w:color w:val="auto"/>
        </w:rPr>
      </w:pPr>
      <w:r>
        <w:rPr>
          <w:rFonts w:ascii="Arial" w:cs="Arial" w:eastAsia="Arial" w:hAnsi="Arial"/>
          <w:sz w:val="13"/>
          <w:szCs w:val="13"/>
          <w:color w:val="auto"/>
        </w:rPr>
        <w:t>Oil Products is part of Shell’s downstream organisation and is made up of a number of different businesses. Collectively these turn crude oil, and synthetic crude from our Oil Sands operation, into a range of refined products, which they move and market around the world for domestic, industrial and transport use. These include gasoline, diesel, heating oil, aviation fuel, marine fuel, lubricants and bitumen.</w:t>
      </w:r>
    </w:p>
    <w:p>
      <w:pPr>
        <w:spacing w:after="0" w:line="97" w:lineRule="exact"/>
        <w:rPr>
          <w:sz w:val="20"/>
          <w:szCs w:val="20"/>
          <w:color w:val="auto"/>
        </w:rPr>
      </w:pPr>
    </w:p>
    <w:p>
      <w:pPr>
        <w:ind w:left="8" w:right="40"/>
        <w:spacing w:after="0" w:line="247" w:lineRule="auto"/>
        <w:rPr>
          <w:sz w:val="20"/>
          <w:szCs w:val="20"/>
          <w:color w:val="auto"/>
        </w:rPr>
      </w:pPr>
      <w:r>
        <w:rPr>
          <w:rFonts w:ascii="Arial" w:cs="Arial" w:eastAsia="Arial" w:hAnsi="Arial"/>
          <w:sz w:val="13"/>
          <w:szCs w:val="13"/>
          <w:color w:val="auto"/>
        </w:rPr>
        <w:t>Our Manufacturing business includes Refining and Supply; Trading provides feedstock optimisation; and Marketing includes our Retail, Business to Business (B2B) and Lubricants businesses. In 2007, a Future Fuels and CO</w:t>
      </w:r>
      <w:r>
        <w:rPr>
          <w:rFonts w:ascii="Arial" w:cs="Arial" w:eastAsia="Arial" w:hAnsi="Arial"/>
          <w:sz w:val="11"/>
          <w:szCs w:val="11"/>
          <w:color w:val="auto"/>
        </w:rPr>
        <w:t>2</w:t>
      </w:r>
      <w:r>
        <w:rPr>
          <w:rFonts w:ascii="Arial" w:cs="Arial" w:eastAsia="Arial" w:hAnsi="Arial"/>
          <w:sz w:val="13"/>
          <w:szCs w:val="13"/>
          <w:color w:val="auto"/>
        </w:rPr>
        <w:t xml:space="preserve"> business unit was created in Oil Products to accelerate the development of fuels of the future and co-ordinate our company-wide work on the management of CO</w:t>
      </w:r>
      <w:r>
        <w:rPr>
          <w:rFonts w:ascii="Arial" w:cs="Arial" w:eastAsia="Arial" w:hAnsi="Arial"/>
          <w:sz w:val="11"/>
          <w:szCs w:val="11"/>
          <w:color w:val="auto"/>
        </w:rPr>
        <w:t>2</w:t>
      </w:r>
      <w:r>
        <w:rPr>
          <w:rFonts w:ascii="Arial" w:cs="Arial" w:eastAsia="Arial" w:hAnsi="Arial"/>
          <w:sz w:val="13"/>
          <w:szCs w:val="13"/>
          <w:color w:val="auto"/>
        </w:rPr>
        <w:t xml:space="preserve"> emissions.</w:t>
      </w:r>
    </w:p>
    <w:p>
      <w:pPr>
        <w:spacing w:after="0" w:line="110" w:lineRule="exact"/>
        <w:rPr>
          <w:sz w:val="20"/>
          <w:szCs w:val="20"/>
          <w:color w:val="auto"/>
        </w:rPr>
      </w:pPr>
    </w:p>
    <w:p>
      <w:pPr>
        <w:jc w:val="both"/>
        <w:ind w:left="8" w:right="40"/>
        <w:spacing w:after="0" w:line="235" w:lineRule="auto"/>
        <w:rPr>
          <w:sz w:val="20"/>
          <w:szCs w:val="20"/>
          <w:color w:val="auto"/>
        </w:rPr>
      </w:pPr>
      <w:r>
        <w:rPr>
          <w:rFonts w:ascii="Arial" w:cs="Arial" w:eastAsia="Arial" w:hAnsi="Arial"/>
          <w:sz w:val="14"/>
          <w:szCs w:val="14"/>
          <w:color w:val="auto"/>
        </w:rPr>
        <w:t>Oil Products has a presence in more than 100 countries and territories and employed on average 63,000 people in 2007. We generated in 2007 $286 billion of revenue and earnings of $10.4 billion.</w:t>
      </w:r>
    </w:p>
    <w:p>
      <w:pPr>
        <w:spacing w:after="0" w:line="113" w:lineRule="exact"/>
        <w:rPr>
          <w:sz w:val="20"/>
          <w:szCs w:val="20"/>
          <w:color w:val="auto"/>
        </w:rPr>
      </w:pPr>
    </w:p>
    <w:p>
      <w:pPr>
        <w:ind w:left="8" w:right="160"/>
        <w:spacing w:after="0" w:line="238" w:lineRule="auto"/>
        <w:rPr>
          <w:sz w:val="20"/>
          <w:szCs w:val="20"/>
          <w:color w:val="auto"/>
        </w:rPr>
      </w:pPr>
      <w:r>
        <w:rPr>
          <w:rFonts w:ascii="Arial" w:cs="Arial" w:eastAsia="Arial" w:hAnsi="Arial"/>
          <w:sz w:val="13"/>
          <w:szCs w:val="13"/>
          <w:color w:val="auto"/>
        </w:rPr>
        <w:t>One key way of monitoring the reliability of our refining system is to measure controllable unplanned downtime, the percentage of manufacturing capacity that is lost due to unplanned events. Unplanned events are unexpected shutdowns or slowdowns that were not due to economic decision-making and were not due to abnormal events outside the control of the location (e.g. hurricane). This measure supports manufacturing’s strategy of excellence in the following areas:</w:t>
      </w:r>
    </w:p>
    <w:p>
      <w:pPr>
        <w:ind w:left="168" w:hanging="168"/>
        <w:spacing w:after="0" w:line="220" w:lineRule="auto"/>
        <w:tabs>
          <w:tab w:leader="none" w:pos="168"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process safety;</w:t>
      </w:r>
    </w:p>
    <w:p>
      <w:pPr>
        <w:ind w:left="168" w:hanging="168"/>
        <w:spacing w:after="0" w:line="218" w:lineRule="auto"/>
        <w:tabs>
          <w:tab w:leader="none" w:pos="168"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personal safety;</w:t>
      </w:r>
    </w:p>
    <w:p>
      <w:pPr>
        <w:ind w:left="168" w:hanging="168"/>
        <w:spacing w:after="0" w:line="218" w:lineRule="auto"/>
        <w:tabs>
          <w:tab w:leader="none" w:pos="168"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environment;</w:t>
      </w:r>
    </w:p>
    <w:p>
      <w:pPr>
        <w:ind w:left="168" w:hanging="168"/>
        <w:spacing w:after="0" w:line="218" w:lineRule="auto"/>
        <w:tabs>
          <w:tab w:leader="none" w:pos="168"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product quality; and</w:t>
      </w:r>
    </w:p>
    <w:p>
      <w:pPr>
        <w:ind w:left="168" w:hanging="168"/>
        <w:spacing w:after="0"/>
        <w:tabs>
          <w:tab w:leader="none" w:pos="168" w:val="left"/>
        </w:tabs>
        <w:numPr>
          <w:ilvl w:val="0"/>
          <w:numId w:val="53"/>
        </w:numPr>
        <w:rPr>
          <w:rFonts w:ascii="Arial" w:cs="Arial" w:eastAsia="Arial" w:hAnsi="Arial"/>
          <w:sz w:val="14"/>
          <w:szCs w:val="14"/>
          <w:b w:val="1"/>
          <w:bCs w:val="1"/>
          <w:color w:val="auto"/>
        </w:rPr>
      </w:pPr>
      <w:r>
        <w:rPr>
          <w:rFonts w:ascii="Arial" w:cs="Arial" w:eastAsia="Arial" w:hAnsi="Arial"/>
          <w:sz w:val="14"/>
          <w:szCs w:val="14"/>
          <w:color w:val="auto"/>
        </w:rPr>
        <w:t>costs and margin maximisation.</w:t>
      </w:r>
    </w:p>
    <w:p>
      <w:pPr>
        <w:spacing w:after="0" w:line="187" w:lineRule="exact"/>
        <w:rPr>
          <w:sz w:val="20"/>
          <w:szCs w:val="20"/>
          <w:color w:val="auto"/>
        </w:rPr>
      </w:pPr>
    </w:p>
    <w:p>
      <w:pPr>
        <w:ind w:left="8"/>
        <w:spacing w:after="0"/>
        <w:rPr>
          <w:sz w:val="20"/>
          <w:szCs w:val="20"/>
          <w:color w:val="auto"/>
        </w:rPr>
      </w:pPr>
      <w:r>
        <w:rPr>
          <w:rFonts w:ascii="Arial" w:cs="Arial" w:eastAsia="Arial" w:hAnsi="Arial"/>
          <w:sz w:val="14"/>
          <w:szCs w:val="14"/>
          <w:color w:val="auto"/>
        </w:rPr>
        <w:t>Reliable operations support all of these.</w:t>
      </w:r>
    </w:p>
    <w:p>
      <w:pPr>
        <w:spacing w:after="0" w:line="204"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41275</wp:posOffset>
            </wp:positionV>
            <wp:extent cx="31038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03880" cy="8255"/>
                    </a:xfrm>
                    <a:prstGeom prst="rect">
                      <a:avLst/>
                    </a:prstGeom>
                    <a:noFill/>
                  </pic:spPr>
                </pic:pic>
              </a:graphicData>
            </a:graphic>
          </wp:anchor>
        </w:drawing>
      </w:r>
    </w:p>
    <w:p>
      <w:pPr>
        <w:spacing w:after="0" w:line="147" w:lineRule="exact"/>
        <w:rPr>
          <w:sz w:val="20"/>
          <w:szCs w:val="20"/>
          <w:color w:val="auto"/>
        </w:rPr>
      </w:pPr>
    </w:p>
    <w:p>
      <w:pPr>
        <w:ind w:left="8" w:right="200"/>
        <w:spacing w:after="0" w:line="231" w:lineRule="auto"/>
        <w:rPr>
          <w:sz w:val="20"/>
          <w:szCs w:val="20"/>
          <w:color w:val="auto"/>
        </w:rPr>
      </w:pPr>
      <w:r>
        <w:rPr>
          <w:rFonts w:ascii="Arial" w:cs="Arial" w:eastAsia="Arial" w:hAnsi="Arial"/>
          <w:sz w:val="14"/>
          <w:szCs w:val="14"/>
          <w:color w:val="auto"/>
        </w:rPr>
        <w:t>Segment earnings in 2007 were $10,439 million, 47% higher than 2006 and 5% higher than 2005. Segment earnings benefited from the impact of increasing crude prices on our inventory by $3,488 million in 2007, $98 million in 2006 and $2,450 million in 2005.</w:t>
      </w:r>
    </w:p>
    <w:p>
      <w:pPr>
        <w:spacing w:after="0" w:line="99" w:lineRule="exact"/>
        <w:rPr>
          <w:sz w:val="20"/>
          <w:szCs w:val="20"/>
          <w:color w:val="auto"/>
        </w:rPr>
      </w:pPr>
    </w:p>
    <w:p>
      <w:pPr>
        <w:ind w:left="8"/>
        <w:spacing w:after="0" w:line="239" w:lineRule="auto"/>
        <w:rPr>
          <w:sz w:val="20"/>
          <w:szCs w:val="20"/>
          <w:color w:val="auto"/>
        </w:rPr>
      </w:pPr>
      <w:r>
        <w:rPr>
          <w:rFonts w:ascii="Arial" w:cs="Arial" w:eastAsia="Arial" w:hAnsi="Arial"/>
          <w:sz w:val="13"/>
          <w:szCs w:val="13"/>
          <w:color w:val="auto"/>
        </w:rPr>
        <w:t>After taking into account the impact of increasing crude prices on our inventory, earnings from our Manufacturing business were lower than 2006 largely due to lower realised refining margins, in the second half of the year, reflecting unplanned downtime in certain refinery conversion units, in particular the Pulau Bukom refinery in Singapore and the narrowing of the light-heavy oil price differentials. Refining earnings were adversely impacted by higher unplanned downtime of 5.7% (controllable unplanned downtime 5.4%) compared to 4.9% in 2006. In Marketing, earnings improved and were mainly driven by higher marketing margins in Retail and finished Lubricants. B2B earnings improved reflecting increased Aviation sales and strong Marine margins, partly offset by lower margins for Commercial Fuels, LPG and Bitumen. In Trading, earnings were below those of 2006 with results adversely affected by less favourable market conditions, particularly in the second half of the year as the markets shifted into backwardation (forward prices lower than current spot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-3497580</wp:posOffset>
            </wp:positionH>
            <wp:positionV relativeFrom="paragraph">
              <wp:posOffset>2466975</wp:posOffset>
            </wp:positionV>
            <wp:extent cx="725297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80" w:space="432"/>
            <w:col w:w="4868"/>
          </w:cols>
          <w:pgMar w:left="240" w:top="415" w:right="127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In 2006, Refining earnings were lower than 2005, reflecting weaker refining margins. Marketing earnings in 2006 were higher than 2005, mainly due to higher earnings in Lubricants offsetting lower earnings in Retail and B2B. Relative to 2005, Trading earnings increased in 2006 as a result of capitalising on our global downstream portfolio positions and attractive trading conditions, stemming from high price volatility and market structure.</w:t>
      </w:r>
    </w:p>
    <w:p>
      <w:pPr>
        <w:spacing w:after="0" w:line="183"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Earnings in 2007 included net gains of $327 million. Gains from divestments, including the non-operational benefit of the Los Angeles refinery sale and tax rate changes in Germany and Canada were partially offset by a number of legal and environmental provisions.</w:t>
      </w:r>
    </w:p>
    <w:p>
      <w:pPr>
        <w:spacing w:after="0" w:line="179"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In 2006, earnings included non-operational net gains of $38 million. Benefits relating to reductions in deferred taxes in the Netherlands and Canada were largely offset by pension and employee benefits charges in the USA and France; in 2005, earnings included net gains of $427 million mainly related to divestments.</w:t>
      </w:r>
    </w:p>
    <w:p>
      <w:pPr>
        <w:spacing w:after="0" w:line="179"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In 2007, revenue increased $34,763 million from 2006 reflecting higher average crude prices in 2007.</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4"/>
          <w:szCs w:val="14"/>
          <w:color w:val="auto"/>
        </w:rPr>
        <w:t>In 2006, revenue declined $2,544 million from 2005. The positive effect of higher average crude prices in 2006 was more than offset by the netting of certain trading sales (effective from the third quarter 2005).</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Gross margin (calculated as revenue less purchases) in 2007 increased $4,962 million from 2006 reflecting stronger retail margins and the positive impact of price on inventory, partially offset by lower realised refining margins.</w:t>
      </w:r>
    </w:p>
    <w:p>
      <w:pPr>
        <w:spacing w:after="0" w:line="180" w:lineRule="exact"/>
        <w:rPr>
          <w:sz w:val="20"/>
          <w:szCs w:val="20"/>
          <w:color w:val="auto"/>
        </w:rPr>
      </w:pPr>
    </w:p>
    <w:p>
      <w:pPr>
        <w:ind w:right="120"/>
        <w:spacing w:after="0" w:line="285" w:lineRule="auto"/>
        <w:rPr>
          <w:sz w:val="20"/>
          <w:szCs w:val="20"/>
          <w:color w:val="auto"/>
        </w:rPr>
      </w:pPr>
      <w:r>
        <w:rPr>
          <w:rFonts w:ascii="Arial" w:cs="Arial" w:eastAsia="Arial" w:hAnsi="Arial"/>
          <w:sz w:val="13"/>
          <w:szCs w:val="13"/>
          <w:color w:val="auto"/>
        </w:rPr>
        <w:t>In 2006, the gross margin declined $2,024 million from 2005 levels. Refining margins in Europe and Asia Pacific were down while refining margins in the USA increased.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Depreciation in 2007 declined $140 million compared to 2006, mainly due to divestments.</w:t>
      </w:r>
    </w:p>
    <w:p>
      <w:pPr>
        <w:spacing w:after="0" w:line="210"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Depreciation was $42 million lower in 2006 than 2005 mainly due to divestments, partly offset by the impact of foreign exchange translation.</w:t>
      </w:r>
    </w:p>
    <w:p>
      <w:pPr>
        <w:spacing w:after="0" w:line="175"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Operating expenses, which include divestment gains, increased in 2007 compared to 2006. The increase reflected increased refinery maintenance costs, higher trading expenses, increased energy related costs and the effect of a weaker US dollar on non-dollar denominated operating expenses, partly offset by slightly higher gains from divestments.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Operating expenses, which include divestment gains, increased in 2006 compared to 2005. Compared to 2005, 2006 was affected by lower gains from divestments, increased refinery maintenance costs, higher trading expenses, increased energy related costs and the effect of a weaker US dollar on non-dollar denominated operating expenses.</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Refinery processing intake in 2007 declined some 2% from 2006. Excluding the Los Angeles refinery divestment, intake was marginally down as a result of major turnarounds and unplanned outages.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35" w:lineRule="auto"/>
        <w:rPr>
          <w:sz w:val="20"/>
          <w:szCs w:val="20"/>
          <w:color w:val="auto"/>
        </w:rPr>
      </w:pPr>
      <w:r>
        <w:rPr>
          <w:rFonts w:ascii="Arial" w:cs="Arial" w:eastAsia="Arial" w:hAnsi="Arial"/>
          <w:sz w:val="14"/>
          <w:szCs w:val="14"/>
          <w:color w:val="auto"/>
        </w:rPr>
        <w:t>In 2006, refining processing intake declined 3% from 2005, the result of lower utilisation rates particularly in Europe and Asia Pacific, reflecting major turnarounds at our Pernis and Pulau Bukom refineries.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-287655</wp:posOffset>
            </wp:positionV>
            <wp:extent cx="282575" cy="7586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2575" cy="7586980"/>
                    </a:xfrm>
                    <a:prstGeom prst="rect">
                      <a:avLst/>
                    </a:prstGeom>
                    <a:noFill/>
                  </pic:spPr>
                </pic:pic>
              </a:graphicData>
            </a:graphic>
          </wp:anchor>
        </w:drawing>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Total product sales volumes in 2007 were 2% higher than 2006. Excluding the impact of divestments, marketing volumes were 1% higher than 2006, mainly reflecting higher retail sales.</w:t>
      </w:r>
    </w:p>
    <w:p>
      <w:pPr>
        <w:spacing w:after="0" w:line="180"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In 2006, total product sales volumes were 8% lower than 2005, with 6% resulting from the net reporting of certain contracts that are held for trading purposes as from the third quarter 2005. Furthermore, volumes in 2006 were affected by divestments, and rationalised volumes in B2B.</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2734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160" w:lineRule="exact"/>
        <w:rPr>
          <w:sz w:val="20"/>
          <w:szCs w:val="20"/>
          <w:color w:val="auto"/>
        </w:rPr>
      </w:pPr>
    </w:p>
    <w:p>
      <w:pPr>
        <w:jc w:val="both"/>
        <w:ind w:right="40"/>
        <w:spacing w:after="0"/>
        <w:rPr>
          <w:sz w:val="20"/>
          <w:szCs w:val="20"/>
          <w:color w:val="auto"/>
        </w:rPr>
      </w:pPr>
      <w:r>
        <w:rPr>
          <w:rFonts w:ascii="Arial" w:cs="Arial" w:eastAsia="Arial" w:hAnsi="Arial"/>
          <w:sz w:val="13"/>
          <w:szCs w:val="13"/>
          <w:color w:val="auto"/>
        </w:rPr>
        <w:t>Industry refining margins remained strong in 2007, particularly in the USA, amid robust global product demand growth. In the absence of any major disruptions, refining margins are expected to trend lower in 2008 than 2007 with new conversion capacities expected to come on-stream and the prospect for potentially slower global economic growth.</w:t>
      </w:r>
    </w:p>
    <w:p>
      <w:pPr>
        <w:jc w:val="both"/>
        <w:ind w:right="100"/>
        <w:spacing w:after="0" w:line="229" w:lineRule="auto"/>
        <w:rPr>
          <w:sz w:val="20"/>
          <w:szCs w:val="20"/>
          <w:color w:val="auto"/>
        </w:rPr>
      </w:pPr>
      <w:r>
        <w:rPr>
          <w:rFonts w:ascii="Arial" w:cs="Arial" w:eastAsia="Arial" w:hAnsi="Arial"/>
          <w:sz w:val="14"/>
          <w:szCs w:val="14"/>
          <w:color w:val="auto"/>
        </w:rPr>
        <w:t>However, the eventual levels are uncertain and will be strongly influenced by the pace of global economic growth, the effect of persistently high oil prices on product demand and start-up timing of expected refinery expansions.</w:t>
      </w:r>
    </w:p>
    <w:p>
      <w:pPr>
        <w:spacing w:after="0" w:line="180"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Marketing margins will continue to be influenced by oil price volatility, exchange rates and intense competition.</w:t>
      </w:r>
    </w:p>
    <w:p>
      <w:pPr>
        <w:spacing w:after="0" w:line="175" w:lineRule="exact"/>
        <w:rPr>
          <w:sz w:val="20"/>
          <w:szCs w:val="20"/>
          <w:color w:val="auto"/>
        </w:rPr>
      </w:pPr>
    </w:p>
    <w:p>
      <w:pPr>
        <w:ind w:right="280"/>
        <w:spacing w:after="0" w:line="227" w:lineRule="auto"/>
        <w:rPr>
          <w:sz w:val="20"/>
          <w:szCs w:val="20"/>
          <w:color w:val="auto"/>
        </w:rPr>
      </w:pPr>
      <w:r>
        <w:rPr>
          <w:rFonts w:ascii="Arial" w:cs="Arial" w:eastAsia="Arial" w:hAnsi="Arial"/>
          <w:sz w:val="14"/>
          <w:szCs w:val="14"/>
          <w:color w:val="auto"/>
        </w:rPr>
        <w:t>We aim to remain a global leader in the downstream business. To support this aim our strategy is to:</w:t>
      </w:r>
    </w:p>
    <w:p>
      <w:pPr>
        <w:ind w:left="200" w:hanging="194"/>
        <w:spacing w:after="0" w:line="219" w:lineRule="auto"/>
        <w:tabs>
          <w:tab w:leader="none" w:pos="2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Ensure continued asset integrity and operational safety;</w:t>
      </w:r>
    </w:p>
    <w:p>
      <w:pPr>
        <w:ind w:left="200" w:right="60" w:hanging="194"/>
        <w:spacing w:after="0" w:line="218" w:lineRule="auto"/>
        <w:tabs>
          <w:tab w:leader="none" w:pos="2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Continue reshaping our portfolio by investing selectively in key markets and divesting non-strategic assets;</w:t>
      </w:r>
    </w:p>
    <w:p>
      <w:pPr>
        <w:ind w:left="200" w:right="340" w:hanging="194"/>
        <w:spacing w:after="0" w:line="218" w:lineRule="auto"/>
        <w:tabs>
          <w:tab w:leader="none" w:pos="2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Enhance focus on delivering operational excellence and being a cost leader in the downstream businesses;</w:t>
      </w:r>
    </w:p>
    <w:p>
      <w:pPr>
        <w:ind w:left="200" w:right="300" w:hanging="194"/>
        <w:spacing w:after="0" w:line="254" w:lineRule="auto"/>
        <w:tabs>
          <w:tab w:leader="none" w:pos="200"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Reinforce our leading global brand position across the downstream businesses by focusing on initiatives such as differentiated fuels and second-generation biofuels;</w:t>
      </w:r>
    </w:p>
    <w:p>
      <w:pPr>
        <w:ind w:left="200" w:right="200" w:hanging="194"/>
        <w:spacing w:after="0" w:line="254" w:lineRule="auto"/>
        <w:tabs>
          <w:tab w:leader="none" w:pos="200" w:val="left"/>
        </w:tabs>
        <w:numPr>
          <w:ilvl w:val="0"/>
          <w:numId w:val="54"/>
        </w:numPr>
        <w:rPr>
          <w:rFonts w:ascii="Arial" w:cs="Arial" w:eastAsia="Arial" w:hAnsi="Arial"/>
          <w:sz w:val="12"/>
          <w:szCs w:val="12"/>
          <w:b w:val="1"/>
          <w:bCs w:val="1"/>
          <w:color w:val="auto"/>
        </w:rPr>
      </w:pPr>
      <w:r>
        <w:rPr>
          <w:rFonts w:ascii="Arial" w:cs="Arial" w:eastAsia="Arial" w:hAnsi="Arial"/>
          <w:sz w:val="12"/>
          <w:szCs w:val="12"/>
          <w:color w:val="auto"/>
        </w:rPr>
        <w:t>Continue to maximise the value of our integrated hydrocarbon supply chain by working towards a tighter integration of the Oil Products and Chemicals businesses;</w:t>
      </w:r>
    </w:p>
    <w:p>
      <w:pPr>
        <w:ind w:left="200" w:hanging="194"/>
        <w:spacing w:after="0" w:line="218" w:lineRule="auto"/>
        <w:tabs>
          <w:tab w:leader="none" w:pos="2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Discipline our capital spending; and</w:t>
      </w:r>
    </w:p>
    <w:p>
      <w:pPr>
        <w:ind w:left="200" w:hanging="194"/>
        <w:spacing w:after="0"/>
        <w:tabs>
          <w:tab w:leader="none" w:pos="20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Continue to develop our people.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 AND 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2734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7342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Capital investment was $3.9 billion in 2007 of which $1.7 billion was Refining, $2 billion</w:t>
      </w:r>
    </w:p>
    <w:p>
      <w:pPr>
        <w:spacing w:after="0" w:line="231" w:lineRule="auto"/>
        <w:rPr>
          <w:sz w:val="20"/>
          <w:szCs w:val="20"/>
          <w:color w:val="auto"/>
        </w:rPr>
      </w:pPr>
      <w:r>
        <w:rPr>
          <w:rFonts w:ascii="Arial" w:cs="Arial" w:eastAsia="Arial" w:hAnsi="Arial"/>
          <w:sz w:val="14"/>
          <w:szCs w:val="14"/>
          <w:color w:val="auto"/>
        </w:rPr>
        <w:t>was Marketing and $0.2 billion was new equity and loans in equity-accounted</w:t>
      </w:r>
    </w:p>
    <w:p>
      <w:pPr>
        <w:spacing w:after="0" w:line="236" w:lineRule="auto"/>
        <w:rPr>
          <w:sz w:val="20"/>
          <w:szCs w:val="20"/>
          <w:color w:val="auto"/>
        </w:rPr>
      </w:pPr>
      <w:r>
        <w:rPr>
          <w:rFonts w:ascii="Arial" w:cs="Arial" w:eastAsia="Arial" w:hAnsi="Arial"/>
          <w:sz w:val="13"/>
          <w:szCs w:val="13"/>
          <w:color w:val="auto"/>
        </w:rPr>
        <w:t>investments. This compared to $3.5 billion in 2006 of which $1.4 billion was Refining,</w:t>
      </w:r>
    </w:p>
    <w:p>
      <w:pPr>
        <w:spacing w:after="0" w:line="235" w:lineRule="auto"/>
        <w:rPr>
          <w:sz w:val="20"/>
          <w:szCs w:val="20"/>
          <w:color w:val="auto"/>
        </w:rPr>
      </w:pPr>
      <w:r>
        <w:rPr>
          <w:rFonts w:ascii="Arial" w:cs="Arial" w:eastAsia="Arial" w:hAnsi="Arial"/>
          <w:sz w:val="13"/>
          <w:szCs w:val="13"/>
          <w:color w:val="auto"/>
        </w:rPr>
        <w:t>$1.9 billion was Marketing and $0.1 billion was new equity and loans in equity-accounted</w:t>
      </w:r>
    </w:p>
    <w:p>
      <w:pPr>
        <w:spacing w:after="0" w:line="235" w:lineRule="auto"/>
        <w:rPr>
          <w:sz w:val="20"/>
          <w:szCs w:val="20"/>
          <w:color w:val="auto"/>
        </w:rPr>
      </w:pPr>
      <w:r>
        <w:rPr>
          <w:rFonts w:ascii="Arial" w:cs="Arial" w:eastAsia="Arial" w:hAnsi="Arial"/>
          <w:sz w:val="13"/>
          <w:szCs w:val="13"/>
          <w:color w:val="auto"/>
        </w:rPr>
        <w:t>investments. Our main investments were in our Refining and Retail businesses. This</w:t>
      </w:r>
    </w:p>
    <w:p>
      <w:pPr>
        <w:spacing w:after="0" w:line="235" w:lineRule="auto"/>
        <w:rPr>
          <w:sz w:val="20"/>
          <w:szCs w:val="20"/>
          <w:color w:val="auto"/>
        </w:rPr>
      </w:pPr>
      <w:r>
        <w:rPr>
          <w:rFonts w:ascii="Arial" w:cs="Arial" w:eastAsia="Arial" w:hAnsi="Arial"/>
          <w:sz w:val="13"/>
          <w:szCs w:val="13"/>
          <w:color w:val="auto"/>
        </w:rPr>
        <w:t>included spending on manufacturing asset maintenance, fuel specification, environmental</w:t>
      </w:r>
    </w:p>
    <w:p>
      <w:pPr>
        <w:spacing w:after="0" w:line="219" w:lineRule="auto"/>
        <w:rPr>
          <w:sz w:val="20"/>
          <w:szCs w:val="20"/>
          <w:color w:val="auto"/>
        </w:rPr>
      </w:pPr>
      <w:r>
        <w:rPr>
          <w:rFonts w:ascii="Arial" w:cs="Arial" w:eastAsia="Arial" w:hAnsi="Arial"/>
          <w:sz w:val="14"/>
          <w:szCs w:val="14"/>
          <w:color w:val="auto"/>
        </w:rPr>
        <w:t>compliance and upgrading and growing the retail network, including acquisitions in</w:t>
      </w:r>
    </w:p>
    <w:p>
      <w:pPr>
        <w:spacing w:after="0" w:line="218" w:lineRule="auto"/>
        <w:rPr>
          <w:sz w:val="20"/>
          <w:szCs w:val="20"/>
          <w:color w:val="auto"/>
        </w:rPr>
      </w:pPr>
      <w:r>
        <w:rPr>
          <w:rFonts w:ascii="Arial" w:cs="Arial" w:eastAsia="Arial" w:hAnsi="Arial"/>
          <w:sz w:val="14"/>
          <w:szCs w:val="14"/>
          <w:color w:val="auto"/>
        </w:rPr>
        <w:t>Malaysia and the Ukraine. During the period 2005-2007, around 65% of our capital</w:t>
      </w:r>
    </w:p>
    <w:p>
      <w:pPr>
        <w:spacing w:after="0"/>
        <w:rPr>
          <w:sz w:val="20"/>
          <w:szCs w:val="20"/>
          <w:color w:val="auto"/>
        </w:rPr>
      </w:pPr>
      <w:r>
        <w:rPr>
          <w:rFonts w:ascii="Arial" w:cs="Arial" w:eastAsia="Arial" w:hAnsi="Arial"/>
          <w:sz w:val="14"/>
          <w:szCs w:val="14"/>
          <w:color w:val="auto"/>
        </w:rPr>
        <w:t>expenditure was allocated to asset integrity and care and maintenance projects.</w:t>
      </w:r>
    </w:p>
    <w:p>
      <w:pPr>
        <w:spacing w:after="0" w:line="200" w:lineRule="exact"/>
        <w:rPr>
          <w:sz w:val="20"/>
          <w:szCs w:val="20"/>
          <w:color w:val="auto"/>
        </w:rPr>
      </w:pPr>
    </w:p>
    <w:p>
      <w:pPr>
        <w:sectPr>
          <w:pgSz w:w="11900" w:h="16838" w:orient="portrait"/>
          <w:cols w:equalWidth="0" w:num="2">
            <w:col w:w="5160" w:space="420"/>
            <w:col w:w="5160"/>
          </w:cols>
          <w:pgMar w:left="240" w:top="415"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9360"/>
        <w:spacing w:after="0"/>
        <w:tabs>
          <w:tab w:leader="none" w:pos="106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2425065</wp:posOffset>
            </wp:positionV>
            <wp:extent cx="725297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type w:val="continuous"/>
        </w:sectPr>
      </w:pPr>
    </w:p>
    <w:bookmarkStart w:id="50" w:name="page51"/>
    <w:bookmarkEnd w:id="50"/>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2"/>
        </w:rPr>
        <w:t>OIL PRODUCTS</w:t>
      </w:r>
    </w:p>
    <w:p>
      <w:pPr>
        <w:spacing w:after="0" w:line="200" w:lineRule="exact"/>
        <w:rPr>
          <w:sz w:val="20"/>
          <w:szCs w:val="20"/>
          <w:color w:val="auto"/>
        </w:rPr>
      </w:pPr>
    </w:p>
    <w:p>
      <w:pPr>
        <w:spacing w:after="0" w:line="221"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We continued to focus on divesting non-strategic assets and redeploying capital to strategic growth regions.</w:t>
      </w:r>
    </w:p>
    <w:p>
      <w:pPr>
        <w:spacing w:after="0" w:line="175"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 the USA, Shell completed the sale to Tesoro Corporation of the Los Angeles Refinery, Wilmington Products Terminal and around 250 retail sites and supply agreements in and around Los Angeles and San Diego. Also in the USA, Shell announced, through Motiva Enterprises (Shell interest 50%), the final investment decision to proceed with a 325,000 barrels per day capacity expansion at the Motiva Port Arthur Refinery.</w:t>
      </w:r>
    </w:p>
    <w:p>
      <w:pPr>
        <w:spacing w:after="0" w:line="17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Shell completed the sale of its liquefied petroleum gas (LPG) businesses in Bulgaria, the Czech Republic, Germany, Spain, Switzerland, Romania and the USA.</w:t>
      </w:r>
    </w:p>
    <w:p>
      <w:pPr>
        <w:spacing w:after="0" w:line="175" w:lineRule="exact"/>
        <w:rPr>
          <w:sz w:val="20"/>
          <w:szCs w:val="20"/>
          <w:color w:val="auto"/>
        </w:rPr>
      </w:pPr>
    </w:p>
    <w:p>
      <w:pPr>
        <w:ind w:right="200"/>
        <w:spacing w:after="0" w:line="245" w:lineRule="auto"/>
        <w:rPr>
          <w:sz w:val="20"/>
          <w:szCs w:val="20"/>
          <w:color w:val="auto"/>
        </w:rPr>
      </w:pPr>
      <w:r>
        <w:rPr>
          <w:rFonts w:ascii="Arial" w:cs="Arial" w:eastAsia="Arial" w:hAnsi="Arial"/>
          <w:sz w:val="13"/>
          <w:szCs w:val="13"/>
          <w:color w:val="auto"/>
        </w:rPr>
        <w:t>In France, Shell has signed a sale and purchase agreement for the sale of its Berre-l’Etang refinery site complex and associated infrastructure and businesses. A price of $700 million (including the Chemicals-related activities and business) has been agreed, with completion expected during the first half of 2008. Also in France, we received an offer for the sale of the Petit Couronne and Reichstett Vendenheim refineries. Completion of the sale, with a price of some $875 million, is expected during the first half of 2008.</w:t>
      </w:r>
    </w:p>
    <w:p>
      <w:pPr>
        <w:spacing w:after="0" w:line="17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We announced in 2006 that we are reviewing our portfolio in the Dominican Republic where we have a 50% interest in the 31,000 barrels per day Refidosma refinery and storage terminal, as well as a network of retail sites. We have reached agreement for a third party to acquire the Shell-owned shares in Refidomsa, but the government of the Dominican Republic has indicated that it plans to exercise its right to acquire the Shell-owned shares. Negotiation of definitive agreements is under way.</w:t>
      </w:r>
    </w:p>
    <w:p>
      <w:pPr>
        <w:spacing w:after="0" w:line="183"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We acquired the Shell Canada minority interest which resulted in the full integration of the Canadian Oil Products business to the downstream organisation. This provides significant opportunity to further strengthen the application of refinery expertise, operational excellence as well as integrating and leveraging North American assets and infrastructure.</w:t>
      </w:r>
    </w:p>
    <w:p>
      <w:pPr>
        <w:spacing w:after="0" w:line="174" w:lineRule="exact"/>
        <w:rPr>
          <w:sz w:val="20"/>
          <w:szCs w:val="20"/>
          <w:color w:val="auto"/>
        </w:rPr>
      </w:pPr>
    </w:p>
    <w:p>
      <w:pPr>
        <w:ind w:right="300"/>
        <w:spacing w:after="0" w:line="328" w:lineRule="auto"/>
        <w:rPr>
          <w:sz w:val="20"/>
          <w:szCs w:val="20"/>
          <w:color w:val="auto"/>
        </w:rPr>
      </w:pPr>
      <w:r>
        <w:rPr>
          <w:rFonts w:ascii="Arial" w:cs="Arial" w:eastAsia="Arial" w:hAnsi="Arial"/>
          <w:sz w:val="12"/>
          <w:szCs w:val="12"/>
          <w:color w:val="auto"/>
        </w:rPr>
        <w:t>In the Ukraine, Shell and OJSC Alliance Group formed a joint venture to operate 150 Shell branded retail sites (Shell interest 51%). Operations began in the third quarter of 2007.</w:t>
      </w:r>
    </w:p>
    <w:p>
      <w:pPr>
        <w:spacing w:after="0" w:line="129" w:lineRule="exact"/>
        <w:rPr>
          <w:sz w:val="20"/>
          <w:szCs w:val="20"/>
          <w:color w:val="auto"/>
        </w:rPr>
      </w:pPr>
    </w:p>
    <w:p>
      <w:pPr>
        <w:jc w:val="both"/>
        <w:ind w:right="40"/>
        <w:spacing w:after="0" w:line="235" w:lineRule="auto"/>
        <w:rPr>
          <w:sz w:val="20"/>
          <w:szCs w:val="20"/>
          <w:color w:val="auto"/>
        </w:rPr>
      </w:pPr>
      <w:r>
        <w:rPr>
          <w:rFonts w:ascii="Arial" w:cs="Arial" w:eastAsia="Arial" w:hAnsi="Arial"/>
          <w:sz w:val="14"/>
          <w:szCs w:val="14"/>
          <w:color w:val="auto"/>
        </w:rPr>
        <w:t>We acquired 100% of shares in Conoco Jet (Malaysia) Sdn Bhd, a wholly-owned subsidiary of ConocoPhillips, comprising 44 ProJet-branded retail service stations and 14 vacant land sites in the key growth markets of Malaysia.</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In Scandinavia, Shell signed an agreement in the third quarter of 2007 that will result in the re-branding of 269 service stations across Norway, Sweden and Denmark.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80" w:hanging="273"/>
        <w:spacing w:after="0"/>
        <w:tabs>
          <w:tab w:leader="none" w:pos="280" w:val="left"/>
        </w:tabs>
        <w:numPr>
          <w:ilvl w:val="0"/>
          <w:numId w:val="5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jc w:val="both"/>
        <w:ind w:right="60"/>
        <w:spacing w:after="0" w:line="235" w:lineRule="auto"/>
        <w:rPr>
          <w:sz w:val="20"/>
          <w:szCs w:val="20"/>
          <w:color w:val="auto"/>
        </w:rPr>
      </w:pPr>
      <w:r>
        <w:rPr>
          <w:rFonts w:ascii="Arial" w:cs="Arial" w:eastAsia="Arial" w:hAnsi="Arial"/>
          <w:sz w:val="14"/>
          <w:szCs w:val="14"/>
          <w:color w:val="auto"/>
        </w:rPr>
        <w:t>Research and development (R&amp;D) programmes continue to focus on the improvement of liquid fuels, lubricants, and bitumen products and their applications together with the advancement of process technologies that provide a competitive advantage.</w:t>
      </w:r>
    </w:p>
    <w:p>
      <w:pPr>
        <w:spacing w:after="0" w:line="180"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For the fuels business, top-tier differentiated fuels have been launched in more than 45 countries. Improvements in engine performance, fuel economy and environmental performance are key drivers in the development of new products, while opportunities to reduce costs are pursued in current formulations. Product stewardship, especially in areas of health and the environment, continues to be given high priority in all areas.</w:t>
      </w:r>
    </w:p>
    <w:p>
      <w:pPr>
        <w:spacing w:after="0" w:line="181"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Additional R&amp;D investments continue to be made to secure breakthrough options in sustainable energy and mobility. Shell has partnerships with leading companies to develop second-generation biofuels from non-food sources, such as straw and wood residue, including Iogen Corporation of Canada, and CHOREN Industries of Germany. These activities were strengthened in 2007 as we established a five-year research partnership with Codexis in the USA, a firm specialising in enzyme technology. Shell also announced construction of a pilot facility in Hawaii to grow marine algae and produce vegetable oil for conversion into biofuel. Shell and HR Biopetroleum have formed a joint venture company called Cellena to develop this project.</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The desire to conserve energy, protect the environment and meet customer and equipment manufacturer requirements continues to drive new technology development in our lubricants business. Key themes are the development of lubricants for improved energy efficiency, reduced maintenance and longer equipment life. Formulation technologies that ensure compatibility with new emissions-after-treatment systems and the increasing use of biofuels are both important parts of the programme. We are also developing lubricant formulations that build on the superior properties of gas to liquids (GTL) base oils when these become available around the end of the decade. Shell GTL base oils will allow the blending of low viscosity, low volatility formulations with superior hydrocarbon composition that will assist car and truck manufacturers in accessing durable energy efficient lubricants, assisting emissions control and engine and gear box durability.</w:t>
      </w:r>
    </w:p>
    <w:p>
      <w:pPr>
        <w:spacing w:after="0" w:line="180"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In September 2007, we created a sulphur business to look at innovative ways to use sulphur which is removed during the processing of oil and gas.</w:t>
      </w:r>
    </w:p>
    <w:p>
      <w:pPr>
        <w:spacing w:after="0" w:line="175"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In refinery process research, we seek to achieve the highest standards of reliability and process safety, supply chain optimisation, cost reduction and feedstock flexibility. We also seek continuous improvement in energy efficiency and the reduction in CO</w:t>
      </w:r>
      <w:r>
        <w:rPr>
          <w:rFonts w:ascii="Arial" w:cs="Arial" w:eastAsia="Arial" w:hAnsi="Arial"/>
          <w:sz w:val="12"/>
          <w:szCs w:val="12"/>
          <w:color w:val="auto"/>
        </w:rPr>
        <w:t>2</w:t>
      </w:r>
      <w:r>
        <w:rPr>
          <w:rFonts w:ascii="Arial" w:cs="Arial" w:eastAsia="Arial" w:hAnsi="Arial"/>
          <w:sz w:val="14"/>
          <w:szCs w:val="14"/>
          <w:color w:val="auto"/>
        </w:rPr>
        <w:t xml:space="preserve"> emissions. Facilitation of CO</w:t>
      </w:r>
      <w:r>
        <w:rPr>
          <w:rFonts w:ascii="Arial" w:cs="Arial" w:eastAsia="Arial" w:hAnsi="Arial"/>
          <w:sz w:val="12"/>
          <w:szCs w:val="12"/>
          <w:color w:val="auto"/>
        </w:rPr>
        <w:t>2</w:t>
      </w:r>
      <w:r>
        <w:rPr>
          <w:rFonts w:ascii="Arial" w:cs="Arial" w:eastAsia="Arial" w:hAnsi="Arial"/>
          <w:sz w:val="14"/>
          <w:szCs w:val="14"/>
          <w:color w:val="auto"/>
        </w:rPr>
        <w:t xml:space="preserve"> capture and sequestration from selected process streams is an important consideration in the design of new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1367790</wp:posOffset>
            </wp:positionV>
            <wp:extent cx="725297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type w:val="continuous"/>
        </w:sectPr>
      </w:pPr>
    </w:p>
    <w:bookmarkStart w:id="51" w:name="page52"/>
    <w:bookmarkEnd w:id="51"/>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MANUFACTURING</w:t>
      </w:r>
    </w:p>
    <w:p>
      <w:pPr>
        <w:spacing w:after="0" w:line="226" w:lineRule="auto"/>
        <w:rPr>
          <w:sz w:val="20"/>
          <w:szCs w:val="20"/>
          <w:color w:val="auto"/>
        </w:rPr>
      </w:pPr>
      <w:r>
        <w:rPr>
          <w:rFonts w:ascii="Arial" w:cs="Arial" w:eastAsia="Arial" w:hAnsi="Arial"/>
          <w:sz w:val="14"/>
          <w:szCs w:val="14"/>
          <w:b w:val="1"/>
          <w:bCs w:val="1"/>
          <w:color w:val="auto"/>
        </w:rPr>
        <w:t>Refining</w:t>
      </w:r>
    </w:p>
    <w:p>
      <w:pPr>
        <w:spacing w:after="0" w:line="237" w:lineRule="auto"/>
        <w:rPr>
          <w:sz w:val="20"/>
          <w:szCs w:val="20"/>
          <w:color w:val="auto"/>
        </w:rPr>
      </w:pPr>
      <w:r>
        <w:rPr>
          <w:rFonts w:ascii="Arial" w:cs="Arial" w:eastAsia="Arial" w:hAnsi="Arial"/>
          <w:sz w:val="13"/>
          <w:szCs w:val="13"/>
          <w:color w:val="auto"/>
        </w:rPr>
        <w:t>Our global refining portfolio includes interests in more than 40 refineries worldwide. We have the capability of processing more than four million barrels of crude oil per day. Our presence is truly global, with some 45% of our refining capacity in Europe, 25% in North America, 25% in Asia Pacific, and 5% in Latin America and Africa. Our refineries make a wide range of products including gasoline, diesel, heating oil, aviation fuel, lubricants and bitumen. These products are moved by Supply and Distribution to our downstream partners in Retail, Lubricants and B2B to fulfil Shell customer needs. Refining also works closely with Supply and Distribution, Trading and Shell Global Solutions to maximise earnings from our manufacturing assets. As is the case with all of Shell’s businesses, safety is our top priority. Since 2004, we have improved safety standards at our facilities and brought tailored sustainable development programmes to our sites. These set out the vision, strategy and implementation plan to enable us to meet our commitment to be a good neighbour.</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Supply and Distribution</w:t>
      </w:r>
    </w:p>
    <w:p>
      <w:pPr>
        <w:spacing w:after="0" w:line="2" w:lineRule="exact"/>
        <w:rPr>
          <w:sz w:val="20"/>
          <w:szCs w:val="20"/>
          <w:color w:val="auto"/>
        </w:rPr>
      </w:pPr>
    </w:p>
    <w:p>
      <w:pPr>
        <w:ind w:right="20"/>
        <w:spacing w:after="0" w:line="222" w:lineRule="auto"/>
        <w:rPr>
          <w:sz w:val="20"/>
          <w:szCs w:val="20"/>
          <w:color w:val="auto"/>
        </w:rPr>
      </w:pPr>
      <w:r>
        <w:rPr>
          <w:rFonts w:ascii="Arial" w:cs="Arial" w:eastAsia="Arial" w:hAnsi="Arial"/>
          <w:sz w:val="14"/>
          <w:szCs w:val="14"/>
          <w:color w:val="auto"/>
        </w:rPr>
        <w:t>Supply and Distribution (S&amp;D) delivers feedstocks to Shell refineries and finished products to Shell’s downstream marketing businesses and customers worldwide. S&amp;D plays a large role in Shell’s hydrocarbon supply chain strategies and drives cross-business integration to maximise value and margin. It has more than 300 distribution facilities, 3,000 storage tanks and 9,000 kilometres of pipeline in some 70 countries. Its global fleet of some 7,000 Shell owned or contracted trucks travels more than 1.7 million kilometres every day and makes a delivery somewhere in the world every six seconds.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MARKETING</w:t>
      </w:r>
    </w:p>
    <w:p>
      <w:pPr>
        <w:spacing w:after="0" w:line="226" w:lineRule="auto"/>
        <w:rPr>
          <w:sz w:val="20"/>
          <w:szCs w:val="20"/>
          <w:color w:val="auto"/>
        </w:rPr>
      </w:pPr>
      <w:r>
        <w:rPr>
          <w:rFonts w:ascii="Arial" w:cs="Arial" w:eastAsia="Arial" w:hAnsi="Arial"/>
          <w:sz w:val="14"/>
          <w:szCs w:val="14"/>
          <w:b w:val="1"/>
          <w:bCs w:val="1"/>
          <w:color w:val="auto"/>
        </w:rPr>
        <w:t>Retail</w:t>
      </w:r>
    </w:p>
    <w:p>
      <w:pPr>
        <w:ind w:right="20"/>
        <w:spacing w:after="0" w:line="238" w:lineRule="auto"/>
        <w:rPr>
          <w:sz w:val="20"/>
          <w:szCs w:val="20"/>
          <w:color w:val="auto"/>
        </w:rPr>
      </w:pPr>
      <w:r>
        <w:rPr>
          <w:rFonts w:ascii="Arial" w:cs="Arial" w:eastAsia="Arial" w:hAnsi="Arial"/>
          <w:sz w:val="13"/>
          <w:szCs w:val="13"/>
          <w:color w:val="auto"/>
        </w:rPr>
        <w:t>Shell’s branded fuel retail network is the world’s largest with around 46,000 service stations in 90 countries. With more than 100 years of experience in developing the technology and service needed, Shell is a leading provider of innovative and new fuels. We sell differentiated fuels in more than 45 countries made with special formulations designed to clean engines and improve performance under the Shell V-Power brand. And our Fuel Economy formula for gasoline and diesel is now available in 18 countries. In June 2007, a race version of Shell V-Power Diesel with GTL Fuel powered an Audi R10 TDI to victory for the second year running in the 24 Hour Le Mans race. In its 2007 global customer tracker survey, Shell was ranked number one globally as the preferred brand of service station.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Lubricants</w:t>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3"/>
          <w:szCs w:val="13"/>
          <w:color w:val="auto"/>
        </w:rPr>
        <w:t>Shell Lubricants is the global leader in branded lubricants and the largest marketer of lubricants with 12% of the global lubricants market in volume terms</w:t>
      </w:r>
      <w:r>
        <w:rPr>
          <w:rFonts w:ascii="Arial" w:cs="Arial" w:eastAsia="Arial" w:hAnsi="Arial"/>
          <w:sz w:val="11"/>
          <w:szCs w:val="11"/>
          <w:b w:val="1"/>
          <w:bCs w:val="1"/>
          <w:color w:val="auto"/>
        </w:rPr>
        <w:t>[A]</w:t>
      </w:r>
      <w:r>
        <w:rPr>
          <w:rFonts w:ascii="Arial" w:cs="Arial" w:eastAsia="Arial" w:hAnsi="Arial"/>
          <w:sz w:val="13"/>
          <w:szCs w:val="13"/>
          <w:color w:val="auto"/>
        </w:rPr>
        <w:t>. Our products are available in around 120 countries and comprise some of the biggest selling lubricants brands in both global and individual markets, including Shell Helix, Pennzoil, Shell Rotella, Shell Rimula, Quaker State and Tongyi in China. These lubricants are used across the transport sector in passenger cars, lorries, coaches, aircraft and ships. Shell Lubricants also delivers lubrication solutions to the manufacturing, metalworking, food processing, mining, power generation and agriculture industries. Through the Jiffy Lube fast lube network, Shell Lubricants provides oil change and service to some</w:t>
      </w:r>
    </w:p>
    <w:p>
      <w:pPr>
        <w:spacing w:after="0" w:line="250" w:lineRule="exact"/>
        <w:rPr>
          <w:sz w:val="20"/>
          <w:szCs w:val="20"/>
          <w:color w:val="auto"/>
        </w:rPr>
      </w:pPr>
    </w:p>
    <w:p>
      <w:pPr>
        <w:ind w:left="200" w:right="320" w:hanging="193"/>
        <w:spacing w:after="0" w:line="249" w:lineRule="auto"/>
        <w:tabs>
          <w:tab w:leader="none" w:pos="2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Source Kline “Competitive Intelligence from the Global Lubricants Industry, 2006-2016”.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27 million customers in North America and is building a presence in China. Customers recognise the commitment of Shell Lubricants to service quality and technology: the business has received a number of awards from customers such as Bosch and Autozone.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-381000</wp:posOffset>
            </wp:positionV>
            <wp:extent cx="177800" cy="78574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7800" cy="78574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to Business (B2B)</w:t>
      </w:r>
    </w:p>
    <w:p>
      <w:pPr>
        <w:spacing w:after="0" w:line="2" w:lineRule="exact"/>
        <w:rPr>
          <w:sz w:val="20"/>
          <w:szCs w:val="20"/>
          <w:color w:val="auto"/>
        </w:rPr>
      </w:pPr>
    </w:p>
    <w:p>
      <w:pPr>
        <w:ind w:right="280"/>
        <w:spacing w:after="0" w:line="234" w:lineRule="auto"/>
        <w:rPr>
          <w:sz w:val="20"/>
          <w:szCs w:val="20"/>
          <w:color w:val="auto"/>
        </w:rPr>
      </w:pPr>
      <w:r>
        <w:rPr>
          <w:rFonts w:ascii="Arial" w:cs="Arial" w:eastAsia="Arial" w:hAnsi="Arial"/>
          <w:sz w:val="14"/>
          <w:szCs w:val="14"/>
          <w:color w:val="auto"/>
        </w:rPr>
        <w:t>B2B sells fuels and special products to a broad range of commercial customers and comprises six separate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Shell Aviation</w:t>
      </w:r>
    </w:p>
    <w:p>
      <w:pPr>
        <w:jc w:val="both"/>
        <w:ind w:right="100"/>
        <w:spacing w:after="0" w:line="226" w:lineRule="auto"/>
        <w:rPr>
          <w:sz w:val="20"/>
          <w:szCs w:val="20"/>
          <w:color w:val="auto"/>
        </w:rPr>
      </w:pPr>
      <w:r>
        <w:rPr>
          <w:rFonts w:ascii="Arial" w:cs="Arial" w:eastAsia="Arial" w:hAnsi="Arial"/>
          <w:sz w:val="14"/>
          <w:szCs w:val="14"/>
          <w:color w:val="auto"/>
        </w:rPr>
        <w:t>Shell Aviation is a leader in the marketing of aviation fuels and lubricants, and in the operation of airport fuelling. It supplies 900 airports in some 70 countries refuelling a plane every 12 seconds. Shell retained top spot in the Armbrust Award for the World’s Best Jet Fuel Marketer for 2007.</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Shell Marine Products</w:t>
      </w:r>
    </w:p>
    <w:p>
      <w:pPr>
        <w:spacing w:after="0" w:line="222" w:lineRule="auto"/>
        <w:rPr>
          <w:sz w:val="20"/>
          <w:szCs w:val="20"/>
          <w:color w:val="auto"/>
        </w:rPr>
      </w:pPr>
      <w:r>
        <w:rPr>
          <w:rFonts w:ascii="Arial" w:cs="Arial" w:eastAsia="Arial" w:hAnsi="Arial"/>
          <w:sz w:val="14"/>
          <w:szCs w:val="14"/>
          <w:color w:val="auto"/>
        </w:rPr>
        <w:t>Shell Marine Products is an integrated supply chain provider supplying fuels, lubricants and related technical services to the shipping industry. We supply a range of fuels to power diesel engines and gas turbine vessels. Our range of around 100 different types of lubricants is formulated to provide optimum protection and performance in the toughest operating environments. Our business serves more than 20,000 customer vessels annually, ranging from large ocean-going vessels to small fishing boats. We can supply our products through our global network of around 730 ports, in more than 70 countries.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Shell Gas (LPG)</w:t>
      </w:r>
    </w:p>
    <w:p>
      <w:pPr>
        <w:ind w:right="20"/>
        <w:spacing w:after="0" w:line="242" w:lineRule="auto"/>
        <w:rPr>
          <w:sz w:val="20"/>
          <w:szCs w:val="20"/>
          <w:color w:val="auto"/>
        </w:rPr>
      </w:pPr>
      <w:r>
        <w:rPr>
          <w:rFonts w:ascii="Arial" w:cs="Arial" w:eastAsia="Arial" w:hAnsi="Arial"/>
          <w:sz w:val="13"/>
          <w:szCs w:val="13"/>
          <w:color w:val="auto"/>
        </w:rPr>
        <w:t>LPG is a clean-burning, efficient, portable and convenient fuel that has numerous domestic, commercial and industrial uses, including cooking, heating and transport. We supply LPG, in both handy cylinders and bulk tanks, to millions of customers across five continents. Our users range from hotel operators to aerosol manufacturers and from poultry breeders to rural householders without access to the electricity grid.</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Commercial Fuels</w:t>
      </w:r>
    </w:p>
    <w:p>
      <w:pPr>
        <w:ind w:right="20"/>
        <w:spacing w:after="0" w:line="241" w:lineRule="auto"/>
        <w:rPr>
          <w:sz w:val="20"/>
          <w:szCs w:val="20"/>
          <w:color w:val="auto"/>
        </w:rPr>
      </w:pPr>
      <w:r>
        <w:rPr>
          <w:rFonts w:ascii="Arial" w:cs="Arial" w:eastAsia="Arial" w:hAnsi="Arial"/>
          <w:sz w:val="13"/>
          <w:szCs w:val="13"/>
          <w:color w:val="auto"/>
        </w:rPr>
        <w:t>Commercial Fuels provides high-quality heating, transport and industrial fuels worldwide. The bulk fuels business plays a key role in our integrated supply chain. The Commercial Road Transport (CRT) business provides fuels and services to transporters around the world through a network of well-located sites with payment through card systems, with more than 500,000 fuel cards in operation. Commercial Fuels deals with 35% of Shell fuels sold around the world.</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Shell Bitumen</w:t>
      </w:r>
    </w:p>
    <w:p>
      <w:pPr>
        <w:ind w:right="60"/>
        <w:spacing w:after="0" w:line="242" w:lineRule="auto"/>
        <w:rPr>
          <w:sz w:val="20"/>
          <w:szCs w:val="20"/>
          <w:color w:val="auto"/>
        </w:rPr>
      </w:pPr>
      <w:r>
        <w:rPr>
          <w:rFonts w:ascii="Arial" w:cs="Arial" w:eastAsia="Arial" w:hAnsi="Arial"/>
          <w:sz w:val="13"/>
          <w:szCs w:val="13"/>
          <w:color w:val="auto"/>
        </w:rPr>
        <w:t>Shell Bitumen is a global market leader in terms of volume. Every day it supplies around 14,000 metric tonnes of bitumen – equivalent to 500 kilometres of road – to 1,600 customers, through 250 applications, in 30 countries. Shell Bitumen continues to grow in key markets, most notably in the pavement solutions and airport sectors. In early 2007, it opened its first specialities plant in India.</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Shell Sulphur Solutions</w:t>
      </w:r>
    </w:p>
    <w:p>
      <w:pPr>
        <w:ind w:right="160"/>
        <w:spacing w:after="0" w:line="224" w:lineRule="auto"/>
        <w:rPr>
          <w:sz w:val="20"/>
          <w:szCs w:val="20"/>
          <w:color w:val="auto"/>
        </w:rPr>
      </w:pPr>
      <w:r>
        <w:rPr>
          <w:rFonts w:ascii="Arial" w:cs="Arial" w:eastAsia="Arial" w:hAnsi="Arial"/>
          <w:sz w:val="14"/>
          <w:szCs w:val="14"/>
          <w:color w:val="auto"/>
        </w:rPr>
        <w:t>Shell Sulphur Solutions, launched in September 2007, brings together Shell’s global sulphur expertise and experience. As well as being responsible for the sale and marketing of elemental sulphur, it also develops and delivers sulphur products and applications that provide innovative uses for sulphur. Shell Sulphur Solutions current products are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2670810</wp:posOffset>
            </wp:positionV>
            <wp:extent cx="725297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OIL PRODUCTS</w:t>
      </w:r>
    </w:p>
    <w:p>
      <w:pPr>
        <w:spacing w:after="0" w:line="200" w:lineRule="exact"/>
        <w:rPr>
          <w:sz w:val="20"/>
          <w:szCs w:val="20"/>
          <w:color w:val="auto"/>
        </w:rPr>
      </w:pPr>
    </w:p>
    <w:p>
      <w:pPr>
        <w:spacing w:after="0" w:line="22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SEAM™ Asphalt Modifier, technologies for the manufacture of Sulphur Enhanced Fertiliser and Sulphur Concrete.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Future Fuels and CO</w:t>
      </w:r>
      <w:r>
        <w:rPr>
          <w:rFonts w:ascii="Arial" w:cs="Arial" w:eastAsia="Arial" w:hAnsi="Arial"/>
          <w:sz w:val="12"/>
          <w:szCs w:val="12"/>
          <w:b w:val="1"/>
          <w:bCs w:val="1"/>
          <w:color w:val="auto"/>
        </w:rPr>
        <w:t>2</w:t>
      </w:r>
    </w:p>
    <w:p>
      <w:pPr>
        <w:spacing w:after="0" w:line="2"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Future Fuels and CO</w:t>
      </w:r>
      <w:r>
        <w:rPr>
          <w:rFonts w:ascii="Arial" w:cs="Arial" w:eastAsia="Arial" w:hAnsi="Arial"/>
          <w:sz w:val="11"/>
          <w:szCs w:val="11"/>
          <w:color w:val="auto"/>
        </w:rPr>
        <w:t>2</w:t>
      </w:r>
      <w:r>
        <w:rPr>
          <w:rFonts w:ascii="Arial" w:cs="Arial" w:eastAsia="Arial" w:hAnsi="Arial"/>
          <w:sz w:val="13"/>
          <w:szCs w:val="13"/>
          <w:color w:val="auto"/>
        </w:rPr>
        <w:t xml:space="preserve"> is responsible for accelerating the technical and commercial development of biofuels, X-to-liquid fuels (synthetic fuels made from gas and potentially biomass that are cleaner burning than conventional fuel) and hydrogen. It is also responsible for leading energy conservation and CO</w:t>
      </w:r>
      <w:r>
        <w:rPr>
          <w:rFonts w:ascii="Arial" w:cs="Arial" w:eastAsia="Arial" w:hAnsi="Arial"/>
          <w:sz w:val="11"/>
          <w:szCs w:val="11"/>
          <w:color w:val="auto"/>
        </w:rPr>
        <w:t>2</w:t>
      </w:r>
      <w:r>
        <w:rPr>
          <w:rFonts w:ascii="Arial" w:cs="Arial" w:eastAsia="Arial" w:hAnsi="Arial"/>
          <w:sz w:val="13"/>
          <w:szCs w:val="13"/>
          <w:color w:val="auto"/>
        </w:rPr>
        <w:t xml:space="preserve"> management activities across Shell.</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TRADING</w:t>
      </w:r>
    </w:p>
    <w:p>
      <w:pPr>
        <w:spacing w:after="0" w:line="6" w:lineRule="exact"/>
        <w:rPr>
          <w:sz w:val="20"/>
          <w:szCs w:val="20"/>
          <w:color w:val="auto"/>
        </w:rPr>
      </w:pPr>
    </w:p>
    <w:p>
      <w:pPr>
        <w:ind w:right="160"/>
        <w:spacing w:after="0" w:line="265" w:lineRule="auto"/>
        <w:rPr>
          <w:sz w:val="20"/>
          <w:szCs w:val="20"/>
          <w:color w:val="auto"/>
        </w:rPr>
      </w:pPr>
      <w:r>
        <w:rPr>
          <w:rFonts w:ascii="Arial" w:cs="Arial" w:eastAsia="Arial" w:hAnsi="Arial"/>
          <w:sz w:val="12"/>
          <w:szCs w:val="12"/>
          <w:color w:val="auto"/>
        </w:rPr>
        <w:t>Shell Trading is a global network of companies that are engaged in trading and shipping. The trading portfolio includes natural gas, electrical power, crude oil, refined products, chemical feedstocks and environmental products. Shell Trading’s main locations include Houston, London, Dubai, Rotterdam and Singapore. Shell’s trading and shipping activities primarily occur in support of Shell’s business activities, in particular Oil Products, Gas &amp; Power and Chemicals. Shell Trading trades about 15 million barrels of crude oil equivalent per day.</w:t>
      </w:r>
    </w:p>
    <w:p>
      <w:pPr>
        <w:spacing w:after="0" w:line="200" w:lineRule="exact"/>
        <w:rPr>
          <w:sz w:val="20"/>
          <w:szCs w:val="20"/>
          <w:color w:val="auto"/>
        </w:rPr>
      </w:pPr>
    </w:p>
    <w:p>
      <w:pPr>
        <w:spacing w:after="0" w:line="210" w:lineRule="exact"/>
        <w:rPr>
          <w:sz w:val="20"/>
          <w:szCs w:val="20"/>
          <w:color w:val="auto"/>
        </w:rPr>
      </w:pPr>
    </w:p>
    <w:p>
      <w:pPr>
        <w:ind w:left="280" w:hanging="273"/>
        <w:spacing w:after="0"/>
        <w:tabs>
          <w:tab w:leader="none" w:pos="280" w:val="left"/>
        </w:tabs>
        <w:numPr>
          <w:ilvl w:val="0"/>
          <w:numId w:val="57"/>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GLOBAL SOLUTIONS</w:t>
      </w:r>
    </w:p>
    <w:p>
      <w:pPr>
        <w:spacing w:after="0" w:line="6" w:lineRule="exact"/>
        <w:rPr>
          <w:sz w:val="20"/>
          <w:szCs w:val="20"/>
          <w:color w:val="auto"/>
        </w:rPr>
      </w:pPr>
    </w:p>
    <w:p>
      <w:pPr>
        <w:spacing w:after="0" w:line="222" w:lineRule="auto"/>
        <w:rPr>
          <w:sz w:val="20"/>
          <w:szCs w:val="20"/>
          <w:color w:val="auto"/>
        </w:rPr>
      </w:pPr>
      <w:r>
        <w:rPr>
          <w:rFonts w:ascii="Arial" w:cs="Arial" w:eastAsia="Arial" w:hAnsi="Arial"/>
          <w:sz w:val="14"/>
          <w:szCs w:val="14"/>
          <w:color w:val="auto"/>
        </w:rPr>
        <w:t>Shell Global Solutions provides business and operational consultancy, technical services and research and development expertise to Shell companies and the energy and processing industries worldwide, supporting primarily the Oil Products, Gas &amp; Power and Chemicals businesses of Shell. It has a network of offices around the world, with main commercial centres in the USA, Europe and Asia Pacific. It also develops catalytic solutions and manufactures catalysts for sale to other Shell companies or third parties for use in refineries, chemical plants and GTL plants. It has a number of manufacturing facilities in the USA, Belgium, Canada and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1791335</wp:posOffset>
            </wp:positionV>
            <wp:extent cx="725297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60" w:space="480"/>
            <w:col w:w="5420"/>
          </w:cols>
          <w:pgMar w:left="240" w:top="415"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248525" cy="5886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8525" cy="5886450"/>
                    </a:xfrm>
                    <a:prstGeom prst="rect">
                      <a:avLst/>
                    </a:prstGeom>
                    <a:noFill/>
                  </pic:spPr>
                </pic:pic>
              </a:graphicData>
            </a:graphic>
          </wp:anchor>
        </w:drawing>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02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COST OF CRUDE OIL PROCESSED OR CONSUMED</w:t>
            </w:r>
          </w:p>
        </w:tc>
        <w:tc>
          <w:tcPr>
            <w:tcW w:w="420" w:type="dxa"/>
            <w:vAlign w:val="bottom"/>
            <w:shd w:val="clear" w:color="auto" w:fill="EE2E24"/>
          </w:tcPr>
          <w:p>
            <w:pPr>
              <w:spacing w:after="0"/>
              <w:rPr>
                <w:sz w:val="12"/>
                <w:szCs w:val="12"/>
                <w:color w:val="auto"/>
              </w:rPr>
            </w:pPr>
          </w:p>
        </w:tc>
        <w:tc>
          <w:tcPr>
            <w:tcW w:w="680" w:type="dxa"/>
            <w:vAlign w:val="bottom"/>
            <w:shd w:val="clear" w:color="auto" w:fill="EE2E24"/>
          </w:tcPr>
          <w:p>
            <w:pPr>
              <w:spacing w:after="0"/>
              <w:rPr>
                <w:sz w:val="12"/>
                <w:szCs w:val="12"/>
                <w:color w:val="auto"/>
              </w:rPr>
            </w:pPr>
          </w:p>
        </w:tc>
        <w:tc>
          <w:tcPr>
            <w:tcW w:w="1480" w:type="dxa"/>
            <w:vAlign w:val="bottom"/>
            <w:shd w:val="clear" w:color="auto" w:fill="EE2E24"/>
          </w:tcPr>
          <w:p>
            <w:pPr>
              <w:spacing w:after="0"/>
              <w:rPr>
                <w:sz w:val="12"/>
                <w:szCs w:val="12"/>
                <w:color w:val="auto"/>
              </w:rPr>
            </w:pPr>
          </w:p>
        </w:tc>
        <w:tc>
          <w:tcPr>
            <w:tcW w:w="1160" w:type="dxa"/>
            <w:vAlign w:val="bottom"/>
            <w:shd w:val="clear" w:color="auto" w:fill="EE2E24"/>
          </w:tcPr>
          <w:p>
            <w:pPr>
              <w:spacing w:after="0"/>
              <w:rPr>
                <w:sz w:val="12"/>
                <w:szCs w:val="12"/>
                <w:color w:val="auto"/>
              </w:rPr>
            </w:pPr>
          </w:p>
        </w:tc>
        <w:tc>
          <w:tcPr>
            <w:tcW w:w="1020" w:type="dxa"/>
            <w:vAlign w:val="bottom"/>
            <w:shd w:val="clear" w:color="auto" w:fill="EE2E24"/>
          </w:tcPr>
          <w:p>
            <w:pPr>
              <w:spacing w:after="0"/>
              <w:rPr>
                <w:sz w:val="12"/>
                <w:szCs w:val="12"/>
                <w:color w:val="auto"/>
              </w:rPr>
            </w:pPr>
          </w:p>
        </w:tc>
        <w:tc>
          <w:tcPr>
            <w:tcW w:w="1020" w:type="dxa"/>
            <w:vAlign w:val="bottom"/>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 per barrel</w:t>
            </w:r>
          </w:p>
        </w:tc>
      </w:tr>
      <w:tr>
        <w:trPr>
          <w:trHeight w:val="127"/>
        </w:trPr>
        <w:tc>
          <w:tcPr>
            <w:tcW w:w="5020" w:type="dxa"/>
            <w:vAlign w:val="bottom"/>
            <w:shd w:val="clear" w:color="auto" w:fill="CECAC6"/>
          </w:tcPr>
          <w:p>
            <w:pPr>
              <w:ind w:left="40"/>
              <w:spacing w:after="0" w:line="128" w:lineRule="exact"/>
              <w:rPr>
                <w:sz w:val="20"/>
                <w:szCs w:val="20"/>
                <w:color w:val="auto"/>
              </w:rPr>
            </w:pPr>
            <w:r>
              <w:rPr>
                <w:rFonts w:ascii="Arial" w:cs="Arial" w:eastAsia="Arial" w:hAnsi="Arial"/>
                <w:sz w:val="12"/>
                <w:szCs w:val="12"/>
                <w:color w:val="auto"/>
              </w:rPr>
              <w:t>Cost of crude oil processed or consumed (including upstream margin on crude supplied by</w:t>
            </w:r>
          </w:p>
        </w:tc>
        <w:tc>
          <w:tcPr>
            <w:tcW w:w="42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148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r>
      <w:tr>
        <w:trPr>
          <w:trHeight w:val="139"/>
        </w:trPr>
        <w:tc>
          <w:tcPr>
            <w:tcW w:w="5020" w:type="dxa"/>
            <w:vAlign w:val="bottom"/>
            <w:shd w:val="clear" w:color="auto" w:fill="CECAC6"/>
          </w:tcPr>
          <w:p>
            <w:pPr>
              <w:ind w:left="40"/>
              <w:spacing w:after="0"/>
              <w:rPr>
                <w:sz w:val="20"/>
                <w:szCs w:val="20"/>
                <w:color w:val="auto"/>
              </w:rPr>
            </w:pPr>
            <w:r>
              <w:rPr>
                <w:rFonts w:ascii="Arial" w:cs="Arial" w:eastAsia="Arial" w:hAnsi="Arial"/>
                <w:sz w:val="12"/>
                <w:szCs w:val="12"/>
                <w:color w:val="auto"/>
              </w:rPr>
              <w:t>Shell and equity-accounted investment exploration and production companies)</w:t>
            </w:r>
          </w:p>
        </w:tc>
        <w:tc>
          <w:tcPr>
            <w:tcW w:w="110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2006</w:t>
            </w:r>
          </w:p>
        </w:tc>
        <w:tc>
          <w:tcPr>
            <w:tcW w:w="116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2005</w:t>
            </w:r>
          </w:p>
        </w:tc>
        <w:tc>
          <w:tcPr>
            <w:tcW w:w="102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40"/>
        </w:trPr>
        <w:tc>
          <w:tcPr>
            <w:tcW w:w="5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Total</w:t>
            </w:r>
          </w:p>
        </w:tc>
        <w:tc>
          <w:tcPr>
            <w:tcW w:w="4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71.83</w:t>
            </w:r>
          </w:p>
        </w:tc>
        <w:tc>
          <w:tcPr>
            <w:tcW w:w="1480" w:type="dxa"/>
            <w:vAlign w:val="bottom"/>
            <w:tcBorders>
              <w:bottom w:val="single" w:sz="8" w:color="auto"/>
            </w:tcBorders>
          </w:tcPr>
          <w:p>
            <w:pPr>
              <w:jc w:val="right"/>
              <w:ind w:right="378"/>
              <w:spacing w:after="0" w:line="133" w:lineRule="exact"/>
              <w:rPr>
                <w:sz w:val="20"/>
                <w:szCs w:val="20"/>
                <w:color w:val="auto"/>
              </w:rPr>
            </w:pPr>
            <w:r>
              <w:rPr>
                <w:rFonts w:ascii="Arial" w:cs="Arial" w:eastAsia="Arial" w:hAnsi="Arial"/>
                <w:sz w:val="12"/>
                <w:szCs w:val="12"/>
                <w:color w:val="auto"/>
              </w:rPr>
              <w:t>60.46</w:t>
            </w:r>
          </w:p>
        </w:tc>
        <w:tc>
          <w:tcPr>
            <w:tcW w:w="1160" w:type="dxa"/>
            <w:vAlign w:val="bottom"/>
            <w:tcBorders>
              <w:bottom w:val="single" w:sz="8" w:color="auto"/>
            </w:tcBorders>
          </w:tcPr>
          <w:p>
            <w:pPr>
              <w:jc w:val="right"/>
              <w:ind w:right="358"/>
              <w:spacing w:after="0" w:line="133" w:lineRule="exact"/>
              <w:rPr>
                <w:sz w:val="20"/>
                <w:szCs w:val="20"/>
                <w:color w:val="auto"/>
              </w:rPr>
            </w:pPr>
            <w:r>
              <w:rPr>
                <w:rFonts w:ascii="Arial" w:cs="Arial" w:eastAsia="Arial" w:hAnsi="Arial"/>
                <w:sz w:val="12"/>
                <w:szCs w:val="12"/>
                <w:color w:val="auto"/>
              </w:rPr>
              <w:t>48.24</w:t>
            </w:r>
          </w:p>
        </w:tc>
        <w:tc>
          <w:tcPr>
            <w:tcW w:w="1020" w:type="dxa"/>
            <w:vAlign w:val="bottom"/>
            <w:tcBorders>
              <w:bottom w:val="single" w:sz="8" w:color="auto"/>
            </w:tcBorders>
          </w:tcPr>
          <w:p>
            <w:pPr>
              <w:jc w:val="right"/>
              <w:ind w:right="198"/>
              <w:spacing w:after="0" w:line="133" w:lineRule="exact"/>
              <w:rPr>
                <w:sz w:val="20"/>
                <w:szCs w:val="20"/>
                <w:color w:val="auto"/>
              </w:rPr>
            </w:pPr>
            <w:r>
              <w:rPr>
                <w:rFonts w:ascii="Arial" w:cs="Arial" w:eastAsia="Arial" w:hAnsi="Arial"/>
                <w:sz w:val="12"/>
                <w:szCs w:val="12"/>
                <w:color w:val="auto"/>
              </w:rPr>
              <w:t>37.22</w:t>
            </w:r>
          </w:p>
        </w:tc>
        <w:tc>
          <w:tcPr>
            <w:tcW w:w="102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26.75</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OPERABLE CRUDE OIL DISTILLATION CAPACITY [B]</w:t>
            </w:r>
          </w:p>
        </w:tc>
        <w:tc>
          <w:tcPr>
            <w:tcW w:w="680" w:type="dxa"/>
            <w:vAlign w:val="bottom"/>
            <w:shd w:val="clear" w:color="auto" w:fill="EE2E24"/>
          </w:tcPr>
          <w:p>
            <w:pPr>
              <w:spacing w:after="0"/>
              <w:rPr>
                <w:sz w:val="12"/>
                <w:szCs w:val="12"/>
                <w:color w:val="auto"/>
              </w:rPr>
            </w:pPr>
          </w:p>
        </w:tc>
        <w:tc>
          <w:tcPr>
            <w:tcW w:w="1480" w:type="dxa"/>
            <w:vAlign w:val="bottom"/>
            <w:shd w:val="clear" w:color="auto" w:fill="EE2E24"/>
          </w:tcPr>
          <w:p>
            <w:pPr>
              <w:spacing w:after="0"/>
              <w:rPr>
                <w:sz w:val="12"/>
                <w:szCs w:val="12"/>
                <w:color w:val="auto"/>
              </w:rPr>
            </w:pPr>
          </w:p>
        </w:tc>
        <w:tc>
          <w:tcPr>
            <w:tcW w:w="920" w:type="dxa"/>
            <w:vAlign w:val="bottom"/>
            <w:shd w:val="clear" w:color="auto" w:fill="EE2E24"/>
          </w:tcPr>
          <w:p>
            <w:pPr>
              <w:spacing w:after="0"/>
              <w:rPr>
                <w:sz w:val="12"/>
                <w:szCs w:val="12"/>
                <w:color w:val="auto"/>
              </w:rPr>
            </w:pPr>
          </w:p>
        </w:tc>
        <w:tc>
          <w:tcPr>
            <w:tcW w:w="2280" w:type="dxa"/>
            <w:vAlign w:val="bottom"/>
            <w:gridSpan w:val="2"/>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thousand barrels/calendar day [C]</w:t>
            </w:r>
          </w:p>
        </w:tc>
      </w:tr>
      <w:tr>
        <w:trPr>
          <w:trHeight w:val="133"/>
        </w:trPr>
        <w:tc>
          <w:tcPr>
            <w:tcW w:w="54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92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2005</w:t>
            </w:r>
          </w:p>
        </w:tc>
        <w:tc>
          <w:tcPr>
            <w:tcW w:w="144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2004</w:t>
            </w:r>
          </w:p>
        </w:tc>
        <w:tc>
          <w:tcPr>
            <w:tcW w:w="8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440" w:type="dxa"/>
            <w:vAlign w:val="bottom"/>
          </w:tcPr>
          <w:p>
            <w:pPr>
              <w:spacing w:after="0" w:line="128" w:lineRule="exact"/>
              <w:rPr>
                <w:sz w:val="20"/>
                <w:szCs w:val="20"/>
                <w:color w:val="auto"/>
              </w:rPr>
            </w:pPr>
            <w:r>
              <w:rPr>
                <w:rFonts w:ascii="Arial" w:cs="Arial" w:eastAsia="Arial" w:hAnsi="Arial"/>
                <w:sz w:val="12"/>
                <w:szCs w:val="12"/>
                <w:color w:val="auto"/>
              </w:rPr>
              <w:t>Europe</w:t>
            </w:r>
          </w:p>
        </w:tc>
        <w:tc>
          <w:tcPr>
            <w:tcW w:w="68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1,815</w:t>
            </w:r>
          </w:p>
        </w:tc>
        <w:tc>
          <w:tcPr>
            <w:tcW w:w="148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1,823</w:t>
            </w:r>
          </w:p>
        </w:tc>
        <w:tc>
          <w:tcPr>
            <w:tcW w:w="9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1,822</w:t>
            </w:r>
          </w:p>
        </w:tc>
        <w:tc>
          <w:tcPr>
            <w:tcW w:w="144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1,835</w:t>
            </w:r>
          </w:p>
        </w:tc>
        <w:tc>
          <w:tcPr>
            <w:tcW w:w="8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1,808</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953</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927</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899</w:t>
            </w:r>
          </w:p>
        </w:tc>
        <w:tc>
          <w:tcPr>
            <w:tcW w:w="14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1,050</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1,072</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835</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893</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893</w:t>
            </w:r>
          </w:p>
        </w:tc>
        <w:tc>
          <w:tcPr>
            <w:tcW w:w="14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964</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1,014</w:t>
            </w:r>
          </w:p>
        </w:tc>
      </w:tr>
      <w:tr>
        <w:trPr>
          <w:trHeight w:val="139"/>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350</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348</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350</w:t>
            </w:r>
          </w:p>
        </w:tc>
        <w:tc>
          <w:tcPr>
            <w:tcW w:w="14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350</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361</w:t>
            </w:r>
          </w:p>
        </w:tc>
      </w:tr>
      <w:tr>
        <w:trPr>
          <w:trHeight w:val="146"/>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3,953</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3,991</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3,964</w:t>
            </w:r>
          </w:p>
        </w:tc>
        <w:tc>
          <w:tcPr>
            <w:tcW w:w="14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4,199</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4,255</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CRUDE OIL PROCESSED [D]</w:t>
            </w:r>
          </w:p>
        </w:tc>
        <w:tc>
          <w:tcPr>
            <w:tcW w:w="680" w:type="dxa"/>
            <w:vAlign w:val="bottom"/>
            <w:shd w:val="clear" w:color="auto" w:fill="EE2E24"/>
          </w:tcPr>
          <w:p>
            <w:pPr>
              <w:spacing w:after="0"/>
              <w:rPr>
                <w:sz w:val="12"/>
                <w:szCs w:val="12"/>
                <w:color w:val="auto"/>
              </w:rPr>
            </w:pPr>
          </w:p>
        </w:tc>
        <w:tc>
          <w:tcPr>
            <w:tcW w:w="1480" w:type="dxa"/>
            <w:vAlign w:val="bottom"/>
            <w:shd w:val="clear" w:color="auto" w:fill="EE2E24"/>
          </w:tcPr>
          <w:p>
            <w:pPr>
              <w:spacing w:after="0"/>
              <w:rPr>
                <w:sz w:val="12"/>
                <w:szCs w:val="12"/>
                <w:color w:val="auto"/>
              </w:rPr>
            </w:pPr>
          </w:p>
        </w:tc>
        <w:tc>
          <w:tcPr>
            <w:tcW w:w="1160" w:type="dxa"/>
            <w:vAlign w:val="bottom"/>
            <w:shd w:val="clear" w:color="auto" w:fill="EE2E24"/>
          </w:tcPr>
          <w:p>
            <w:pPr>
              <w:spacing w:after="0"/>
              <w:rPr>
                <w:sz w:val="12"/>
                <w:szCs w:val="12"/>
                <w:color w:val="auto"/>
              </w:rPr>
            </w:pPr>
          </w:p>
        </w:tc>
        <w:tc>
          <w:tcPr>
            <w:tcW w:w="2040" w:type="dxa"/>
            <w:vAlign w:val="bottom"/>
            <w:gridSpan w:val="2"/>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thousand barrels daily [C]</w:t>
            </w:r>
          </w:p>
        </w:tc>
      </w:tr>
      <w:tr>
        <w:trPr>
          <w:trHeight w:val="133"/>
        </w:trPr>
        <w:tc>
          <w:tcPr>
            <w:tcW w:w="54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116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2005</w:t>
            </w:r>
          </w:p>
        </w:tc>
        <w:tc>
          <w:tcPr>
            <w:tcW w:w="120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2004</w:t>
            </w:r>
          </w:p>
        </w:tc>
        <w:tc>
          <w:tcPr>
            <w:tcW w:w="8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440" w:type="dxa"/>
            <w:vAlign w:val="bottom"/>
          </w:tcPr>
          <w:p>
            <w:pPr>
              <w:spacing w:after="0" w:line="128" w:lineRule="exact"/>
              <w:rPr>
                <w:sz w:val="20"/>
                <w:szCs w:val="20"/>
                <w:color w:val="auto"/>
              </w:rPr>
            </w:pPr>
            <w:r>
              <w:rPr>
                <w:rFonts w:ascii="Arial" w:cs="Arial" w:eastAsia="Arial" w:hAnsi="Arial"/>
                <w:sz w:val="12"/>
                <w:szCs w:val="12"/>
                <w:color w:val="auto"/>
              </w:rPr>
              <w:t>Europe</w:t>
            </w:r>
          </w:p>
        </w:tc>
        <w:tc>
          <w:tcPr>
            <w:tcW w:w="68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1,644</w:t>
            </w:r>
          </w:p>
        </w:tc>
        <w:tc>
          <w:tcPr>
            <w:tcW w:w="148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1,641</w:t>
            </w:r>
          </w:p>
        </w:tc>
        <w:tc>
          <w:tcPr>
            <w:tcW w:w="116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1,701</w:t>
            </w:r>
          </w:p>
        </w:tc>
        <w:tc>
          <w:tcPr>
            <w:tcW w:w="12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1,688</w:t>
            </w:r>
          </w:p>
        </w:tc>
        <w:tc>
          <w:tcPr>
            <w:tcW w:w="8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1,712</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765</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751</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802</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943</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916</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789</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874</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855</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951</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974</w:t>
            </w:r>
          </w:p>
        </w:tc>
      </w:tr>
      <w:tr>
        <w:trPr>
          <w:trHeight w:val="139"/>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299</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303</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315</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319</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323</w:t>
            </w:r>
          </w:p>
        </w:tc>
      </w:tr>
      <w:tr>
        <w:trPr>
          <w:trHeight w:val="140"/>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3,497</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3,569</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3,673</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3,901</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3,925</w:t>
            </w:r>
          </w:p>
        </w:tc>
      </w:tr>
      <w:tr>
        <w:trPr>
          <w:trHeight w:val="146"/>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Shell share of equity-accounted investments</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392</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417</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455</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451</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515</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REFINERY PROCESSING INTAKE [E]</w:t>
            </w:r>
          </w:p>
        </w:tc>
        <w:tc>
          <w:tcPr>
            <w:tcW w:w="680" w:type="dxa"/>
            <w:vAlign w:val="bottom"/>
            <w:shd w:val="clear" w:color="auto" w:fill="EE2E24"/>
          </w:tcPr>
          <w:p>
            <w:pPr>
              <w:spacing w:after="0"/>
              <w:rPr>
                <w:sz w:val="12"/>
                <w:szCs w:val="12"/>
                <w:color w:val="auto"/>
              </w:rPr>
            </w:pPr>
          </w:p>
        </w:tc>
        <w:tc>
          <w:tcPr>
            <w:tcW w:w="1480" w:type="dxa"/>
            <w:vAlign w:val="bottom"/>
            <w:shd w:val="clear" w:color="auto" w:fill="EE2E24"/>
          </w:tcPr>
          <w:p>
            <w:pPr>
              <w:spacing w:after="0"/>
              <w:rPr>
                <w:sz w:val="12"/>
                <w:szCs w:val="12"/>
                <w:color w:val="auto"/>
              </w:rPr>
            </w:pPr>
          </w:p>
        </w:tc>
        <w:tc>
          <w:tcPr>
            <w:tcW w:w="1160" w:type="dxa"/>
            <w:vAlign w:val="bottom"/>
            <w:shd w:val="clear" w:color="auto" w:fill="EE2E24"/>
          </w:tcPr>
          <w:p>
            <w:pPr>
              <w:spacing w:after="0"/>
              <w:rPr>
                <w:sz w:val="12"/>
                <w:szCs w:val="12"/>
                <w:color w:val="auto"/>
              </w:rPr>
            </w:pPr>
          </w:p>
        </w:tc>
        <w:tc>
          <w:tcPr>
            <w:tcW w:w="2080" w:type="dxa"/>
            <w:vAlign w:val="bottom"/>
            <w:gridSpan w:val="3"/>
            <w:shd w:val="clear" w:color="auto" w:fill="EE2E24"/>
          </w:tcPr>
          <w:p>
            <w:pPr>
              <w:ind w:left="520"/>
              <w:spacing w:after="0"/>
              <w:rPr>
                <w:sz w:val="20"/>
                <w:szCs w:val="20"/>
                <w:color w:val="auto"/>
              </w:rPr>
            </w:pPr>
            <w:r>
              <w:rPr>
                <w:rFonts w:ascii="Arial" w:cs="Arial" w:eastAsia="Arial" w:hAnsi="Arial"/>
                <w:sz w:val="12"/>
                <w:szCs w:val="12"/>
                <w:b w:val="1"/>
                <w:bCs w:val="1"/>
                <w:color w:val="FFFFFF"/>
              </w:rPr>
              <w:t>thousand barrels daily [C]</w:t>
            </w:r>
          </w:p>
        </w:tc>
      </w:tr>
      <w:tr>
        <w:trPr>
          <w:trHeight w:val="133"/>
        </w:trPr>
        <w:tc>
          <w:tcPr>
            <w:tcW w:w="54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116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2005</w:t>
            </w:r>
          </w:p>
        </w:tc>
        <w:tc>
          <w:tcPr>
            <w:tcW w:w="120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2004</w:t>
            </w:r>
          </w:p>
        </w:tc>
        <w:tc>
          <w:tcPr>
            <w:tcW w:w="8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c>
          <w:tcPr>
            <w:tcW w:w="40" w:type="dxa"/>
            <w:vAlign w:val="bottom"/>
          </w:tcPr>
          <w:p>
            <w:pPr>
              <w:spacing w:after="0"/>
              <w:rPr>
                <w:sz w:val="11"/>
                <w:szCs w:val="11"/>
                <w:color w:val="auto"/>
              </w:rPr>
            </w:pPr>
          </w:p>
        </w:tc>
      </w:tr>
      <w:tr>
        <w:trPr>
          <w:trHeight w:val="127"/>
        </w:trPr>
        <w:tc>
          <w:tcPr>
            <w:tcW w:w="5440" w:type="dxa"/>
            <w:vAlign w:val="bottom"/>
          </w:tcPr>
          <w:p>
            <w:pPr>
              <w:spacing w:after="0" w:line="128" w:lineRule="exact"/>
              <w:rPr>
                <w:sz w:val="20"/>
                <w:szCs w:val="20"/>
                <w:color w:val="auto"/>
              </w:rPr>
            </w:pPr>
            <w:r>
              <w:rPr>
                <w:rFonts w:ascii="Arial" w:cs="Arial" w:eastAsia="Arial" w:hAnsi="Arial"/>
                <w:sz w:val="12"/>
                <w:szCs w:val="12"/>
                <w:color w:val="auto"/>
              </w:rPr>
              <w:t>Crude oil</w:t>
            </w:r>
          </w:p>
        </w:tc>
        <w:tc>
          <w:tcPr>
            <w:tcW w:w="68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3,496</w:t>
            </w:r>
          </w:p>
        </w:tc>
        <w:tc>
          <w:tcPr>
            <w:tcW w:w="148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3,617</w:t>
            </w:r>
          </w:p>
        </w:tc>
        <w:tc>
          <w:tcPr>
            <w:tcW w:w="116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3,722</w:t>
            </w:r>
          </w:p>
        </w:tc>
        <w:tc>
          <w:tcPr>
            <w:tcW w:w="12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3,946</w:t>
            </w:r>
          </w:p>
        </w:tc>
        <w:tc>
          <w:tcPr>
            <w:tcW w:w="8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3,949</w:t>
            </w:r>
          </w:p>
        </w:tc>
        <w:tc>
          <w:tcPr>
            <w:tcW w:w="40" w:type="dxa"/>
            <w:vAlign w:val="bottom"/>
          </w:tcPr>
          <w:p>
            <w:pPr>
              <w:spacing w:after="0"/>
              <w:rPr>
                <w:sz w:val="11"/>
                <w:szCs w:val="11"/>
                <w:color w:val="auto"/>
              </w:rPr>
            </w:pPr>
          </w:p>
        </w:tc>
      </w:tr>
      <w:tr>
        <w:trPr>
          <w:trHeight w:val="139"/>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Feedstocks</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283</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245</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259</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216</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218</w:t>
            </w:r>
          </w:p>
        </w:tc>
        <w:tc>
          <w:tcPr>
            <w:tcW w:w="40" w:type="dxa"/>
            <w:vAlign w:val="bottom"/>
          </w:tcPr>
          <w:p>
            <w:pPr>
              <w:spacing w:after="0"/>
              <w:rPr>
                <w:sz w:val="12"/>
                <w:szCs w:val="12"/>
                <w:color w:val="auto"/>
              </w:rPr>
            </w:pPr>
          </w:p>
        </w:tc>
      </w:tr>
      <w:tr>
        <w:trPr>
          <w:trHeight w:val="140"/>
        </w:trPr>
        <w:tc>
          <w:tcPr>
            <w:tcW w:w="5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3,779</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3,862</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3,981</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4,162</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4,167</w:t>
            </w:r>
          </w:p>
        </w:tc>
        <w:tc>
          <w:tcPr>
            <w:tcW w:w="40" w:type="dxa"/>
            <w:vAlign w:val="bottom"/>
          </w:tcPr>
          <w:p>
            <w:pPr>
              <w:spacing w:after="0"/>
              <w:rPr>
                <w:sz w:val="12"/>
                <w:szCs w:val="12"/>
                <w:color w:val="auto"/>
              </w:rPr>
            </w:pPr>
          </w:p>
        </w:tc>
      </w:tr>
      <w:tr>
        <w:trPr>
          <w:trHeight w:val="134"/>
        </w:trPr>
        <w:tc>
          <w:tcPr>
            <w:tcW w:w="5440" w:type="dxa"/>
            <w:vAlign w:val="bottom"/>
          </w:tcPr>
          <w:p>
            <w:pPr>
              <w:spacing w:after="0" w:line="134" w:lineRule="exact"/>
              <w:rPr>
                <w:sz w:val="20"/>
                <w:szCs w:val="20"/>
                <w:color w:val="auto"/>
              </w:rPr>
            </w:pPr>
            <w:r>
              <w:rPr>
                <w:rFonts w:ascii="Arial" w:cs="Arial" w:eastAsia="Arial" w:hAnsi="Arial"/>
                <w:sz w:val="12"/>
                <w:szCs w:val="12"/>
                <w:color w:val="auto"/>
              </w:rPr>
              <w:t>Europe</w:t>
            </w:r>
          </w:p>
        </w:tc>
        <w:tc>
          <w:tcPr>
            <w:tcW w:w="680" w:type="dxa"/>
            <w:vAlign w:val="bottom"/>
            <w:shd w:val="clear" w:color="auto" w:fill="E4E3E1"/>
          </w:tcPr>
          <w:p>
            <w:pPr>
              <w:jc w:val="right"/>
              <w:ind w:right="38"/>
              <w:spacing w:after="0" w:line="134" w:lineRule="exact"/>
              <w:rPr>
                <w:sz w:val="20"/>
                <w:szCs w:val="20"/>
                <w:color w:val="auto"/>
              </w:rPr>
            </w:pPr>
            <w:r>
              <w:rPr>
                <w:rFonts w:ascii="Arial" w:cs="Arial" w:eastAsia="Arial" w:hAnsi="Arial"/>
                <w:sz w:val="12"/>
                <w:szCs w:val="12"/>
                <w:color w:val="auto"/>
              </w:rPr>
              <w:t>1,731</w:t>
            </w:r>
          </w:p>
        </w:tc>
        <w:tc>
          <w:tcPr>
            <w:tcW w:w="148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1,732</w:t>
            </w:r>
          </w:p>
        </w:tc>
        <w:tc>
          <w:tcPr>
            <w:tcW w:w="116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1,804</w:t>
            </w:r>
          </w:p>
        </w:tc>
        <w:tc>
          <w:tcPr>
            <w:tcW w:w="120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1,770</w:t>
            </w:r>
          </w:p>
        </w:tc>
        <w:tc>
          <w:tcPr>
            <w:tcW w:w="8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1,776</w:t>
            </w:r>
          </w:p>
        </w:tc>
        <w:tc>
          <w:tcPr>
            <w:tcW w:w="40" w:type="dxa"/>
            <w:vAlign w:val="bottom"/>
          </w:tcPr>
          <w:p>
            <w:pPr>
              <w:spacing w:after="0"/>
              <w:rPr>
                <w:sz w:val="11"/>
                <w:szCs w:val="11"/>
                <w:color w:val="auto"/>
              </w:rPr>
            </w:pP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811</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808</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849</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962</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956</w:t>
            </w:r>
          </w:p>
        </w:tc>
        <w:tc>
          <w:tcPr>
            <w:tcW w:w="40" w:type="dxa"/>
            <w:vAlign w:val="bottom"/>
          </w:tcPr>
          <w:p>
            <w:pPr>
              <w:spacing w:after="0"/>
              <w:rPr>
                <w:sz w:val="11"/>
                <w:szCs w:val="11"/>
                <w:color w:val="auto"/>
              </w:rPr>
            </w:pP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879</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956</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953</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1,055</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1,079</w:t>
            </w:r>
          </w:p>
        </w:tc>
        <w:tc>
          <w:tcPr>
            <w:tcW w:w="40" w:type="dxa"/>
            <w:vAlign w:val="bottom"/>
          </w:tcPr>
          <w:p>
            <w:pPr>
              <w:spacing w:after="0"/>
              <w:rPr>
                <w:sz w:val="11"/>
                <w:szCs w:val="11"/>
                <w:color w:val="auto"/>
              </w:rPr>
            </w:pPr>
          </w:p>
        </w:tc>
      </w:tr>
      <w:tr>
        <w:trPr>
          <w:trHeight w:val="139"/>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358</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366</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375</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375</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356</w:t>
            </w:r>
          </w:p>
        </w:tc>
        <w:tc>
          <w:tcPr>
            <w:tcW w:w="40" w:type="dxa"/>
            <w:vAlign w:val="bottom"/>
          </w:tcPr>
          <w:p>
            <w:pPr>
              <w:spacing w:after="0"/>
              <w:rPr>
                <w:sz w:val="12"/>
                <w:szCs w:val="12"/>
                <w:color w:val="auto"/>
              </w:rPr>
            </w:pPr>
          </w:p>
        </w:tc>
      </w:tr>
      <w:tr>
        <w:trPr>
          <w:trHeight w:val="146"/>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3,779</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3,862</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3,981</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4,162</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4,167</w:t>
            </w:r>
          </w:p>
        </w:tc>
        <w:tc>
          <w:tcPr>
            <w:tcW w:w="40" w:type="dxa"/>
            <w:vAlign w:val="bottom"/>
          </w:tcPr>
          <w:p>
            <w:pPr>
              <w:spacing w:after="0"/>
              <w:rPr>
                <w:sz w:val="12"/>
                <w:szCs w:val="12"/>
                <w:color w:val="auto"/>
              </w:rPr>
            </w:pP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REFINERY PROCESSING INTAKE</w:t>
            </w:r>
          </w:p>
        </w:tc>
        <w:tc>
          <w:tcPr>
            <w:tcW w:w="680" w:type="dxa"/>
            <w:vAlign w:val="bottom"/>
            <w:shd w:val="clear" w:color="auto" w:fill="EE2E24"/>
          </w:tcPr>
          <w:p>
            <w:pPr>
              <w:spacing w:after="0"/>
              <w:rPr>
                <w:sz w:val="12"/>
                <w:szCs w:val="12"/>
                <w:color w:val="auto"/>
              </w:rPr>
            </w:pPr>
          </w:p>
        </w:tc>
        <w:tc>
          <w:tcPr>
            <w:tcW w:w="1480" w:type="dxa"/>
            <w:vAlign w:val="bottom"/>
            <w:shd w:val="clear" w:color="auto" w:fill="EE2E24"/>
          </w:tcPr>
          <w:p>
            <w:pPr>
              <w:spacing w:after="0"/>
              <w:rPr>
                <w:sz w:val="12"/>
                <w:szCs w:val="12"/>
                <w:color w:val="auto"/>
              </w:rPr>
            </w:pPr>
          </w:p>
        </w:tc>
        <w:tc>
          <w:tcPr>
            <w:tcW w:w="1160" w:type="dxa"/>
            <w:vAlign w:val="bottom"/>
            <w:shd w:val="clear" w:color="auto" w:fill="EE2E24"/>
          </w:tcPr>
          <w:p>
            <w:pPr>
              <w:spacing w:after="0"/>
              <w:rPr>
                <w:sz w:val="12"/>
                <w:szCs w:val="12"/>
                <w:color w:val="auto"/>
              </w:rPr>
            </w:pPr>
          </w:p>
        </w:tc>
        <w:tc>
          <w:tcPr>
            <w:tcW w:w="2040" w:type="dxa"/>
            <w:vAlign w:val="bottom"/>
            <w:gridSpan w:val="2"/>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million tonnes per year</w:t>
            </w:r>
          </w:p>
        </w:tc>
      </w:tr>
      <w:tr>
        <w:trPr>
          <w:trHeight w:val="133"/>
        </w:trPr>
        <w:tc>
          <w:tcPr>
            <w:tcW w:w="54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116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2005</w:t>
            </w:r>
          </w:p>
        </w:tc>
        <w:tc>
          <w:tcPr>
            <w:tcW w:w="120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2004</w:t>
            </w:r>
          </w:p>
        </w:tc>
        <w:tc>
          <w:tcPr>
            <w:tcW w:w="8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40"/>
        </w:trPr>
        <w:tc>
          <w:tcPr>
            <w:tcW w:w="54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Metric equivalent</w:t>
            </w:r>
          </w:p>
        </w:tc>
        <w:tc>
          <w:tcPr>
            <w:tcW w:w="680" w:type="dxa"/>
            <w:vAlign w:val="bottom"/>
            <w:tcBorders>
              <w:bottom w:val="single" w:sz="8" w:color="auto"/>
            </w:tcBorders>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185</w:t>
            </w:r>
          </w:p>
        </w:tc>
        <w:tc>
          <w:tcPr>
            <w:tcW w:w="1480" w:type="dxa"/>
            <w:vAlign w:val="bottom"/>
            <w:tcBorders>
              <w:bottom w:val="single" w:sz="8" w:color="auto"/>
            </w:tcBorders>
          </w:tcPr>
          <w:p>
            <w:pPr>
              <w:jc w:val="right"/>
              <w:ind w:right="378"/>
              <w:spacing w:after="0" w:line="133" w:lineRule="exact"/>
              <w:rPr>
                <w:sz w:val="20"/>
                <w:szCs w:val="20"/>
                <w:color w:val="auto"/>
              </w:rPr>
            </w:pPr>
            <w:r>
              <w:rPr>
                <w:rFonts w:ascii="Arial" w:cs="Arial" w:eastAsia="Arial" w:hAnsi="Arial"/>
                <w:sz w:val="12"/>
                <w:szCs w:val="12"/>
                <w:color w:val="auto"/>
              </w:rPr>
              <w:t>189</w:t>
            </w:r>
          </w:p>
        </w:tc>
        <w:tc>
          <w:tcPr>
            <w:tcW w:w="1160" w:type="dxa"/>
            <w:vAlign w:val="bottom"/>
            <w:tcBorders>
              <w:bottom w:val="single" w:sz="8" w:color="auto"/>
            </w:tcBorders>
          </w:tcPr>
          <w:p>
            <w:pPr>
              <w:jc w:val="right"/>
              <w:ind w:right="358"/>
              <w:spacing w:after="0" w:line="133" w:lineRule="exact"/>
              <w:rPr>
                <w:sz w:val="20"/>
                <w:szCs w:val="20"/>
                <w:color w:val="auto"/>
              </w:rPr>
            </w:pPr>
            <w:r>
              <w:rPr>
                <w:rFonts w:ascii="Arial" w:cs="Arial" w:eastAsia="Arial" w:hAnsi="Arial"/>
                <w:sz w:val="12"/>
                <w:szCs w:val="12"/>
                <w:color w:val="auto"/>
              </w:rPr>
              <w:t>195</w:t>
            </w:r>
          </w:p>
        </w:tc>
        <w:tc>
          <w:tcPr>
            <w:tcW w:w="1200" w:type="dxa"/>
            <w:vAlign w:val="bottom"/>
            <w:tcBorders>
              <w:bottom w:val="single" w:sz="8" w:color="auto"/>
            </w:tcBorders>
          </w:tcPr>
          <w:p>
            <w:pPr>
              <w:jc w:val="right"/>
              <w:ind w:right="378"/>
              <w:spacing w:after="0" w:line="133" w:lineRule="exact"/>
              <w:rPr>
                <w:sz w:val="20"/>
                <w:szCs w:val="20"/>
                <w:color w:val="auto"/>
              </w:rPr>
            </w:pPr>
            <w:r>
              <w:rPr>
                <w:rFonts w:ascii="Arial" w:cs="Arial" w:eastAsia="Arial" w:hAnsi="Arial"/>
                <w:sz w:val="12"/>
                <w:szCs w:val="12"/>
                <w:color w:val="auto"/>
              </w:rPr>
              <w:t>204</w:t>
            </w:r>
          </w:p>
        </w:tc>
        <w:tc>
          <w:tcPr>
            <w:tcW w:w="84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204</w:t>
            </w:r>
          </w:p>
        </w:tc>
      </w:tr>
      <w:tr>
        <w:trPr>
          <w:trHeight w:val="147"/>
        </w:trPr>
        <w:tc>
          <w:tcPr>
            <w:tcW w:w="5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33"/>
        </w:trPr>
        <w:tc>
          <w:tcPr>
            <w:tcW w:w="5440" w:type="dxa"/>
            <w:vAlign w:val="bottom"/>
            <w:shd w:val="clear" w:color="auto" w:fill="EE2E24"/>
          </w:tcPr>
          <w:p>
            <w:pPr>
              <w:ind w:left="40"/>
              <w:spacing w:after="0" w:line="133" w:lineRule="exact"/>
              <w:rPr>
                <w:sz w:val="20"/>
                <w:szCs w:val="20"/>
                <w:color w:val="auto"/>
              </w:rPr>
            </w:pPr>
            <w:r>
              <w:rPr>
                <w:rFonts w:ascii="Arial" w:cs="Arial" w:eastAsia="Arial" w:hAnsi="Arial"/>
                <w:sz w:val="12"/>
                <w:szCs w:val="12"/>
                <w:b w:val="1"/>
                <w:bCs w:val="1"/>
                <w:color w:val="FFFFFF"/>
              </w:rPr>
              <w:t>REFINERY PROCESSING OUTTURN [F]</w:t>
            </w:r>
          </w:p>
        </w:tc>
        <w:tc>
          <w:tcPr>
            <w:tcW w:w="680" w:type="dxa"/>
            <w:vAlign w:val="bottom"/>
            <w:shd w:val="clear" w:color="auto" w:fill="EE2E24"/>
          </w:tcPr>
          <w:p>
            <w:pPr>
              <w:spacing w:after="0"/>
              <w:rPr>
                <w:sz w:val="11"/>
                <w:szCs w:val="11"/>
                <w:color w:val="auto"/>
              </w:rPr>
            </w:pPr>
          </w:p>
        </w:tc>
        <w:tc>
          <w:tcPr>
            <w:tcW w:w="1480" w:type="dxa"/>
            <w:vAlign w:val="bottom"/>
            <w:shd w:val="clear" w:color="auto" w:fill="EE2E24"/>
          </w:tcPr>
          <w:p>
            <w:pPr>
              <w:spacing w:after="0"/>
              <w:rPr>
                <w:sz w:val="11"/>
                <w:szCs w:val="11"/>
                <w:color w:val="auto"/>
              </w:rPr>
            </w:pPr>
          </w:p>
        </w:tc>
        <w:tc>
          <w:tcPr>
            <w:tcW w:w="1160" w:type="dxa"/>
            <w:vAlign w:val="bottom"/>
            <w:shd w:val="clear" w:color="auto" w:fill="EE2E24"/>
          </w:tcPr>
          <w:p>
            <w:pPr>
              <w:spacing w:after="0"/>
              <w:rPr>
                <w:sz w:val="11"/>
                <w:szCs w:val="11"/>
                <w:color w:val="auto"/>
              </w:rPr>
            </w:pPr>
          </w:p>
        </w:tc>
        <w:tc>
          <w:tcPr>
            <w:tcW w:w="2040" w:type="dxa"/>
            <w:vAlign w:val="bottom"/>
            <w:gridSpan w:val="2"/>
            <w:shd w:val="clear" w:color="auto" w:fill="EE2E24"/>
          </w:tcPr>
          <w:p>
            <w:pPr>
              <w:jc w:val="right"/>
              <w:ind w:right="38"/>
              <w:spacing w:after="0" w:line="133" w:lineRule="exact"/>
              <w:rPr>
                <w:sz w:val="20"/>
                <w:szCs w:val="20"/>
                <w:color w:val="auto"/>
              </w:rPr>
            </w:pPr>
            <w:r>
              <w:rPr>
                <w:rFonts w:ascii="Arial" w:cs="Arial" w:eastAsia="Arial" w:hAnsi="Arial"/>
                <w:sz w:val="12"/>
                <w:szCs w:val="12"/>
                <w:b w:val="1"/>
                <w:bCs w:val="1"/>
                <w:color w:val="FFFFFF"/>
              </w:rPr>
              <w:t>thousand barrels daily [C]</w:t>
            </w:r>
          </w:p>
        </w:tc>
      </w:tr>
      <w:tr>
        <w:trPr>
          <w:trHeight w:val="133"/>
        </w:trPr>
        <w:tc>
          <w:tcPr>
            <w:tcW w:w="54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48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116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2005</w:t>
            </w:r>
          </w:p>
        </w:tc>
        <w:tc>
          <w:tcPr>
            <w:tcW w:w="120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2004</w:t>
            </w:r>
          </w:p>
        </w:tc>
        <w:tc>
          <w:tcPr>
            <w:tcW w:w="8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440" w:type="dxa"/>
            <w:vAlign w:val="bottom"/>
          </w:tcPr>
          <w:p>
            <w:pPr>
              <w:spacing w:after="0" w:line="128" w:lineRule="exact"/>
              <w:rPr>
                <w:sz w:val="20"/>
                <w:szCs w:val="20"/>
                <w:color w:val="auto"/>
              </w:rPr>
            </w:pPr>
            <w:r>
              <w:rPr>
                <w:rFonts w:ascii="Arial" w:cs="Arial" w:eastAsia="Arial" w:hAnsi="Arial"/>
                <w:sz w:val="12"/>
                <w:szCs w:val="12"/>
                <w:color w:val="auto"/>
              </w:rPr>
              <w:t>Gasolines</w:t>
            </w:r>
          </w:p>
        </w:tc>
        <w:tc>
          <w:tcPr>
            <w:tcW w:w="68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1,363</w:t>
            </w:r>
          </w:p>
        </w:tc>
        <w:tc>
          <w:tcPr>
            <w:tcW w:w="148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1,444</w:t>
            </w:r>
          </w:p>
        </w:tc>
        <w:tc>
          <w:tcPr>
            <w:tcW w:w="116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1,492</w:t>
            </w:r>
          </w:p>
        </w:tc>
        <w:tc>
          <w:tcPr>
            <w:tcW w:w="12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1,542</w:t>
            </w:r>
          </w:p>
        </w:tc>
        <w:tc>
          <w:tcPr>
            <w:tcW w:w="8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1,575</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Kerosenes</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366</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368</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382</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424</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418</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1,190</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1,215</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1,256</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1,297</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1,312</w:t>
            </w:r>
          </w:p>
        </w:tc>
      </w:tr>
      <w:tr>
        <w:trPr>
          <w:trHeight w:val="133"/>
        </w:trPr>
        <w:tc>
          <w:tcPr>
            <w:tcW w:w="54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348</w:t>
            </w:r>
          </w:p>
        </w:tc>
        <w:tc>
          <w:tcPr>
            <w:tcW w:w="14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346</w:t>
            </w:r>
          </w:p>
        </w:tc>
        <w:tc>
          <w:tcPr>
            <w:tcW w:w="11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391</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414</w:t>
            </w:r>
          </w:p>
        </w:tc>
        <w:tc>
          <w:tcPr>
            <w:tcW w:w="8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378</w:t>
            </w:r>
          </w:p>
        </w:tc>
      </w:tr>
      <w:tr>
        <w:trPr>
          <w:trHeight w:val="139"/>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593</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597</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567</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557</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550</w:t>
            </w:r>
          </w:p>
        </w:tc>
      </w:tr>
      <w:tr>
        <w:trPr>
          <w:trHeight w:val="146"/>
        </w:trPr>
        <w:tc>
          <w:tcPr>
            <w:tcW w:w="5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3,860</w:t>
            </w:r>
          </w:p>
        </w:tc>
        <w:tc>
          <w:tcPr>
            <w:tcW w:w="14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3,970</w:t>
            </w:r>
          </w:p>
        </w:tc>
        <w:tc>
          <w:tcPr>
            <w:tcW w:w="11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4,088</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4,234</w:t>
            </w: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4,233</w:t>
            </w:r>
          </w:p>
        </w:tc>
      </w:tr>
    </w:tbl>
    <w:p>
      <w:pPr>
        <w:spacing w:after="0" w:line="3" w:lineRule="exact"/>
        <w:rPr>
          <w:sz w:val="20"/>
          <w:szCs w:val="20"/>
          <w:color w:val="auto"/>
        </w:rPr>
      </w:pPr>
    </w:p>
    <w:p>
      <w:pPr>
        <w:ind w:left="280" w:hanging="273"/>
        <w:spacing w:after="0"/>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Cost figures for 2003 are provided on a US GAAP basis.</w:t>
      </w:r>
    </w:p>
    <w:p>
      <w:pPr>
        <w:ind w:left="280" w:hanging="273"/>
        <w:spacing w:after="0" w:line="231" w:lineRule="auto"/>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Shell average operating capacity for the year and excluding mothballed capacity.</w:t>
      </w:r>
    </w:p>
    <w:p>
      <w:pPr>
        <w:ind w:left="280" w:hanging="273"/>
        <w:spacing w:after="0" w:line="231" w:lineRule="auto"/>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One barrel daily is equivalent to approximately 50 tonnes a year, depending on the specific gravity of the crude oil.</w:t>
      </w:r>
    </w:p>
    <w:p>
      <w:pPr>
        <w:ind w:left="280" w:hanging="273"/>
        <w:spacing w:after="0" w:line="231" w:lineRule="auto"/>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Including natural gas liquids; includes processing for others and excludes processing by others.</w:t>
      </w:r>
    </w:p>
    <w:p>
      <w:pPr>
        <w:ind w:left="280" w:hanging="273"/>
        <w:spacing w:after="0" w:line="231" w:lineRule="auto"/>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Including crude oil and natural gas liquids plus feedstocks processed in crude oil distillation units and in secondary conversion units.</w:t>
      </w:r>
    </w:p>
    <w:p>
      <w:pPr>
        <w:ind w:left="280" w:hanging="273"/>
        <w:spacing w:after="0"/>
        <w:tabs>
          <w:tab w:leader="none" w:pos="28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Excluding “own use” and products acquired for blending purposes.</w:t>
      </w:r>
    </w:p>
    <w:p>
      <w:pPr>
        <w:spacing w:after="0" w:line="200" w:lineRule="exact"/>
        <w:rPr>
          <w:sz w:val="20"/>
          <w:szCs w:val="20"/>
          <w:color w:val="auto"/>
        </w:rPr>
      </w:pPr>
    </w:p>
    <w:p>
      <w:pPr>
        <w:spacing w:after="0" w:line="23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1359535</wp:posOffset>
            </wp:positionV>
            <wp:extent cx="725297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OIL PRODUCTS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OIL SALES[A]</w:t>
            </w:r>
          </w:p>
        </w:tc>
        <w:tc>
          <w:tcPr>
            <w:tcW w:w="840" w:type="dxa"/>
            <w:vAlign w:val="bottom"/>
            <w:shd w:val="clear" w:color="auto" w:fill="EE2E24"/>
          </w:tcPr>
          <w:p>
            <w:pPr>
              <w:spacing w:after="0"/>
              <w:rPr>
                <w:sz w:val="12"/>
                <w:szCs w:val="12"/>
                <w:color w:val="auto"/>
              </w:rPr>
            </w:pPr>
          </w:p>
        </w:tc>
        <w:tc>
          <w:tcPr>
            <w:tcW w:w="1760" w:type="dxa"/>
            <w:vAlign w:val="bottom"/>
            <w:shd w:val="clear" w:color="auto" w:fill="EE2E24"/>
          </w:tcPr>
          <w:p>
            <w:pPr>
              <w:spacing w:after="0"/>
              <w:rPr>
                <w:sz w:val="12"/>
                <w:szCs w:val="12"/>
                <w:color w:val="auto"/>
              </w:rPr>
            </w:pPr>
          </w:p>
        </w:tc>
        <w:tc>
          <w:tcPr>
            <w:tcW w:w="1360" w:type="dxa"/>
            <w:vAlign w:val="bottom"/>
            <w:shd w:val="clear" w:color="auto" w:fill="EE2E24"/>
          </w:tcPr>
          <w:p>
            <w:pPr>
              <w:spacing w:after="0"/>
              <w:rPr>
                <w:sz w:val="12"/>
                <w:szCs w:val="12"/>
                <w:color w:val="auto"/>
              </w:rPr>
            </w:pPr>
          </w:p>
        </w:tc>
        <w:tc>
          <w:tcPr>
            <w:tcW w:w="2320" w:type="dxa"/>
            <w:vAlign w:val="bottom"/>
            <w:gridSpan w:val="2"/>
            <w:shd w:val="clear" w:color="auto" w:fill="EE2E24"/>
          </w:tcPr>
          <w:p>
            <w:pPr>
              <w:jc w:val="right"/>
              <w:ind w:right="58"/>
              <w:spacing w:after="0"/>
              <w:rPr>
                <w:sz w:val="20"/>
                <w:szCs w:val="20"/>
                <w:color w:val="auto"/>
              </w:rPr>
            </w:pPr>
            <w:r>
              <w:rPr>
                <w:rFonts w:ascii="Arial" w:cs="Arial" w:eastAsia="Arial" w:hAnsi="Arial"/>
                <w:sz w:val="12"/>
                <w:szCs w:val="12"/>
                <w:b w:val="1"/>
                <w:bCs w:val="1"/>
                <w:color w:val="FFFFFF"/>
              </w:rPr>
              <w:t>thousand barrels per day</w:t>
            </w:r>
          </w:p>
        </w:tc>
      </w:tr>
      <w:tr>
        <w:trPr>
          <w:trHeight w:val="133"/>
        </w:trPr>
        <w:tc>
          <w:tcPr>
            <w:tcW w:w="5140" w:type="dxa"/>
            <w:vAlign w:val="bottom"/>
            <w:shd w:val="clear" w:color="auto" w:fill="CECAC6"/>
          </w:tcPr>
          <w:p>
            <w:pPr>
              <w:ind w:left="40"/>
              <w:spacing w:after="0" w:line="133" w:lineRule="exact"/>
              <w:rPr>
                <w:sz w:val="20"/>
                <w:szCs w:val="20"/>
                <w:color w:val="auto"/>
              </w:rPr>
            </w:pPr>
            <w:r>
              <w:rPr>
                <w:rFonts w:ascii="Arial" w:cs="Arial" w:eastAsia="Arial" w:hAnsi="Arial"/>
                <w:sz w:val="12"/>
                <w:szCs w:val="12"/>
                <w:color w:val="auto"/>
              </w:rPr>
              <w:t>Product volumes</w:t>
            </w:r>
          </w:p>
        </w:tc>
        <w:tc>
          <w:tcPr>
            <w:tcW w:w="84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2006</w:t>
            </w:r>
          </w:p>
        </w:tc>
        <w:tc>
          <w:tcPr>
            <w:tcW w:w="136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2005</w:t>
            </w:r>
          </w:p>
        </w:tc>
        <w:tc>
          <w:tcPr>
            <w:tcW w:w="136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2004</w:t>
            </w:r>
          </w:p>
        </w:tc>
        <w:tc>
          <w:tcPr>
            <w:tcW w:w="96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140" w:type="dxa"/>
            <w:vAlign w:val="bottom"/>
          </w:tcPr>
          <w:p>
            <w:pPr>
              <w:spacing w:after="0" w:line="128" w:lineRule="exact"/>
              <w:rPr>
                <w:sz w:val="20"/>
                <w:szCs w:val="20"/>
                <w:color w:val="auto"/>
              </w:rPr>
            </w:pPr>
            <w:r>
              <w:rPr>
                <w:rFonts w:ascii="Arial" w:cs="Arial" w:eastAsia="Arial" w:hAnsi="Arial"/>
                <w:sz w:val="12"/>
                <w:szCs w:val="12"/>
                <w:b w:val="1"/>
                <w:bCs w:val="1"/>
                <w:color w:val="auto"/>
              </w:rPr>
              <w:t>Europe</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501</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563</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569</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576</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616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205</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207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223</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220</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194</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834</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859</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920</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934</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936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178</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153</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196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179</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184</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168</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191</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185</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203</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207</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1,886</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1,973</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2,093</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2,112</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2,137</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Other Eastern Hemisphere[B][C]</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368</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356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318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337</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315</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168</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167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174</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168</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166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455</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450</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470</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511</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489</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141</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140</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151</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168</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180</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151</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114</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119</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136</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138</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1,283</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1,227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1,232</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1,320</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1,288</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USA[D]</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851</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845</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1,068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1,372</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1,343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166</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168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236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258</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212</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257</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232</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368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430</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430</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39</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51</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107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209</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189</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174</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175</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234</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247</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218</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1,487</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1,471</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2,013</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2,516</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2,392</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Other Western Hemisphere</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260</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247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263</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293</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296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71</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71</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74</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73</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72</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242</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237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251</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249</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243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63</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65</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85</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86</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36</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37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43</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44</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52</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672</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657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708</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744</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749</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Export sales[E]</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198</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195</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186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182</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193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146</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136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104</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114</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154</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507</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328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287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274</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283</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338</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313</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208</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181</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163</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160</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121</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130</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138</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1,297</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1,157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1,011</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908</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879</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Total product sales[D]</w:t>
            </w:r>
          </w:p>
        </w:tc>
        <w:tc>
          <w:tcPr>
            <w:tcW w:w="840" w:type="dxa"/>
            <w:vAlign w:val="bottom"/>
            <w:shd w:val="clear" w:color="auto" w:fill="E4E3E1"/>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2,178</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2,206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2,404</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2,760</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2,763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756</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749</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811</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833</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798</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2,295</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2,106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2,296</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2,398</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2,311</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4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704</w:t>
            </w:r>
          </w:p>
        </w:tc>
        <w:tc>
          <w:tcPr>
            <w:tcW w:w="17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747</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844</w:t>
            </w:r>
          </w:p>
        </w:tc>
        <w:tc>
          <w:tcPr>
            <w:tcW w:w="136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849</w:t>
            </w:r>
          </w:p>
        </w:tc>
        <w:tc>
          <w:tcPr>
            <w:tcW w:w="9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820</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692</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677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702</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760</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753</w:t>
            </w:r>
          </w:p>
        </w:tc>
      </w:tr>
      <w:tr>
        <w:trPr>
          <w:trHeight w:val="146"/>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6,625</w:t>
            </w:r>
          </w:p>
        </w:tc>
        <w:tc>
          <w:tcPr>
            <w:tcW w:w="17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6,485</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7,057</w:t>
            </w:r>
          </w:p>
        </w:tc>
        <w:tc>
          <w:tcPr>
            <w:tcW w:w="13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7,600</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7,445</w:t>
            </w:r>
          </w:p>
        </w:tc>
      </w:tr>
    </w:tbl>
    <w:p>
      <w:pPr>
        <w:spacing w:after="0" w:line="3" w:lineRule="exact"/>
        <w:rPr>
          <w:sz w:val="20"/>
          <w:szCs w:val="20"/>
          <w:color w:val="auto"/>
        </w:rPr>
      </w:pPr>
    </w:p>
    <w:p>
      <w:pPr>
        <w:ind w:left="280" w:hanging="273"/>
        <w:spacing w:after="0"/>
        <w:tabs>
          <w:tab w:leader="none" w:pos="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Sales figures exclude deliveries to other companies under reciprocal sale and purchase arrangements, which are in the nature of exchanges. Sales of condensate and natural gas liquids are included.</w:t>
      </w:r>
    </w:p>
    <w:p>
      <w:pPr>
        <w:ind w:left="280" w:right="200" w:hanging="273"/>
        <w:spacing w:after="0" w:line="231" w:lineRule="auto"/>
        <w:tabs>
          <w:tab w:leader="none" w:pos="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Since 1966, a Shell entity has a 25% interest in Pars Oil Company, a joint venture that blends and markets lubricants. Pars Oil Company owns 51% in Pars and Shell Company (PASH), which markets and distributes Shell branded lubricants in Iran. A Shell entity also has a 49% in PASH.</w:t>
      </w:r>
    </w:p>
    <w:p>
      <w:pPr>
        <w:ind w:left="280" w:right="120" w:hanging="273"/>
        <w:spacing w:after="0" w:line="231" w:lineRule="auto"/>
        <w:tabs>
          <w:tab w:leader="none" w:pos="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Shell operates in Sudan through The Shell Company of the Sudan Limited (Shell Sudan), which is an indirect wholly owned subsidiary of Royal Dutch Shell. Shell Sudan’s activities consist of the sale of fuels and lubricants to retail and commercial customers. Shell Sudan also sold aviation fuels prior to the disposition of this activity in 2005. Shell does not hold any oil or gas reserves in Sudan.</w:t>
      </w:r>
    </w:p>
    <w:p>
      <w:pPr>
        <w:ind w:left="280" w:right="160" w:hanging="273"/>
        <w:spacing w:after="0" w:line="231" w:lineRule="auto"/>
        <w:tabs>
          <w:tab w:leader="none" w:pos="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Certain contracts are held for trading purposes and reported net rather than gross with effect from Q3 2005. The effect in 2007 is a reduction in oil product sales of approximately 805 thousand b/d, 844 thousand b/d in 2006 and 424 thousand b/d in 2005.</w:t>
      </w:r>
    </w:p>
    <w:p>
      <w:pPr>
        <w:ind w:left="280" w:hanging="273"/>
        <w:spacing w:after="0"/>
        <w:tabs>
          <w:tab w:leader="none" w:pos="280" w:val="left"/>
        </w:tabs>
        <w:numPr>
          <w:ilvl w:val="0"/>
          <w:numId w:val="59"/>
        </w:numPr>
        <w:rPr>
          <w:rFonts w:ascii="Arial" w:cs="Arial" w:eastAsia="Arial" w:hAnsi="Arial"/>
          <w:sz w:val="12"/>
          <w:szCs w:val="12"/>
          <w:color w:val="auto"/>
        </w:rPr>
      </w:pPr>
      <w:r>
        <w:rPr>
          <w:rFonts w:ascii="Arial" w:cs="Arial" w:eastAsia="Arial" w:hAnsi="Arial"/>
          <w:sz w:val="12"/>
          <w:szCs w:val="12"/>
          <w:color w:val="auto"/>
        </w:rPr>
        <w:t>Export sales as a percentage of total oil sales amounts to 19.6% in 2007, 17.8% in 2006, 14.3% in 2005, 11.9% in 2004 and 11.8% in 2003.</w:t>
      </w:r>
    </w:p>
    <w:p>
      <w:pPr>
        <w:spacing w:after="0" w:line="213" w:lineRule="exact"/>
        <w:rPr>
          <w:sz w:val="20"/>
          <w:szCs w:val="20"/>
          <w:color w:val="auto"/>
        </w:rPr>
      </w:pPr>
    </w:p>
    <w:p>
      <w:pPr>
        <w:ind w:left="280" w:hanging="273"/>
        <w:spacing w:after="0"/>
        <w:tabs>
          <w:tab w:leader="none" w:pos="280" w:val="left"/>
        </w:tabs>
        <w:numPr>
          <w:ilvl w:val="0"/>
          <w:numId w:val="6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201295</wp:posOffset>
            </wp:positionV>
            <wp:extent cx="282575" cy="61741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2575" cy="617410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60" w:type="dxa"/>
            <w:vAlign w:val="bottom"/>
            <w:shd w:val="clear" w:color="auto" w:fill="EE2E24"/>
          </w:tcPr>
          <w:p>
            <w:pPr>
              <w:ind w:left="80"/>
              <w:spacing w:after="0"/>
              <w:rPr>
                <w:sz w:val="20"/>
                <w:szCs w:val="20"/>
                <w:color w:val="auto"/>
              </w:rPr>
            </w:pPr>
            <w:r>
              <w:rPr>
                <w:rFonts w:ascii="Arial" w:cs="Arial" w:eastAsia="Arial" w:hAnsi="Arial"/>
                <w:sz w:val="12"/>
                <w:szCs w:val="12"/>
                <w:b w:val="1"/>
                <w:bCs w:val="1"/>
                <w:color w:val="FFFFFF"/>
              </w:rPr>
              <w:t>SALES BY PRODUCT AS PERCENTAGE OF TOTAL PRODUCT SALES</w:t>
            </w:r>
          </w:p>
        </w:tc>
        <w:tc>
          <w:tcPr>
            <w:tcW w:w="760" w:type="dxa"/>
            <w:vAlign w:val="bottom"/>
            <w:shd w:val="clear" w:color="auto" w:fill="EE2E24"/>
          </w:tcPr>
          <w:p>
            <w:pPr>
              <w:spacing w:after="0"/>
              <w:rPr>
                <w:sz w:val="12"/>
                <w:szCs w:val="12"/>
                <w:color w:val="auto"/>
              </w:rPr>
            </w:pPr>
          </w:p>
        </w:tc>
        <w:tc>
          <w:tcPr>
            <w:tcW w:w="1660" w:type="dxa"/>
            <w:vAlign w:val="bottom"/>
            <w:shd w:val="clear" w:color="auto" w:fill="EE2E24"/>
          </w:tcPr>
          <w:p>
            <w:pPr>
              <w:spacing w:after="0"/>
              <w:rPr>
                <w:sz w:val="12"/>
                <w:szCs w:val="12"/>
                <w:color w:val="auto"/>
              </w:rPr>
            </w:pPr>
          </w:p>
        </w:tc>
        <w:tc>
          <w:tcPr>
            <w:tcW w:w="1280" w:type="dxa"/>
            <w:vAlign w:val="bottom"/>
            <w:shd w:val="clear" w:color="auto" w:fill="EE2E24"/>
          </w:tcPr>
          <w:p>
            <w:pPr>
              <w:spacing w:after="0"/>
              <w:rPr>
                <w:sz w:val="12"/>
                <w:szCs w:val="12"/>
                <w:color w:val="auto"/>
              </w:rPr>
            </w:pPr>
          </w:p>
        </w:tc>
        <w:tc>
          <w:tcPr>
            <w:tcW w:w="1280" w:type="dxa"/>
            <w:vAlign w:val="bottom"/>
            <w:shd w:val="clear" w:color="auto" w:fill="EE2E24"/>
          </w:tcPr>
          <w:p>
            <w:pPr>
              <w:spacing w:after="0"/>
              <w:rPr>
                <w:sz w:val="12"/>
                <w:szCs w:val="12"/>
                <w:color w:val="auto"/>
              </w:rPr>
            </w:pPr>
          </w:p>
        </w:tc>
        <w:tc>
          <w:tcPr>
            <w:tcW w:w="880" w:type="dxa"/>
            <w:vAlign w:val="bottom"/>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w:t>
            </w:r>
          </w:p>
        </w:tc>
      </w:tr>
      <w:tr>
        <w:trPr>
          <w:trHeight w:val="133"/>
        </w:trPr>
        <w:tc>
          <w:tcPr>
            <w:tcW w:w="4860" w:type="dxa"/>
            <w:vAlign w:val="bottom"/>
            <w:shd w:val="clear" w:color="auto" w:fill="CECAC6"/>
          </w:tcPr>
          <w:p>
            <w:pPr>
              <w:spacing w:after="0"/>
              <w:rPr>
                <w:sz w:val="11"/>
                <w:szCs w:val="11"/>
                <w:color w:val="auto"/>
              </w:rPr>
            </w:pPr>
          </w:p>
        </w:tc>
        <w:tc>
          <w:tcPr>
            <w:tcW w:w="7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66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2006</w:t>
            </w:r>
          </w:p>
        </w:tc>
        <w:tc>
          <w:tcPr>
            <w:tcW w:w="12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2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2004</w:t>
            </w:r>
          </w:p>
        </w:tc>
        <w:tc>
          <w:tcPr>
            <w:tcW w:w="8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4860" w:type="dxa"/>
            <w:vAlign w:val="bottom"/>
          </w:tcPr>
          <w:p>
            <w:pPr>
              <w:ind w:left="20"/>
              <w:spacing w:after="0" w:line="128" w:lineRule="exact"/>
              <w:rPr>
                <w:sz w:val="20"/>
                <w:szCs w:val="20"/>
                <w:color w:val="auto"/>
              </w:rPr>
            </w:pPr>
            <w:r>
              <w:rPr>
                <w:rFonts w:ascii="Arial" w:cs="Arial" w:eastAsia="Arial" w:hAnsi="Arial"/>
                <w:sz w:val="12"/>
                <w:szCs w:val="12"/>
                <w:color w:val="auto"/>
              </w:rPr>
              <w:t>Gasolines</w:t>
            </w:r>
          </w:p>
        </w:tc>
        <w:tc>
          <w:tcPr>
            <w:tcW w:w="760" w:type="dxa"/>
            <w:vAlign w:val="bottom"/>
            <w:shd w:val="clear" w:color="auto" w:fill="E4E3E1"/>
          </w:tcPr>
          <w:p>
            <w:pPr>
              <w:ind w:left="400"/>
              <w:spacing w:after="0" w:line="128" w:lineRule="exact"/>
              <w:rPr>
                <w:sz w:val="20"/>
                <w:szCs w:val="20"/>
                <w:color w:val="auto"/>
              </w:rPr>
            </w:pPr>
            <w:r>
              <w:rPr>
                <w:rFonts w:ascii="Arial" w:cs="Arial" w:eastAsia="Arial" w:hAnsi="Arial"/>
                <w:sz w:val="12"/>
                <w:szCs w:val="12"/>
                <w:color w:val="auto"/>
              </w:rPr>
              <w:t>32.9</w:t>
            </w:r>
          </w:p>
        </w:tc>
        <w:tc>
          <w:tcPr>
            <w:tcW w:w="1660" w:type="dxa"/>
            <w:vAlign w:val="bottom"/>
          </w:tcPr>
          <w:p>
            <w:pPr>
              <w:jc w:val="right"/>
              <w:ind w:right="418"/>
              <w:spacing w:after="0" w:line="128" w:lineRule="exact"/>
              <w:rPr>
                <w:sz w:val="20"/>
                <w:szCs w:val="20"/>
                <w:color w:val="auto"/>
              </w:rPr>
            </w:pPr>
            <w:r>
              <w:rPr>
                <w:rFonts w:ascii="Arial" w:cs="Arial" w:eastAsia="Arial" w:hAnsi="Arial"/>
                <w:sz w:val="12"/>
                <w:szCs w:val="12"/>
                <w:color w:val="auto"/>
              </w:rPr>
              <w:t>34.0</w:t>
            </w:r>
          </w:p>
        </w:tc>
        <w:tc>
          <w:tcPr>
            <w:tcW w:w="12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34.1</w:t>
            </w:r>
          </w:p>
        </w:tc>
        <w:tc>
          <w:tcPr>
            <w:tcW w:w="12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36.3</w:t>
            </w:r>
          </w:p>
        </w:tc>
        <w:tc>
          <w:tcPr>
            <w:tcW w:w="8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37.1</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Kerosines</w:t>
            </w:r>
          </w:p>
        </w:tc>
        <w:tc>
          <w:tcPr>
            <w:tcW w:w="760" w:type="dxa"/>
            <w:vAlign w:val="bottom"/>
            <w:shd w:val="clear" w:color="auto" w:fill="E4E3E1"/>
          </w:tcPr>
          <w:p>
            <w:pPr>
              <w:ind w:left="400"/>
              <w:spacing w:after="0" w:line="133" w:lineRule="exact"/>
              <w:rPr>
                <w:sz w:val="20"/>
                <w:szCs w:val="20"/>
                <w:color w:val="auto"/>
              </w:rPr>
            </w:pPr>
            <w:r>
              <w:rPr>
                <w:rFonts w:ascii="Arial" w:cs="Arial" w:eastAsia="Arial" w:hAnsi="Arial"/>
                <w:sz w:val="12"/>
                <w:szCs w:val="12"/>
                <w:color w:val="auto"/>
              </w:rPr>
              <w:t>11.4</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11.6</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11.5</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10.9</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10.7</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Gas/Diesel oils</w:t>
            </w:r>
          </w:p>
        </w:tc>
        <w:tc>
          <w:tcPr>
            <w:tcW w:w="760" w:type="dxa"/>
            <w:vAlign w:val="bottom"/>
            <w:shd w:val="clear" w:color="auto" w:fill="E4E3E1"/>
          </w:tcPr>
          <w:p>
            <w:pPr>
              <w:ind w:left="400"/>
              <w:spacing w:after="0" w:line="133" w:lineRule="exact"/>
              <w:rPr>
                <w:sz w:val="20"/>
                <w:szCs w:val="20"/>
                <w:color w:val="auto"/>
              </w:rPr>
            </w:pPr>
            <w:r>
              <w:rPr>
                <w:rFonts w:ascii="Arial" w:cs="Arial" w:eastAsia="Arial" w:hAnsi="Arial"/>
                <w:sz w:val="12"/>
                <w:szCs w:val="12"/>
                <w:color w:val="auto"/>
              </w:rPr>
              <w:t>34.7</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32.5</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32.5</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31.6</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31.1</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Fuel oil</w:t>
            </w:r>
          </w:p>
        </w:tc>
        <w:tc>
          <w:tcPr>
            <w:tcW w:w="760" w:type="dxa"/>
            <w:vAlign w:val="bottom"/>
            <w:shd w:val="clear" w:color="auto" w:fill="E4E3E1"/>
          </w:tcPr>
          <w:p>
            <w:pPr>
              <w:ind w:left="400"/>
              <w:spacing w:after="0" w:line="133" w:lineRule="exact"/>
              <w:rPr>
                <w:sz w:val="20"/>
                <w:szCs w:val="20"/>
                <w:color w:val="auto"/>
              </w:rPr>
            </w:pPr>
            <w:r>
              <w:rPr>
                <w:rFonts w:ascii="Arial" w:cs="Arial" w:eastAsia="Arial" w:hAnsi="Arial"/>
                <w:sz w:val="12"/>
                <w:szCs w:val="12"/>
                <w:color w:val="auto"/>
              </w:rPr>
              <w:t>10.6</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11.5</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12.0</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11.2</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11.0</w:t>
            </w:r>
          </w:p>
        </w:tc>
      </w:tr>
      <w:tr>
        <w:trPr>
          <w:trHeight w:val="1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products</w:t>
            </w:r>
          </w:p>
        </w:tc>
        <w:tc>
          <w:tcPr>
            <w:tcW w:w="760" w:type="dxa"/>
            <w:vAlign w:val="bottom"/>
            <w:tcBorders>
              <w:bottom w:val="single" w:sz="8" w:color="auto"/>
            </w:tcBorders>
            <w:shd w:val="clear" w:color="auto" w:fill="E4E3E1"/>
          </w:tcPr>
          <w:p>
            <w:pPr>
              <w:ind w:left="400"/>
              <w:spacing w:after="0"/>
              <w:rPr>
                <w:sz w:val="20"/>
                <w:szCs w:val="20"/>
                <w:color w:val="auto"/>
              </w:rPr>
            </w:pPr>
            <w:r>
              <w:rPr>
                <w:rFonts w:ascii="Arial" w:cs="Arial" w:eastAsia="Arial" w:hAnsi="Arial"/>
                <w:sz w:val="12"/>
                <w:szCs w:val="12"/>
                <w:color w:val="auto"/>
              </w:rPr>
              <w:t>10.4</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10.4</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9.9</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10.1</w:t>
            </w:r>
          </w:p>
        </w:tc>
      </w:tr>
      <w:tr>
        <w:trPr>
          <w:trHeight w:val="14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100.0</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100.0</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100.0</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100.0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100.0</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860" w:type="dxa"/>
            <w:vAlign w:val="bottom"/>
            <w:shd w:val="clear" w:color="auto" w:fill="EE2E24"/>
          </w:tcPr>
          <w:p>
            <w:pPr>
              <w:ind w:left="80"/>
              <w:spacing w:after="0"/>
              <w:rPr>
                <w:sz w:val="20"/>
                <w:szCs w:val="20"/>
                <w:color w:val="auto"/>
              </w:rPr>
            </w:pPr>
            <w:r>
              <w:rPr>
                <w:rFonts w:ascii="Arial" w:cs="Arial" w:eastAsia="Arial" w:hAnsi="Arial"/>
                <w:sz w:val="12"/>
                <w:szCs w:val="12"/>
                <w:b w:val="1"/>
                <w:bCs w:val="1"/>
                <w:color w:val="FFFFFF"/>
              </w:rPr>
              <w:t>TOTAL OIL SALES VOLUMES[A]</w:t>
            </w:r>
          </w:p>
        </w:tc>
        <w:tc>
          <w:tcPr>
            <w:tcW w:w="760" w:type="dxa"/>
            <w:vAlign w:val="bottom"/>
            <w:shd w:val="clear" w:color="auto" w:fill="EE2E24"/>
          </w:tcPr>
          <w:p>
            <w:pPr>
              <w:spacing w:after="0"/>
              <w:rPr>
                <w:sz w:val="12"/>
                <w:szCs w:val="12"/>
                <w:color w:val="auto"/>
              </w:rPr>
            </w:pPr>
          </w:p>
        </w:tc>
        <w:tc>
          <w:tcPr>
            <w:tcW w:w="1660" w:type="dxa"/>
            <w:vAlign w:val="bottom"/>
            <w:shd w:val="clear" w:color="auto" w:fill="EE2E24"/>
          </w:tcPr>
          <w:p>
            <w:pPr>
              <w:spacing w:after="0"/>
              <w:rPr>
                <w:sz w:val="12"/>
                <w:szCs w:val="12"/>
                <w:color w:val="auto"/>
              </w:rPr>
            </w:pPr>
          </w:p>
        </w:tc>
        <w:tc>
          <w:tcPr>
            <w:tcW w:w="1280" w:type="dxa"/>
            <w:vAlign w:val="bottom"/>
            <w:shd w:val="clear" w:color="auto" w:fill="EE2E24"/>
          </w:tcPr>
          <w:p>
            <w:pPr>
              <w:spacing w:after="0"/>
              <w:rPr>
                <w:sz w:val="12"/>
                <w:szCs w:val="12"/>
                <w:color w:val="auto"/>
              </w:rPr>
            </w:pPr>
          </w:p>
        </w:tc>
        <w:tc>
          <w:tcPr>
            <w:tcW w:w="2160" w:type="dxa"/>
            <w:vAlign w:val="bottom"/>
            <w:gridSpan w:val="2"/>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thousand barrels per day</w:t>
            </w:r>
          </w:p>
        </w:tc>
      </w:tr>
      <w:tr>
        <w:trPr>
          <w:trHeight w:val="133"/>
        </w:trPr>
        <w:tc>
          <w:tcPr>
            <w:tcW w:w="4860" w:type="dxa"/>
            <w:vAlign w:val="bottom"/>
            <w:shd w:val="clear" w:color="auto" w:fill="CECAC6"/>
          </w:tcPr>
          <w:p>
            <w:pPr>
              <w:ind w:left="80"/>
              <w:spacing w:after="0" w:line="133" w:lineRule="exact"/>
              <w:rPr>
                <w:sz w:val="20"/>
                <w:szCs w:val="20"/>
                <w:color w:val="auto"/>
              </w:rPr>
            </w:pPr>
            <w:r>
              <w:rPr>
                <w:rFonts w:ascii="Arial" w:cs="Arial" w:eastAsia="Arial" w:hAnsi="Arial"/>
                <w:sz w:val="12"/>
                <w:szCs w:val="12"/>
                <w:color w:val="auto"/>
              </w:rPr>
              <w:t>Oil products by geographical area</w:t>
            </w:r>
          </w:p>
        </w:tc>
        <w:tc>
          <w:tcPr>
            <w:tcW w:w="7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66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2006</w:t>
            </w:r>
          </w:p>
        </w:tc>
        <w:tc>
          <w:tcPr>
            <w:tcW w:w="12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2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2004</w:t>
            </w:r>
          </w:p>
        </w:tc>
        <w:tc>
          <w:tcPr>
            <w:tcW w:w="8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48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Europe</w:t>
            </w:r>
          </w:p>
        </w:tc>
        <w:tc>
          <w:tcPr>
            <w:tcW w:w="760" w:type="dxa"/>
            <w:vAlign w:val="bottom"/>
            <w:shd w:val="clear" w:color="auto" w:fill="E4E3E1"/>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Germany</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667</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732</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771</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772</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785</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France</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266</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280</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268</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275</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283</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UK and Republic of Ireland</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250</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252</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323</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311</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313</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The Netherlands</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187</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183</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199</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191</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180</w:t>
            </w:r>
          </w:p>
        </w:tc>
      </w:tr>
      <w:tr>
        <w:trPr>
          <w:trHeight w:val="1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Others</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516</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526</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532</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563</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576</w:t>
            </w:r>
          </w:p>
        </w:tc>
      </w:tr>
      <w:tr>
        <w:trPr>
          <w:trHeight w:val="14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1,886</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1,973</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2,093</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2,112</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2,137</w:t>
            </w:r>
          </w:p>
        </w:tc>
      </w:tr>
      <w:tr>
        <w:trPr>
          <w:trHeight w:val="134"/>
        </w:trPr>
        <w:tc>
          <w:tcPr>
            <w:tcW w:w="48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Other Eastern Hemisphere</w:t>
            </w:r>
          </w:p>
        </w:tc>
        <w:tc>
          <w:tcPr>
            <w:tcW w:w="760" w:type="dxa"/>
            <w:vAlign w:val="bottom"/>
            <w:shd w:val="clear" w:color="auto" w:fill="E4E3E1"/>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Australia</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242</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221</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222</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215</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190</w:t>
            </w:r>
          </w:p>
        </w:tc>
      </w:tr>
      <w:tr>
        <w:trPr>
          <w:trHeight w:val="1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Others</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1,041</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1,006</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1,010</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1,105</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1,098</w:t>
            </w:r>
          </w:p>
        </w:tc>
      </w:tr>
      <w:tr>
        <w:trPr>
          <w:trHeight w:val="14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1,283</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1,227</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1,232</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1,320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1,288</w:t>
            </w:r>
          </w:p>
        </w:tc>
      </w:tr>
      <w:tr>
        <w:trPr>
          <w:trHeight w:val="14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USA[A]</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1,487</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1,471</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2,013</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2,516</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2,392</w:t>
            </w:r>
          </w:p>
        </w:tc>
      </w:tr>
      <w:tr>
        <w:trPr>
          <w:trHeight w:val="134"/>
        </w:trPr>
        <w:tc>
          <w:tcPr>
            <w:tcW w:w="48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Other Western Hemisphere</w:t>
            </w:r>
          </w:p>
        </w:tc>
        <w:tc>
          <w:tcPr>
            <w:tcW w:w="760" w:type="dxa"/>
            <w:vAlign w:val="bottom"/>
            <w:shd w:val="clear" w:color="auto" w:fill="E4E3E1"/>
          </w:tcPr>
          <w:p>
            <w:pPr>
              <w:spacing w:after="0"/>
              <w:rPr>
                <w:sz w:val="11"/>
                <w:szCs w:val="11"/>
                <w:color w:val="auto"/>
              </w:rPr>
            </w:pPr>
          </w:p>
        </w:tc>
        <w:tc>
          <w:tcPr>
            <w:tcW w:w="16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Canada</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288</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288</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300</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287</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276</w:t>
            </w:r>
          </w:p>
        </w:tc>
      </w:tr>
      <w:tr>
        <w:trPr>
          <w:trHeight w:val="133"/>
        </w:trPr>
        <w:tc>
          <w:tcPr>
            <w:tcW w:w="4860" w:type="dxa"/>
            <w:vAlign w:val="bottom"/>
          </w:tcPr>
          <w:p>
            <w:pPr>
              <w:ind w:left="20"/>
              <w:spacing w:after="0" w:line="133" w:lineRule="exact"/>
              <w:rPr>
                <w:sz w:val="20"/>
                <w:szCs w:val="20"/>
                <w:color w:val="auto"/>
              </w:rPr>
            </w:pPr>
            <w:r>
              <w:rPr>
                <w:rFonts w:ascii="Arial" w:cs="Arial" w:eastAsia="Arial" w:hAnsi="Arial"/>
                <w:sz w:val="12"/>
                <w:szCs w:val="12"/>
                <w:color w:val="auto"/>
              </w:rPr>
              <w:t>Brazil</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197</w:t>
            </w:r>
          </w:p>
        </w:tc>
        <w:tc>
          <w:tcPr>
            <w:tcW w:w="16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180</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179</w:t>
            </w:r>
          </w:p>
        </w:tc>
        <w:tc>
          <w:tcPr>
            <w:tcW w:w="12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170</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168</w:t>
            </w:r>
          </w:p>
        </w:tc>
      </w:tr>
      <w:tr>
        <w:trPr>
          <w:trHeight w:val="139"/>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Others</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187</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189</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229</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287</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305</w:t>
            </w:r>
          </w:p>
        </w:tc>
      </w:tr>
      <w:tr>
        <w:trPr>
          <w:trHeight w:val="14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672</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657</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708</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744</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749</w:t>
            </w:r>
          </w:p>
        </w:tc>
      </w:tr>
      <w:tr>
        <w:trPr>
          <w:trHeight w:val="14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Export sales</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1,297</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1,157</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1,011</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908</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879</w:t>
            </w:r>
          </w:p>
        </w:tc>
      </w:tr>
      <w:tr>
        <w:trPr>
          <w:trHeight w:val="14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oil products[A]</w:t>
            </w:r>
          </w:p>
        </w:tc>
        <w:tc>
          <w:tcPr>
            <w:tcW w:w="7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6,625</w:t>
            </w:r>
          </w:p>
        </w:tc>
        <w:tc>
          <w:tcPr>
            <w:tcW w:w="16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6,485</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7,057</w:t>
            </w:r>
          </w:p>
        </w:tc>
        <w:tc>
          <w:tcPr>
            <w:tcW w:w="12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7,600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7,445</w:t>
            </w:r>
          </w:p>
        </w:tc>
      </w:tr>
    </w:tbl>
    <w:p>
      <w:pPr>
        <w:spacing w:after="0" w:line="7" w:lineRule="exact"/>
        <w:rPr>
          <w:sz w:val="20"/>
          <w:szCs w:val="20"/>
          <w:color w:val="auto"/>
        </w:rPr>
      </w:pPr>
    </w:p>
    <w:p>
      <w:pPr>
        <w:ind w:left="280" w:right="520" w:hanging="273"/>
        <w:spacing w:after="0" w:line="249" w:lineRule="auto"/>
        <w:tabs>
          <w:tab w:leader="none" w:pos="2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Certain contracts are held for trading purposes and reported net rather than gross with effect from Q3 2005. The effect in 2007 is a reduction in oil product sales of approximately 805 thousand b/d, in 2006 844 thousand b/d and in 2005 424 thousand b/d.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1317625</wp:posOffset>
            </wp:positionV>
            <wp:extent cx="725297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OIL PRODUCTS</w:t>
            </w:r>
          </w:p>
        </w:tc>
        <w:tc>
          <w:tcPr>
            <w:tcW w:w="8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24"/>
        </w:trPr>
        <w:tc>
          <w:tcPr>
            <w:tcW w:w="5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33"/>
        </w:trPr>
        <w:tc>
          <w:tcPr>
            <w:tcW w:w="5140" w:type="dxa"/>
            <w:vAlign w:val="bottom"/>
            <w:shd w:val="clear" w:color="auto" w:fill="EE2E24"/>
          </w:tcPr>
          <w:p>
            <w:pPr>
              <w:ind w:left="40"/>
              <w:spacing w:after="0" w:line="133" w:lineRule="exact"/>
              <w:rPr>
                <w:sz w:val="20"/>
                <w:szCs w:val="20"/>
                <w:color w:val="auto"/>
              </w:rPr>
            </w:pPr>
            <w:r>
              <w:rPr>
                <w:rFonts w:ascii="Arial" w:cs="Arial" w:eastAsia="Arial" w:hAnsi="Arial"/>
                <w:sz w:val="12"/>
                <w:szCs w:val="12"/>
                <w:b w:val="1"/>
                <w:bCs w:val="1"/>
                <w:color w:val="FFFFFF"/>
              </w:rPr>
              <w:t>REVENUE</w:t>
            </w:r>
          </w:p>
        </w:tc>
        <w:tc>
          <w:tcPr>
            <w:tcW w:w="820" w:type="dxa"/>
            <w:vAlign w:val="bottom"/>
            <w:shd w:val="clear" w:color="auto" w:fill="EE2E24"/>
          </w:tcPr>
          <w:p>
            <w:pPr>
              <w:spacing w:after="0"/>
              <w:rPr>
                <w:sz w:val="11"/>
                <w:szCs w:val="11"/>
                <w:color w:val="auto"/>
              </w:rPr>
            </w:pPr>
          </w:p>
        </w:tc>
        <w:tc>
          <w:tcPr>
            <w:tcW w:w="1740" w:type="dxa"/>
            <w:vAlign w:val="bottom"/>
            <w:shd w:val="clear" w:color="auto" w:fill="EE2E24"/>
          </w:tcPr>
          <w:p>
            <w:pPr>
              <w:spacing w:after="0"/>
              <w:rPr>
                <w:sz w:val="11"/>
                <w:szCs w:val="11"/>
                <w:color w:val="auto"/>
              </w:rPr>
            </w:pPr>
          </w:p>
        </w:tc>
        <w:tc>
          <w:tcPr>
            <w:tcW w:w="1380" w:type="dxa"/>
            <w:vAlign w:val="bottom"/>
            <w:shd w:val="clear" w:color="auto" w:fill="EE2E24"/>
          </w:tcPr>
          <w:p>
            <w:pPr>
              <w:spacing w:after="0"/>
              <w:rPr>
                <w:sz w:val="11"/>
                <w:szCs w:val="11"/>
                <w:color w:val="auto"/>
              </w:rPr>
            </w:pPr>
          </w:p>
        </w:tc>
        <w:tc>
          <w:tcPr>
            <w:tcW w:w="1320" w:type="dxa"/>
            <w:vAlign w:val="bottom"/>
            <w:shd w:val="clear" w:color="auto" w:fill="EE2E24"/>
          </w:tcPr>
          <w:p>
            <w:pPr>
              <w:spacing w:after="0"/>
              <w:rPr>
                <w:sz w:val="11"/>
                <w:szCs w:val="11"/>
                <w:color w:val="auto"/>
              </w:rPr>
            </w:pPr>
          </w:p>
        </w:tc>
        <w:tc>
          <w:tcPr>
            <w:tcW w:w="1020" w:type="dxa"/>
            <w:vAlign w:val="bottom"/>
            <w:shd w:val="clear" w:color="auto" w:fill="EE2E24"/>
          </w:tcPr>
          <w:p>
            <w:pPr>
              <w:jc w:val="right"/>
              <w:ind w:right="38"/>
              <w:spacing w:after="0" w:line="133" w:lineRule="exact"/>
              <w:rPr>
                <w:sz w:val="20"/>
                <w:szCs w:val="20"/>
                <w:color w:val="auto"/>
              </w:rPr>
            </w:pPr>
            <w:r>
              <w:rPr>
                <w:rFonts w:ascii="Arial" w:cs="Arial" w:eastAsia="Arial" w:hAnsi="Arial"/>
                <w:sz w:val="12"/>
                <w:szCs w:val="12"/>
                <w:b w:val="1"/>
                <w:bCs w:val="1"/>
                <w:color w:val="FFFFFF"/>
              </w:rPr>
              <w:t>$ million</w:t>
            </w:r>
          </w:p>
        </w:tc>
      </w:tr>
      <w:tr>
        <w:trPr>
          <w:trHeight w:val="133"/>
        </w:trPr>
        <w:tc>
          <w:tcPr>
            <w:tcW w:w="514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4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398"/>
              <w:spacing w:after="0" w:line="133" w:lineRule="exact"/>
              <w:rPr>
                <w:sz w:val="20"/>
                <w:szCs w:val="20"/>
                <w:color w:val="auto"/>
              </w:rPr>
            </w:pPr>
            <w:r>
              <w:rPr>
                <w:rFonts w:ascii="Arial" w:cs="Arial" w:eastAsia="Arial" w:hAnsi="Arial"/>
                <w:sz w:val="12"/>
                <w:szCs w:val="12"/>
                <w:color w:val="auto"/>
              </w:rPr>
              <w:t>2005</w:t>
            </w:r>
          </w:p>
        </w:tc>
        <w:tc>
          <w:tcPr>
            <w:tcW w:w="132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27"/>
        </w:trPr>
        <w:tc>
          <w:tcPr>
            <w:tcW w:w="5140" w:type="dxa"/>
            <w:vAlign w:val="bottom"/>
          </w:tcPr>
          <w:p>
            <w:pPr>
              <w:spacing w:after="0" w:line="128" w:lineRule="exact"/>
              <w:rPr>
                <w:sz w:val="20"/>
                <w:szCs w:val="20"/>
                <w:color w:val="auto"/>
              </w:rPr>
            </w:pPr>
            <w:r>
              <w:rPr>
                <w:rFonts w:ascii="Arial" w:cs="Arial" w:eastAsia="Arial" w:hAnsi="Arial"/>
                <w:sz w:val="12"/>
                <w:szCs w:val="12"/>
                <w:b w:val="1"/>
                <w:bCs w:val="1"/>
                <w:color w:val="auto"/>
              </w:rPr>
              <w:t>by product</w:t>
            </w:r>
          </w:p>
        </w:tc>
        <w:tc>
          <w:tcPr>
            <w:tcW w:w="820" w:type="dxa"/>
            <w:vAlign w:val="bottom"/>
            <w:shd w:val="clear" w:color="auto" w:fill="E4E3E1"/>
          </w:tcPr>
          <w:p>
            <w:pPr>
              <w:spacing w:after="0"/>
              <w:rPr>
                <w:sz w:val="11"/>
                <w:szCs w:val="11"/>
                <w:color w:val="auto"/>
              </w:rPr>
            </w:pPr>
          </w:p>
        </w:tc>
        <w:tc>
          <w:tcPr>
            <w:tcW w:w="1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75,387</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65,910</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62,189</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55,594</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44,830</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26,060</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23,485</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21,775</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16,308</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10,826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80,458</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68,899</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63,357</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48,304</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35,344</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14,972</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13,948</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13,218</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9,688</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8,424</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23,160</w:t>
            </w:r>
          </w:p>
        </w:tc>
        <w:tc>
          <w:tcPr>
            <w:tcW w:w="17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20,182</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17,505</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15,279</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13,834</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oil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220,037</w:t>
            </w:r>
          </w:p>
        </w:tc>
        <w:tc>
          <w:tcPr>
            <w:tcW w:w="17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192,424</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178,044</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145,173</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113,258</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by geographical area</w:t>
            </w:r>
            <w:r>
              <w:rPr>
                <w:rFonts w:ascii="Arial" w:cs="Arial" w:eastAsia="Arial" w:hAnsi="Arial"/>
                <w:sz w:val="10"/>
                <w:szCs w:val="10"/>
                <w:color w:val="auto"/>
              </w:rPr>
              <w:t>[B]</w:t>
            </w:r>
          </w:p>
        </w:tc>
        <w:tc>
          <w:tcPr>
            <w:tcW w:w="820" w:type="dxa"/>
            <w:vAlign w:val="bottom"/>
            <w:shd w:val="clear" w:color="auto" w:fill="E4E3E1"/>
          </w:tcPr>
          <w:p>
            <w:pPr>
              <w:spacing w:after="0"/>
              <w:rPr>
                <w:sz w:val="11"/>
                <w:szCs w:val="11"/>
                <w:color w:val="auto"/>
              </w:rPr>
            </w:pPr>
          </w:p>
        </w:tc>
        <w:tc>
          <w:tcPr>
            <w:tcW w:w="17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Europe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65,697</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60,755</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55,968</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44,010</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35,618</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43,986</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37,869</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31,705</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25,725</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19,957</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49,598</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44,370</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49,574</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46,500</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34,533</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Other Western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23,679</w:t>
            </w:r>
          </w:p>
        </w:tc>
        <w:tc>
          <w:tcPr>
            <w:tcW w:w="17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21,465</w:t>
            </w:r>
          </w:p>
        </w:tc>
        <w:tc>
          <w:tcPr>
            <w:tcW w:w="13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19,957</w:t>
            </w:r>
          </w:p>
        </w:tc>
        <w:tc>
          <w:tcPr>
            <w:tcW w:w="132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15,116</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12,751</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Export sales</w:t>
            </w:r>
            <w:r>
              <w:rPr>
                <w:rFonts w:ascii="Arial" w:cs="Arial" w:eastAsia="Arial" w:hAnsi="Arial"/>
                <w:sz w:val="10"/>
                <w:szCs w:val="10"/>
                <w:color w:val="auto"/>
              </w:rPr>
              <w:t>[B]</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37,077</w:t>
            </w:r>
          </w:p>
        </w:tc>
        <w:tc>
          <w:tcPr>
            <w:tcW w:w="17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27,965</w:t>
            </w:r>
          </w:p>
        </w:tc>
        <w:tc>
          <w:tcPr>
            <w:tcW w:w="13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20,840</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13,822</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10,399</w:t>
            </w:r>
          </w:p>
        </w:tc>
      </w:tr>
      <w:tr>
        <w:trPr>
          <w:trHeight w:val="140"/>
        </w:trPr>
        <w:tc>
          <w:tcPr>
            <w:tcW w:w="5140" w:type="dxa"/>
            <w:vAlign w:val="bottom"/>
          </w:tcPr>
          <w:p>
            <w:pPr>
              <w:spacing w:after="0"/>
              <w:rPr>
                <w:sz w:val="20"/>
                <w:szCs w:val="20"/>
                <w:color w:val="auto"/>
              </w:rPr>
            </w:pPr>
            <w:r>
              <w:rPr>
                <w:rFonts w:ascii="Arial" w:cs="Arial" w:eastAsia="Arial" w:hAnsi="Arial"/>
                <w:sz w:val="12"/>
                <w:szCs w:val="12"/>
                <w:b w:val="1"/>
                <w:bCs w:val="1"/>
                <w:color w:val="auto"/>
              </w:rPr>
              <w:t>Total oil products</w:t>
            </w:r>
          </w:p>
        </w:tc>
        <w:tc>
          <w:tcPr>
            <w:tcW w:w="82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220,037</w:t>
            </w:r>
          </w:p>
        </w:tc>
        <w:tc>
          <w:tcPr>
            <w:tcW w:w="1740" w:type="dxa"/>
            <w:vAlign w:val="bottom"/>
          </w:tcPr>
          <w:p>
            <w:pPr>
              <w:jc w:val="right"/>
              <w:ind w:right="418"/>
              <w:spacing w:after="0"/>
              <w:rPr>
                <w:sz w:val="20"/>
                <w:szCs w:val="20"/>
                <w:color w:val="auto"/>
              </w:rPr>
            </w:pPr>
            <w:r>
              <w:rPr>
                <w:rFonts w:ascii="Arial" w:cs="Arial" w:eastAsia="Arial" w:hAnsi="Arial"/>
                <w:sz w:val="12"/>
                <w:szCs w:val="12"/>
                <w:color w:val="auto"/>
              </w:rPr>
              <w:t>192,424</w:t>
            </w:r>
          </w:p>
        </w:tc>
        <w:tc>
          <w:tcPr>
            <w:tcW w:w="1380" w:type="dxa"/>
            <w:vAlign w:val="bottom"/>
          </w:tcPr>
          <w:p>
            <w:pPr>
              <w:jc w:val="right"/>
              <w:ind w:right="398"/>
              <w:spacing w:after="0"/>
              <w:rPr>
                <w:sz w:val="20"/>
                <w:szCs w:val="20"/>
                <w:color w:val="auto"/>
              </w:rPr>
            </w:pPr>
            <w:r>
              <w:rPr>
                <w:rFonts w:ascii="Arial" w:cs="Arial" w:eastAsia="Arial" w:hAnsi="Arial"/>
                <w:sz w:val="12"/>
                <w:szCs w:val="12"/>
                <w:color w:val="auto"/>
              </w:rPr>
              <w:t>178,044</w:t>
            </w:r>
          </w:p>
        </w:tc>
        <w:tc>
          <w:tcPr>
            <w:tcW w:w="1320" w:type="dxa"/>
            <w:vAlign w:val="bottom"/>
          </w:tcPr>
          <w:p>
            <w:pPr>
              <w:jc w:val="right"/>
              <w:ind w:right="358"/>
              <w:spacing w:after="0"/>
              <w:rPr>
                <w:sz w:val="20"/>
                <w:szCs w:val="20"/>
                <w:color w:val="auto"/>
              </w:rPr>
            </w:pPr>
            <w:r>
              <w:rPr>
                <w:rFonts w:ascii="Arial" w:cs="Arial" w:eastAsia="Arial" w:hAnsi="Arial"/>
                <w:sz w:val="12"/>
                <w:szCs w:val="12"/>
                <w:color w:val="auto"/>
              </w:rPr>
              <w:t>145,173</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113,258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48525" cy="1098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8525" cy="109855"/>
                    </a:xfrm>
                    <a:prstGeom prst="rect">
                      <a:avLst/>
                    </a:prstGeom>
                    <a:noFill/>
                  </pic:spPr>
                </pic:pic>
              </a:graphicData>
            </a:graphic>
          </wp:anchor>
        </w:drawing>
      </w:r>
    </w:p>
    <w:p>
      <w:pPr>
        <w:spacing w:after="0" w:line="9" w:lineRule="exact"/>
        <w:rPr>
          <w:sz w:val="20"/>
          <w:szCs w:val="20"/>
          <w:color w:val="auto"/>
        </w:rPr>
      </w:pPr>
    </w:p>
    <w:p>
      <w:pPr>
        <w:ind w:left="280" w:hanging="273"/>
        <w:spacing w:after="0"/>
        <w:tabs>
          <w:tab w:leader="none" w:pos="2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Figures for 2003 are provided on a US GAAP basis.</w:t>
      </w:r>
    </w:p>
    <w:p>
      <w:pPr>
        <w:ind w:left="280" w:hanging="273"/>
        <w:spacing w:after="0"/>
        <w:tabs>
          <w:tab w:leader="none" w:pos="2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By country of destination, except where the ultimate destination is not known at the time of sale, in which case the sales are shown as export sales.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40" w:type="dxa"/>
            <w:vAlign w:val="bottom"/>
            <w:shd w:val="clear" w:color="auto" w:fill="EE2E24"/>
          </w:tcPr>
          <w:p>
            <w:pPr>
              <w:ind w:left="40"/>
              <w:spacing w:after="0"/>
              <w:rPr>
                <w:sz w:val="20"/>
                <w:szCs w:val="20"/>
                <w:color w:val="auto"/>
              </w:rPr>
            </w:pPr>
            <w:r>
              <w:rPr>
                <w:rFonts w:ascii="Arial" w:cs="Arial" w:eastAsia="Arial" w:hAnsi="Arial"/>
                <w:sz w:val="12"/>
                <w:szCs w:val="12"/>
                <w:b w:val="1"/>
                <w:bCs w:val="1"/>
                <w:color w:val="FFFFFF"/>
              </w:rPr>
              <w:t>AVERAGE PRODUCT REVENUE</w:t>
            </w:r>
          </w:p>
        </w:tc>
        <w:tc>
          <w:tcPr>
            <w:tcW w:w="820" w:type="dxa"/>
            <w:vAlign w:val="bottom"/>
            <w:shd w:val="clear" w:color="auto" w:fill="EE2E24"/>
          </w:tcPr>
          <w:p>
            <w:pPr>
              <w:spacing w:after="0"/>
              <w:rPr>
                <w:sz w:val="12"/>
                <w:szCs w:val="12"/>
                <w:color w:val="auto"/>
              </w:rPr>
            </w:pPr>
          </w:p>
        </w:tc>
        <w:tc>
          <w:tcPr>
            <w:tcW w:w="1800" w:type="dxa"/>
            <w:vAlign w:val="bottom"/>
            <w:shd w:val="clear" w:color="auto" w:fill="EE2E24"/>
          </w:tcPr>
          <w:p>
            <w:pPr>
              <w:spacing w:after="0"/>
              <w:rPr>
                <w:sz w:val="12"/>
                <w:szCs w:val="12"/>
                <w:color w:val="auto"/>
              </w:rPr>
            </w:pPr>
          </w:p>
        </w:tc>
        <w:tc>
          <w:tcPr>
            <w:tcW w:w="1380" w:type="dxa"/>
            <w:vAlign w:val="bottom"/>
            <w:shd w:val="clear" w:color="auto" w:fill="EE2E24"/>
          </w:tcPr>
          <w:p>
            <w:pPr>
              <w:spacing w:after="0"/>
              <w:rPr>
                <w:sz w:val="12"/>
                <w:szCs w:val="12"/>
                <w:color w:val="auto"/>
              </w:rPr>
            </w:pPr>
          </w:p>
        </w:tc>
        <w:tc>
          <w:tcPr>
            <w:tcW w:w="1180" w:type="dxa"/>
            <w:vAlign w:val="bottom"/>
            <w:shd w:val="clear" w:color="auto" w:fill="EE2E24"/>
          </w:tcPr>
          <w:p>
            <w:pPr>
              <w:spacing w:after="0"/>
              <w:rPr>
                <w:sz w:val="12"/>
                <w:szCs w:val="12"/>
                <w:color w:val="auto"/>
              </w:rPr>
            </w:pPr>
          </w:p>
        </w:tc>
        <w:tc>
          <w:tcPr>
            <w:tcW w:w="1100" w:type="dxa"/>
            <w:vAlign w:val="bottom"/>
            <w:shd w:val="clear" w:color="auto" w:fill="EE2E24"/>
          </w:tcPr>
          <w:p>
            <w:pPr>
              <w:jc w:val="right"/>
              <w:ind w:right="38"/>
              <w:spacing w:after="0"/>
              <w:rPr>
                <w:sz w:val="20"/>
                <w:szCs w:val="20"/>
                <w:color w:val="auto"/>
              </w:rPr>
            </w:pPr>
            <w:r>
              <w:rPr>
                <w:rFonts w:ascii="Arial" w:cs="Arial" w:eastAsia="Arial" w:hAnsi="Arial"/>
                <w:sz w:val="12"/>
                <w:szCs w:val="12"/>
                <w:b w:val="1"/>
                <w:bCs w:val="1"/>
                <w:color w:val="FFFFFF"/>
              </w:rPr>
              <w:t>$ per barrel</w:t>
            </w:r>
          </w:p>
        </w:tc>
      </w:tr>
      <w:tr>
        <w:trPr>
          <w:trHeight w:val="133"/>
        </w:trPr>
        <w:tc>
          <w:tcPr>
            <w:tcW w:w="514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800" w:type="dxa"/>
            <w:vAlign w:val="bottom"/>
            <w:shd w:val="clear" w:color="auto" w:fill="CECAC6"/>
          </w:tcPr>
          <w:p>
            <w:pPr>
              <w:jc w:val="right"/>
              <w:ind w:right="47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2005</w:t>
            </w:r>
          </w:p>
        </w:tc>
        <w:tc>
          <w:tcPr>
            <w:tcW w:w="1180" w:type="dxa"/>
            <w:vAlign w:val="bottom"/>
            <w:shd w:val="clear" w:color="auto" w:fill="CECAC6"/>
          </w:tcPr>
          <w:p>
            <w:pPr>
              <w:jc w:val="right"/>
              <w:ind w:right="278"/>
              <w:spacing w:after="0" w:line="133" w:lineRule="exact"/>
              <w:rPr>
                <w:sz w:val="20"/>
                <w:szCs w:val="20"/>
                <w:color w:val="auto"/>
              </w:rPr>
            </w:pPr>
            <w:r>
              <w:rPr>
                <w:rFonts w:ascii="Arial" w:cs="Arial" w:eastAsia="Arial" w:hAnsi="Arial"/>
                <w:sz w:val="12"/>
                <w:szCs w:val="12"/>
                <w:color w:val="auto"/>
              </w:rPr>
              <w:t>2004</w:t>
            </w: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27"/>
        </w:trPr>
        <w:tc>
          <w:tcPr>
            <w:tcW w:w="5140" w:type="dxa"/>
            <w:vAlign w:val="bottom"/>
          </w:tcPr>
          <w:p>
            <w:pPr>
              <w:spacing w:after="0" w:line="128" w:lineRule="exact"/>
              <w:rPr>
                <w:sz w:val="20"/>
                <w:szCs w:val="20"/>
                <w:color w:val="auto"/>
              </w:rPr>
            </w:pPr>
            <w:r>
              <w:rPr>
                <w:rFonts w:ascii="Arial" w:cs="Arial" w:eastAsia="Arial" w:hAnsi="Arial"/>
                <w:sz w:val="12"/>
                <w:szCs w:val="12"/>
                <w:b w:val="1"/>
                <w:bCs w:val="1"/>
                <w:color w:val="auto"/>
              </w:rPr>
              <w:t>by product</w:t>
            </w:r>
          </w:p>
        </w:tc>
        <w:tc>
          <w:tcPr>
            <w:tcW w:w="820" w:type="dxa"/>
            <w:vAlign w:val="bottom"/>
            <w:shd w:val="clear" w:color="auto" w:fill="E4E3E1"/>
          </w:tcPr>
          <w:p>
            <w:pPr>
              <w:spacing w:after="0"/>
              <w:rPr>
                <w:sz w:val="11"/>
                <w:szCs w:val="11"/>
                <w:color w:val="auto"/>
              </w:rPr>
            </w:pPr>
          </w:p>
        </w:tc>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Gasolines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94.81</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81.85</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70.88</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55.03</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44.46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Kerosines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94.44</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85.97</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73.52</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53.52</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37.18</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Gas/Diesel oils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96.04</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89.61</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75.61</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55.04</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41.90</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Fuel oil</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58.29</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51.20</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42.91</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31.17</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28.14</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91.51</w:t>
            </w:r>
          </w:p>
        </w:tc>
        <w:tc>
          <w:tcPr>
            <w:tcW w:w="18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81.64</w:t>
            </w: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68.29</w:t>
            </w: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54.95</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50.30</w:t>
            </w:r>
          </w:p>
        </w:tc>
      </w:tr>
      <w:tr>
        <w:trPr>
          <w:trHeight w:val="14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oil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90.97</w:t>
            </w:r>
          </w:p>
        </w:tc>
        <w:tc>
          <w:tcPr>
            <w:tcW w:w="18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81.30</w:t>
            </w: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69.12</w:t>
            </w: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52.19</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41.68</w:t>
            </w:r>
          </w:p>
        </w:tc>
      </w:tr>
      <w:tr>
        <w:trPr>
          <w:trHeight w:val="134"/>
        </w:trPr>
        <w:tc>
          <w:tcPr>
            <w:tcW w:w="5140" w:type="dxa"/>
            <w:vAlign w:val="bottom"/>
          </w:tcPr>
          <w:p>
            <w:pPr>
              <w:spacing w:after="0" w:line="134" w:lineRule="exact"/>
              <w:rPr>
                <w:sz w:val="20"/>
                <w:szCs w:val="20"/>
                <w:color w:val="auto"/>
              </w:rPr>
            </w:pPr>
            <w:r>
              <w:rPr>
                <w:rFonts w:ascii="Arial" w:cs="Arial" w:eastAsia="Arial" w:hAnsi="Arial"/>
                <w:sz w:val="12"/>
                <w:szCs w:val="12"/>
                <w:b w:val="1"/>
                <w:bCs w:val="1"/>
                <w:color w:val="auto"/>
              </w:rPr>
              <w:t>by geographical area</w:t>
            </w:r>
          </w:p>
        </w:tc>
        <w:tc>
          <w:tcPr>
            <w:tcW w:w="820" w:type="dxa"/>
            <w:vAlign w:val="bottom"/>
            <w:shd w:val="clear" w:color="auto" w:fill="E4E3E1"/>
          </w:tcPr>
          <w:p>
            <w:pPr>
              <w:spacing w:after="0"/>
              <w:rPr>
                <w:sz w:val="11"/>
                <w:szCs w:val="11"/>
                <w:color w:val="auto"/>
              </w:rPr>
            </w:pPr>
          </w:p>
        </w:tc>
        <w:tc>
          <w:tcPr>
            <w:tcW w:w="18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Europe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95.42</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84.36</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73.21</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56.93</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45.67</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93.91</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84.55</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70.52</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53.30</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42.45</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91.35</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82.65</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67.48</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50.48</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39.56</w:t>
            </w:r>
          </w:p>
        </w:tc>
      </w:tr>
      <w:tr>
        <w:trPr>
          <w:trHeight w:val="133"/>
        </w:trPr>
        <w:tc>
          <w:tcPr>
            <w:tcW w:w="5140" w:type="dxa"/>
            <w:vAlign w:val="bottom"/>
          </w:tcPr>
          <w:p>
            <w:pPr>
              <w:spacing w:after="0" w:line="133" w:lineRule="exact"/>
              <w:rPr>
                <w:sz w:val="20"/>
                <w:szCs w:val="20"/>
                <w:color w:val="auto"/>
              </w:rPr>
            </w:pPr>
            <w:r>
              <w:rPr>
                <w:rFonts w:ascii="Arial" w:cs="Arial" w:eastAsia="Arial" w:hAnsi="Arial"/>
                <w:sz w:val="12"/>
                <w:szCs w:val="12"/>
                <w:color w:val="auto"/>
              </w:rPr>
              <w:t>Other Western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96.60</w:t>
            </w:r>
          </w:p>
        </w:tc>
        <w:tc>
          <w:tcPr>
            <w:tcW w:w="18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89.47</w:t>
            </w:r>
          </w:p>
        </w:tc>
        <w:tc>
          <w:tcPr>
            <w:tcW w:w="13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77.28</w:t>
            </w:r>
          </w:p>
        </w:tc>
        <w:tc>
          <w:tcPr>
            <w:tcW w:w="11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55.51</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46.64</w:t>
            </w:r>
          </w:p>
        </w:tc>
      </w:tr>
      <w:tr>
        <w:trPr>
          <w:trHeight w:val="139"/>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Export sales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78.25</w:t>
            </w:r>
          </w:p>
        </w:tc>
        <w:tc>
          <w:tcPr>
            <w:tcW w:w="18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66.25</w:t>
            </w: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56.48</w:t>
            </w: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41.57</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32.41</w:t>
            </w:r>
          </w:p>
        </w:tc>
      </w:tr>
      <w:tr>
        <w:trPr>
          <w:trHeight w:val="160"/>
        </w:trPr>
        <w:tc>
          <w:tcPr>
            <w:tcW w:w="51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oil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90.97</w:t>
            </w:r>
          </w:p>
        </w:tc>
        <w:tc>
          <w:tcPr>
            <w:tcW w:w="18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81.30</w:t>
            </w:r>
          </w:p>
        </w:tc>
        <w:tc>
          <w:tcPr>
            <w:tcW w:w="13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69.12</w:t>
            </w:r>
          </w:p>
        </w:tc>
        <w:tc>
          <w:tcPr>
            <w:tcW w:w="11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52.19</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41.68</w:t>
            </w:r>
          </w:p>
        </w:tc>
      </w:tr>
      <w:tr>
        <w:trPr>
          <w:trHeight w:val="148"/>
        </w:trPr>
        <w:tc>
          <w:tcPr>
            <w:tcW w:w="5140" w:type="dxa"/>
            <w:vAlign w:val="bottom"/>
          </w:tcPr>
          <w:p>
            <w:pPr>
              <w:spacing w:after="0"/>
              <w:rPr>
                <w:sz w:val="20"/>
                <w:szCs w:val="20"/>
                <w:color w:val="auto"/>
              </w:rPr>
            </w:pPr>
            <w:r>
              <w:rPr>
                <w:rFonts w:ascii="Arial" w:cs="Arial" w:eastAsia="Arial" w:hAnsi="Arial"/>
                <w:sz w:val="12"/>
                <w:szCs w:val="12"/>
                <w:color w:val="auto"/>
              </w:rPr>
              <w:t>[A]  Figures for 2003 are provided on a US GAAP basis.</w:t>
            </w:r>
          </w:p>
        </w:tc>
        <w:tc>
          <w:tcPr>
            <w:tcW w:w="8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184" w:lineRule="exact"/>
        <w:rPr>
          <w:sz w:val="20"/>
          <w:szCs w:val="20"/>
          <w:color w:val="auto"/>
        </w:rPr>
      </w:pPr>
    </w:p>
    <w:p>
      <w:pPr>
        <w:ind w:left="280" w:hanging="273"/>
        <w:spacing w:after="0"/>
        <w:tabs>
          <w:tab w:leader="none" w:pos="280" w:val="left"/>
        </w:tabs>
        <w:numPr>
          <w:ilvl w:val="0"/>
          <w:numId w:val="63"/>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40" w:type="dxa"/>
            <w:vAlign w:val="bottom"/>
            <w:gridSpan w:val="6"/>
          </w:tcPr>
          <w:p>
            <w:pPr>
              <w:ind w:left="340"/>
              <w:spacing w:after="0"/>
              <w:rPr>
                <w:sz w:val="20"/>
                <w:szCs w:val="20"/>
                <w:color w:val="auto"/>
              </w:rPr>
            </w:pPr>
            <w:r>
              <w:rPr>
                <w:rFonts w:ascii="Arial" w:cs="Arial" w:eastAsia="Arial" w:hAnsi="Arial"/>
                <w:sz w:val="14"/>
                <w:szCs w:val="14"/>
                <w:color w:val="auto"/>
                <w:w w:val="92"/>
              </w:rPr>
              <w:t>and 2010. Two liquefied petroleum gas (LPG) carriers (82,250 and 73,800 cubic</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280" w:type="dxa"/>
            <w:vAlign w:val="bottom"/>
            <w:tcBorders>
              <w:bottom w:val="single" w:sz="8" w:color="CECAC6"/>
            </w:tcBorders>
          </w:tcPr>
          <w:p>
            <w:pPr>
              <w:spacing w:after="0"/>
              <w:rPr>
                <w:sz w:val="8"/>
                <w:szCs w:val="8"/>
                <w:color w:val="auto"/>
              </w:rPr>
            </w:pPr>
          </w:p>
        </w:tc>
        <w:tc>
          <w:tcPr>
            <w:tcW w:w="120" w:type="dxa"/>
            <w:vAlign w:val="bottom"/>
            <w:tcBorders>
              <w:bottom w:val="single" w:sz="8" w:color="CECAC6"/>
            </w:tcBorders>
          </w:tcPr>
          <w:p>
            <w:pPr>
              <w:spacing w:after="0"/>
              <w:rPr>
                <w:sz w:val="8"/>
                <w:szCs w:val="8"/>
                <w:color w:val="auto"/>
              </w:rPr>
            </w:pPr>
          </w:p>
        </w:tc>
        <w:tc>
          <w:tcPr>
            <w:tcW w:w="200" w:type="dxa"/>
            <w:vAlign w:val="bottom"/>
            <w:tcBorders>
              <w:bottom w:val="single" w:sz="8" w:color="CECAC6"/>
            </w:tcBorders>
          </w:tcPr>
          <w:p>
            <w:pPr>
              <w:spacing w:after="0"/>
              <w:rPr>
                <w:sz w:val="8"/>
                <w:szCs w:val="8"/>
                <w:color w:val="auto"/>
              </w:rPr>
            </w:pPr>
          </w:p>
        </w:tc>
        <w:tc>
          <w:tcPr>
            <w:tcW w:w="340" w:type="dxa"/>
            <w:vAlign w:val="bottom"/>
            <w:tcBorders>
              <w:bottom w:val="single" w:sz="8" w:color="CECAC6"/>
            </w:tcBorders>
          </w:tcPr>
          <w:p>
            <w:pPr>
              <w:spacing w:after="0"/>
              <w:rPr>
                <w:sz w:val="8"/>
                <w:szCs w:val="8"/>
                <w:color w:val="auto"/>
              </w:rPr>
            </w:pPr>
          </w:p>
        </w:tc>
        <w:tc>
          <w:tcPr>
            <w:tcW w:w="180" w:type="dxa"/>
            <w:vAlign w:val="bottom"/>
            <w:tcBorders>
              <w:bottom w:val="single" w:sz="8" w:color="CECAC6"/>
            </w:tcBorders>
          </w:tcPr>
          <w:p>
            <w:pPr>
              <w:spacing w:after="0"/>
              <w:rPr>
                <w:sz w:val="8"/>
                <w:szCs w:val="8"/>
                <w:color w:val="auto"/>
              </w:rPr>
            </w:pPr>
          </w:p>
        </w:tc>
        <w:tc>
          <w:tcPr>
            <w:tcW w:w="940" w:type="dxa"/>
            <w:vAlign w:val="bottom"/>
            <w:tcBorders>
              <w:bottom w:val="single" w:sz="8" w:color="CECAC6"/>
            </w:tcBorders>
          </w:tcPr>
          <w:p>
            <w:pPr>
              <w:spacing w:after="0"/>
              <w:rPr>
                <w:sz w:val="8"/>
                <w:szCs w:val="8"/>
                <w:color w:val="auto"/>
              </w:rPr>
            </w:pPr>
          </w:p>
        </w:tc>
        <w:tc>
          <w:tcPr>
            <w:tcW w:w="920" w:type="dxa"/>
            <w:vAlign w:val="bottom"/>
            <w:tcBorders>
              <w:bottom w:val="single" w:sz="8" w:color="CECAC6"/>
            </w:tcBorders>
          </w:tcPr>
          <w:p>
            <w:pPr>
              <w:spacing w:after="0"/>
              <w:rPr>
                <w:sz w:val="8"/>
                <w:szCs w:val="8"/>
                <w:color w:val="auto"/>
              </w:rPr>
            </w:pPr>
          </w:p>
        </w:tc>
        <w:tc>
          <w:tcPr>
            <w:tcW w:w="80" w:type="dxa"/>
            <w:vAlign w:val="bottom"/>
          </w:tcPr>
          <w:p>
            <w:pPr>
              <w:spacing w:after="0"/>
              <w:rPr>
                <w:sz w:val="8"/>
                <w:szCs w:val="8"/>
                <w:color w:val="auto"/>
              </w:rPr>
            </w:pPr>
          </w:p>
        </w:tc>
        <w:tc>
          <w:tcPr>
            <w:tcW w:w="5320" w:type="dxa"/>
            <w:vAlign w:val="bottom"/>
            <w:gridSpan w:val="7"/>
            <w:vMerge w:val="restart"/>
          </w:tcPr>
          <w:p>
            <w:pPr>
              <w:ind w:left="340"/>
              <w:spacing w:after="0" w:line="141" w:lineRule="exact"/>
              <w:rPr>
                <w:sz w:val="20"/>
                <w:szCs w:val="20"/>
                <w:color w:val="auto"/>
              </w:rPr>
            </w:pPr>
            <w:r>
              <w:rPr>
                <w:rFonts w:ascii="Arial" w:cs="Arial" w:eastAsia="Arial" w:hAnsi="Arial"/>
                <w:sz w:val="14"/>
                <w:szCs w:val="14"/>
                <w:color w:val="auto"/>
                <w:w w:val="95"/>
              </w:rPr>
              <w:t>metres) were contracted on time charter and one LPG carrier (82,500 cubic metres)</w:t>
            </w:r>
          </w:p>
        </w:tc>
        <w:tc>
          <w:tcPr>
            <w:tcW w:w="0" w:type="dxa"/>
            <w:vAlign w:val="bottom"/>
          </w:tcPr>
          <w:p>
            <w:pPr>
              <w:spacing w:after="0"/>
              <w:rPr>
                <w:sz w:val="1"/>
                <w:szCs w:val="1"/>
                <w:color w:val="auto"/>
              </w:rPr>
            </w:pPr>
          </w:p>
        </w:tc>
      </w:tr>
      <w:tr>
        <w:trPr>
          <w:trHeight w:val="28"/>
        </w:trPr>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53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060" w:type="dxa"/>
            <w:vAlign w:val="bottom"/>
            <w:gridSpan w:val="8"/>
            <w:vMerge w:val="restart"/>
          </w:tcPr>
          <w:p>
            <w:pPr>
              <w:spacing w:after="0"/>
              <w:rPr>
                <w:sz w:val="20"/>
                <w:szCs w:val="20"/>
                <w:color w:val="auto"/>
              </w:rPr>
            </w:pPr>
            <w:r>
              <w:rPr>
                <w:rFonts w:ascii="Arial" w:cs="Arial" w:eastAsia="Arial" w:hAnsi="Arial"/>
                <w:sz w:val="14"/>
                <w:szCs w:val="14"/>
                <w:color w:val="auto"/>
                <w:w w:val="94"/>
              </w:rPr>
              <w:t>During 2007, shipping portfolio changes included the redelivery from demise charter of</w:t>
            </w:r>
          </w:p>
        </w:tc>
        <w:tc>
          <w:tcPr>
            <w:tcW w:w="5320" w:type="dxa"/>
            <w:vAlign w:val="bottom"/>
            <w:gridSpan w:val="7"/>
          </w:tcPr>
          <w:p>
            <w:pPr>
              <w:ind w:left="340"/>
              <w:spacing w:after="0" w:line="147" w:lineRule="exact"/>
              <w:rPr>
                <w:sz w:val="20"/>
                <w:szCs w:val="20"/>
                <w:color w:val="auto"/>
              </w:rPr>
            </w:pPr>
            <w:r>
              <w:rPr>
                <w:rFonts w:ascii="Arial" w:cs="Arial" w:eastAsia="Arial" w:hAnsi="Arial"/>
                <w:sz w:val="14"/>
                <w:szCs w:val="14"/>
                <w:color w:val="auto"/>
                <w:w w:val="92"/>
              </w:rPr>
              <w:t>redelivered from time charter. These changes together with other new charters, charter</w:t>
            </w:r>
          </w:p>
        </w:tc>
        <w:tc>
          <w:tcPr>
            <w:tcW w:w="0" w:type="dxa"/>
            <w:vAlign w:val="bottom"/>
          </w:tcPr>
          <w:p>
            <w:pPr>
              <w:spacing w:after="0"/>
              <w:rPr>
                <w:sz w:val="1"/>
                <w:szCs w:val="1"/>
                <w:color w:val="auto"/>
              </w:rPr>
            </w:pPr>
          </w:p>
        </w:tc>
      </w:tr>
      <w:tr>
        <w:trPr>
          <w:trHeight w:val="53"/>
        </w:trPr>
        <w:tc>
          <w:tcPr>
            <w:tcW w:w="5060" w:type="dxa"/>
            <w:vAlign w:val="bottom"/>
            <w:gridSpan w:val="8"/>
            <w:vMerge w:val="continue"/>
          </w:tcPr>
          <w:p>
            <w:pPr>
              <w:spacing w:after="0"/>
              <w:rPr>
                <w:sz w:val="4"/>
                <w:szCs w:val="4"/>
                <w:color w:val="auto"/>
              </w:rPr>
            </w:pPr>
          </w:p>
        </w:tc>
        <w:tc>
          <w:tcPr>
            <w:tcW w:w="5320" w:type="dxa"/>
            <w:vAlign w:val="bottom"/>
            <w:gridSpan w:val="7"/>
            <w:vMerge w:val="restart"/>
          </w:tcPr>
          <w:p>
            <w:pPr>
              <w:ind w:left="340"/>
              <w:spacing w:after="0" w:line="147" w:lineRule="exact"/>
              <w:rPr>
                <w:sz w:val="20"/>
                <w:szCs w:val="20"/>
                <w:color w:val="auto"/>
              </w:rPr>
            </w:pPr>
            <w:r>
              <w:rPr>
                <w:rFonts w:ascii="Arial" w:cs="Arial" w:eastAsia="Arial" w:hAnsi="Arial"/>
                <w:sz w:val="14"/>
                <w:szCs w:val="14"/>
                <w:color w:val="auto"/>
                <w:w w:val="98"/>
              </w:rPr>
              <w:t>renewals and redeliveries from time charter are summarised in the table below. In</w:t>
            </w:r>
          </w:p>
        </w:tc>
        <w:tc>
          <w:tcPr>
            <w:tcW w:w="0" w:type="dxa"/>
            <w:vAlign w:val="bottom"/>
          </w:tcPr>
          <w:p>
            <w:pPr>
              <w:spacing w:after="0"/>
              <w:rPr>
                <w:sz w:val="1"/>
                <w:szCs w:val="1"/>
                <w:color w:val="auto"/>
              </w:rPr>
            </w:pPr>
          </w:p>
        </w:tc>
      </w:tr>
      <w:tr>
        <w:trPr>
          <w:trHeight w:val="93"/>
        </w:trPr>
        <w:tc>
          <w:tcPr>
            <w:tcW w:w="5060" w:type="dxa"/>
            <w:vAlign w:val="bottom"/>
            <w:gridSpan w:val="8"/>
            <w:vMerge w:val="restart"/>
          </w:tcPr>
          <w:p>
            <w:pPr>
              <w:spacing w:after="0" w:line="147" w:lineRule="exact"/>
              <w:rPr>
                <w:sz w:val="20"/>
                <w:szCs w:val="20"/>
                <w:color w:val="auto"/>
              </w:rPr>
            </w:pPr>
            <w:r>
              <w:rPr>
                <w:rFonts w:ascii="Arial" w:cs="Arial" w:eastAsia="Arial" w:hAnsi="Arial"/>
                <w:sz w:val="14"/>
                <w:szCs w:val="14"/>
                <w:color w:val="auto"/>
                <w:w w:val="98"/>
              </w:rPr>
              <w:t>three medium-range product tankers (25,000 to 45,000 dwt). One general purpose</w:t>
            </w:r>
          </w:p>
        </w:tc>
        <w:tc>
          <w:tcPr>
            <w:tcW w:w="5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5060" w:type="dxa"/>
            <w:vAlign w:val="bottom"/>
            <w:gridSpan w:val="8"/>
            <w:vMerge w:val="continue"/>
          </w:tcPr>
          <w:p>
            <w:pPr>
              <w:spacing w:after="0"/>
              <w:rPr>
                <w:sz w:val="4"/>
                <w:szCs w:val="4"/>
                <w:color w:val="auto"/>
              </w:rPr>
            </w:pPr>
          </w:p>
        </w:tc>
        <w:tc>
          <w:tcPr>
            <w:tcW w:w="5320" w:type="dxa"/>
            <w:vAlign w:val="bottom"/>
            <w:gridSpan w:val="7"/>
            <w:vMerge w:val="restart"/>
          </w:tcPr>
          <w:p>
            <w:pPr>
              <w:ind w:left="340"/>
              <w:spacing w:after="0" w:line="147" w:lineRule="exact"/>
              <w:rPr>
                <w:sz w:val="20"/>
                <w:szCs w:val="20"/>
                <w:color w:val="auto"/>
              </w:rPr>
            </w:pPr>
            <w:r>
              <w:rPr>
                <w:rFonts w:ascii="Arial" w:cs="Arial" w:eastAsia="Arial" w:hAnsi="Arial"/>
                <w:sz w:val="14"/>
                <w:szCs w:val="14"/>
                <w:color w:val="auto"/>
                <w:w w:val="94"/>
              </w:rPr>
              <w:t>addition, at the end of 2007 three panamax size sulphur vessels were on consecutive</w:t>
            </w:r>
          </w:p>
        </w:tc>
        <w:tc>
          <w:tcPr>
            <w:tcW w:w="0" w:type="dxa"/>
            <w:vAlign w:val="bottom"/>
          </w:tcPr>
          <w:p>
            <w:pPr>
              <w:spacing w:after="0"/>
              <w:rPr>
                <w:sz w:val="1"/>
                <w:szCs w:val="1"/>
                <w:color w:val="auto"/>
              </w:rPr>
            </w:pPr>
          </w:p>
        </w:tc>
      </w:tr>
      <w:tr>
        <w:trPr>
          <w:trHeight w:val="93"/>
        </w:trPr>
        <w:tc>
          <w:tcPr>
            <w:tcW w:w="5060" w:type="dxa"/>
            <w:vAlign w:val="bottom"/>
            <w:gridSpan w:val="8"/>
            <w:vMerge w:val="restart"/>
          </w:tcPr>
          <w:p>
            <w:pPr>
              <w:spacing w:after="0" w:line="147" w:lineRule="exact"/>
              <w:rPr>
                <w:sz w:val="20"/>
                <w:szCs w:val="20"/>
                <w:color w:val="auto"/>
              </w:rPr>
            </w:pPr>
            <w:r>
              <w:rPr>
                <w:rFonts w:ascii="Arial" w:cs="Arial" w:eastAsia="Arial" w:hAnsi="Arial"/>
                <w:sz w:val="14"/>
                <w:szCs w:val="14"/>
                <w:color w:val="auto"/>
              </w:rPr>
              <w:t>product tanker (10,000 to 25,000 dwt) was converted from demise charter to time</w:t>
            </w:r>
          </w:p>
        </w:tc>
        <w:tc>
          <w:tcPr>
            <w:tcW w:w="53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5060" w:type="dxa"/>
            <w:vAlign w:val="bottom"/>
            <w:gridSpan w:val="8"/>
            <w:vMerge w:val="continue"/>
          </w:tcPr>
          <w:p>
            <w:pPr>
              <w:spacing w:after="0"/>
              <w:rPr>
                <w:sz w:val="4"/>
                <w:szCs w:val="4"/>
                <w:color w:val="auto"/>
              </w:rPr>
            </w:pPr>
          </w:p>
        </w:tc>
        <w:tc>
          <w:tcPr>
            <w:tcW w:w="1640" w:type="dxa"/>
            <w:vAlign w:val="bottom"/>
            <w:gridSpan w:val="2"/>
            <w:vMerge w:val="restart"/>
          </w:tcPr>
          <w:p>
            <w:pPr>
              <w:ind w:left="340"/>
              <w:spacing w:after="0"/>
              <w:rPr>
                <w:sz w:val="20"/>
                <w:szCs w:val="20"/>
                <w:color w:val="auto"/>
              </w:rPr>
            </w:pPr>
            <w:r>
              <w:rPr>
                <w:rFonts w:ascii="Arial" w:cs="Arial" w:eastAsia="Arial" w:hAnsi="Arial"/>
                <w:sz w:val="14"/>
                <w:szCs w:val="14"/>
                <w:color w:val="auto"/>
              </w:rPr>
              <w:t>voyage charter.</w:t>
            </w: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5060" w:type="dxa"/>
            <w:vAlign w:val="bottom"/>
            <w:gridSpan w:val="8"/>
          </w:tcPr>
          <w:p>
            <w:pPr>
              <w:spacing w:after="0" w:line="147" w:lineRule="exact"/>
              <w:rPr>
                <w:sz w:val="20"/>
                <w:szCs w:val="20"/>
                <w:color w:val="auto"/>
              </w:rPr>
            </w:pPr>
            <w:r>
              <w:rPr>
                <w:rFonts w:ascii="Arial" w:cs="Arial" w:eastAsia="Arial" w:hAnsi="Arial"/>
                <w:sz w:val="14"/>
                <w:szCs w:val="14"/>
                <w:color w:val="auto"/>
                <w:w w:val="98"/>
              </w:rPr>
              <w:t>charter. Three new building US “Jones Act” large range product tankers (45,000 to</w:t>
            </w:r>
          </w:p>
        </w:tc>
        <w:tc>
          <w:tcPr>
            <w:tcW w:w="16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6"/>
          </w:tcPr>
          <w:p>
            <w:pPr>
              <w:spacing w:after="0"/>
              <w:rPr>
                <w:sz w:val="20"/>
                <w:szCs w:val="20"/>
                <w:color w:val="auto"/>
              </w:rPr>
            </w:pPr>
            <w:r>
              <w:rPr>
                <w:rFonts w:ascii="Arial" w:cs="Arial" w:eastAsia="Arial" w:hAnsi="Arial"/>
                <w:sz w:val="14"/>
                <w:szCs w:val="14"/>
                <w:color w:val="auto"/>
              </w:rPr>
              <w:t>160,000 dwt) were contracted on time charter for delivery in 2009</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80" w:type="dxa"/>
            <w:vAlign w:val="bottom"/>
            <w:shd w:val="clear" w:color="auto" w:fill="EE2E24"/>
          </w:tcPr>
          <w:p>
            <w:pPr>
              <w:ind w:left="80"/>
              <w:spacing w:after="0" w:line="133" w:lineRule="exact"/>
              <w:rPr>
                <w:sz w:val="20"/>
                <w:szCs w:val="20"/>
                <w:color w:val="auto"/>
              </w:rPr>
            </w:pPr>
            <w:r>
              <w:rPr>
                <w:rFonts w:ascii="Arial" w:cs="Arial" w:eastAsia="Arial" w:hAnsi="Arial"/>
                <w:sz w:val="12"/>
                <w:szCs w:val="12"/>
                <w:b w:val="1"/>
                <w:bCs w:val="1"/>
                <w:color w:val="FFFFFF"/>
              </w:rPr>
              <w:t>OIL TANKERS[A] (At December 31)</w:t>
            </w:r>
          </w:p>
        </w:tc>
        <w:tc>
          <w:tcPr>
            <w:tcW w:w="120" w:type="dxa"/>
            <w:vAlign w:val="bottom"/>
            <w:shd w:val="clear" w:color="auto" w:fill="EE2E24"/>
          </w:tcPr>
          <w:p>
            <w:pPr>
              <w:spacing w:after="0"/>
              <w:rPr>
                <w:sz w:val="11"/>
                <w:szCs w:val="11"/>
                <w:color w:val="auto"/>
              </w:rPr>
            </w:pPr>
          </w:p>
        </w:tc>
        <w:tc>
          <w:tcPr>
            <w:tcW w:w="200" w:type="dxa"/>
            <w:vAlign w:val="bottom"/>
            <w:shd w:val="clear" w:color="auto" w:fill="EE2E24"/>
          </w:tcPr>
          <w:p>
            <w:pPr>
              <w:spacing w:after="0"/>
              <w:rPr>
                <w:sz w:val="11"/>
                <w:szCs w:val="11"/>
                <w:color w:val="auto"/>
              </w:rPr>
            </w:pPr>
          </w:p>
        </w:tc>
        <w:tc>
          <w:tcPr>
            <w:tcW w:w="340" w:type="dxa"/>
            <w:vAlign w:val="bottom"/>
            <w:shd w:val="clear" w:color="auto" w:fill="EE2E24"/>
          </w:tcPr>
          <w:p>
            <w:pPr>
              <w:spacing w:after="0"/>
              <w:rPr>
                <w:sz w:val="11"/>
                <w:szCs w:val="11"/>
                <w:color w:val="auto"/>
              </w:rPr>
            </w:pPr>
          </w:p>
        </w:tc>
        <w:tc>
          <w:tcPr>
            <w:tcW w:w="180" w:type="dxa"/>
            <w:vAlign w:val="bottom"/>
            <w:shd w:val="clear" w:color="auto" w:fill="EE2E24"/>
          </w:tcPr>
          <w:p>
            <w:pPr>
              <w:spacing w:after="0"/>
              <w:rPr>
                <w:sz w:val="11"/>
                <w:szCs w:val="11"/>
                <w:color w:val="auto"/>
              </w:rPr>
            </w:pPr>
          </w:p>
        </w:tc>
        <w:tc>
          <w:tcPr>
            <w:tcW w:w="940" w:type="dxa"/>
            <w:vAlign w:val="bottom"/>
            <w:shd w:val="clear" w:color="auto" w:fill="EE2E24"/>
          </w:tcPr>
          <w:p>
            <w:pPr>
              <w:spacing w:after="0"/>
              <w:rPr>
                <w:sz w:val="11"/>
                <w:szCs w:val="11"/>
                <w:color w:val="auto"/>
              </w:rPr>
            </w:pPr>
          </w:p>
        </w:tc>
        <w:tc>
          <w:tcPr>
            <w:tcW w:w="920" w:type="dxa"/>
            <w:vAlign w:val="bottom"/>
            <w:shd w:val="clear" w:color="auto" w:fill="EE2E24"/>
          </w:tcPr>
          <w:p>
            <w:pPr>
              <w:spacing w:after="0"/>
              <w:rPr>
                <w:sz w:val="11"/>
                <w:szCs w:val="11"/>
                <w:color w:val="auto"/>
              </w:rPr>
            </w:pPr>
          </w:p>
        </w:tc>
        <w:tc>
          <w:tcPr>
            <w:tcW w:w="80" w:type="dxa"/>
            <w:vAlign w:val="bottom"/>
            <w:shd w:val="clear" w:color="auto" w:fill="EE2E24"/>
          </w:tcPr>
          <w:p>
            <w:pPr>
              <w:spacing w:after="0"/>
              <w:rPr>
                <w:sz w:val="11"/>
                <w:szCs w:val="11"/>
                <w:color w:val="auto"/>
              </w:rPr>
            </w:pPr>
          </w:p>
        </w:tc>
        <w:tc>
          <w:tcPr>
            <w:tcW w:w="680" w:type="dxa"/>
            <w:vAlign w:val="bottom"/>
            <w:shd w:val="clear" w:color="auto" w:fill="EE2E24"/>
          </w:tcPr>
          <w:p>
            <w:pPr>
              <w:spacing w:after="0"/>
              <w:rPr>
                <w:sz w:val="11"/>
                <w:szCs w:val="11"/>
                <w:color w:val="auto"/>
              </w:rPr>
            </w:pPr>
          </w:p>
        </w:tc>
        <w:tc>
          <w:tcPr>
            <w:tcW w:w="960" w:type="dxa"/>
            <w:vAlign w:val="bottom"/>
            <w:tcBorders>
              <w:right w:val="single" w:sz="8" w:color="EE2E24"/>
            </w:tcBorders>
            <w:shd w:val="clear" w:color="auto" w:fill="EE2E24"/>
          </w:tcPr>
          <w:p>
            <w:pPr>
              <w:spacing w:after="0"/>
              <w:rPr>
                <w:sz w:val="11"/>
                <w:szCs w:val="11"/>
                <w:color w:val="auto"/>
              </w:rPr>
            </w:pPr>
          </w:p>
        </w:tc>
        <w:tc>
          <w:tcPr>
            <w:tcW w:w="480" w:type="dxa"/>
            <w:vAlign w:val="bottom"/>
            <w:shd w:val="clear" w:color="auto" w:fill="EE2E24"/>
          </w:tcPr>
          <w:p>
            <w:pPr>
              <w:spacing w:after="0"/>
              <w:rPr>
                <w:sz w:val="11"/>
                <w:szCs w:val="11"/>
                <w:color w:val="auto"/>
              </w:rPr>
            </w:pPr>
          </w:p>
        </w:tc>
        <w:tc>
          <w:tcPr>
            <w:tcW w:w="980" w:type="dxa"/>
            <w:vAlign w:val="bottom"/>
            <w:shd w:val="clear" w:color="auto" w:fill="EE2E24"/>
          </w:tcPr>
          <w:p>
            <w:pPr>
              <w:spacing w:after="0"/>
              <w:rPr>
                <w:sz w:val="11"/>
                <w:szCs w:val="11"/>
                <w:color w:val="auto"/>
              </w:rPr>
            </w:pPr>
          </w:p>
        </w:tc>
        <w:tc>
          <w:tcPr>
            <w:tcW w:w="620" w:type="dxa"/>
            <w:vAlign w:val="bottom"/>
            <w:shd w:val="clear" w:color="auto" w:fill="EE2E24"/>
          </w:tcPr>
          <w:p>
            <w:pPr>
              <w:spacing w:after="0"/>
              <w:rPr>
                <w:sz w:val="11"/>
                <w:szCs w:val="11"/>
                <w:color w:val="auto"/>
              </w:rPr>
            </w:pPr>
          </w:p>
        </w:tc>
        <w:tc>
          <w:tcPr>
            <w:tcW w:w="1220" w:type="dxa"/>
            <w:vAlign w:val="bottom"/>
            <w:shd w:val="clear" w:color="auto" w:fill="EE2E24"/>
          </w:tcPr>
          <w:p>
            <w:pPr>
              <w:spacing w:after="0"/>
              <w:rPr>
                <w:sz w:val="11"/>
                <w:szCs w:val="11"/>
                <w:color w:val="auto"/>
              </w:rPr>
            </w:pPr>
          </w:p>
        </w:tc>
        <w:tc>
          <w:tcPr>
            <w:tcW w:w="380" w:type="dxa"/>
            <w:vAlign w:val="bottom"/>
            <w:shd w:val="clear" w:color="auto" w:fill="EE2E24"/>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ECAC6"/>
          </w:tcPr>
          <w:p>
            <w:pPr>
              <w:spacing w:after="0"/>
              <w:rPr>
                <w:sz w:val="11"/>
                <w:szCs w:val="11"/>
                <w:color w:val="auto"/>
              </w:rPr>
            </w:pPr>
          </w:p>
        </w:tc>
        <w:tc>
          <w:tcPr>
            <w:tcW w:w="120" w:type="dxa"/>
            <w:vAlign w:val="bottom"/>
            <w:shd w:val="clear" w:color="auto" w:fill="CECAC6"/>
          </w:tcPr>
          <w:p>
            <w:pPr>
              <w:spacing w:after="0"/>
              <w:rPr>
                <w:sz w:val="11"/>
                <w:szCs w:val="11"/>
                <w:color w:val="auto"/>
              </w:rPr>
            </w:pPr>
          </w:p>
        </w:tc>
        <w:tc>
          <w:tcPr>
            <w:tcW w:w="200" w:type="dxa"/>
            <w:vAlign w:val="bottom"/>
            <w:shd w:val="clear" w:color="auto" w:fill="CECAC6"/>
          </w:tcPr>
          <w:p>
            <w:pPr>
              <w:spacing w:after="0"/>
              <w:rPr>
                <w:sz w:val="11"/>
                <w:szCs w:val="11"/>
                <w:color w:val="auto"/>
              </w:rPr>
            </w:pPr>
          </w:p>
        </w:tc>
        <w:tc>
          <w:tcPr>
            <w:tcW w:w="340" w:type="dxa"/>
            <w:vAlign w:val="bottom"/>
            <w:shd w:val="clear" w:color="auto" w:fill="CECAC6"/>
          </w:tcPr>
          <w:p>
            <w:pPr>
              <w:spacing w:after="0"/>
              <w:rPr>
                <w:sz w:val="11"/>
                <w:szCs w:val="11"/>
                <w:color w:val="auto"/>
              </w:rPr>
            </w:pPr>
          </w:p>
        </w:tc>
        <w:tc>
          <w:tcPr>
            <w:tcW w:w="180" w:type="dxa"/>
            <w:vAlign w:val="bottom"/>
            <w:shd w:val="clear" w:color="auto" w:fill="CECAC6"/>
          </w:tcPr>
          <w:p>
            <w:pPr>
              <w:spacing w:after="0"/>
              <w:rPr>
                <w:sz w:val="11"/>
                <w:szCs w:val="11"/>
                <w:color w:val="auto"/>
              </w:rPr>
            </w:pPr>
          </w:p>
        </w:tc>
        <w:tc>
          <w:tcPr>
            <w:tcW w:w="940" w:type="dxa"/>
            <w:vAlign w:val="bottom"/>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80" w:type="dxa"/>
            <w:vAlign w:val="bottom"/>
            <w:shd w:val="clear" w:color="auto" w:fill="CECAC6"/>
          </w:tcPr>
          <w:p>
            <w:pPr>
              <w:spacing w:after="0"/>
              <w:rPr>
                <w:sz w:val="11"/>
                <w:szCs w:val="11"/>
                <w:color w:val="auto"/>
              </w:rPr>
            </w:pPr>
          </w:p>
        </w:tc>
        <w:tc>
          <w:tcPr>
            <w:tcW w:w="1640" w:type="dxa"/>
            <w:vAlign w:val="bottom"/>
            <w:tcBorders>
              <w:right w:val="single" w:sz="8" w:color="CECAC6"/>
            </w:tcBorders>
            <w:gridSpan w:val="2"/>
            <w:shd w:val="clear" w:color="auto" w:fill="CECAC6"/>
          </w:tcPr>
          <w:p>
            <w:pPr>
              <w:ind w:left="360"/>
              <w:spacing w:after="0" w:line="128" w:lineRule="exact"/>
              <w:rPr>
                <w:sz w:val="20"/>
                <w:szCs w:val="20"/>
                <w:color w:val="auto"/>
              </w:rPr>
            </w:pPr>
            <w:r>
              <w:rPr>
                <w:rFonts w:ascii="Arial" w:cs="Arial" w:eastAsia="Arial" w:hAnsi="Arial"/>
                <w:sz w:val="12"/>
                <w:szCs w:val="12"/>
                <w:color w:val="auto"/>
              </w:rPr>
              <w:t>number of ships</w:t>
            </w:r>
          </w:p>
        </w:tc>
        <w:tc>
          <w:tcPr>
            <w:tcW w:w="480" w:type="dxa"/>
            <w:vAlign w:val="bottom"/>
            <w:shd w:val="clear" w:color="auto" w:fill="CECAC6"/>
          </w:tcPr>
          <w:p>
            <w:pPr>
              <w:spacing w:after="0"/>
              <w:rPr>
                <w:sz w:val="11"/>
                <w:szCs w:val="11"/>
                <w:color w:val="auto"/>
              </w:rPr>
            </w:pPr>
          </w:p>
        </w:tc>
        <w:tc>
          <w:tcPr>
            <w:tcW w:w="98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c>
          <w:tcPr>
            <w:tcW w:w="1600" w:type="dxa"/>
            <w:vAlign w:val="bottom"/>
            <w:gridSpan w:val="2"/>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million deadweight tonnes</w:t>
            </w:r>
          </w:p>
        </w:tc>
        <w:tc>
          <w:tcPr>
            <w:tcW w:w="0" w:type="dxa"/>
            <w:vAlign w:val="bottom"/>
          </w:tcPr>
          <w:p>
            <w:pPr>
              <w:spacing w:after="0"/>
              <w:rPr>
                <w:sz w:val="1"/>
                <w:szCs w:val="1"/>
                <w:color w:val="auto"/>
              </w:rPr>
            </w:pPr>
          </w:p>
        </w:tc>
      </w:tr>
      <w:tr>
        <w:trPr>
          <w:trHeight w:val="139"/>
        </w:trPr>
        <w:tc>
          <w:tcPr>
            <w:tcW w:w="2280" w:type="dxa"/>
            <w:vAlign w:val="bottom"/>
            <w:shd w:val="clear" w:color="auto" w:fill="CECAC6"/>
          </w:tcPr>
          <w:p>
            <w:pPr>
              <w:spacing w:after="0"/>
              <w:rPr>
                <w:sz w:val="12"/>
                <w:szCs w:val="12"/>
                <w:color w:val="auto"/>
              </w:rPr>
            </w:pPr>
          </w:p>
        </w:tc>
        <w:tc>
          <w:tcPr>
            <w:tcW w:w="840" w:type="dxa"/>
            <w:vAlign w:val="bottom"/>
            <w:gridSpan w:val="4"/>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94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2006</w:t>
            </w:r>
          </w:p>
        </w:tc>
        <w:tc>
          <w:tcPr>
            <w:tcW w:w="9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2005</w:t>
            </w:r>
          </w:p>
        </w:tc>
        <w:tc>
          <w:tcPr>
            <w:tcW w:w="80" w:type="dxa"/>
            <w:vAlign w:val="bottom"/>
            <w:shd w:val="clear" w:color="auto" w:fill="CECAC6"/>
          </w:tcPr>
          <w:p>
            <w:pPr>
              <w:spacing w:after="0"/>
              <w:rPr>
                <w:sz w:val="12"/>
                <w:szCs w:val="12"/>
                <w:color w:val="auto"/>
              </w:rPr>
            </w:pPr>
          </w:p>
        </w:tc>
        <w:tc>
          <w:tcPr>
            <w:tcW w:w="680" w:type="dxa"/>
            <w:vAlign w:val="bottom"/>
            <w:shd w:val="clear" w:color="auto" w:fill="CECAC6"/>
          </w:tcPr>
          <w:p>
            <w:pPr>
              <w:jc w:val="right"/>
              <w:ind w:right="176"/>
              <w:spacing w:after="0"/>
              <w:rPr>
                <w:sz w:val="20"/>
                <w:szCs w:val="20"/>
                <w:color w:val="auto"/>
              </w:rPr>
            </w:pPr>
            <w:r>
              <w:rPr>
                <w:rFonts w:ascii="Arial" w:cs="Arial" w:eastAsia="Arial" w:hAnsi="Arial"/>
                <w:sz w:val="12"/>
                <w:szCs w:val="12"/>
                <w:color w:val="auto"/>
              </w:rPr>
              <w:t>2004</w:t>
            </w:r>
          </w:p>
        </w:tc>
        <w:tc>
          <w:tcPr>
            <w:tcW w:w="960" w:type="dxa"/>
            <w:vAlign w:val="bottom"/>
            <w:tcBorders>
              <w:right w:val="single" w:sz="8" w:color="CECAC6"/>
            </w:tcBorders>
            <w:shd w:val="clear" w:color="auto" w:fill="CECAC6"/>
          </w:tcPr>
          <w:p>
            <w:pPr>
              <w:jc w:val="right"/>
              <w:ind w:right="338"/>
              <w:spacing w:after="0"/>
              <w:rPr>
                <w:sz w:val="20"/>
                <w:szCs w:val="20"/>
                <w:color w:val="auto"/>
              </w:rPr>
            </w:pPr>
            <w:r>
              <w:rPr>
                <w:rFonts w:ascii="Arial" w:cs="Arial" w:eastAsia="Arial" w:hAnsi="Arial"/>
                <w:sz w:val="12"/>
                <w:szCs w:val="12"/>
                <w:color w:val="auto"/>
              </w:rPr>
              <w:t>2003</w:t>
            </w:r>
          </w:p>
        </w:tc>
        <w:tc>
          <w:tcPr>
            <w:tcW w:w="4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9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2006</w:t>
            </w:r>
          </w:p>
        </w:tc>
        <w:tc>
          <w:tcPr>
            <w:tcW w:w="6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c>
          <w:tcPr>
            <w:tcW w:w="1220" w:type="dxa"/>
            <w:vAlign w:val="bottom"/>
            <w:shd w:val="clear" w:color="auto" w:fill="CECAC6"/>
          </w:tcPr>
          <w:p>
            <w:pPr>
              <w:jc w:val="right"/>
              <w:ind w:right="438"/>
              <w:spacing w:after="0"/>
              <w:rPr>
                <w:sz w:val="20"/>
                <w:szCs w:val="20"/>
                <w:color w:val="auto"/>
              </w:rPr>
            </w:pPr>
            <w:r>
              <w:rPr>
                <w:rFonts w:ascii="Arial" w:cs="Arial" w:eastAsia="Arial" w:hAnsi="Arial"/>
                <w:sz w:val="12"/>
                <w:szCs w:val="12"/>
                <w:color w:val="auto"/>
              </w:rPr>
              <w:t>2004</w:t>
            </w:r>
          </w:p>
        </w:tc>
        <w:tc>
          <w:tcPr>
            <w:tcW w:w="3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2003</w:t>
            </w:r>
          </w:p>
        </w:tc>
        <w:tc>
          <w:tcPr>
            <w:tcW w:w="0" w:type="dxa"/>
            <w:vAlign w:val="bottom"/>
          </w:tcPr>
          <w:p>
            <w:pPr>
              <w:spacing w:after="0"/>
              <w:rPr>
                <w:sz w:val="1"/>
                <w:szCs w:val="1"/>
                <w:color w:val="auto"/>
              </w:rPr>
            </w:pPr>
          </w:p>
        </w:tc>
      </w:tr>
      <w:tr>
        <w:trPr>
          <w:trHeight w:val="127"/>
        </w:trPr>
        <w:tc>
          <w:tcPr>
            <w:tcW w:w="22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Owned/demise-hired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VLCCs (very large crude carriers over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160,000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w w:val="89"/>
              </w:rPr>
              <w:t>–</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w:t>
            </w:r>
          </w:p>
        </w:tc>
        <w:tc>
          <w:tcPr>
            <w:tcW w:w="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2"/>
                <w:szCs w:val="12"/>
                <w:color w:val="auto"/>
              </w:rPr>
              <w:t>5</w:t>
            </w:r>
          </w:p>
        </w:tc>
        <w:tc>
          <w:tcPr>
            <w:tcW w:w="9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7</w:t>
            </w:r>
          </w:p>
        </w:tc>
        <w:tc>
          <w:tcPr>
            <w:tcW w:w="4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w:t>
            </w:r>
          </w:p>
        </w:tc>
        <w:tc>
          <w:tcPr>
            <w:tcW w:w="122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1.5</w:t>
            </w:r>
          </w:p>
        </w:tc>
        <w:tc>
          <w:tcPr>
            <w:tcW w:w="3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Large range (45,000 to 160,000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11</w:t>
            </w:r>
          </w:p>
        </w:tc>
        <w:tc>
          <w:tcPr>
            <w:tcW w:w="9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13</w:t>
            </w:r>
          </w:p>
        </w:tc>
        <w:tc>
          <w:tcPr>
            <w:tcW w:w="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2"/>
                <w:szCs w:val="12"/>
                <w:color w:val="auto"/>
              </w:rPr>
              <w:t>11</w:t>
            </w:r>
          </w:p>
        </w:tc>
        <w:tc>
          <w:tcPr>
            <w:tcW w:w="9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13</w:t>
            </w:r>
          </w:p>
        </w:tc>
        <w:tc>
          <w:tcPr>
            <w:tcW w:w="4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0.7</w:t>
            </w:r>
          </w:p>
        </w:tc>
        <w:tc>
          <w:tcPr>
            <w:tcW w:w="9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0.9</w:t>
            </w:r>
          </w:p>
        </w:tc>
        <w:tc>
          <w:tcPr>
            <w:tcW w:w="6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0.8</w:t>
            </w:r>
          </w:p>
        </w:tc>
        <w:tc>
          <w:tcPr>
            <w:tcW w:w="122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0.7</w:t>
            </w:r>
          </w:p>
        </w:tc>
        <w:tc>
          <w:tcPr>
            <w:tcW w:w="3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0.9</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Medium range (25,000 to 45,000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w:t>
            </w:r>
          </w:p>
        </w:tc>
        <w:tc>
          <w:tcPr>
            <w:tcW w:w="9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w:t>
            </w:r>
          </w:p>
        </w:tc>
        <w:tc>
          <w:tcPr>
            <w:tcW w:w="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2"/>
                <w:szCs w:val="12"/>
                <w:color w:val="auto"/>
              </w:rPr>
              <w:t>5</w:t>
            </w:r>
          </w:p>
        </w:tc>
        <w:tc>
          <w:tcPr>
            <w:tcW w:w="9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5</w:t>
            </w:r>
          </w:p>
        </w:tc>
        <w:tc>
          <w:tcPr>
            <w:tcW w:w="4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0.2</w:t>
            </w:r>
          </w:p>
        </w:tc>
        <w:tc>
          <w:tcPr>
            <w:tcW w:w="9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0.2</w:t>
            </w:r>
          </w:p>
        </w:tc>
        <w:tc>
          <w:tcPr>
            <w:tcW w:w="6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0.2</w:t>
            </w:r>
          </w:p>
        </w:tc>
        <w:tc>
          <w:tcPr>
            <w:tcW w:w="122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0.2</w:t>
            </w:r>
          </w:p>
        </w:tc>
        <w:tc>
          <w:tcPr>
            <w:tcW w:w="3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General purpose (10,000 to 25,000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Specialist</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4</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2</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3</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0.1</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0.1</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0.1</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17</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21</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27</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23</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28</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1.0</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2.5</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34"/>
        </w:trPr>
        <w:tc>
          <w:tcPr>
            <w:tcW w:w="22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Time-chartered[B][C]</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280" w:type="dxa"/>
            <w:vAlign w:val="bottom"/>
          </w:tcPr>
          <w:p>
            <w:pPr>
              <w:ind w:left="20"/>
              <w:spacing w:after="0" w:line="120" w:lineRule="exact"/>
              <w:rPr>
                <w:sz w:val="20"/>
                <w:szCs w:val="20"/>
                <w:color w:val="auto"/>
              </w:rPr>
            </w:pPr>
            <w:r>
              <w:rPr>
                <w:rFonts w:ascii="Arial" w:cs="Arial" w:eastAsia="Arial" w:hAnsi="Arial"/>
                <w:sz w:val="12"/>
                <w:szCs w:val="12"/>
                <w:color w:val="auto"/>
              </w:rPr>
              <w:t>VLCCs (very large crude carriers over</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shd w:val="clear" w:color="auto" w:fill="E4E3E1"/>
          </w:tcPr>
          <w:p>
            <w:pPr>
              <w:spacing w:after="0"/>
              <w:rPr>
                <w:sz w:val="10"/>
                <w:szCs w:val="10"/>
                <w:color w:val="auto"/>
              </w:rPr>
            </w:pPr>
          </w:p>
        </w:tc>
        <w:tc>
          <w:tcPr>
            <w:tcW w:w="180" w:type="dxa"/>
            <w:vAlign w:val="bottom"/>
            <w:shd w:val="clear" w:color="auto" w:fill="E4E3E1"/>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shd w:val="clear" w:color="auto" w:fill="E4E3E1"/>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280" w:type="dxa"/>
            <w:vAlign w:val="bottom"/>
          </w:tcPr>
          <w:p>
            <w:pPr>
              <w:ind w:left="20"/>
              <w:spacing w:after="0"/>
              <w:rPr>
                <w:sz w:val="20"/>
                <w:szCs w:val="20"/>
                <w:color w:val="auto"/>
              </w:rPr>
            </w:pPr>
            <w:r>
              <w:rPr>
                <w:rFonts w:ascii="Arial" w:cs="Arial" w:eastAsia="Arial" w:hAnsi="Arial"/>
                <w:sz w:val="12"/>
                <w:szCs w:val="12"/>
                <w:color w:val="auto"/>
              </w:rPr>
              <w:t>160,000 dwt)</w:t>
            </w:r>
            <w:r>
              <w:rPr>
                <w:rFonts w:ascii="Arial" w:cs="Arial" w:eastAsia="Arial" w:hAnsi="Arial"/>
                <w:sz w:val="12"/>
                <w:szCs w:val="12"/>
                <w:b w:val="1"/>
                <w:bCs w:val="1"/>
                <w:color w:val="auto"/>
              </w:rPr>
              <w:t>[D]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7</w:t>
            </w:r>
          </w:p>
        </w:tc>
        <w:tc>
          <w:tcPr>
            <w:tcW w:w="940" w:type="dxa"/>
            <w:vAlign w:val="bottom"/>
          </w:tcPr>
          <w:p>
            <w:pPr>
              <w:jc w:val="right"/>
              <w:ind w:right="118"/>
              <w:spacing w:after="0"/>
              <w:rPr>
                <w:sz w:val="20"/>
                <w:szCs w:val="20"/>
                <w:color w:val="auto"/>
              </w:rPr>
            </w:pPr>
            <w:r>
              <w:rPr>
                <w:rFonts w:ascii="Arial" w:cs="Arial" w:eastAsia="Arial" w:hAnsi="Arial"/>
                <w:sz w:val="12"/>
                <w:szCs w:val="12"/>
                <w:color w:val="auto"/>
              </w:rPr>
              <w:t>7</w:t>
            </w:r>
          </w:p>
        </w:tc>
        <w:tc>
          <w:tcPr>
            <w:tcW w:w="920" w:type="dxa"/>
            <w:vAlign w:val="bottom"/>
          </w:tcPr>
          <w:p>
            <w:pPr>
              <w:jc w:val="right"/>
              <w:ind w:right="218"/>
              <w:spacing w:after="0"/>
              <w:rPr>
                <w:sz w:val="20"/>
                <w:szCs w:val="20"/>
                <w:color w:val="auto"/>
              </w:rPr>
            </w:pPr>
            <w:r>
              <w:rPr>
                <w:rFonts w:ascii="Arial" w:cs="Arial" w:eastAsia="Arial" w:hAnsi="Arial"/>
                <w:sz w:val="12"/>
                <w:szCs w:val="12"/>
                <w:color w:val="auto"/>
              </w:rPr>
              <w:t>1</w:t>
            </w:r>
          </w:p>
        </w:tc>
        <w:tc>
          <w:tcPr>
            <w:tcW w:w="80" w:type="dxa"/>
            <w:vAlign w:val="bottom"/>
          </w:tcPr>
          <w:p>
            <w:pPr>
              <w:spacing w:after="0"/>
              <w:rPr>
                <w:sz w:val="12"/>
                <w:szCs w:val="12"/>
                <w:color w:val="auto"/>
              </w:rPr>
            </w:pPr>
          </w:p>
        </w:tc>
        <w:tc>
          <w:tcPr>
            <w:tcW w:w="680" w:type="dxa"/>
            <w:vAlign w:val="bottom"/>
          </w:tcPr>
          <w:p>
            <w:pPr>
              <w:jc w:val="right"/>
              <w:ind w:right="176"/>
              <w:spacing w:after="0"/>
              <w:rPr>
                <w:sz w:val="20"/>
                <w:szCs w:val="20"/>
                <w:color w:val="auto"/>
              </w:rPr>
            </w:pPr>
            <w:r>
              <w:rPr>
                <w:rFonts w:ascii="Arial" w:cs="Arial" w:eastAsia="Arial" w:hAnsi="Arial"/>
                <w:sz w:val="12"/>
                <w:szCs w:val="12"/>
                <w:color w:val="auto"/>
              </w:rPr>
              <w:t>1</w:t>
            </w:r>
          </w:p>
        </w:tc>
        <w:tc>
          <w:tcPr>
            <w:tcW w:w="960" w:type="dxa"/>
            <w:vAlign w:val="bottom"/>
          </w:tcPr>
          <w:p>
            <w:pPr>
              <w:jc w:val="right"/>
              <w:ind w:right="338"/>
              <w:spacing w:after="0"/>
              <w:rPr>
                <w:sz w:val="20"/>
                <w:szCs w:val="20"/>
                <w:color w:val="auto"/>
              </w:rPr>
            </w:pPr>
            <w:r>
              <w:rPr>
                <w:rFonts w:ascii="Arial" w:cs="Arial" w:eastAsia="Arial" w:hAnsi="Arial"/>
                <w:sz w:val="12"/>
                <w:szCs w:val="12"/>
                <w:color w:val="auto"/>
              </w:rPr>
              <w:t>1</w:t>
            </w:r>
          </w:p>
        </w:tc>
        <w:tc>
          <w:tcPr>
            <w:tcW w:w="48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2.1</w:t>
            </w:r>
          </w:p>
        </w:tc>
        <w:tc>
          <w:tcPr>
            <w:tcW w:w="980" w:type="dxa"/>
            <w:vAlign w:val="bottom"/>
          </w:tcPr>
          <w:p>
            <w:pPr>
              <w:jc w:val="right"/>
              <w:ind w:right="198"/>
              <w:spacing w:after="0"/>
              <w:rPr>
                <w:sz w:val="20"/>
                <w:szCs w:val="20"/>
                <w:color w:val="auto"/>
              </w:rPr>
            </w:pPr>
            <w:r>
              <w:rPr>
                <w:rFonts w:ascii="Arial" w:cs="Arial" w:eastAsia="Arial" w:hAnsi="Arial"/>
                <w:sz w:val="12"/>
                <w:szCs w:val="12"/>
                <w:color w:val="auto"/>
              </w:rPr>
              <w:t>2.1</w:t>
            </w:r>
          </w:p>
        </w:tc>
        <w:tc>
          <w:tcPr>
            <w:tcW w:w="620" w:type="dxa"/>
            <w:vAlign w:val="bottom"/>
          </w:tcPr>
          <w:p>
            <w:pPr>
              <w:jc w:val="right"/>
              <w:ind w:right="18"/>
              <w:spacing w:after="0"/>
              <w:rPr>
                <w:sz w:val="20"/>
                <w:szCs w:val="20"/>
                <w:color w:val="auto"/>
              </w:rPr>
            </w:pPr>
            <w:r>
              <w:rPr>
                <w:rFonts w:ascii="Arial" w:cs="Arial" w:eastAsia="Arial" w:hAnsi="Arial"/>
                <w:sz w:val="12"/>
                <w:szCs w:val="12"/>
                <w:color w:val="auto"/>
              </w:rPr>
              <w:t>0.3</w:t>
            </w:r>
          </w:p>
        </w:tc>
        <w:tc>
          <w:tcPr>
            <w:tcW w:w="1220" w:type="dxa"/>
            <w:vAlign w:val="bottom"/>
          </w:tcPr>
          <w:p>
            <w:pPr>
              <w:jc w:val="right"/>
              <w:ind w:right="438"/>
              <w:spacing w:after="0"/>
              <w:rPr>
                <w:sz w:val="20"/>
                <w:szCs w:val="20"/>
                <w:color w:val="auto"/>
              </w:rPr>
            </w:pPr>
            <w:r>
              <w:rPr>
                <w:rFonts w:ascii="Arial" w:cs="Arial" w:eastAsia="Arial" w:hAnsi="Arial"/>
                <w:sz w:val="12"/>
                <w:szCs w:val="12"/>
                <w:color w:val="auto"/>
              </w:rPr>
              <w:t>0.3</w:t>
            </w:r>
          </w:p>
        </w:tc>
        <w:tc>
          <w:tcPr>
            <w:tcW w:w="380" w:type="dxa"/>
            <w:vAlign w:val="bottom"/>
          </w:tcPr>
          <w:p>
            <w:pPr>
              <w:jc w:val="right"/>
              <w:ind w:right="18"/>
              <w:spacing w:after="0"/>
              <w:rPr>
                <w:sz w:val="20"/>
                <w:szCs w:val="20"/>
                <w:color w:val="auto"/>
              </w:rPr>
            </w:pPr>
            <w:r>
              <w:rPr>
                <w:rFonts w:ascii="Arial" w:cs="Arial" w:eastAsia="Arial" w:hAnsi="Arial"/>
                <w:sz w:val="12"/>
                <w:szCs w:val="12"/>
                <w:color w:val="auto"/>
              </w:rPr>
              <w:t>0.3</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Large range (45,000 to 160,000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31</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22</w:t>
            </w:r>
          </w:p>
        </w:tc>
        <w:tc>
          <w:tcPr>
            <w:tcW w:w="9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18</w:t>
            </w:r>
          </w:p>
        </w:tc>
        <w:tc>
          <w:tcPr>
            <w:tcW w:w="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2"/>
                <w:szCs w:val="12"/>
                <w:color w:val="auto"/>
              </w:rPr>
              <w:t>19</w:t>
            </w:r>
          </w:p>
        </w:tc>
        <w:tc>
          <w:tcPr>
            <w:tcW w:w="9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15</w:t>
            </w:r>
          </w:p>
        </w:tc>
        <w:tc>
          <w:tcPr>
            <w:tcW w:w="4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2.6</w:t>
            </w:r>
          </w:p>
        </w:tc>
        <w:tc>
          <w:tcPr>
            <w:tcW w:w="9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1.9</w:t>
            </w:r>
          </w:p>
        </w:tc>
        <w:tc>
          <w:tcPr>
            <w:tcW w:w="6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w:t>
            </w:r>
          </w:p>
        </w:tc>
        <w:tc>
          <w:tcPr>
            <w:tcW w:w="122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1.7</w:t>
            </w:r>
          </w:p>
        </w:tc>
        <w:tc>
          <w:tcPr>
            <w:tcW w:w="3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Medium range (25,000 to 45,000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gridSpan w:val="2"/>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14</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14</w:t>
            </w:r>
          </w:p>
        </w:tc>
        <w:tc>
          <w:tcPr>
            <w:tcW w:w="9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14</w:t>
            </w:r>
          </w:p>
        </w:tc>
        <w:tc>
          <w:tcPr>
            <w:tcW w:w="80" w:type="dxa"/>
            <w:vAlign w:val="bottom"/>
          </w:tcPr>
          <w:p>
            <w:pPr>
              <w:spacing w:after="0"/>
              <w:rPr>
                <w:sz w:val="11"/>
                <w:szCs w:val="11"/>
                <w:color w:val="auto"/>
              </w:rPr>
            </w:pPr>
          </w:p>
        </w:tc>
        <w:tc>
          <w:tcPr>
            <w:tcW w:w="680" w:type="dxa"/>
            <w:vAlign w:val="bottom"/>
          </w:tcPr>
          <w:p>
            <w:pPr>
              <w:jc w:val="right"/>
              <w:ind w:right="176"/>
              <w:spacing w:after="0" w:line="133" w:lineRule="exact"/>
              <w:rPr>
                <w:sz w:val="20"/>
                <w:szCs w:val="20"/>
                <w:color w:val="auto"/>
              </w:rPr>
            </w:pPr>
            <w:r>
              <w:rPr>
                <w:rFonts w:ascii="Arial" w:cs="Arial" w:eastAsia="Arial" w:hAnsi="Arial"/>
                <w:sz w:val="12"/>
                <w:szCs w:val="12"/>
                <w:color w:val="auto"/>
              </w:rPr>
              <w:t>8</w:t>
            </w:r>
          </w:p>
        </w:tc>
        <w:tc>
          <w:tcPr>
            <w:tcW w:w="9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13</w:t>
            </w:r>
          </w:p>
        </w:tc>
        <w:tc>
          <w:tcPr>
            <w:tcW w:w="4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0.5</w:t>
            </w:r>
          </w:p>
        </w:tc>
        <w:tc>
          <w:tcPr>
            <w:tcW w:w="9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0.5</w:t>
            </w:r>
          </w:p>
        </w:tc>
        <w:tc>
          <w:tcPr>
            <w:tcW w:w="6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0.5</w:t>
            </w:r>
          </w:p>
        </w:tc>
        <w:tc>
          <w:tcPr>
            <w:tcW w:w="122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0.3</w:t>
            </w:r>
          </w:p>
        </w:tc>
        <w:tc>
          <w:tcPr>
            <w:tcW w:w="3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33"/>
        </w:trPr>
        <w:tc>
          <w:tcPr>
            <w:tcW w:w="2280" w:type="dxa"/>
            <w:vAlign w:val="bottom"/>
          </w:tcPr>
          <w:p>
            <w:pPr>
              <w:ind w:left="20"/>
              <w:spacing w:after="0" w:line="133" w:lineRule="exact"/>
              <w:rPr>
                <w:sz w:val="20"/>
                <w:szCs w:val="20"/>
                <w:color w:val="auto"/>
              </w:rPr>
            </w:pPr>
            <w:r>
              <w:rPr>
                <w:rFonts w:ascii="Arial" w:cs="Arial" w:eastAsia="Arial" w:hAnsi="Arial"/>
                <w:sz w:val="12"/>
                <w:szCs w:val="12"/>
                <w:color w:val="auto"/>
              </w:rPr>
              <w:t>General purpose (10,000 to 25,000 dwt)/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Specialist</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25</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24</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13</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12</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10</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0.4</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0.4</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0.3</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0.2</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0.2</w:t>
            </w:r>
          </w:p>
        </w:tc>
        <w:tc>
          <w:tcPr>
            <w:tcW w:w="0" w:type="dxa"/>
            <w:vAlign w:val="bottom"/>
          </w:tcPr>
          <w:p>
            <w:pPr>
              <w:spacing w:after="0"/>
              <w:rPr>
                <w:sz w:val="1"/>
                <w:szCs w:val="1"/>
                <w:color w:val="auto"/>
              </w:rPr>
            </w:pPr>
          </w:p>
        </w:tc>
      </w:tr>
      <w:tr>
        <w:trPr>
          <w:trHeight w:val="14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77</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67</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46</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40</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39</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5.6</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4.9</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2.5</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4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oil tankers</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94</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88</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73</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63</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67</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6.6</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6.1</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5.0</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5.0</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20"/>
        </w:trPr>
        <w:tc>
          <w:tcPr>
            <w:tcW w:w="2280" w:type="dxa"/>
            <w:vAlign w:val="bottom"/>
          </w:tcPr>
          <w:p>
            <w:pPr>
              <w:ind w:left="20"/>
              <w:spacing w:after="0" w:line="120" w:lineRule="exact"/>
              <w:rPr>
                <w:sz w:val="20"/>
                <w:szCs w:val="20"/>
                <w:color w:val="auto"/>
              </w:rPr>
            </w:pPr>
            <w:r>
              <w:rPr>
                <w:rFonts w:ascii="Arial" w:cs="Arial" w:eastAsia="Arial" w:hAnsi="Arial"/>
                <w:sz w:val="12"/>
                <w:szCs w:val="12"/>
                <w:color w:val="auto"/>
              </w:rPr>
              <w:t>Owned/demise-hired under construction</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shd w:val="clear" w:color="auto" w:fill="E4E3E1"/>
          </w:tcPr>
          <w:p>
            <w:pPr>
              <w:spacing w:after="0"/>
              <w:rPr>
                <w:sz w:val="10"/>
                <w:szCs w:val="10"/>
                <w:color w:val="auto"/>
              </w:rPr>
            </w:pPr>
          </w:p>
        </w:tc>
        <w:tc>
          <w:tcPr>
            <w:tcW w:w="180" w:type="dxa"/>
            <w:vAlign w:val="bottom"/>
            <w:shd w:val="clear" w:color="auto" w:fill="E4E3E1"/>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shd w:val="clear" w:color="auto" w:fill="E4E3E1"/>
          </w:tcPr>
          <w:p>
            <w:pPr>
              <w:spacing w:after="0"/>
              <w:rPr>
                <w:sz w:val="10"/>
                <w:szCs w:val="10"/>
                <w:color w:val="auto"/>
              </w:rPr>
            </w:pPr>
          </w:p>
        </w:tc>
        <w:tc>
          <w:tcPr>
            <w:tcW w:w="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or on order</w:t>
            </w:r>
            <w:r>
              <w:rPr>
                <w:rFonts w:ascii="Arial" w:cs="Arial" w:eastAsia="Arial" w:hAnsi="Arial"/>
                <w:sz w:val="12"/>
                <w:szCs w:val="12"/>
                <w:b w:val="1"/>
                <w:bCs w:val="1"/>
                <w:color w:val="auto"/>
              </w:rPr>
              <w:t>[E]</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1</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w:t>
            </w:r>
          </w:p>
        </w:tc>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2"/>
                <w:szCs w:val="12"/>
                <w:color w:val="auto"/>
              </w:rPr>
              <w:t>3</w:t>
            </w: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0.1</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0.3</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0"/>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120" w:type="dxa"/>
            <w:vAlign w:val="bottom"/>
            <w:gridSpan w:val="5"/>
            <w:shd w:val="clear" w:color="auto" w:fill="EE2E24"/>
          </w:tcPr>
          <w:p>
            <w:pPr>
              <w:ind w:left="80"/>
              <w:spacing w:after="0" w:line="133" w:lineRule="exact"/>
              <w:rPr>
                <w:sz w:val="20"/>
                <w:szCs w:val="20"/>
                <w:color w:val="auto"/>
              </w:rPr>
            </w:pPr>
            <w:r>
              <w:rPr>
                <w:rFonts w:ascii="Arial" w:cs="Arial" w:eastAsia="Arial" w:hAnsi="Arial"/>
                <w:sz w:val="12"/>
                <w:szCs w:val="12"/>
                <w:b w:val="1"/>
                <w:bCs w:val="1"/>
                <w:color w:val="FFFFFF"/>
              </w:rPr>
              <w:t>LPG GAS CARRIERS[A][F] (At December 31)</w:t>
            </w:r>
          </w:p>
        </w:tc>
        <w:tc>
          <w:tcPr>
            <w:tcW w:w="940" w:type="dxa"/>
            <w:vAlign w:val="bottom"/>
            <w:shd w:val="clear" w:color="auto" w:fill="EE2E24"/>
          </w:tcPr>
          <w:p>
            <w:pPr>
              <w:spacing w:after="0"/>
              <w:rPr>
                <w:sz w:val="11"/>
                <w:szCs w:val="11"/>
                <w:color w:val="auto"/>
              </w:rPr>
            </w:pPr>
          </w:p>
        </w:tc>
        <w:tc>
          <w:tcPr>
            <w:tcW w:w="920" w:type="dxa"/>
            <w:vAlign w:val="bottom"/>
            <w:shd w:val="clear" w:color="auto" w:fill="EE2E24"/>
          </w:tcPr>
          <w:p>
            <w:pPr>
              <w:spacing w:after="0"/>
              <w:rPr>
                <w:sz w:val="11"/>
                <w:szCs w:val="11"/>
                <w:color w:val="auto"/>
              </w:rPr>
            </w:pPr>
          </w:p>
        </w:tc>
        <w:tc>
          <w:tcPr>
            <w:tcW w:w="80" w:type="dxa"/>
            <w:vAlign w:val="bottom"/>
            <w:shd w:val="clear" w:color="auto" w:fill="EE2E24"/>
          </w:tcPr>
          <w:p>
            <w:pPr>
              <w:spacing w:after="0"/>
              <w:rPr>
                <w:sz w:val="11"/>
                <w:szCs w:val="11"/>
                <w:color w:val="auto"/>
              </w:rPr>
            </w:pPr>
          </w:p>
        </w:tc>
        <w:tc>
          <w:tcPr>
            <w:tcW w:w="680" w:type="dxa"/>
            <w:vAlign w:val="bottom"/>
            <w:shd w:val="clear" w:color="auto" w:fill="EE2E24"/>
          </w:tcPr>
          <w:p>
            <w:pPr>
              <w:spacing w:after="0"/>
              <w:rPr>
                <w:sz w:val="11"/>
                <w:szCs w:val="11"/>
                <w:color w:val="auto"/>
              </w:rPr>
            </w:pPr>
          </w:p>
        </w:tc>
        <w:tc>
          <w:tcPr>
            <w:tcW w:w="960" w:type="dxa"/>
            <w:vAlign w:val="bottom"/>
            <w:tcBorders>
              <w:right w:val="single" w:sz="8" w:color="EE2E24"/>
            </w:tcBorders>
            <w:shd w:val="clear" w:color="auto" w:fill="EE2E24"/>
          </w:tcPr>
          <w:p>
            <w:pPr>
              <w:spacing w:after="0"/>
              <w:rPr>
                <w:sz w:val="11"/>
                <w:szCs w:val="11"/>
                <w:color w:val="auto"/>
              </w:rPr>
            </w:pPr>
          </w:p>
        </w:tc>
        <w:tc>
          <w:tcPr>
            <w:tcW w:w="480" w:type="dxa"/>
            <w:vAlign w:val="bottom"/>
            <w:shd w:val="clear" w:color="auto" w:fill="EE2E24"/>
          </w:tcPr>
          <w:p>
            <w:pPr>
              <w:spacing w:after="0"/>
              <w:rPr>
                <w:sz w:val="11"/>
                <w:szCs w:val="11"/>
                <w:color w:val="auto"/>
              </w:rPr>
            </w:pPr>
          </w:p>
        </w:tc>
        <w:tc>
          <w:tcPr>
            <w:tcW w:w="980" w:type="dxa"/>
            <w:vAlign w:val="bottom"/>
            <w:shd w:val="clear" w:color="auto" w:fill="EE2E24"/>
          </w:tcPr>
          <w:p>
            <w:pPr>
              <w:spacing w:after="0"/>
              <w:rPr>
                <w:sz w:val="11"/>
                <w:szCs w:val="11"/>
                <w:color w:val="auto"/>
              </w:rPr>
            </w:pPr>
          </w:p>
        </w:tc>
        <w:tc>
          <w:tcPr>
            <w:tcW w:w="620" w:type="dxa"/>
            <w:vAlign w:val="bottom"/>
            <w:shd w:val="clear" w:color="auto" w:fill="EE2E24"/>
          </w:tcPr>
          <w:p>
            <w:pPr>
              <w:spacing w:after="0"/>
              <w:rPr>
                <w:sz w:val="11"/>
                <w:szCs w:val="11"/>
                <w:color w:val="auto"/>
              </w:rPr>
            </w:pPr>
          </w:p>
        </w:tc>
        <w:tc>
          <w:tcPr>
            <w:tcW w:w="1220" w:type="dxa"/>
            <w:vAlign w:val="bottom"/>
            <w:shd w:val="clear" w:color="auto" w:fill="EE2E24"/>
          </w:tcPr>
          <w:p>
            <w:pPr>
              <w:spacing w:after="0"/>
              <w:rPr>
                <w:sz w:val="11"/>
                <w:szCs w:val="11"/>
                <w:color w:val="auto"/>
              </w:rPr>
            </w:pPr>
          </w:p>
        </w:tc>
        <w:tc>
          <w:tcPr>
            <w:tcW w:w="380" w:type="dxa"/>
            <w:vAlign w:val="bottom"/>
            <w:shd w:val="clear" w:color="auto" w:fill="EE2E24"/>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80" w:type="dxa"/>
            <w:vAlign w:val="bottom"/>
            <w:shd w:val="clear" w:color="auto" w:fill="CECAC6"/>
          </w:tcPr>
          <w:p>
            <w:pPr>
              <w:spacing w:after="0"/>
              <w:rPr>
                <w:sz w:val="11"/>
                <w:szCs w:val="11"/>
                <w:color w:val="auto"/>
              </w:rPr>
            </w:pPr>
          </w:p>
        </w:tc>
        <w:tc>
          <w:tcPr>
            <w:tcW w:w="120" w:type="dxa"/>
            <w:vAlign w:val="bottom"/>
            <w:shd w:val="clear" w:color="auto" w:fill="CECAC6"/>
          </w:tcPr>
          <w:p>
            <w:pPr>
              <w:spacing w:after="0"/>
              <w:rPr>
                <w:sz w:val="11"/>
                <w:szCs w:val="11"/>
                <w:color w:val="auto"/>
              </w:rPr>
            </w:pPr>
          </w:p>
        </w:tc>
        <w:tc>
          <w:tcPr>
            <w:tcW w:w="200" w:type="dxa"/>
            <w:vAlign w:val="bottom"/>
            <w:shd w:val="clear" w:color="auto" w:fill="CECAC6"/>
          </w:tcPr>
          <w:p>
            <w:pPr>
              <w:spacing w:after="0"/>
              <w:rPr>
                <w:sz w:val="11"/>
                <w:szCs w:val="11"/>
                <w:color w:val="auto"/>
              </w:rPr>
            </w:pPr>
          </w:p>
        </w:tc>
        <w:tc>
          <w:tcPr>
            <w:tcW w:w="340" w:type="dxa"/>
            <w:vAlign w:val="bottom"/>
            <w:shd w:val="clear" w:color="auto" w:fill="CECAC6"/>
          </w:tcPr>
          <w:p>
            <w:pPr>
              <w:spacing w:after="0"/>
              <w:rPr>
                <w:sz w:val="11"/>
                <w:szCs w:val="11"/>
                <w:color w:val="auto"/>
              </w:rPr>
            </w:pPr>
          </w:p>
        </w:tc>
        <w:tc>
          <w:tcPr>
            <w:tcW w:w="180" w:type="dxa"/>
            <w:vAlign w:val="bottom"/>
            <w:shd w:val="clear" w:color="auto" w:fill="CECAC6"/>
          </w:tcPr>
          <w:p>
            <w:pPr>
              <w:spacing w:after="0"/>
              <w:rPr>
                <w:sz w:val="11"/>
                <w:szCs w:val="11"/>
                <w:color w:val="auto"/>
              </w:rPr>
            </w:pPr>
          </w:p>
        </w:tc>
        <w:tc>
          <w:tcPr>
            <w:tcW w:w="940" w:type="dxa"/>
            <w:vAlign w:val="bottom"/>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80" w:type="dxa"/>
            <w:vAlign w:val="bottom"/>
            <w:shd w:val="clear" w:color="auto" w:fill="CECAC6"/>
          </w:tcPr>
          <w:p>
            <w:pPr>
              <w:spacing w:after="0"/>
              <w:rPr>
                <w:sz w:val="11"/>
                <w:szCs w:val="11"/>
                <w:color w:val="auto"/>
              </w:rPr>
            </w:pPr>
          </w:p>
        </w:tc>
        <w:tc>
          <w:tcPr>
            <w:tcW w:w="1640" w:type="dxa"/>
            <w:vAlign w:val="bottom"/>
            <w:tcBorders>
              <w:right w:val="single" w:sz="8" w:color="CECAC6"/>
            </w:tcBorders>
            <w:gridSpan w:val="2"/>
            <w:shd w:val="clear" w:color="auto" w:fill="CECAC6"/>
          </w:tcPr>
          <w:p>
            <w:pPr>
              <w:jc w:val="right"/>
              <w:ind w:right="398"/>
              <w:spacing w:after="0" w:line="128" w:lineRule="exact"/>
              <w:rPr>
                <w:sz w:val="20"/>
                <w:szCs w:val="20"/>
                <w:color w:val="auto"/>
              </w:rPr>
            </w:pPr>
            <w:r>
              <w:rPr>
                <w:rFonts w:ascii="Arial" w:cs="Arial" w:eastAsia="Arial" w:hAnsi="Arial"/>
                <w:sz w:val="12"/>
                <w:szCs w:val="12"/>
                <w:color w:val="auto"/>
              </w:rPr>
              <w:t>number of ships</w:t>
            </w:r>
          </w:p>
        </w:tc>
        <w:tc>
          <w:tcPr>
            <w:tcW w:w="480" w:type="dxa"/>
            <w:vAlign w:val="bottom"/>
            <w:shd w:val="clear" w:color="auto" w:fill="CECAC6"/>
          </w:tcPr>
          <w:p>
            <w:pPr>
              <w:spacing w:after="0"/>
              <w:rPr>
                <w:sz w:val="11"/>
                <w:szCs w:val="11"/>
                <w:color w:val="auto"/>
              </w:rPr>
            </w:pPr>
          </w:p>
        </w:tc>
        <w:tc>
          <w:tcPr>
            <w:tcW w:w="98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c>
          <w:tcPr>
            <w:tcW w:w="1600" w:type="dxa"/>
            <w:vAlign w:val="bottom"/>
            <w:gridSpan w:val="2"/>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thousand cubic metres</w:t>
            </w:r>
          </w:p>
        </w:tc>
        <w:tc>
          <w:tcPr>
            <w:tcW w:w="0" w:type="dxa"/>
            <w:vAlign w:val="bottom"/>
          </w:tcPr>
          <w:p>
            <w:pPr>
              <w:spacing w:after="0"/>
              <w:rPr>
                <w:sz w:val="1"/>
                <w:szCs w:val="1"/>
                <w:color w:val="auto"/>
              </w:rPr>
            </w:pPr>
          </w:p>
        </w:tc>
      </w:tr>
      <w:tr>
        <w:trPr>
          <w:trHeight w:val="139"/>
        </w:trPr>
        <w:tc>
          <w:tcPr>
            <w:tcW w:w="2280" w:type="dxa"/>
            <w:vAlign w:val="bottom"/>
            <w:shd w:val="clear" w:color="auto" w:fill="CECAC6"/>
          </w:tcPr>
          <w:p>
            <w:pPr>
              <w:spacing w:after="0"/>
              <w:rPr>
                <w:sz w:val="12"/>
                <w:szCs w:val="12"/>
                <w:color w:val="auto"/>
              </w:rPr>
            </w:pPr>
          </w:p>
        </w:tc>
        <w:tc>
          <w:tcPr>
            <w:tcW w:w="660" w:type="dxa"/>
            <w:vAlign w:val="bottom"/>
            <w:gridSpan w:val="3"/>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80" w:type="dxa"/>
            <w:vAlign w:val="bottom"/>
            <w:shd w:val="clear" w:color="auto" w:fill="CECAC6"/>
          </w:tcPr>
          <w:p>
            <w:pPr>
              <w:spacing w:after="0"/>
              <w:rPr>
                <w:sz w:val="12"/>
                <w:szCs w:val="12"/>
                <w:color w:val="auto"/>
              </w:rPr>
            </w:pPr>
          </w:p>
        </w:tc>
        <w:tc>
          <w:tcPr>
            <w:tcW w:w="94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2006</w:t>
            </w:r>
          </w:p>
        </w:tc>
        <w:tc>
          <w:tcPr>
            <w:tcW w:w="92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2005</w:t>
            </w:r>
          </w:p>
        </w:tc>
        <w:tc>
          <w:tcPr>
            <w:tcW w:w="80" w:type="dxa"/>
            <w:vAlign w:val="bottom"/>
            <w:shd w:val="clear" w:color="auto" w:fill="CECAC6"/>
          </w:tcPr>
          <w:p>
            <w:pPr>
              <w:spacing w:after="0"/>
              <w:rPr>
                <w:sz w:val="12"/>
                <w:szCs w:val="12"/>
                <w:color w:val="auto"/>
              </w:rPr>
            </w:pPr>
          </w:p>
        </w:tc>
        <w:tc>
          <w:tcPr>
            <w:tcW w:w="680" w:type="dxa"/>
            <w:vAlign w:val="bottom"/>
            <w:shd w:val="clear" w:color="auto" w:fill="CECAC6"/>
          </w:tcPr>
          <w:p>
            <w:pPr>
              <w:jc w:val="right"/>
              <w:ind w:right="276"/>
              <w:spacing w:after="0"/>
              <w:rPr>
                <w:sz w:val="20"/>
                <w:szCs w:val="20"/>
                <w:color w:val="auto"/>
              </w:rPr>
            </w:pPr>
            <w:r>
              <w:rPr>
                <w:rFonts w:ascii="Arial" w:cs="Arial" w:eastAsia="Arial" w:hAnsi="Arial"/>
                <w:sz w:val="12"/>
                <w:szCs w:val="12"/>
                <w:color w:val="auto"/>
              </w:rPr>
              <w:t>2004</w:t>
            </w:r>
          </w:p>
        </w:tc>
        <w:tc>
          <w:tcPr>
            <w:tcW w:w="960" w:type="dxa"/>
            <w:vAlign w:val="bottom"/>
            <w:tcBorders>
              <w:right w:val="single" w:sz="8" w:color="CECAC6"/>
            </w:tcBorders>
            <w:shd w:val="clear" w:color="auto" w:fill="CECAC6"/>
          </w:tcPr>
          <w:p>
            <w:pPr>
              <w:jc w:val="right"/>
              <w:ind w:right="398"/>
              <w:spacing w:after="0"/>
              <w:rPr>
                <w:sz w:val="20"/>
                <w:szCs w:val="20"/>
                <w:color w:val="auto"/>
              </w:rPr>
            </w:pPr>
            <w:r>
              <w:rPr>
                <w:rFonts w:ascii="Arial" w:cs="Arial" w:eastAsia="Arial" w:hAnsi="Arial"/>
                <w:sz w:val="12"/>
                <w:szCs w:val="12"/>
                <w:color w:val="auto"/>
              </w:rPr>
              <w:t>2003</w:t>
            </w:r>
          </w:p>
        </w:tc>
        <w:tc>
          <w:tcPr>
            <w:tcW w:w="4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9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2006</w:t>
            </w:r>
          </w:p>
        </w:tc>
        <w:tc>
          <w:tcPr>
            <w:tcW w:w="6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c>
          <w:tcPr>
            <w:tcW w:w="1220" w:type="dxa"/>
            <w:vAlign w:val="bottom"/>
            <w:shd w:val="clear" w:color="auto" w:fill="CECAC6"/>
          </w:tcPr>
          <w:p>
            <w:pPr>
              <w:jc w:val="right"/>
              <w:ind w:right="438"/>
              <w:spacing w:after="0"/>
              <w:rPr>
                <w:sz w:val="20"/>
                <w:szCs w:val="20"/>
                <w:color w:val="auto"/>
              </w:rPr>
            </w:pPr>
            <w:r>
              <w:rPr>
                <w:rFonts w:ascii="Arial" w:cs="Arial" w:eastAsia="Arial" w:hAnsi="Arial"/>
                <w:sz w:val="12"/>
                <w:szCs w:val="12"/>
                <w:color w:val="auto"/>
              </w:rPr>
              <w:t>2004</w:t>
            </w:r>
          </w:p>
        </w:tc>
        <w:tc>
          <w:tcPr>
            <w:tcW w:w="3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2003</w:t>
            </w:r>
          </w:p>
        </w:tc>
        <w:tc>
          <w:tcPr>
            <w:tcW w:w="0" w:type="dxa"/>
            <w:vAlign w:val="bottom"/>
          </w:tcPr>
          <w:p>
            <w:pPr>
              <w:spacing w:after="0"/>
              <w:rPr>
                <w:sz w:val="1"/>
                <w:szCs w:val="1"/>
                <w:color w:val="auto"/>
              </w:rPr>
            </w:pPr>
          </w:p>
        </w:tc>
      </w:tr>
      <w:tr>
        <w:trPr>
          <w:trHeight w:val="127"/>
        </w:trPr>
        <w:tc>
          <w:tcPr>
            <w:tcW w:w="2280" w:type="dxa"/>
            <w:vAlign w:val="bottom"/>
          </w:tcPr>
          <w:p>
            <w:pPr>
              <w:ind w:left="20"/>
              <w:spacing w:after="0" w:line="128" w:lineRule="exact"/>
              <w:rPr>
                <w:sz w:val="20"/>
                <w:szCs w:val="20"/>
                <w:color w:val="auto"/>
              </w:rPr>
            </w:pPr>
            <w:r>
              <w:rPr>
                <w:rFonts w:ascii="Arial" w:cs="Arial" w:eastAsia="Arial" w:hAnsi="Arial"/>
                <w:sz w:val="12"/>
                <w:szCs w:val="12"/>
                <w:color w:val="auto"/>
              </w:rPr>
              <w:t>Owned/demise-hired (LPG)</w:t>
            </w:r>
          </w:p>
        </w:tc>
        <w:tc>
          <w:tcPr>
            <w:tcW w:w="120" w:type="dxa"/>
            <w:vAlign w:val="bottom"/>
          </w:tcPr>
          <w:p>
            <w:pPr>
              <w:spacing w:after="0"/>
              <w:rPr>
                <w:sz w:val="11"/>
                <w:szCs w:val="11"/>
                <w:color w:val="auto"/>
              </w:rPr>
            </w:pPr>
          </w:p>
        </w:tc>
        <w:tc>
          <w:tcPr>
            <w:tcW w:w="200" w:type="dxa"/>
            <w:vAlign w:val="bottom"/>
            <w:shd w:val="clear" w:color="auto" w:fill="E4E3E1"/>
          </w:tcPr>
          <w:p>
            <w:pPr>
              <w:spacing w:after="0"/>
              <w:rPr>
                <w:sz w:val="11"/>
                <w:szCs w:val="11"/>
                <w:color w:val="auto"/>
              </w:rPr>
            </w:pPr>
          </w:p>
        </w:tc>
        <w:tc>
          <w:tcPr>
            <w:tcW w:w="3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w:t>
            </w:r>
          </w:p>
        </w:tc>
        <w:tc>
          <w:tcPr>
            <w:tcW w:w="180" w:type="dxa"/>
            <w:vAlign w:val="bottom"/>
          </w:tcPr>
          <w:p>
            <w:pPr>
              <w:spacing w:after="0"/>
              <w:rPr>
                <w:sz w:val="11"/>
                <w:szCs w:val="11"/>
                <w:color w:val="auto"/>
              </w:rPr>
            </w:pPr>
          </w:p>
        </w:tc>
        <w:tc>
          <w:tcPr>
            <w:tcW w:w="940" w:type="dxa"/>
            <w:vAlign w:val="bottom"/>
          </w:tcPr>
          <w:p>
            <w:pPr>
              <w:jc w:val="right"/>
              <w:ind w:right="318"/>
              <w:spacing w:after="0" w:line="128" w:lineRule="exact"/>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520"/>
              <w:spacing w:after="0" w:line="128"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276"/>
              <w:spacing w:after="0" w:line="128" w:lineRule="exact"/>
              <w:rPr>
                <w:sz w:val="20"/>
                <w:szCs w:val="20"/>
                <w:color w:val="auto"/>
              </w:rPr>
            </w:pPr>
            <w:r>
              <w:rPr>
                <w:rFonts w:ascii="Arial" w:cs="Arial" w:eastAsia="Arial" w:hAnsi="Arial"/>
                <w:sz w:val="12"/>
                <w:szCs w:val="12"/>
                <w:color w:val="auto"/>
              </w:rPr>
              <w:t>1</w:t>
            </w:r>
          </w:p>
        </w:tc>
        <w:tc>
          <w:tcPr>
            <w:tcW w:w="960" w:type="dxa"/>
            <w:vAlign w:val="bottom"/>
            <w:tcBorders>
              <w:right w:val="single" w:sz="8" w:color="E4E3E1"/>
            </w:tcBorders>
          </w:tcPr>
          <w:p>
            <w:pPr>
              <w:jc w:val="right"/>
              <w:ind w:right="398"/>
              <w:spacing w:after="0" w:line="128" w:lineRule="exact"/>
              <w:rPr>
                <w:sz w:val="20"/>
                <w:szCs w:val="20"/>
                <w:color w:val="auto"/>
              </w:rPr>
            </w:pPr>
            <w:r>
              <w:rPr>
                <w:rFonts w:ascii="Arial" w:cs="Arial" w:eastAsia="Arial" w:hAnsi="Arial"/>
                <w:sz w:val="12"/>
                <w:szCs w:val="12"/>
                <w:color w:val="auto"/>
              </w:rPr>
              <w:t>1</w:t>
            </w:r>
          </w:p>
        </w:tc>
        <w:tc>
          <w:tcPr>
            <w:tcW w:w="48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60</w:t>
            </w:r>
          </w:p>
        </w:tc>
        <w:tc>
          <w:tcPr>
            <w:tcW w:w="3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39"/>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Time-chartered (LPG)</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3</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w:t>
            </w: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2"/>
                <w:szCs w:val="12"/>
                <w:color w:val="auto"/>
              </w:rPr>
              <w:t>2</w:t>
            </w:r>
          </w:p>
        </w:tc>
        <w:tc>
          <w:tcPr>
            <w:tcW w:w="960" w:type="dxa"/>
            <w:vAlign w:val="bottom"/>
            <w:tcBorders>
              <w:bottom w:val="single" w:sz="8" w:color="auto"/>
              <w:right w:val="single" w:sz="8" w:color="E4E3E1"/>
            </w:tcBorders>
          </w:tcPr>
          <w:p>
            <w:pPr>
              <w:jc w:val="right"/>
              <w:ind w:right="398"/>
              <w:spacing w:after="0"/>
              <w:rPr>
                <w:sz w:val="20"/>
                <w:szCs w:val="20"/>
                <w:color w:val="auto"/>
              </w:rPr>
            </w:pPr>
            <w:r>
              <w:rPr>
                <w:rFonts w:ascii="Arial" w:cs="Arial" w:eastAsia="Arial" w:hAnsi="Arial"/>
                <w:sz w:val="12"/>
                <w:szCs w:val="12"/>
                <w:color w:val="auto"/>
              </w:rPr>
              <w:t>2</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212</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166</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136</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6"/>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shd w:val="clear" w:color="auto" w:fill="E4E3E1"/>
          </w:tcPr>
          <w:p>
            <w:pPr>
              <w:jc w:val="right"/>
              <w:ind w:right="38"/>
              <w:spacing w:after="0"/>
              <w:rPr>
                <w:sz w:val="20"/>
                <w:szCs w:val="20"/>
                <w:color w:val="auto"/>
              </w:rPr>
            </w:pPr>
            <w:r>
              <w:rPr>
                <w:rFonts w:ascii="Arial" w:cs="Arial" w:eastAsia="Arial" w:hAnsi="Arial"/>
                <w:sz w:val="12"/>
                <w:szCs w:val="12"/>
                <w:color w:val="auto"/>
              </w:rPr>
              <w:t>3</w:t>
            </w: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w:t>
            </w: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2"/>
                <w:szCs w:val="12"/>
                <w:color w:val="auto"/>
              </w:rPr>
              <w:t>3</w:t>
            </w:r>
          </w:p>
        </w:tc>
        <w:tc>
          <w:tcPr>
            <w:tcW w:w="960" w:type="dxa"/>
            <w:vAlign w:val="bottom"/>
            <w:tcBorders>
              <w:bottom w:val="single" w:sz="8" w:color="auto"/>
              <w:right w:val="single" w:sz="8" w:color="E4E3E1"/>
            </w:tcBorders>
          </w:tcPr>
          <w:p>
            <w:pPr>
              <w:jc w:val="right"/>
              <w:ind w:right="398"/>
              <w:spacing w:after="0"/>
              <w:rPr>
                <w:sz w:val="20"/>
                <w:szCs w:val="20"/>
                <w:color w:val="auto"/>
              </w:rPr>
            </w:pPr>
            <w:r>
              <w:rPr>
                <w:rFonts w:ascii="Arial" w:cs="Arial" w:eastAsia="Arial" w:hAnsi="Arial"/>
                <w:sz w:val="12"/>
                <w:szCs w:val="12"/>
                <w:color w:val="auto"/>
              </w:rPr>
              <w:t>3</w:t>
            </w:r>
          </w:p>
        </w:tc>
        <w:tc>
          <w:tcPr>
            <w:tcW w:w="4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212</w:t>
            </w: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166</w:t>
            </w: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w:t>
            </w: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196</w:t>
            </w:r>
          </w:p>
        </w:tc>
        <w:tc>
          <w:tcPr>
            <w:tcW w:w="3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-3653155</wp:posOffset>
            </wp:positionV>
            <wp:extent cx="177800" cy="5040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77800" cy="5040630"/>
                    </a:xfrm>
                    <a:prstGeom prst="rect">
                      <a:avLst/>
                    </a:prstGeom>
                    <a:noFill/>
                  </pic:spPr>
                </pic:pic>
              </a:graphicData>
            </a:graphic>
          </wp:anchor>
        </w:drawing>
      </w:r>
    </w:p>
    <w:p>
      <w:pPr>
        <w:ind w:left="260" w:hanging="253"/>
        <w:spacing w:after="0"/>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Oil tankers, ocean going articulated tug barges and gas carriers of 10,000 dwt and above which are owned/chartered by subsidiaries where the equity shareholding is at least 50%.</w:t>
      </w:r>
    </w:p>
    <w:p>
      <w:pPr>
        <w:ind w:left="260" w:hanging="253"/>
        <w:spacing w:after="0" w:line="231" w:lineRule="auto"/>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Time-chartered oil tankers include consecutive voyage charters.</w:t>
      </w:r>
    </w:p>
    <w:p>
      <w:pPr>
        <w:ind w:left="260" w:hanging="253"/>
        <w:spacing w:after="0" w:line="231" w:lineRule="auto"/>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Contracts of affreightment are not included.</w:t>
      </w:r>
    </w:p>
    <w:p>
      <w:pPr>
        <w:ind w:left="260" w:hanging="253"/>
        <w:spacing w:after="0" w:line="231" w:lineRule="auto"/>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Four of the time-chartered VLCCs are directly manned and managed by subsidiaries.</w:t>
      </w:r>
    </w:p>
    <w:p>
      <w:pPr>
        <w:ind w:left="260" w:hanging="253"/>
        <w:spacing w:after="0" w:line="231" w:lineRule="auto"/>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Owned/demise hired new building contracts not in service but due for delivery post December 31, 2007.</w:t>
      </w:r>
    </w:p>
    <w:p>
      <w:pPr>
        <w:ind w:left="260" w:hanging="253"/>
        <w:spacing w:after="0"/>
        <w:tabs>
          <w:tab w:leader="none" w:pos="2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LNG shipping is covered under the Gas &amp; Power Operating and Financial Review.</w:t>
      </w:r>
    </w:p>
    <w:p>
      <w:pPr>
        <w:spacing w:after="0" w:line="1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1181735</wp:posOffset>
            </wp:positionV>
            <wp:extent cx="725297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336550</wp:posOffset>
            </wp:positionV>
            <wp:extent cx="3577590" cy="6529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577590" cy="652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36"/>
          <w:szCs w:val="36"/>
          <w:color w:val="auto"/>
        </w:rPr>
        <w:t>Chemicals</w:t>
      </w:r>
    </w:p>
    <w:p>
      <w:pPr>
        <w:spacing w:after="0" w:line="332"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HIGHLIGHTS</w:t>
      </w:r>
    </w:p>
    <w:p>
      <w:pPr>
        <w:spacing w:after="0" w:line="176" w:lineRule="exact"/>
        <w:rPr>
          <w:sz w:val="20"/>
          <w:szCs w:val="20"/>
          <w:color w:val="auto"/>
        </w:rPr>
      </w:pPr>
    </w:p>
    <w:p>
      <w:pPr>
        <w:ind w:left="500" w:hanging="92"/>
        <w:spacing w:after="0"/>
        <w:tabs>
          <w:tab w:leader="none" w:pos="50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Strong financial performance with segment earnings of $2.1 billion.</w:t>
      </w:r>
    </w:p>
    <w:p>
      <w:pPr>
        <w:spacing w:after="0" w:line="1" w:lineRule="exact"/>
        <w:rPr>
          <w:rFonts w:ascii="Arial" w:cs="Arial" w:eastAsia="Arial" w:hAnsi="Arial"/>
          <w:sz w:val="14"/>
          <w:szCs w:val="14"/>
          <w:b w:val="1"/>
          <w:bCs w:val="1"/>
          <w:color w:val="auto"/>
        </w:rPr>
      </w:pPr>
    </w:p>
    <w:p>
      <w:pPr>
        <w:ind w:left="500" w:right="100" w:hanging="92"/>
        <w:spacing w:after="0" w:line="218" w:lineRule="auto"/>
        <w:tabs>
          <w:tab w:leader="none" w:pos="50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Full year of operations at the Nanhai petrochemical complex with high operating rate.</w:t>
      </w:r>
    </w:p>
    <w:p>
      <w:pPr>
        <w:ind w:left="500" w:right="340" w:hanging="92"/>
        <w:spacing w:after="0" w:line="234" w:lineRule="auto"/>
        <w:tabs>
          <w:tab w:leader="none" w:pos="50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Construction on schedule of the new world-scale ethylene cracker and mono-ethylene glycol (MEG) plant in Singapore.</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52"/>
        </w:trPr>
        <w:tc>
          <w:tcPr>
            <w:tcW w:w="3180" w:type="dxa"/>
            <w:vAlign w:val="bottom"/>
            <w:tcBorders>
              <w:right w:val="single" w:sz="8" w:color="F68933"/>
            </w:tcBorders>
            <w:shd w:val="clear" w:color="auto" w:fill="F68933"/>
          </w:tcPr>
          <w:p>
            <w:pPr>
              <w:ind w:left="20"/>
              <w:spacing w:after="0"/>
              <w:rPr>
                <w:sz w:val="20"/>
                <w:szCs w:val="20"/>
                <w:color w:val="auto"/>
              </w:rPr>
            </w:pPr>
            <w:r>
              <w:rPr>
                <w:rFonts w:ascii="Arial" w:cs="Arial" w:eastAsia="Arial" w:hAnsi="Arial"/>
                <w:sz w:val="12"/>
                <w:szCs w:val="12"/>
                <w:b w:val="1"/>
                <w:bCs w:val="1"/>
                <w:color w:val="FFFFFF"/>
              </w:rPr>
              <w:t>EARNINGS</w:t>
            </w:r>
          </w:p>
        </w:tc>
        <w:tc>
          <w:tcPr>
            <w:tcW w:w="480" w:type="dxa"/>
            <w:vAlign w:val="bottom"/>
            <w:shd w:val="clear" w:color="auto" w:fill="F68933"/>
          </w:tcPr>
          <w:p>
            <w:pPr>
              <w:spacing w:after="0"/>
              <w:rPr>
                <w:sz w:val="13"/>
                <w:szCs w:val="13"/>
                <w:color w:val="auto"/>
              </w:rPr>
            </w:pPr>
          </w:p>
        </w:tc>
        <w:tc>
          <w:tcPr>
            <w:tcW w:w="800" w:type="dxa"/>
            <w:vAlign w:val="bottom"/>
            <w:shd w:val="clear" w:color="auto" w:fill="F68933"/>
          </w:tcPr>
          <w:p>
            <w:pPr>
              <w:spacing w:after="0"/>
              <w:rPr>
                <w:sz w:val="13"/>
                <w:szCs w:val="13"/>
                <w:color w:val="auto"/>
              </w:rPr>
            </w:pPr>
          </w:p>
        </w:tc>
        <w:tc>
          <w:tcPr>
            <w:tcW w:w="640" w:type="dxa"/>
            <w:vAlign w:val="bottom"/>
            <w:shd w:val="clear" w:color="auto" w:fill="F68933"/>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3180" w:type="dxa"/>
            <w:vAlign w:val="bottom"/>
            <w:tcBorders>
              <w:right w:val="single" w:sz="8" w:color="CECAC6"/>
            </w:tcBorders>
            <w:shd w:val="clear" w:color="auto" w:fill="CECAC6"/>
          </w:tcPr>
          <w:p>
            <w:pPr>
              <w:spacing w:after="0"/>
              <w:rPr>
                <w:sz w:val="11"/>
                <w:szCs w:val="11"/>
                <w:color w:val="auto"/>
              </w:rPr>
            </w:pPr>
          </w:p>
        </w:tc>
        <w:tc>
          <w:tcPr>
            <w:tcW w:w="4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8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33"/>
        </w:trPr>
        <w:tc>
          <w:tcPr>
            <w:tcW w:w="3180" w:type="dxa"/>
            <w:vAlign w:val="bottom"/>
            <w:tcBorders>
              <w:right w:val="single" w:sz="8" w:color="E4E3E1"/>
            </w:tcBorders>
          </w:tcPr>
          <w:p>
            <w:pPr>
              <w:ind w:left="20"/>
              <w:spacing w:after="0" w:line="128" w:lineRule="exact"/>
              <w:rPr>
                <w:sz w:val="20"/>
                <w:szCs w:val="20"/>
                <w:color w:val="auto"/>
              </w:rPr>
            </w:pPr>
            <w:r>
              <w:rPr>
                <w:rFonts w:ascii="Arial" w:cs="Arial" w:eastAsia="Arial" w:hAnsi="Arial"/>
                <w:sz w:val="12"/>
                <w:szCs w:val="12"/>
                <w:color w:val="auto"/>
              </w:rPr>
              <w:t>Revenue (including intersegment sales)</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45,911</w:t>
            </w:r>
          </w:p>
        </w:tc>
        <w:tc>
          <w:tcPr>
            <w:tcW w:w="800" w:type="dxa"/>
            <w:vAlign w:val="bottom"/>
          </w:tcPr>
          <w:p>
            <w:pPr>
              <w:jc w:val="right"/>
              <w:ind w:right="78"/>
              <w:spacing w:after="0" w:line="128" w:lineRule="exact"/>
              <w:rPr>
                <w:sz w:val="20"/>
                <w:szCs w:val="20"/>
                <w:color w:val="auto"/>
              </w:rPr>
            </w:pPr>
            <w:r>
              <w:rPr>
                <w:rFonts w:ascii="Arial" w:cs="Arial" w:eastAsia="Arial" w:hAnsi="Arial"/>
                <w:sz w:val="12"/>
                <w:szCs w:val="12"/>
                <w:color w:val="auto"/>
              </w:rPr>
              <w:t>40,750</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34,996</w:t>
            </w:r>
          </w:p>
        </w:tc>
      </w:tr>
      <w:tr>
        <w:trPr>
          <w:trHeight w:val="127"/>
        </w:trPr>
        <w:tc>
          <w:tcPr>
            <w:tcW w:w="3180" w:type="dxa"/>
            <w:vAlign w:val="bottom"/>
            <w:tcBorders>
              <w:right w:val="single" w:sz="8" w:color="E4E3E1"/>
            </w:tcBorders>
          </w:tcPr>
          <w:p>
            <w:pPr>
              <w:ind w:left="20"/>
              <w:spacing w:after="0" w:line="128" w:lineRule="exact"/>
              <w:rPr>
                <w:sz w:val="20"/>
                <w:szCs w:val="20"/>
                <w:color w:val="auto"/>
              </w:rPr>
            </w:pPr>
            <w:r>
              <w:rPr>
                <w:rFonts w:ascii="Arial" w:cs="Arial" w:eastAsia="Arial" w:hAnsi="Arial"/>
                <w:sz w:val="12"/>
                <w:szCs w:val="12"/>
                <w:color w:val="auto"/>
              </w:rPr>
              <w:t>Purchases (including change in inventories)</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w w:val="93"/>
                <w:shd w:val="clear" w:color="auto" w:fill="E4E3E1"/>
              </w:rPr>
              <w:t>(39,727)</w:t>
            </w:r>
          </w:p>
        </w:tc>
        <w:tc>
          <w:tcPr>
            <w:tcW w:w="8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(35,765)</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(29,565)</w:t>
            </w:r>
          </w:p>
        </w:tc>
      </w:tr>
      <w:tr>
        <w:trPr>
          <w:trHeight w:val="133"/>
        </w:trPr>
        <w:tc>
          <w:tcPr>
            <w:tcW w:w="318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Depreciation</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(666)</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(668)</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(599)</w:t>
            </w:r>
          </w:p>
        </w:tc>
      </w:tr>
      <w:tr>
        <w:trPr>
          <w:trHeight w:val="133"/>
        </w:trPr>
        <w:tc>
          <w:tcPr>
            <w:tcW w:w="318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Operating expenses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(3,744)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(3,615)</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(3,613)</w:t>
            </w:r>
          </w:p>
        </w:tc>
      </w:tr>
      <w:tr>
        <w:trPr>
          <w:trHeight w:val="133"/>
        </w:trPr>
        <w:tc>
          <w:tcPr>
            <w:tcW w:w="318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694</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494</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423</w:t>
            </w:r>
          </w:p>
        </w:tc>
      </w:tr>
      <w:tr>
        <w:trPr>
          <w:trHeight w:val="133"/>
        </w:trPr>
        <w:tc>
          <w:tcPr>
            <w:tcW w:w="3180" w:type="dxa"/>
            <w:vAlign w:val="bottom"/>
            <w:tcBorders>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Other income/(expense)</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(21)</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(9)</w:t>
            </w:r>
          </w:p>
        </w:tc>
      </w:tr>
      <w:tr>
        <w:trPr>
          <w:trHeight w:val="139"/>
        </w:trPr>
        <w:tc>
          <w:tcPr>
            <w:tcW w:w="3180" w:type="dxa"/>
            <w:vAlign w:val="bottom"/>
            <w:tcBorders>
              <w:bottom w:val="single" w:sz="8" w:color="auto"/>
              <w:right w:val="single" w:sz="8" w:color="E4E3E1"/>
            </w:tcBorders>
          </w:tcPr>
          <w:p>
            <w:pPr>
              <w:ind w:left="20"/>
              <w:spacing w:after="0"/>
              <w:rPr>
                <w:sz w:val="20"/>
                <w:szCs w:val="20"/>
                <w:color w:val="auto"/>
              </w:rPr>
            </w:pPr>
            <w:r>
              <w:rPr>
                <w:rFonts w:ascii="Arial" w:cs="Arial" w:eastAsia="Arial" w:hAnsi="Arial"/>
                <w:sz w:val="12"/>
                <w:szCs w:val="12"/>
                <w:color w:val="auto"/>
              </w:rPr>
              <w:t>Taxation</w:t>
            </w:r>
          </w:p>
        </w:tc>
        <w:tc>
          <w:tcPr>
            <w:tcW w:w="4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(396)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w:t>
            </w:r>
          </w:p>
        </w:tc>
      </w:tr>
      <w:tr>
        <w:trPr>
          <w:trHeight w:val="140"/>
        </w:trPr>
        <w:tc>
          <w:tcPr>
            <w:tcW w:w="3180" w:type="dxa"/>
            <w:vAlign w:val="bottom"/>
            <w:tcBorders>
              <w:right w:val="single" w:sz="8" w:color="E4E3E1"/>
            </w:tcBorders>
          </w:tcPr>
          <w:p>
            <w:pPr>
              <w:ind w:left="20"/>
              <w:spacing w:after="0"/>
              <w:rPr>
                <w:sz w:val="20"/>
                <w:szCs w:val="20"/>
                <w:color w:val="auto"/>
              </w:rPr>
            </w:pPr>
            <w:r>
              <w:rPr>
                <w:rFonts w:ascii="Arial" w:cs="Arial" w:eastAsia="Arial" w:hAnsi="Arial"/>
                <w:sz w:val="12"/>
                <w:szCs w:val="12"/>
                <w:color w:val="auto"/>
              </w:rPr>
              <w:t>Segment earnings from continuing operations</w:t>
            </w:r>
          </w:p>
        </w:tc>
        <w:tc>
          <w:tcPr>
            <w:tcW w:w="480" w:type="dxa"/>
            <w:vAlign w:val="bottom"/>
            <w:shd w:val="clear" w:color="auto" w:fill="E4E3E1"/>
          </w:tcPr>
          <w:p>
            <w:pPr>
              <w:jc w:val="right"/>
              <w:spacing w:after="0"/>
              <w:rPr>
                <w:sz w:val="20"/>
                <w:szCs w:val="20"/>
                <w:color w:val="auto"/>
              </w:rPr>
            </w:pPr>
            <w:r>
              <w:rPr>
                <w:rFonts w:ascii="Arial" w:cs="Arial" w:eastAsia="Arial" w:hAnsi="Arial"/>
                <w:sz w:val="12"/>
                <w:szCs w:val="12"/>
                <w:color w:val="auto"/>
              </w:rPr>
              <w:t>2,051</w:t>
            </w: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1,064</w:t>
            </w:r>
          </w:p>
        </w:tc>
        <w:tc>
          <w:tcPr>
            <w:tcW w:w="640" w:type="dxa"/>
            <w:vAlign w:val="bottom"/>
          </w:tcPr>
          <w:p>
            <w:pPr>
              <w:jc w:val="right"/>
              <w:spacing w:after="0"/>
              <w:rPr>
                <w:sz w:val="20"/>
                <w:szCs w:val="20"/>
                <w:color w:val="auto"/>
              </w:rPr>
            </w:pPr>
            <w:r>
              <w:rPr>
                <w:rFonts w:ascii="Arial" w:cs="Arial" w:eastAsia="Arial" w:hAnsi="Arial"/>
                <w:sz w:val="12"/>
                <w:szCs w:val="12"/>
                <w:color w:val="auto"/>
              </w:rPr>
              <w:t>1,298</w:t>
            </w:r>
          </w:p>
        </w:tc>
      </w:tr>
      <w:tr>
        <w:trPr>
          <w:trHeight w:val="133"/>
        </w:trPr>
        <w:tc>
          <w:tcPr>
            <w:tcW w:w="3180" w:type="dxa"/>
            <w:vAlign w:val="bottom"/>
            <w:tcBorders>
              <w:bottom w:val="single" w:sz="8" w:color="auto"/>
              <w:right w:val="single" w:sz="8" w:color="E4E3E1"/>
            </w:tcBorders>
          </w:tcPr>
          <w:p>
            <w:pPr>
              <w:ind w:left="20"/>
              <w:spacing w:after="0" w:line="133" w:lineRule="exact"/>
              <w:rPr>
                <w:sz w:val="20"/>
                <w:szCs w:val="20"/>
                <w:color w:val="auto"/>
              </w:rPr>
            </w:pPr>
            <w:r>
              <w:rPr>
                <w:rFonts w:ascii="Arial" w:cs="Arial" w:eastAsia="Arial" w:hAnsi="Arial"/>
                <w:sz w:val="12"/>
                <w:szCs w:val="12"/>
                <w:color w:val="auto"/>
              </w:rPr>
              <w:t>Income/(loss) from discontinued operations</w:t>
            </w:r>
          </w:p>
        </w:tc>
        <w:tc>
          <w:tcPr>
            <w:tcW w:w="480" w:type="dxa"/>
            <w:vAlign w:val="bottom"/>
            <w:tcBorders>
              <w:bottom w:val="single" w:sz="8" w:color="auto"/>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(307)</w:t>
            </w:r>
          </w:p>
        </w:tc>
      </w:tr>
      <w:tr>
        <w:trPr>
          <w:trHeight w:val="140"/>
        </w:trPr>
        <w:tc>
          <w:tcPr>
            <w:tcW w:w="3180" w:type="dxa"/>
            <w:vAlign w:val="bottom"/>
            <w:tcBorders>
              <w:right w:val="single" w:sz="8" w:color="E4E3E1"/>
            </w:tcBorders>
          </w:tcPr>
          <w:p>
            <w:pPr>
              <w:ind w:left="20"/>
              <w:spacing w:after="0"/>
              <w:rPr>
                <w:sz w:val="20"/>
                <w:szCs w:val="20"/>
                <w:color w:val="auto"/>
              </w:rPr>
            </w:pPr>
            <w:r>
              <w:rPr>
                <w:rFonts w:ascii="Arial" w:cs="Arial" w:eastAsia="Arial" w:hAnsi="Arial"/>
                <w:sz w:val="12"/>
                <w:szCs w:val="12"/>
                <w:b w:val="1"/>
                <w:bCs w:val="1"/>
                <w:color w:val="auto"/>
              </w:rPr>
              <w:t>Segment earnings</w:t>
            </w:r>
          </w:p>
        </w:tc>
        <w:tc>
          <w:tcPr>
            <w:tcW w:w="480" w:type="dxa"/>
            <w:vAlign w:val="bottom"/>
            <w:shd w:val="clear" w:color="auto" w:fill="E4E3E1"/>
          </w:tcPr>
          <w:p>
            <w:pPr>
              <w:jc w:val="right"/>
              <w:spacing w:after="0"/>
              <w:rPr>
                <w:sz w:val="20"/>
                <w:szCs w:val="20"/>
                <w:color w:val="auto"/>
              </w:rPr>
            </w:pPr>
            <w:r>
              <w:rPr>
                <w:rFonts w:ascii="Arial" w:cs="Arial" w:eastAsia="Arial" w:hAnsi="Arial"/>
                <w:sz w:val="12"/>
                <w:szCs w:val="12"/>
                <w:b w:val="1"/>
                <w:bCs w:val="1"/>
                <w:color w:val="auto"/>
              </w:rPr>
              <w:t>2,051</w:t>
            </w:r>
          </w:p>
        </w:tc>
        <w:tc>
          <w:tcPr>
            <w:tcW w:w="800" w:type="dxa"/>
            <w:vAlign w:val="bottom"/>
          </w:tcPr>
          <w:p>
            <w:pPr>
              <w:jc w:val="right"/>
              <w:ind w:right="78"/>
              <w:spacing w:after="0"/>
              <w:rPr>
                <w:sz w:val="20"/>
                <w:szCs w:val="20"/>
                <w:color w:val="auto"/>
              </w:rPr>
            </w:pPr>
            <w:r>
              <w:rPr>
                <w:rFonts w:ascii="Arial" w:cs="Arial" w:eastAsia="Arial" w:hAnsi="Arial"/>
                <w:sz w:val="12"/>
                <w:szCs w:val="12"/>
                <w:b w:val="1"/>
                <w:bCs w:val="1"/>
                <w:color w:val="auto"/>
              </w:rPr>
              <w:t>1,064</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991</w:t>
            </w:r>
          </w:p>
        </w:tc>
      </w:tr>
    </w:tbl>
    <w:p>
      <w:pPr>
        <w:spacing w:after="0" w:line="260" w:lineRule="exact"/>
        <w:rPr>
          <w:sz w:val="20"/>
          <w:szCs w:val="20"/>
          <w:color w:val="auto"/>
        </w:rPr>
      </w:pPr>
    </w:p>
    <w:tbl>
      <w:tblPr>
        <w:tblLayout w:type="fixed"/>
        <w:tblInd w:w="400" w:type="dxa"/>
        <w:tblCellMar>
          <w:top w:w="0" w:type="dxa"/>
          <w:left w:w="0" w:type="dxa"/>
          <w:bottom w:w="0" w:type="dxa"/>
          <w:right w:w="0" w:type="dxa"/>
        </w:tblCellMar>
      </w:tblPr>
      <w:tr>
        <w:trPr>
          <w:trHeight w:val="139"/>
        </w:trPr>
        <w:tc>
          <w:tcPr>
            <w:tcW w:w="4180" w:type="dxa"/>
            <w:vAlign w:val="bottom"/>
            <w:gridSpan w:val="4"/>
            <w:shd w:val="clear" w:color="auto" w:fill="F68933"/>
          </w:tcPr>
          <w:p>
            <w:pPr>
              <w:ind w:left="20"/>
              <w:spacing w:after="0"/>
              <w:rPr>
                <w:sz w:val="20"/>
                <w:szCs w:val="20"/>
                <w:color w:val="auto"/>
              </w:rPr>
            </w:pPr>
            <w:r>
              <w:rPr>
                <w:rFonts w:ascii="Arial" w:cs="Arial" w:eastAsia="Arial" w:hAnsi="Arial"/>
                <w:sz w:val="12"/>
                <w:szCs w:val="12"/>
                <w:b w:val="1"/>
                <w:bCs w:val="1"/>
                <w:color w:val="FFFFFF"/>
              </w:rPr>
              <w:t>COUNTRIES IN WHICH CHEMICALS HAS OPERATIONS</w:t>
            </w:r>
          </w:p>
        </w:tc>
        <w:tc>
          <w:tcPr>
            <w:tcW w:w="920" w:type="dxa"/>
            <w:vAlign w:val="bottom"/>
            <w:shd w:val="clear" w:color="auto" w:fill="F68933"/>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10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Europe</w:t>
            </w:r>
          </w:p>
        </w:tc>
        <w:tc>
          <w:tcPr>
            <w:tcW w:w="960" w:type="dxa"/>
            <w:vAlign w:val="bottom"/>
          </w:tcPr>
          <w:p>
            <w:pPr>
              <w:ind w:left="120"/>
              <w:spacing w:after="0" w:line="114" w:lineRule="exact"/>
              <w:rPr>
                <w:sz w:val="20"/>
                <w:szCs w:val="20"/>
                <w:color w:val="auto"/>
              </w:rPr>
            </w:pPr>
            <w:r>
              <w:rPr>
                <w:rFonts w:ascii="Arial" w:cs="Arial" w:eastAsia="Arial" w:hAnsi="Arial"/>
                <w:sz w:val="12"/>
                <w:szCs w:val="12"/>
                <w:b w:val="1"/>
                <w:bCs w:val="1"/>
                <w:color w:val="auto"/>
              </w:rPr>
              <w:t>Africa</w:t>
            </w:r>
          </w:p>
        </w:tc>
        <w:tc>
          <w:tcPr>
            <w:tcW w:w="1100" w:type="dxa"/>
            <w:vAlign w:val="bottom"/>
          </w:tcPr>
          <w:p>
            <w:pPr>
              <w:ind w:left="120"/>
              <w:spacing w:after="0" w:line="114" w:lineRule="exact"/>
              <w:rPr>
                <w:sz w:val="20"/>
                <w:szCs w:val="20"/>
                <w:color w:val="auto"/>
              </w:rPr>
            </w:pPr>
            <w:r>
              <w:rPr>
                <w:rFonts w:ascii="Arial" w:cs="Arial" w:eastAsia="Arial" w:hAnsi="Arial"/>
                <w:sz w:val="12"/>
                <w:szCs w:val="12"/>
                <w:b w:val="1"/>
                <w:bCs w:val="1"/>
                <w:color w:val="auto"/>
              </w:rPr>
              <w:t>Asia Pacific</w:t>
            </w:r>
          </w:p>
        </w:tc>
        <w:tc>
          <w:tcPr>
            <w:tcW w:w="1020" w:type="dxa"/>
            <w:vAlign w:val="bottom"/>
          </w:tcPr>
          <w:p>
            <w:pPr>
              <w:ind w:left="80"/>
              <w:spacing w:after="0" w:line="114" w:lineRule="exact"/>
              <w:rPr>
                <w:sz w:val="20"/>
                <w:szCs w:val="20"/>
                <w:color w:val="auto"/>
              </w:rPr>
            </w:pPr>
            <w:r>
              <w:rPr>
                <w:rFonts w:ascii="Arial" w:cs="Arial" w:eastAsia="Arial" w:hAnsi="Arial"/>
                <w:sz w:val="12"/>
                <w:szCs w:val="12"/>
                <w:b w:val="1"/>
                <w:bCs w:val="1"/>
                <w:color w:val="auto"/>
              </w:rPr>
              <w:t>USA</w:t>
            </w:r>
          </w:p>
        </w:tc>
        <w:tc>
          <w:tcPr>
            <w:tcW w:w="920" w:type="dxa"/>
            <w:vAlign w:val="bottom"/>
          </w:tcPr>
          <w:p>
            <w:pPr>
              <w:ind w:left="100"/>
              <w:spacing w:after="0" w:line="114" w:lineRule="exact"/>
              <w:rPr>
                <w:sz w:val="20"/>
                <w:szCs w:val="20"/>
                <w:color w:val="auto"/>
              </w:rPr>
            </w:pPr>
            <w:r>
              <w:rPr>
                <w:rFonts w:ascii="Arial" w:cs="Arial" w:eastAsia="Arial" w:hAnsi="Arial"/>
                <w:sz w:val="12"/>
                <w:szCs w:val="12"/>
                <w:b w:val="1"/>
                <w:bCs w:val="1"/>
                <w:color w:val="auto"/>
              </w:rPr>
              <w:t>The</w:t>
            </w:r>
          </w:p>
        </w:tc>
        <w:tc>
          <w:tcPr>
            <w:tcW w:w="0" w:type="dxa"/>
            <w:vAlign w:val="bottom"/>
          </w:tcPr>
          <w:p>
            <w:pPr>
              <w:spacing w:after="0"/>
              <w:rPr>
                <w:sz w:val="1"/>
                <w:szCs w:val="1"/>
                <w:color w:val="auto"/>
              </w:rPr>
            </w:pPr>
          </w:p>
        </w:tc>
      </w:tr>
      <w:tr>
        <w:trPr>
          <w:trHeight w:val="147"/>
        </w:trPr>
        <w:tc>
          <w:tcPr>
            <w:tcW w:w="1100" w:type="dxa"/>
            <w:vAlign w:val="bottom"/>
          </w:tcPr>
          <w:p>
            <w:pPr>
              <w:ind w:left="40"/>
              <w:spacing w:after="0"/>
              <w:rPr>
                <w:sz w:val="20"/>
                <w:szCs w:val="20"/>
                <w:color w:val="auto"/>
              </w:rPr>
            </w:pPr>
            <w:r>
              <w:rPr>
                <w:rFonts w:ascii="Arial" w:cs="Arial" w:eastAsia="Arial" w:hAnsi="Arial"/>
                <w:sz w:val="12"/>
                <w:szCs w:val="12"/>
                <w:color w:val="auto"/>
              </w:rPr>
              <w:t>France</w:t>
            </w:r>
          </w:p>
        </w:tc>
        <w:tc>
          <w:tcPr>
            <w:tcW w:w="960" w:type="dxa"/>
            <w:vAlign w:val="bottom"/>
          </w:tcPr>
          <w:p>
            <w:pPr>
              <w:ind w:left="120"/>
              <w:spacing w:after="0"/>
              <w:rPr>
                <w:sz w:val="20"/>
                <w:szCs w:val="20"/>
                <w:color w:val="auto"/>
              </w:rPr>
            </w:pPr>
            <w:r>
              <w:rPr>
                <w:rFonts w:ascii="Arial" w:cs="Arial" w:eastAsia="Arial" w:hAnsi="Arial"/>
                <w:sz w:val="12"/>
                <w:szCs w:val="12"/>
                <w:color w:val="auto"/>
              </w:rPr>
              <w:t>South Africa</w:t>
            </w:r>
          </w:p>
        </w:tc>
        <w:tc>
          <w:tcPr>
            <w:tcW w:w="1100" w:type="dxa"/>
            <w:vAlign w:val="bottom"/>
          </w:tcPr>
          <w:p>
            <w:pPr>
              <w:ind w:left="120"/>
              <w:spacing w:after="0"/>
              <w:rPr>
                <w:sz w:val="20"/>
                <w:szCs w:val="20"/>
                <w:color w:val="auto"/>
              </w:rPr>
            </w:pPr>
            <w:r>
              <w:rPr>
                <w:rFonts w:ascii="Arial" w:cs="Arial" w:eastAsia="Arial" w:hAnsi="Arial"/>
                <w:sz w:val="12"/>
                <w:szCs w:val="12"/>
                <w:color w:val="auto"/>
              </w:rPr>
              <w:t>Australia</w:t>
            </w: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Canada</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Caribbean</w:t>
            </w: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Germany</w:t>
            </w:r>
          </w:p>
        </w:tc>
        <w:tc>
          <w:tcPr>
            <w:tcW w:w="9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Middle East</w:t>
            </w: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China (including</w:t>
            </w:r>
          </w:p>
        </w:tc>
        <w:tc>
          <w:tcPr>
            <w:tcW w:w="1020" w:type="dxa"/>
            <w:vAlign w:val="bottom"/>
            <w:vMerge w:val="continue"/>
          </w:tcPr>
          <w:p>
            <w:pPr>
              <w:spacing w:after="0"/>
              <w:rPr>
                <w:sz w:val="11"/>
                <w:szCs w:val="11"/>
                <w:color w:val="auto"/>
              </w:rPr>
            </w:pPr>
          </w:p>
        </w:tc>
        <w:tc>
          <w:tcPr>
            <w:tcW w:w="920" w:type="dxa"/>
            <w:vAlign w:val="bottom"/>
          </w:tcPr>
          <w:p>
            <w:pPr>
              <w:ind w:left="100"/>
              <w:spacing w:after="0" w:line="133" w:lineRule="exact"/>
              <w:rPr>
                <w:sz w:val="20"/>
                <w:szCs w:val="20"/>
                <w:color w:val="auto"/>
              </w:rPr>
            </w:pPr>
            <w:r>
              <w:rPr>
                <w:rFonts w:ascii="Arial" w:cs="Arial" w:eastAsia="Arial" w:hAnsi="Arial"/>
                <w:sz w:val="12"/>
                <w:szCs w:val="12"/>
                <w:color w:val="auto"/>
              </w:rPr>
              <w:t>Puerto Rico</w:t>
            </w: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Greece</w:t>
            </w:r>
          </w:p>
        </w:tc>
        <w:tc>
          <w:tcPr>
            <w:tcW w:w="960" w:type="dxa"/>
            <w:vAlign w:val="bottom"/>
            <w:vMerge w:val="continue"/>
          </w:tcPr>
          <w:p>
            <w:pPr>
              <w:spacing w:after="0"/>
              <w:rPr>
                <w:sz w:val="11"/>
                <w:szCs w:val="11"/>
                <w:color w:val="auto"/>
              </w:rPr>
            </w:pPr>
          </w:p>
        </w:tc>
        <w:tc>
          <w:tcPr>
            <w:tcW w:w="1100" w:type="dxa"/>
            <w:vAlign w:val="bottom"/>
          </w:tcPr>
          <w:p>
            <w:pPr>
              <w:ind w:left="180"/>
              <w:spacing w:after="0" w:line="133" w:lineRule="exact"/>
              <w:rPr>
                <w:sz w:val="20"/>
                <w:szCs w:val="20"/>
                <w:color w:val="auto"/>
              </w:rPr>
            </w:pPr>
            <w:r>
              <w:rPr>
                <w:rFonts w:ascii="Arial" w:cs="Arial" w:eastAsia="Arial" w:hAnsi="Arial"/>
                <w:sz w:val="12"/>
                <w:szCs w:val="12"/>
                <w:color w:val="auto"/>
              </w:rPr>
              <w:t>Hong Kong)</w:t>
            </w:r>
          </w:p>
        </w:tc>
        <w:tc>
          <w:tcPr>
            <w:tcW w:w="10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Latin America</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Italy</w:t>
            </w:r>
          </w:p>
        </w:tc>
        <w:tc>
          <w:tcPr>
            <w:tcW w:w="960" w:type="dxa"/>
            <w:vAlign w:val="bottom"/>
          </w:tcPr>
          <w:p>
            <w:pPr>
              <w:ind w:left="120"/>
              <w:spacing w:after="0" w:line="133" w:lineRule="exact"/>
              <w:rPr>
                <w:sz w:val="20"/>
                <w:szCs w:val="20"/>
                <w:color w:val="auto"/>
              </w:rPr>
            </w:pPr>
            <w:r>
              <w:rPr>
                <w:rFonts w:ascii="Arial" w:cs="Arial" w:eastAsia="Arial" w:hAnsi="Arial"/>
                <w:sz w:val="12"/>
                <w:szCs w:val="12"/>
                <w:color w:val="auto"/>
              </w:rPr>
              <w:t>Saudi Arabia</w:t>
            </w: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Japan</w:t>
            </w:r>
          </w:p>
        </w:tc>
        <w:tc>
          <w:tcPr>
            <w:tcW w:w="10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The Netherlands</w:t>
            </w:r>
          </w:p>
        </w:tc>
        <w:tc>
          <w:tcPr>
            <w:tcW w:w="960" w:type="dxa"/>
            <w:vAlign w:val="bottom"/>
          </w:tcPr>
          <w:p>
            <w:pPr>
              <w:ind w:left="120"/>
              <w:spacing w:after="0" w:line="133" w:lineRule="exact"/>
              <w:rPr>
                <w:sz w:val="20"/>
                <w:szCs w:val="20"/>
                <w:color w:val="auto"/>
              </w:rPr>
            </w:pPr>
            <w:r>
              <w:rPr>
                <w:rFonts w:ascii="Arial" w:cs="Arial" w:eastAsia="Arial" w:hAnsi="Arial"/>
                <w:sz w:val="12"/>
                <w:szCs w:val="12"/>
                <w:color w:val="auto"/>
              </w:rPr>
              <w:t>United Arab</w:t>
            </w: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New Zealand</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Argentina</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Poland</w:t>
            </w:r>
          </w:p>
        </w:tc>
        <w:tc>
          <w:tcPr>
            <w:tcW w:w="960" w:type="dxa"/>
            <w:vAlign w:val="bottom"/>
          </w:tcPr>
          <w:p>
            <w:pPr>
              <w:ind w:left="200"/>
              <w:spacing w:after="0" w:line="133" w:lineRule="exact"/>
              <w:rPr>
                <w:sz w:val="20"/>
                <w:szCs w:val="20"/>
                <w:color w:val="auto"/>
              </w:rPr>
            </w:pPr>
            <w:r>
              <w:rPr>
                <w:rFonts w:ascii="Arial" w:cs="Arial" w:eastAsia="Arial" w:hAnsi="Arial"/>
                <w:sz w:val="12"/>
                <w:szCs w:val="12"/>
                <w:color w:val="auto"/>
              </w:rPr>
              <w:t>Emirates</w:t>
            </w: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Philippines</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Brazil</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Spain</w:t>
            </w:r>
          </w:p>
        </w:tc>
        <w:tc>
          <w:tcPr>
            <w:tcW w:w="96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Singapore</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Chile</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Switzerland</w:t>
            </w:r>
          </w:p>
        </w:tc>
        <w:tc>
          <w:tcPr>
            <w:tcW w:w="96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South Korea</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Colombia</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Turkey</w:t>
            </w:r>
          </w:p>
        </w:tc>
        <w:tc>
          <w:tcPr>
            <w:tcW w:w="96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Taiwan</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Mexico</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00" w:type="dxa"/>
            <w:vAlign w:val="bottom"/>
          </w:tcPr>
          <w:p>
            <w:pPr>
              <w:ind w:left="40"/>
              <w:spacing w:after="0" w:line="133" w:lineRule="exact"/>
              <w:rPr>
                <w:sz w:val="20"/>
                <w:szCs w:val="20"/>
                <w:color w:val="auto"/>
              </w:rPr>
            </w:pPr>
            <w:r>
              <w:rPr>
                <w:rFonts w:ascii="Arial" w:cs="Arial" w:eastAsia="Arial" w:hAnsi="Arial"/>
                <w:sz w:val="12"/>
                <w:szCs w:val="12"/>
                <w:color w:val="auto"/>
              </w:rPr>
              <w:t>UK</w:t>
            </w:r>
          </w:p>
        </w:tc>
        <w:tc>
          <w:tcPr>
            <w:tcW w:w="960" w:type="dxa"/>
            <w:vAlign w:val="bottom"/>
          </w:tcPr>
          <w:p>
            <w:pPr>
              <w:spacing w:after="0"/>
              <w:rPr>
                <w:sz w:val="11"/>
                <w:szCs w:val="11"/>
                <w:color w:val="auto"/>
              </w:rPr>
            </w:pPr>
          </w:p>
        </w:tc>
        <w:tc>
          <w:tcPr>
            <w:tcW w:w="1100" w:type="dxa"/>
            <w:vAlign w:val="bottom"/>
          </w:tcPr>
          <w:p>
            <w:pPr>
              <w:ind w:left="120"/>
              <w:spacing w:after="0" w:line="133" w:lineRule="exact"/>
              <w:rPr>
                <w:sz w:val="20"/>
                <w:szCs w:val="20"/>
                <w:color w:val="auto"/>
              </w:rPr>
            </w:pPr>
            <w:r>
              <w:rPr>
                <w:rFonts w:ascii="Arial" w:cs="Arial" w:eastAsia="Arial" w:hAnsi="Arial"/>
                <w:sz w:val="12"/>
                <w:szCs w:val="12"/>
                <w:color w:val="auto"/>
              </w:rPr>
              <w:t>Thailand</w:t>
            </w:r>
          </w:p>
        </w:tc>
        <w:tc>
          <w:tcPr>
            <w:tcW w:w="1020" w:type="dxa"/>
            <w:vAlign w:val="bottom"/>
          </w:tcPr>
          <w:p>
            <w:pPr>
              <w:ind w:left="80"/>
              <w:spacing w:after="0" w:line="133" w:lineRule="exact"/>
              <w:rPr>
                <w:sz w:val="20"/>
                <w:szCs w:val="20"/>
                <w:color w:val="auto"/>
              </w:rPr>
            </w:pPr>
            <w:r>
              <w:rPr>
                <w:rFonts w:ascii="Arial" w:cs="Arial" w:eastAsia="Arial" w:hAnsi="Arial"/>
                <w:sz w:val="12"/>
                <w:szCs w:val="12"/>
                <w:color w:val="auto"/>
              </w:rPr>
              <w:t>Venezuela</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Pr>
          <w:p>
            <w:pPr>
              <w:ind w:left="120"/>
              <w:spacing w:after="0"/>
              <w:rPr>
                <w:sz w:val="20"/>
                <w:szCs w:val="20"/>
                <w:color w:val="auto"/>
              </w:rPr>
            </w:pPr>
            <w:r>
              <w:rPr>
                <w:rFonts w:ascii="Arial" w:cs="Arial" w:eastAsia="Arial" w:hAnsi="Arial"/>
                <w:sz w:val="12"/>
                <w:szCs w:val="12"/>
                <w:color w:val="auto"/>
              </w:rPr>
              <w:t>Vietnam</w:t>
            </w:r>
          </w:p>
        </w:tc>
        <w:tc>
          <w:tcPr>
            <w:tcW w:w="1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20" w:hanging="312"/>
        <w:spacing w:after="0"/>
        <w:tabs>
          <w:tab w:leader="none" w:pos="720" w:val="left"/>
        </w:tabs>
        <w:numPr>
          <w:ilvl w:val="0"/>
          <w:numId w:val="6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595630</wp:posOffset>
            </wp:positionV>
            <wp:extent cx="725297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50165</wp:posOffset>
            </wp:positionV>
            <wp:extent cx="34086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08680" cy="8255"/>
                    </a:xfrm>
                    <a:prstGeom prst="rect">
                      <a:avLst/>
                    </a:prstGeom>
                    <a:noFill/>
                  </pic:spPr>
                </pic:pic>
              </a:graphicData>
            </a:graphic>
          </wp:anchor>
        </w:drawing>
      </w:r>
    </w:p>
    <w:p>
      <w:pPr>
        <w:spacing w:after="0" w:line="160" w:lineRule="exact"/>
        <w:rPr>
          <w:sz w:val="20"/>
          <w:szCs w:val="20"/>
          <w:color w:val="auto"/>
        </w:rPr>
      </w:pPr>
    </w:p>
    <w:p>
      <w:pPr>
        <w:ind w:left="3" w:right="40"/>
        <w:spacing w:after="0" w:line="243" w:lineRule="auto"/>
        <w:rPr>
          <w:sz w:val="20"/>
          <w:szCs w:val="20"/>
          <w:color w:val="auto"/>
        </w:rPr>
      </w:pPr>
      <w:r>
        <w:rPr>
          <w:rFonts w:ascii="Arial" w:cs="Arial" w:eastAsia="Arial" w:hAnsi="Arial"/>
          <w:sz w:val="13"/>
          <w:szCs w:val="13"/>
          <w:color w:val="auto"/>
        </w:rPr>
        <w:t>Chemicals is part of Shell’s downstream organisation. The downstream businesses turn crude oil and synthetic crude from our oil sands operation into a range of refined products including fuels, lubricants and petrochemicals, which they also deliver to market. Chemicals produces and sells petrochemicals to industrial customers worldwide. The products are widely used in plastics, coatings and detergents found in items such as textiles, medical supplies and computers. Chemicals employs more than 6,000 people in more than 30 countries. In 2007, it generated $45.9 billion of revenue and earnings of $2.1 billion.</w:t>
      </w:r>
    </w:p>
    <w:p>
      <w:pPr>
        <w:spacing w:after="0" w:line="179" w:lineRule="exact"/>
        <w:rPr>
          <w:sz w:val="20"/>
          <w:szCs w:val="20"/>
          <w:color w:val="auto"/>
        </w:rPr>
      </w:pPr>
    </w:p>
    <w:p>
      <w:pPr>
        <w:ind w:left="3"/>
        <w:spacing w:after="0" w:line="241" w:lineRule="auto"/>
        <w:rPr>
          <w:sz w:val="20"/>
          <w:szCs w:val="20"/>
          <w:color w:val="auto"/>
        </w:rPr>
      </w:pPr>
      <w:r>
        <w:rPr>
          <w:rFonts w:ascii="Arial" w:cs="Arial" w:eastAsia="Arial" w:hAnsi="Arial"/>
          <w:sz w:val="13"/>
          <w:szCs w:val="13"/>
          <w:color w:val="auto"/>
        </w:rPr>
        <w:t>Technical availability is a key indicator in monitoring manufacturing reliability performance in Chemicals and is a measure of the percentage of time manufacturing units were available to produce product. Production reliability supports the following priorities:</w:t>
      </w:r>
    </w:p>
    <w:p>
      <w:pPr>
        <w:ind w:left="123" w:hanging="123"/>
        <w:spacing w:after="0" w:line="220" w:lineRule="auto"/>
        <w:tabs>
          <w:tab w:leader="none" w:pos="123"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no harm to people;</w:t>
      </w:r>
    </w:p>
    <w:p>
      <w:pPr>
        <w:ind w:left="123" w:hanging="123"/>
        <w:spacing w:after="0" w:line="218" w:lineRule="auto"/>
        <w:tabs>
          <w:tab w:leader="none" w:pos="123"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no harm to the environment; and</w:t>
      </w:r>
    </w:p>
    <w:p>
      <w:pPr>
        <w:ind w:left="123" w:hanging="123"/>
        <w:spacing w:after="0"/>
        <w:tabs>
          <w:tab w:leader="none" w:pos="123" w:val="left"/>
        </w:tabs>
        <w:numPr>
          <w:ilvl w:val="0"/>
          <w:numId w:val="67"/>
        </w:numPr>
        <w:rPr>
          <w:rFonts w:ascii="Arial" w:cs="Arial" w:eastAsia="Arial" w:hAnsi="Arial"/>
          <w:sz w:val="14"/>
          <w:szCs w:val="14"/>
          <w:b w:val="1"/>
          <w:bCs w:val="1"/>
          <w:color w:val="auto"/>
        </w:rPr>
      </w:pPr>
      <w:r>
        <w:rPr>
          <w:rFonts w:ascii="Arial" w:cs="Arial" w:eastAsia="Arial" w:hAnsi="Arial"/>
          <w:sz w:val="14"/>
          <w:szCs w:val="14"/>
          <w:color w:val="auto"/>
        </w:rPr>
        <w:t>reliable supply of products to customers.</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34086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08680" cy="8255"/>
                    </a:xfrm>
                    <a:prstGeom prst="rect">
                      <a:avLst/>
                    </a:prstGeom>
                    <a:noFill/>
                  </pic:spPr>
                </pic:pic>
              </a:graphicData>
            </a:graphic>
          </wp:anchor>
        </w:drawing>
      </w:r>
    </w:p>
    <w:p>
      <w:pPr>
        <w:spacing w:after="0" w:line="147" w:lineRule="exact"/>
        <w:rPr>
          <w:sz w:val="20"/>
          <w:szCs w:val="20"/>
          <w:color w:val="auto"/>
        </w:rPr>
      </w:pPr>
    </w:p>
    <w:p>
      <w:pPr>
        <w:ind w:left="3" w:right="240"/>
        <w:spacing w:after="0" w:line="235" w:lineRule="auto"/>
        <w:rPr>
          <w:sz w:val="20"/>
          <w:szCs w:val="20"/>
          <w:color w:val="auto"/>
        </w:rPr>
      </w:pPr>
      <w:r>
        <w:rPr>
          <w:rFonts w:ascii="Arial" w:cs="Arial" w:eastAsia="Arial" w:hAnsi="Arial"/>
          <w:sz w:val="14"/>
          <w:szCs w:val="14"/>
          <w:color w:val="auto"/>
        </w:rPr>
        <w:t>Segment earnings in 2007 were $2,051 million, compared to $1,064 million in 2006 and $991 million in 2005. Earnings in 2005 included $307 million of losses from discontinued operations, related to the sale of Basell.</w:t>
      </w:r>
    </w:p>
    <w:p>
      <w:pPr>
        <w:spacing w:after="0" w:line="73" w:lineRule="exact"/>
        <w:rPr>
          <w:sz w:val="20"/>
          <w:szCs w:val="20"/>
          <w:color w:val="auto"/>
        </w:rPr>
      </w:pPr>
    </w:p>
    <w:p>
      <w:pPr>
        <w:ind w:left="3" w:right="40"/>
        <w:spacing w:after="0" w:line="247" w:lineRule="auto"/>
        <w:rPr>
          <w:sz w:val="20"/>
          <w:szCs w:val="20"/>
          <w:color w:val="auto"/>
        </w:rPr>
      </w:pPr>
      <w:r>
        <w:rPr>
          <w:rFonts w:ascii="Arial" w:cs="Arial" w:eastAsia="Arial" w:hAnsi="Arial"/>
          <w:sz w:val="13"/>
          <w:szCs w:val="13"/>
          <w:color w:val="auto"/>
        </w:rPr>
        <w:t>Earnings in 2007 were $987 million higher than 2006. This was mainly due to improved reliability at our plants, higher margins and improved earnings from equity-accounted investments. Setting aside the effect of discontinued operations, earnings in 2006 were $234 million lower than 2005. This was due to lower margins and higher depreciation, partly offset by better earnings from equity-accounted investments and lower taxation.</w:t>
      </w:r>
    </w:p>
    <w:p>
      <w:pPr>
        <w:spacing w:after="0" w:line="70" w:lineRule="exact"/>
        <w:rPr>
          <w:sz w:val="20"/>
          <w:szCs w:val="20"/>
          <w:color w:val="auto"/>
        </w:rPr>
      </w:pPr>
    </w:p>
    <w:p>
      <w:pPr>
        <w:ind w:left="3" w:right="60"/>
        <w:spacing w:after="0" w:line="239" w:lineRule="auto"/>
        <w:rPr>
          <w:sz w:val="20"/>
          <w:szCs w:val="20"/>
          <w:color w:val="auto"/>
        </w:rPr>
      </w:pPr>
      <w:r>
        <w:rPr>
          <w:rFonts w:ascii="Arial" w:cs="Arial" w:eastAsia="Arial" w:hAnsi="Arial"/>
          <w:sz w:val="13"/>
          <w:szCs w:val="13"/>
          <w:color w:val="auto"/>
        </w:rPr>
        <w:t>In 2007, sales volumes of chemical products fell by 3% from 2006 mainly in base chemicals, due to a reduction of sales of lower margin products, including aromatics trading. The increase in margins in 2007 was mostly driven by our base chemicals business in the USA, which benefited from higher refinery margins as well as from the impact of crude appreciation. Record market prices in MEG, driven by major industry outages, also contributed to improved margins from our intermediates business. Depreciation was in line with 2006 due to impairment charges in both years. Technical availability was 93% in 2007 compared to 90% in 2006 which was impacted by a heavy scheduled maintenance programme. Operating expenses increased, mainly due to foreign exchange effects and one-off items. Equity-accounted investments income was higher, benefiting mainly from higher earnings at Nanhai our petrochemical complex in China, which was operational for the whole of 2007. Taxation increased in 2007 as 2006 benefited from one-off items.</w:t>
      </w:r>
    </w:p>
    <w:p>
      <w:pPr>
        <w:spacing w:after="0" w:line="185" w:lineRule="exact"/>
        <w:rPr>
          <w:sz w:val="20"/>
          <w:szCs w:val="20"/>
          <w:color w:val="auto"/>
        </w:rPr>
      </w:pPr>
    </w:p>
    <w:p>
      <w:pPr>
        <w:ind w:left="3" w:right="20"/>
        <w:spacing w:after="0" w:line="242" w:lineRule="auto"/>
        <w:rPr>
          <w:sz w:val="20"/>
          <w:szCs w:val="20"/>
          <w:color w:val="auto"/>
        </w:rPr>
      </w:pPr>
      <w:r>
        <w:rPr>
          <w:rFonts w:ascii="Arial" w:cs="Arial" w:eastAsia="Arial" w:hAnsi="Arial"/>
          <w:sz w:val="13"/>
          <w:szCs w:val="13"/>
          <w:color w:val="auto"/>
        </w:rPr>
        <w:t>In 2006, sales volumes of chemical products grew by 1% from 2005 mainly in base chemicals due to higher aromatics trading volumes. The increase in unit proceeds compared to 2005 was more than offset by the increase in feedstock prices, resulting in lower margins. Technical availability in 2006 was below that of 2005 availability of 93% due to a heavy planned maintenance programme in 2006. Depreciation was $69 million higher in 2006 compared to 2005 mainly due to asset impairments. Operating expenses in 2006 were in line with those of 2005. Reduced taxation reflected benefits from tax rate changes in Canada and in the Netherlands as well as a settlement of tax exposures in the Netherlands.</w:t>
      </w:r>
    </w:p>
    <w:p>
      <w:pPr>
        <w:sectPr>
          <w:pgSz w:w="11900" w:h="16838" w:orient="portrait"/>
          <w:cols w:equalWidth="0" w:num="2">
            <w:col w:w="5500" w:space="557"/>
            <w:col w:w="5363"/>
          </w:cols>
          <w:pgMar w:left="240" w:top="415"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OUTLOOK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883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60" w:lineRule="exact"/>
        <w:rPr>
          <w:sz w:val="20"/>
          <w:szCs w:val="20"/>
          <w:color w:val="auto"/>
        </w:rPr>
      </w:pPr>
    </w:p>
    <w:p>
      <w:pPr>
        <w:spacing w:after="0" w:line="225" w:lineRule="auto"/>
        <w:rPr>
          <w:sz w:val="20"/>
          <w:szCs w:val="20"/>
          <w:color w:val="auto"/>
        </w:rPr>
      </w:pPr>
      <w:r>
        <w:rPr>
          <w:rFonts w:ascii="Arial" w:cs="Arial" w:eastAsia="Arial" w:hAnsi="Arial"/>
          <w:sz w:val="14"/>
          <w:szCs w:val="14"/>
          <w:color w:val="auto"/>
        </w:rPr>
        <w:t>Global demand for petrochemicals in 2008 is expected to increase in line with world economic growth, mainly driven by the Asia Pacific region. Sustained demand growth in petrochemicals in recent years has resulted in a series of industry investments in the Middle East and Asia Pacific, which will be coming on-stream during the next five years. Increased supply due to these new projects, coupled with the prospect of continued high costs of feedstock and energy, are expected to have an adverse impact on margins.</w:t>
      </w:r>
    </w:p>
    <w:p>
      <w:pPr>
        <w:spacing w:after="0" w:line="76" w:lineRule="exact"/>
        <w:rPr>
          <w:sz w:val="20"/>
          <w:szCs w:val="20"/>
          <w:color w:val="auto"/>
        </w:rPr>
      </w:pPr>
    </w:p>
    <w:p>
      <w:pPr>
        <w:jc w:val="both"/>
        <w:ind w:right="140"/>
        <w:spacing w:after="0" w:line="279" w:lineRule="auto"/>
        <w:rPr>
          <w:sz w:val="20"/>
          <w:szCs w:val="20"/>
          <w:color w:val="auto"/>
        </w:rPr>
      </w:pPr>
      <w:r>
        <w:rPr>
          <w:rFonts w:ascii="Arial" w:cs="Arial" w:eastAsia="Arial" w:hAnsi="Arial"/>
          <w:sz w:val="12"/>
          <w:szCs w:val="12"/>
          <w:color w:val="auto"/>
        </w:rPr>
        <w:t>The Chemicals strategy remains unchanged and continues to focus on our portfolio of crackers and selected first-line derivatives, which supply bulk petrochemicals to large industrial customers. Our strategy is to strengthen our asset base in the Americas and Europe, and to achieve profitable growth in Asia Pacific and in the Middle East.</w:t>
      </w:r>
    </w:p>
    <w:p>
      <w:pPr>
        <w:spacing w:after="0" w:line="51"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To add to the Nanhai petrochemical complex joint venture in China, we are building a major new petrochemical facility in Singapore. Work continues on developing investment opportunities in the Middle East.</w:t>
      </w:r>
    </w:p>
    <w:p>
      <w:pPr>
        <w:spacing w:after="0" w:line="73"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Our focus will be on continuing to exploit synergies between Chemicals, Oil Products, Oil Sands and our upstream business to increase advantaged cracker feed; on driving our global standards and processes; on fully leveraging our technology investment; and on optimising our global market positions.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 AND PORTFOLIO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883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60"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Capital investment in 2007 was $1.4 billion, up from $0.9 billion in 2006. Capital expenditure increased by $594 million from 2006 reflecting increased investments in new projects, in particular at the Shell Eastern Petrochemicals Complex in Singapore. Since construction began in October 2006 on the new 800,000 tonnes per year ethylene cracker complex on Pulau Bukom and the 750,000 tonnes per year MEG plant on Jurong Island, we have achieved significant milestones. These include completion of the piling, civil foundation and underground construction, leading to the start of the assembly of main structures. In addition, the final investment decision was taken to proceed with the construction of a new butadiene extraction unit on Pulau Bukom. This project will have an initial capacity of 155,000 tonnes per year. All these projects combine to represent Shell’s largest-ever chemicals investment in Singapore and are on schedule for start-up in 2009/2010.</w:t>
      </w:r>
    </w:p>
    <w:p>
      <w:pPr>
        <w:spacing w:after="0" w:line="78" w:lineRule="exact"/>
        <w:rPr>
          <w:sz w:val="20"/>
          <w:szCs w:val="20"/>
          <w:color w:val="auto"/>
        </w:rPr>
      </w:pPr>
    </w:p>
    <w:p>
      <w:pPr>
        <w:ind w:right="120"/>
        <w:spacing w:after="0" w:line="243" w:lineRule="auto"/>
        <w:rPr>
          <w:sz w:val="20"/>
          <w:szCs w:val="20"/>
          <w:color w:val="auto"/>
        </w:rPr>
      </w:pPr>
      <w:r>
        <w:rPr>
          <w:rFonts w:ascii="Arial" w:cs="Arial" w:eastAsia="Arial" w:hAnsi="Arial"/>
          <w:sz w:val="13"/>
          <w:szCs w:val="13"/>
          <w:color w:val="auto"/>
        </w:rPr>
        <w:t>The Nanhai petrochemical complex in China, a joint venture between China National Offshore Oil Corporation (CNOOC) and Shell Petrochemicals Company Limited (CSPCL) (Shell interest 50%), which started-up in 2006, enjoyed a full year of commercial operation. Asset performance and corresponding sales volumes have been strong. The Chinese market for petrochemicals continues to grow and we now have a business licence extension enabling Shell China Ltd to import, export, buy and sell chemicals in local renminbi currency.</w:t>
      </w:r>
    </w:p>
    <w:p>
      <w:pPr>
        <w:spacing w:after="0" w:line="73"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As part of our strategy to improve the long-term potential and competitiveness of our European assets, we have taken an investment decision to increase polyol capacity at the Pernis manufacturing complex in the Netherlands. Capacity will go from 155,000 to 255,000 tonnes per year and is expected to be on-stream by mid-2008. We also announced a significant investment to improve the integration of the Pernis-Moerdijk refinery and chemicals complex in the Netherlands. This project will concentrate on supplying hydro wax from the Pernis refinery, and other Shell refineries in Europe, to Moerdijk which will consequently benefit from lower feedstock costs. The project is expected to be complete and on-stream during the first quarter of 2009.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Continuing our business portfolio review, we have signed a sale and purchase agreement for the sale of the Berre-l’Etang refinery site complex and associated infrastructure and businesses (including the Oil Products related activities and business). A price of $700 million (including Oil Products) has been agreed, with completion expected during the first half of 2008. Our Yabucoa petrochemicals feedstock plant in Puerto Rico, which has a capacity of 77,000 barrels per day (Shell interest 100%) remains under review for divestment. Shell Chemicals and ExxonMobil Chemical, partners in the additives joint venture Infineum, have agreed to evaluate market interest and will be discussing Infineum with several potential buyers, as part of a study to review strategic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-937260</wp:posOffset>
            </wp:positionV>
            <wp:extent cx="282575" cy="70199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82575" cy="701992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31883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60"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Investments in research and development (R&amp;D) continue to drive product and process technology improvements which enable Shell to sustain leadership positions in selected chemical products. Improvements in manufacturing processes – enabling increased feedstock flexibility, product yield, energy efficiency and plant throughput – are leading to lower production costs at existing facilities and lower investment costs for new facilities. For example, manufacturing capacity of flexible polyols was increased and asset productivity enhanced through new process technology.</w:t>
      </w:r>
    </w:p>
    <w:p>
      <w:pPr>
        <w:spacing w:after="0" w:line="73" w:lineRule="exact"/>
        <w:rPr>
          <w:sz w:val="20"/>
          <w:szCs w:val="20"/>
          <w:color w:val="auto"/>
        </w:rPr>
      </w:pPr>
    </w:p>
    <w:p>
      <w:pPr>
        <w:ind w:right="80"/>
        <w:spacing w:after="0" w:line="242" w:lineRule="auto"/>
        <w:rPr>
          <w:sz w:val="20"/>
          <w:szCs w:val="20"/>
          <w:color w:val="auto"/>
        </w:rPr>
      </w:pPr>
      <w:r>
        <w:rPr>
          <w:rFonts w:ascii="Arial" w:cs="Arial" w:eastAsia="Arial" w:hAnsi="Arial"/>
          <w:sz w:val="13"/>
          <w:szCs w:val="13"/>
          <w:color w:val="auto"/>
        </w:rPr>
        <w:t>Shell’s chemical operations benefit from integration with our oil refining process technology and assets. Current projects in Singapore and in the Netherlands apply technology to drive further chemical-refining integration, reducing feedstock and other operating costs. New process technology to produce MEG will be applied in the Singapore project which will further increase yield of the desired product and reduce cost. Longer-term R&amp;D focuses on developing competitively advantaged process technologies which convert strategic feedstocks, natural gas and coal into higher-value chemicals, and which integrate upstream operations to create additional value.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AND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50165</wp:posOffset>
            </wp:positionV>
            <wp:extent cx="31883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188335" cy="8255"/>
                    </a:xfrm>
                    <a:prstGeom prst="rect">
                      <a:avLst/>
                    </a:prstGeom>
                    <a:noFill/>
                  </pic:spPr>
                </pic:pic>
              </a:graphicData>
            </a:graphic>
          </wp:anchor>
        </w:drawing>
      </w:r>
    </w:p>
    <w:p>
      <w:pPr>
        <w:spacing w:after="0" w:line="160" w:lineRule="exact"/>
        <w:rPr>
          <w:sz w:val="20"/>
          <w:szCs w:val="20"/>
          <w:color w:val="auto"/>
        </w:rPr>
      </w:pPr>
    </w:p>
    <w:p>
      <w:pPr>
        <w:jc w:val="both"/>
        <w:ind w:right="280"/>
        <w:spacing w:after="0" w:line="235" w:lineRule="auto"/>
        <w:rPr>
          <w:sz w:val="20"/>
          <w:szCs w:val="20"/>
          <w:color w:val="auto"/>
        </w:rPr>
      </w:pPr>
      <w:r>
        <w:rPr>
          <w:rFonts w:ascii="Arial" w:cs="Arial" w:eastAsia="Arial" w:hAnsi="Arial"/>
          <w:sz w:val="14"/>
          <w:szCs w:val="14"/>
          <w:color w:val="auto"/>
        </w:rPr>
        <w:t>Shell currently produces a range of base chemicals such as ethylene, propylene and aromatics, and intermediates chemicals such as styrene monomer, propylene oxide, solvents, detergent alcohols and ethylene oxide.</w:t>
      </w:r>
    </w:p>
    <w:p>
      <w:pPr>
        <w:spacing w:after="0" w:line="73"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Shell sells these petrochemicals to industrial customers globally. The products are widely used in plastics, coatings and detergents, which in turn are used in products such as fibres and textiles, thermal and electrical insulation, medical equipment and sterile supplies, computers, lighter and more efficient vehicles, paints and biodegradable detergents.</w:t>
      </w:r>
    </w:p>
    <w:p>
      <w:pPr>
        <w:spacing w:after="0" w:line="7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Chemicals has more than 2,500 customers across the world, with around 25 customers accounting for approximately 60% of our sales proceeds. These key customers are major multi-national organisations, including many household names, which buy large volumes from us, often across several product areas. Our relationships with these customers, typically involving long-term supply contracts, are strategically important to our business.</w:t>
      </w:r>
    </w:p>
    <w:p>
      <w:pPr>
        <w:spacing w:after="0" w:line="76" w:lineRule="exact"/>
        <w:rPr>
          <w:sz w:val="20"/>
          <w:szCs w:val="20"/>
          <w:color w:val="auto"/>
        </w:rPr>
      </w:pPr>
    </w:p>
    <w:p>
      <w:pPr>
        <w:ind w:right="280"/>
        <w:spacing w:after="0" w:line="251" w:lineRule="auto"/>
        <w:rPr>
          <w:sz w:val="20"/>
          <w:szCs w:val="20"/>
          <w:color w:val="auto"/>
        </w:rPr>
      </w:pPr>
      <w:r>
        <w:rPr>
          <w:rFonts w:ascii="Arial" w:cs="Arial" w:eastAsia="Arial" w:hAnsi="Arial"/>
          <w:sz w:val="13"/>
          <w:szCs w:val="13"/>
          <w:color w:val="auto"/>
        </w:rPr>
        <w:t>Shell Trading markets and trades condensate, naphtha and benzene, toluene, xylene (BTX) aromatics in support of the Chemicals business. In addition, Shell Global Solutions provides technical services, consultancy, research and development and catalysts to Shell’s Chemicals business (and third parties).</w:t>
      </w:r>
    </w:p>
    <w:p>
      <w:pPr>
        <w:spacing w:after="0" w:line="67" w:lineRule="exact"/>
        <w:rPr>
          <w:sz w:val="20"/>
          <w:szCs w:val="20"/>
          <w:color w:val="auto"/>
        </w:rPr>
      </w:pPr>
    </w:p>
    <w:p>
      <w:pPr>
        <w:ind w:right="40"/>
        <w:spacing w:after="0" w:line="285" w:lineRule="auto"/>
        <w:rPr>
          <w:sz w:val="20"/>
          <w:szCs w:val="20"/>
          <w:color w:val="auto"/>
        </w:rPr>
      </w:pPr>
      <w:r>
        <w:rPr>
          <w:rFonts w:ascii="Arial" w:cs="Arial" w:eastAsia="Arial" w:hAnsi="Arial"/>
          <w:sz w:val="13"/>
          <w:szCs w:val="13"/>
          <w:color w:val="auto"/>
        </w:rPr>
        <w:t>The Chemicals portfolio includes several joint ventures: Infineum, Saudi Petrochemical Company (Sadaf), CNOOC and CSPCL (each as described below).</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Infineum, a 50:50 joint venture between Shell and ExxonMobil with</w:t>
      </w:r>
    </w:p>
    <w:p>
      <w:pPr>
        <w:spacing w:after="0" w:line="19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-3477260</wp:posOffset>
            </wp:positionH>
            <wp:positionV relativeFrom="paragraph">
              <wp:posOffset>1697990</wp:posOffset>
            </wp:positionV>
            <wp:extent cx="725297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20" w:space="460"/>
            <w:col w:w="5020"/>
          </w:cols>
          <w:pgMar w:left="240" w:top="415" w:right="11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color w:val="F68933"/>
        </w:rPr>
        <w:t>CHEMICALS</w:t>
      </w:r>
    </w:p>
    <w:p>
      <w:pPr>
        <w:sectPr>
          <w:pgSz w:w="11900" w:h="16838" w:orient="portrait"/>
          <w:cols w:equalWidth="0" w:num="1">
            <w:col w:w="11420"/>
          </w:cols>
          <w:pgMar w:left="240" w:top="415" w:right="239" w:bottom="1440" w:gutter="0" w:footer="0" w:header="0"/>
        </w:sectPr>
      </w:pPr>
    </w:p>
    <w:p>
      <w:pPr>
        <w:spacing w:after="0" w:line="310"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manufacturing locations in seven countries (USA, Mexico, Brazil, Germany, France, Italy, and Singapore), formulates, manufactures and markets high-quality additives for use in fuel, lubricants, and speciality additives and components.</w:t>
      </w:r>
    </w:p>
    <w:p>
      <w:pPr>
        <w:spacing w:after="0" w:line="73"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Sadaf, a 50:50 joint venture between Shell and Saudi Basic Industries Corporation (SABIC), produces base and intermediate chemicals for international markets.</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CSPCL, a 50:50 joint venture between Shell and CNOOC</w:t>
      </w:r>
    </w:p>
    <w:p>
      <w:pPr>
        <w:ind w:right="160"/>
        <w:spacing w:after="0" w:line="226" w:lineRule="auto"/>
        <w:rPr>
          <w:sz w:val="20"/>
          <w:szCs w:val="20"/>
          <w:color w:val="auto"/>
        </w:rPr>
      </w:pPr>
      <w:r>
        <w:rPr>
          <w:rFonts w:ascii="Arial" w:cs="Arial" w:eastAsia="Arial" w:hAnsi="Arial"/>
          <w:sz w:val="14"/>
          <w:szCs w:val="14"/>
          <w:color w:val="auto"/>
        </w:rPr>
        <w:t>Petrochemicals Investment Ltd., produces a range of petrochemicals, intended mainly for the Chinese markets. The construction of the Nanhai petrochemicals complex in southern China was completed at the end of 2005 and a successful start-up in early 2006 has brought the joint venture into full commercial operation.</w:t>
      </w:r>
    </w:p>
    <w:p>
      <w:pPr>
        <w:spacing w:after="0" w:line="299" w:lineRule="exact"/>
        <w:rPr>
          <w:sz w:val="20"/>
          <w:szCs w:val="20"/>
          <w:color w:val="auto"/>
        </w:rPr>
      </w:pPr>
    </w:p>
    <w:p>
      <w:pPr>
        <w:sectPr>
          <w:pgSz w:w="11900" w:h="16838" w:orient="portrait"/>
          <w:cols w:equalWidth="0" w:num="2">
            <w:col w:w="5380" w:space="560"/>
            <w:col w:w="5480"/>
          </w:cols>
          <w:pgMar w:left="240" w:top="415" w:right="239" w:bottom="1440" w:gutter="0" w:footer="0" w:header="0"/>
          <w:type w:val="continuous"/>
        </w:sectPr>
      </w:pP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60" w:type="dxa"/>
            <w:vAlign w:val="bottom"/>
            <w:shd w:val="clear" w:color="auto" w:fill="F8981D"/>
          </w:tcPr>
          <w:p>
            <w:pPr>
              <w:spacing w:after="0"/>
              <w:rPr>
                <w:sz w:val="20"/>
                <w:szCs w:val="20"/>
                <w:color w:val="auto"/>
              </w:rPr>
            </w:pPr>
            <w:r>
              <w:rPr>
                <w:rFonts w:ascii="Arial" w:cs="Arial" w:eastAsia="Arial" w:hAnsi="Arial"/>
                <w:sz w:val="12"/>
                <w:szCs w:val="12"/>
                <w:b w:val="1"/>
                <w:bCs w:val="1"/>
                <w:color w:val="FFFFFF"/>
              </w:rPr>
              <w:t xml:space="preserve">SALES VOLUMES BY MAIN PRODUCT CATEGORY </w:t>
            </w:r>
            <w:r>
              <w:rPr>
                <w:rFonts w:ascii="Arial" w:cs="Arial" w:eastAsia="Arial" w:hAnsi="Arial"/>
                <w:sz w:val="10"/>
                <w:szCs w:val="10"/>
                <w:color w:val="FFFFFF"/>
              </w:rPr>
              <w:t>[A]</w:t>
            </w:r>
          </w:p>
        </w:tc>
        <w:tc>
          <w:tcPr>
            <w:tcW w:w="820" w:type="dxa"/>
            <w:vAlign w:val="bottom"/>
            <w:shd w:val="clear" w:color="auto" w:fill="F8981D"/>
          </w:tcPr>
          <w:p>
            <w:pPr>
              <w:spacing w:after="0"/>
              <w:rPr>
                <w:sz w:val="12"/>
                <w:szCs w:val="12"/>
                <w:color w:val="auto"/>
              </w:rPr>
            </w:pPr>
          </w:p>
        </w:tc>
        <w:tc>
          <w:tcPr>
            <w:tcW w:w="1760" w:type="dxa"/>
            <w:vAlign w:val="bottom"/>
            <w:shd w:val="clear" w:color="auto" w:fill="F8981D"/>
          </w:tcPr>
          <w:p>
            <w:pPr>
              <w:spacing w:after="0"/>
              <w:rPr>
                <w:sz w:val="12"/>
                <w:szCs w:val="12"/>
                <w:color w:val="auto"/>
              </w:rPr>
            </w:pPr>
          </w:p>
        </w:tc>
        <w:tc>
          <w:tcPr>
            <w:tcW w:w="1380" w:type="dxa"/>
            <w:vAlign w:val="bottom"/>
            <w:shd w:val="clear" w:color="auto" w:fill="F8981D"/>
          </w:tcPr>
          <w:p>
            <w:pPr>
              <w:spacing w:after="0"/>
              <w:rPr>
                <w:sz w:val="12"/>
                <w:szCs w:val="12"/>
                <w:color w:val="auto"/>
              </w:rPr>
            </w:pPr>
          </w:p>
        </w:tc>
        <w:tc>
          <w:tcPr>
            <w:tcW w:w="1020" w:type="dxa"/>
            <w:vAlign w:val="bottom"/>
            <w:shd w:val="clear" w:color="auto" w:fill="F8981D"/>
          </w:tcPr>
          <w:p>
            <w:pPr>
              <w:spacing w:after="0"/>
              <w:rPr>
                <w:sz w:val="12"/>
                <w:szCs w:val="12"/>
                <w:color w:val="auto"/>
              </w:rPr>
            </w:pPr>
          </w:p>
        </w:tc>
        <w:tc>
          <w:tcPr>
            <w:tcW w:w="1280" w:type="dxa"/>
            <w:vAlign w:val="bottom"/>
            <w:shd w:val="clear" w:color="auto" w:fill="F8981D"/>
          </w:tcPr>
          <w:p>
            <w:pPr>
              <w:jc w:val="right"/>
              <w:ind w:right="38"/>
              <w:spacing w:after="0"/>
              <w:rPr>
                <w:sz w:val="20"/>
                <w:szCs w:val="20"/>
                <w:color w:val="auto"/>
              </w:rPr>
            </w:pPr>
            <w:r>
              <w:rPr>
                <w:rFonts w:ascii="Arial" w:cs="Arial" w:eastAsia="Arial" w:hAnsi="Arial"/>
                <w:sz w:val="12"/>
                <w:szCs w:val="12"/>
                <w:b w:val="1"/>
                <w:bCs w:val="1"/>
                <w:color w:val="FFFFFF"/>
              </w:rPr>
              <w:t>thousand tonnes</w:t>
            </w:r>
          </w:p>
        </w:tc>
      </w:tr>
      <w:tr>
        <w:trPr>
          <w:trHeight w:val="133"/>
        </w:trPr>
        <w:tc>
          <w:tcPr>
            <w:tcW w:w="516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02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2004</w:t>
            </w:r>
          </w:p>
        </w:tc>
        <w:tc>
          <w:tcPr>
            <w:tcW w:w="12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160" w:type="dxa"/>
            <w:vAlign w:val="bottom"/>
          </w:tcPr>
          <w:p>
            <w:pPr>
              <w:spacing w:after="0" w:line="128" w:lineRule="exact"/>
              <w:rPr>
                <w:sz w:val="20"/>
                <w:szCs w:val="20"/>
                <w:color w:val="auto"/>
              </w:rPr>
            </w:pPr>
            <w:r>
              <w:rPr>
                <w:rFonts w:ascii="Arial" w:cs="Arial" w:eastAsia="Arial" w:hAnsi="Arial"/>
                <w:sz w:val="12"/>
                <w:szCs w:val="12"/>
                <w:color w:val="auto"/>
              </w:rPr>
              <w:t>Base chemicals</w:t>
            </w:r>
          </w:p>
        </w:tc>
        <w:tc>
          <w:tcPr>
            <w:tcW w:w="8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12,968</w:t>
            </w:r>
          </w:p>
        </w:tc>
        <w:tc>
          <w:tcPr>
            <w:tcW w:w="17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14,146</w:t>
            </w:r>
          </w:p>
        </w:tc>
        <w:tc>
          <w:tcPr>
            <w:tcW w:w="13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13,710</w:t>
            </w:r>
          </w:p>
        </w:tc>
        <w:tc>
          <w:tcPr>
            <w:tcW w:w="102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14,184</w:t>
            </w:r>
          </w:p>
        </w:tc>
        <w:tc>
          <w:tcPr>
            <w:tcW w:w="12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13,165</w:t>
            </w: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color w:val="auto"/>
              </w:rPr>
              <w:t>First-line derivatives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9,577</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8,964</w:t>
            </w:r>
          </w:p>
        </w:tc>
        <w:tc>
          <w:tcPr>
            <w:tcW w:w="13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8,891</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9,499</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9,779</w:t>
            </w:r>
          </w:p>
        </w:tc>
      </w:tr>
      <w:tr>
        <w:trPr>
          <w:trHeight w:val="139"/>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10</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27</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225</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477</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164</w:t>
            </w:r>
          </w:p>
        </w:tc>
      </w:tr>
      <w:tr>
        <w:trPr>
          <w:trHeight w:val="146"/>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22,555</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23,137</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22,826</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24,160</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23,108</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60" w:type="dxa"/>
            <w:vAlign w:val="bottom"/>
            <w:shd w:val="clear" w:color="auto" w:fill="F8981D"/>
          </w:tcPr>
          <w:p>
            <w:pPr>
              <w:spacing w:after="0"/>
              <w:rPr>
                <w:sz w:val="20"/>
                <w:szCs w:val="20"/>
                <w:color w:val="auto"/>
              </w:rPr>
            </w:pPr>
            <w:r>
              <w:rPr>
                <w:rFonts w:ascii="Arial" w:cs="Arial" w:eastAsia="Arial" w:hAnsi="Arial"/>
                <w:sz w:val="12"/>
                <w:szCs w:val="12"/>
                <w:b w:val="1"/>
                <w:bCs w:val="1"/>
                <w:color w:val="FFFFFF"/>
              </w:rPr>
              <w:t xml:space="preserve">SALES VOLUMES BY REGION </w:t>
            </w:r>
            <w:r>
              <w:rPr>
                <w:rFonts w:ascii="Arial" w:cs="Arial" w:eastAsia="Arial" w:hAnsi="Arial"/>
                <w:sz w:val="10"/>
                <w:szCs w:val="10"/>
                <w:color w:val="FFFFFF"/>
              </w:rPr>
              <w:t>[A]</w:t>
            </w:r>
          </w:p>
        </w:tc>
        <w:tc>
          <w:tcPr>
            <w:tcW w:w="820" w:type="dxa"/>
            <w:vAlign w:val="bottom"/>
            <w:shd w:val="clear" w:color="auto" w:fill="F8981D"/>
          </w:tcPr>
          <w:p>
            <w:pPr>
              <w:spacing w:after="0"/>
              <w:rPr>
                <w:sz w:val="12"/>
                <w:szCs w:val="12"/>
                <w:color w:val="auto"/>
              </w:rPr>
            </w:pPr>
          </w:p>
        </w:tc>
        <w:tc>
          <w:tcPr>
            <w:tcW w:w="1760" w:type="dxa"/>
            <w:vAlign w:val="bottom"/>
            <w:shd w:val="clear" w:color="auto" w:fill="F8981D"/>
          </w:tcPr>
          <w:p>
            <w:pPr>
              <w:spacing w:after="0"/>
              <w:rPr>
                <w:sz w:val="12"/>
                <w:szCs w:val="12"/>
                <w:color w:val="auto"/>
              </w:rPr>
            </w:pPr>
          </w:p>
        </w:tc>
        <w:tc>
          <w:tcPr>
            <w:tcW w:w="1380" w:type="dxa"/>
            <w:vAlign w:val="bottom"/>
            <w:shd w:val="clear" w:color="auto" w:fill="F8981D"/>
          </w:tcPr>
          <w:p>
            <w:pPr>
              <w:spacing w:after="0"/>
              <w:rPr>
                <w:sz w:val="12"/>
                <w:szCs w:val="12"/>
                <w:color w:val="auto"/>
              </w:rPr>
            </w:pPr>
          </w:p>
        </w:tc>
        <w:tc>
          <w:tcPr>
            <w:tcW w:w="1020" w:type="dxa"/>
            <w:vAlign w:val="bottom"/>
            <w:shd w:val="clear" w:color="auto" w:fill="F8981D"/>
          </w:tcPr>
          <w:p>
            <w:pPr>
              <w:spacing w:after="0"/>
              <w:rPr>
                <w:sz w:val="12"/>
                <w:szCs w:val="12"/>
                <w:color w:val="auto"/>
              </w:rPr>
            </w:pPr>
          </w:p>
        </w:tc>
        <w:tc>
          <w:tcPr>
            <w:tcW w:w="1280" w:type="dxa"/>
            <w:vAlign w:val="bottom"/>
            <w:shd w:val="clear" w:color="auto" w:fill="F8981D"/>
          </w:tcPr>
          <w:p>
            <w:pPr>
              <w:jc w:val="right"/>
              <w:ind w:right="38"/>
              <w:spacing w:after="0"/>
              <w:rPr>
                <w:sz w:val="20"/>
                <w:szCs w:val="20"/>
                <w:color w:val="auto"/>
              </w:rPr>
            </w:pPr>
            <w:r>
              <w:rPr>
                <w:rFonts w:ascii="Arial" w:cs="Arial" w:eastAsia="Arial" w:hAnsi="Arial"/>
                <w:sz w:val="12"/>
                <w:szCs w:val="12"/>
                <w:b w:val="1"/>
                <w:bCs w:val="1"/>
                <w:color w:val="FFFFFF"/>
              </w:rPr>
              <w:t>thousand tonnes</w:t>
            </w:r>
          </w:p>
        </w:tc>
      </w:tr>
      <w:tr>
        <w:trPr>
          <w:trHeight w:val="133"/>
        </w:trPr>
        <w:tc>
          <w:tcPr>
            <w:tcW w:w="516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02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2004</w:t>
            </w:r>
          </w:p>
        </w:tc>
        <w:tc>
          <w:tcPr>
            <w:tcW w:w="12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160" w:type="dxa"/>
            <w:vAlign w:val="bottom"/>
          </w:tcPr>
          <w:p>
            <w:pPr>
              <w:spacing w:after="0" w:line="128" w:lineRule="exact"/>
              <w:rPr>
                <w:sz w:val="20"/>
                <w:szCs w:val="20"/>
                <w:color w:val="auto"/>
              </w:rPr>
            </w:pPr>
            <w:r>
              <w:rPr>
                <w:rFonts w:ascii="Arial" w:cs="Arial" w:eastAsia="Arial" w:hAnsi="Arial"/>
                <w:sz w:val="12"/>
                <w:szCs w:val="12"/>
                <w:color w:val="auto"/>
              </w:rPr>
              <w:t>Europe</w:t>
            </w:r>
          </w:p>
        </w:tc>
        <w:tc>
          <w:tcPr>
            <w:tcW w:w="8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8,908</w:t>
            </w:r>
          </w:p>
        </w:tc>
        <w:tc>
          <w:tcPr>
            <w:tcW w:w="17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9,361</w:t>
            </w:r>
          </w:p>
        </w:tc>
        <w:tc>
          <w:tcPr>
            <w:tcW w:w="13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10,018</w:t>
            </w:r>
          </w:p>
        </w:tc>
        <w:tc>
          <w:tcPr>
            <w:tcW w:w="102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10,159</w:t>
            </w:r>
          </w:p>
        </w:tc>
        <w:tc>
          <w:tcPr>
            <w:tcW w:w="12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9,902</w:t>
            </w: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5,466</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5,673</w:t>
            </w:r>
          </w:p>
        </w:tc>
        <w:tc>
          <w:tcPr>
            <w:tcW w:w="13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5,252</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5,526</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5,397</w:t>
            </w: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7,469</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7,464</w:t>
            </w:r>
          </w:p>
        </w:tc>
        <w:tc>
          <w:tcPr>
            <w:tcW w:w="13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6,893</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7,819</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7,108</w:t>
            </w:r>
          </w:p>
        </w:tc>
      </w:tr>
      <w:tr>
        <w:trPr>
          <w:trHeight w:val="139"/>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712</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639</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663</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656</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701</w:t>
            </w:r>
          </w:p>
        </w:tc>
      </w:tr>
      <w:tr>
        <w:trPr>
          <w:trHeight w:val="146"/>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22,555</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23,137</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22,826</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24,160</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23,108</w:t>
            </w:r>
          </w:p>
        </w:tc>
      </w:tr>
    </w:tbl>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160" w:type="dxa"/>
            <w:vAlign w:val="bottom"/>
            <w:shd w:val="clear" w:color="auto" w:fill="F8981D"/>
          </w:tcPr>
          <w:p>
            <w:pPr>
              <w:spacing w:after="0"/>
              <w:rPr>
                <w:sz w:val="20"/>
                <w:szCs w:val="20"/>
                <w:color w:val="auto"/>
              </w:rPr>
            </w:pPr>
            <w:r>
              <w:rPr>
                <w:rFonts w:ascii="Arial" w:cs="Arial" w:eastAsia="Arial" w:hAnsi="Arial"/>
                <w:sz w:val="12"/>
                <w:szCs w:val="12"/>
                <w:b w:val="1"/>
                <w:bCs w:val="1"/>
                <w:color w:val="FFFFFF"/>
              </w:rPr>
              <w:t xml:space="preserve">REVENUE BY GEOGRAPHICAL AREA </w:t>
            </w:r>
            <w:r>
              <w:rPr>
                <w:rFonts w:ascii="Arial" w:cs="Arial" w:eastAsia="Arial" w:hAnsi="Arial"/>
                <w:sz w:val="10"/>
                <w:szCs w:val="10"/>
                <w:color w:val="FFFFFF"/>
              </w:rPr>
              <w:t>[B]</w:t>
            </w:r>
          </w:p>
        </w:tc>
        <w:tc>
          <w:tcPr>
            <w:tcW w:w="820" w:type="dxa"/>
            <w:vAlign w:val="bottom"/>
            <w:shd w:val="clear" w:color="auto" w:fill="F8981D"/>
          </w:tcPr>
          <w:p>
            <w:pPr>
              <w:spacing w:after="0"/>
              <w:rPr>
                <w:sz w:val="12"/>
                <w:szCs w:val="12"/>
                <w:color w:val="auto"/>
              </w:rPr>
            </w:pPr>
          </w:p>
        </w:tc>
        <w:tc>
          <w:tcPr>
            <w:tcW w:w="1760" w:type="dxa"/>
            <w:vAlign w:val="bottom"/>
            <w:shd w:val="clear" w:color="auto" w:fill="F8981D"/>
          </w:tcPr>
          <w:p>
            <w:pPr>
              <w:spacing w:after="0"/>
              <w:rPr>
                <w:sz w:val="12"/>
                <w:szCs w:val="12"/>
                <w:color w:val="auto"/>
              </w:rPr>
            </w:pPr>
          </w:p>
        </w:tc>
        <w:tc>
          <w:tcPr>
            <w:tcW w:w="1380" w:type="dxa"/>
            <w:vAlign w:val="bottom"/>
            <w:shd w:val="clear" w:color="auto" w:fill="F8981D"/>
          </w:tcPr>
          <w:p>
            <w:pPr>
              <w:spacing w:after="0"/>
              <w:rPr>
                <w:sz w:val="12"/>
                <w:szCs w:val="12"/>
                <w:color w:val="auto"/>
              </w:rPr>
            </w:pPr>
          </w:p>
        </w:tc>
        <w:tc>
          <w:tcPr>
            <w:tcW w:w="1280" w:type="dxa"/>
            <w:vAlign w:val="bottom"/>
            <w:shd w:val="clear" w:color="auto" w:fill="F8981D"/>
          </w:tcPr>
          <w:p>
            <w:pPr>
              <w:spacing w:after="0"/>
              <w:rPr>
                <w:sz w:val="12"/>
                <w:szCs w:val="12"/>
                <w:color w:val="auto"/>
              </w:rPr>
            </w:pPr>
          </w:p>
        </w:tc>
        <w:tc>
          <w:tcPr>
            <w:tcW w:w="1020" w:type="dxa"/>
            <w:vAlign w:val="bottom"/>
            <w:shd w:val="clear" w:color="auto" w:fill="F8981D"/>
          </w:tcPr>
          <w:p>
            <w:pPr>
              <w:jc w:val="right"/>
              <w:ind w:right="3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516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28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160" w:type="dxa"/>
            <w:vAlign w:val="bottom"/>
          </w:tcPr>
          <w:p>
            <w:pPr>
              <w:spacing w:after="0" w:line="128" w:lineRule="exact"/>
              <w:rPr>
                <w:sz w:val="20"/>
                <w:szCs w:val="20"/>
                <w:color w:val="auto"/>
              </w:rPr>
            </w:pPr>
            <w:r>
              <w:rPr>
                <w:rFonts w:ascii="Arial" w:cs="Arial" w:eastAsia="Arial" w:hAnsi="Arial"/>
                <w:sz w:val="12"/>
                <w:szCs w:val="12"/>
                <w:color w:val="auto"/>
              </w:rPr>
              <w:t>Europe</w:t>
            </w:r>
          </w:p>
        </w:tc>
        <w:tc>
          <w:tcPr>
            <w:tcW w:w="8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10,492</w:t>
            </w:r>
          </w:p>
        </w:tc>
        <w:tc>
          <w:tcPr>
            <w:tcW w:w="17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9,642</w:t>
            </w:r>
          </w:p>
        </w:tc>
        <w:tc>
          <w:tcPr>
            <w:tcW w:w="13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8,981</w:t>
            </w:r>
          </w:p>
        </w:tc>
        <w:tc>
          <w:tcPr>
            <w:tcW w:w="128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7,873</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5,617</w:t>
            </w: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color w:val="auto"/>
              </w:rPr>
              <w:t>Other Eastern Hemisphere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5,979</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5,538</w:t>
            </w:r>
          </w:p>
        </w:tc>
        <w:tc>
          <w:tcPr>
            <w:tcW w:w="13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4,640</w:t>
            </w:r>
          </w:p>
        </w:tc>
        <w:tc>
          <w:tcPr>
            <w:tcW w:w="12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4,530</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3,092</w:t>
            </w:r>
          </w:p>
        </w:tc>
      </w:tr>
      <w:tr>
        <w:trPr>
          <w:trHeight w:val="133"/>
        </w:trPr>
        <w:tc>
          <w:tcPr>
            <w:tcW w:w="5160" w:type="dxa"/>
            <w:vAlign w:val="bottom"/>
          </w:tcPr>
          <w:p>
            <w:pPr>
              <w:spacing w:after="0" w:line="133" w:lineRule="exact"/>
              <w:rPr>
                <w:sz w:val="20"/>
                <w:szCs w:val="20"/>
                <w:color w:val="auto"/>
              </w:rPr>
            </w:pPr>
            <w:r>
              <w:rPr>
                <w:rFonts w:ascii="Arial" w:cs="Arial" w:eastAsia="Arial" w:hAnsi="Arial"/>
                <w:sz w:val="12"/>
                <w:szCs w:val="12"/>
                <w:color w:val="auto"/>
              </w:rPr>
              <w:t>USA</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7,948</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7,669</w:t>
            </w:r>
          </w:p>
        </w:tc>
        <w:tc>
          <w:tcPr>
            <w:tcW w:w="138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6,564</w:t>
            </w:r>
          </w:p>
        </w:tc>
        <w:tc>
          <w:tcPr>
            <w:tcW w:w="12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6,159</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4,369</w:t>
            </w:r>
          </w:p>
        </w:tc>
      </w:tr>
      <w:tr>
        <w:trPr>
          <w:trHeight w:val="139"/>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Western Hemisphere</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919</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758</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735</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616</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486</w:t>
            </w:r>
          </w:p>
        </w:tc>
      </w:tr>
      <w:tr>
        <w:trPr>
          <w:trHeight w:val="140"/>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chemical products revenue</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25,338</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23,607</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20,920</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19,178</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13,564</w:t>
            </w:r>
          </w:p>
        </w:tc>
      </w:tr>
      <w:tr>
        <w:trPr>
          <w:trHeight w:val="140"/>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Non-chemical products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4,648</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4,124</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2,998</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2,311</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1,622</w:t>
            </w:r>
          </w:p>
        </w:tc>
      </w:tr>
      <w:tr>
        <w:trPr>
          <w:trHeight w:val="146"/>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29,986</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27,731</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23,918</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21,489</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15,186</w:t>
            </w:r>
          </w:p>
        </w:tc>
      </w:tr>
      <w:tr>
        <w:trPr>
          <w:trHeight w:val="147"/>
        </w:trPr>
        <w:tc>
          <w:tcPr>
            <w:tcW w:w="5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3"/>
        </w:trPr>
        <w:tc>
          <w:tcPr>
            <w:tcW w:w="5160" w:type="dxa"/>
            <w:vAlign w:val="bottom"/>
            <w:shd w:val="clear" w:color="auto" w:fill="F8981D"/>
          </w:tcPr>
          <w:p>
            <w:pPr>
              <w:spacing w:after="0" w:line="133" w:lineRule="exact"/>
              <w:rPr>
                <w:sz w:val="20"/>
                <w:szCs w:val="20"/>
                <w:color w:val="auto"/>
              </w:rPr>
            </w:pPr>
            <w:r>
              <w:rPr>
                <w:rFonts w:ascii="Arial" w:cs="Arial" w:eastAsia="Arial" w:hAnsi="Arial"/>
                <w:sz w:val="12"/>
                <w:szCs w:val="12"/>
                <w:b w:val="1"/>
                <w:bCs w:val="1"/>
                <w:color w:val="FFFFFF"/>
              </w:rPr>
              <w:t xml:space="preserve">ETHYLENE CAPACITY - SHELL AND EQUITY-ACCOUNTED INVESTMENTS </w:t>
            </w:r>
            <w:r>
              <w:rPr>
                <w:rFonts w:ascii="Arial" w:cs="Arial" w:eastAsia="Arial" w:hAnsi="Arial"/>
                <w:sz w:val="10"/>
                <w:szCs w:val="10"/>
                <w:color w:val="FFFFFF"/>
              </w:rPr>
              <w:t>[C]</w:t>
            </w:r>
          </w:p>
        </w:tc>
        <w:tc>
          <w:tcPr>
            <w:tcW w:w="820" w:type="dxa"/>
            <w:vAlign w:val="bottom"/>
            <w:shd w:val="clear" w:color="auto" w:fill="F8981D"/>
          </w:tcPr>
          <w:p>
            <w:pPr>
              <w:spacing w:after="0"/>
              <w:rPr>
                <w:sz w:val="11"/>
                <w:szCs w:val="11"/>
                <w:color w:val="auto"/>
              </w:rPr>
            </w:pPr>
          </w:p>
        </w:tc>
        <w:tc>
          <w:tcPr>
            <w:tcW w:w="1760" w:type="dxa"/>
            <w:vAlign w:val="bottom"/>
            <w:shd w:val="clear" w:color="auto" w:fill="F8981D"/>
          </w:tcPr>
          <w:p>
            <w:pPr>
              <w:spacing w:after="0"/>
              <w:rPr>
                <w:sz w:val="11"/>
                <w:szCs w:val="11"/>
                <w:color w:val="auto"/>
              </w:rPr>
            </w:pPr>
          </w:p>
        </w:tc>
        <w:tc>
          <w:tcPr>
            <w:tcW w:w="1380" w:type="dxa"/>
            <w:vAlign w:val="bottom"/>
            <w:shd w:val="clear" w:color="auto" w:fill="F8981D"/>
          </w:tcPr>
          <w:p>
            <w:pPr>
              <w:spacing w:after="0"/>
              <w:rPr>
                <w:sz w:val="11"/>
                <w:szCs w:val="11"/>
                <w:color w:val="auto"/>
              </w:rPr>
            </w:pPr>
          </w:p>
        </w:tc>
        <w:tc>
          <w:tcPr>
            <w:tcW w:w="1280" w:type="dxa"/>
            <w:vAlign w:val="bottom"/>
            <w:shd w:val="clear" w:color="auto" w:fill="F8981D"/>
          </w:tcPr>
          <w:p>
            <w:pPr>
              <w:spacing w:after="0"/>
              <w:rPr>
                <w:sz w:val="11"/>
                <w:szCs w:val="11"/>
                <w:color w:val="auto"/>
              </w:rPr>
            </w:pPr>
          </w:p>
        </w:tc>
        <w:tc>
          <w:tcPr>
            <w:tcW w:w="1020" w:type="dxa"/>
            <w:vAlign w:val="bottom"/>
            <w:shd w:val="clear" w:color="auto" w:fill="F8981D"/>
          </w:tcPr>
          <w:p>
            <w:pPr>
              <w:spacing w:after="0"/>
              <w:rPr>
                <w:sz w:val="11"/>
                <w:szCs w:val="11"/>
                <w:color w:val="auto"/>
              </w:rPr>
            </w:pPr>
          </w:p>
        </w:tc>
      </w:tr>
      <w:tr>
        <w:trPr>
          <w:trHeight w:val="133"/>
        </w:trPr>
        <w:tc>
          <w:tcPr>
            <w:tcW w:w="516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38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2005</w:t>
            </w:r>
          </w:p>
        </w:tc>
        <w:tc>
          <w:tcPr>
            <w:tcW w:w="128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2003</w:t>
            </w:r>
          </w:p>
        </w:tc>
      </w:tr>
      <w:tr>
        <w:trPr>
          <w:trHeight w:val="127"/>
        </w:trPr>
        <w:tc>
          <w:tcPr>
            <w:tcW w:w="5160" w:type="dxa"/>
            <w:vAlign w:val="bottom"/>
          </w:tcPr>
          <w:p>
            <w:pPr>
              <w:spacing w:after="0" w:line="128" w:lineRule="exact"/>
              <w:rPr>
                <w:sz w:val="20"/>
                <w:szCs w:val="20"/>
                <w:color w:val="auto"/>
              </w:rPr>
            </w:pPr>
            <w:r>
              <w:rPr>
                <w:rFonts w:ascii="Arial" w:cs="Arial" w:eastAsia="Arial" w:hAnsi="Arial"/>
                <w:sz w:val="12"/>
                <w:szCs w:val="12"/>
                <w:color w:val="auto"/>
              </w:rPr>
              <w:t>Nominal capacity (thousand tonnes/year)</w:t>
            </w:r>
          </w:p>
        </w:tc>
        <w:tc>
          <w:tcPr>
            <w:tcW w:w="82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6,216</w:t>
            </w:r>
          </w:p>
        </w:tc>
        <w:tc>
          <w:tcPr>
            <w:tcW w:w="17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6,178</w:t>
            </w:r>
          </w:p>
        </w:tc>
        <w:tc>
          <w:tcPr>
            <w:tcW w:w="138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6,414</w:t>
            </w:r>
          </w:p>
        </w:tc>
        <w:tc>
          <w:tcPr>
            <w:tcW w:w="128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6,701</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6,203</w:t>
            </w:r>
          </w:p>
        </w:tc>
      </w:tr>
      <w:tr>
        <w:trPr>
          <w:trHeight w:val="146"/>
        </w:trPr>
        <w:tc>
          <w:tcPr>
            <w:tcW w:w="51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Utilisation (%)</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90</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86</w:t>
            </w: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86</w:t>
            </w:r>
          </w:p>
        </w:tc>
        <w:tc>
          <w:tcPr>
            <w:tcW w:w="12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87</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90</w:t>
            </w:r>
          </w:p>
        </w:tc>
      </w:tr>
    </w:tbl>
    <w:p>
      <w:pPr>
        <w:spacing w:after="0" w:line="3" w:lineRule="exact"/>
        <w:rPr>
          <w:sz w:val="20"/>
          <w:szCs w:val="20"/>
          <w:color w:val="auto"/>
        </w:rPr>
      </w:pPr>
    </w:p>
    <w:p>
      <w:pPr>
        <w:ind w:left="280" w:hanging="273"/>
        <w:spacing w:after="0"/>
        <w:tabs>
          <w:tab w:leader="none" w:pos="2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Excluding volumes sold by equity-accounted investments, chemical feedstock trading and by-products.</w:t>
      </w:r>
    </w:p>
    <w:p>
      <w:pPr>
        <w:ind w:left="280" w:hanging="273"/>
        <w:spacing w:after="0" w:line="231" w:lineRule="auto"/>
        <w:tabs>
          <w:tab w:leader="none" w:pos="2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Excluding revenue from equity-accounted investments, chemical feedstock trading and intersegment revenue.</w:t>
      </w:r>
    </w:p>
    <w:p>
      <w:pPr>
        <w:ind w:left="280" w:hanging="273"/>
        <w:spacing w:after="0"/>
        <w:tabs>
          <w:tab w:leader="none" w:pos="280" w:val="left"/>
        </w:tabs>
        <w:numPr>
          <w:ilvl w:val="0"/>
          <w:numId w:val="68"/>
        </w:numPr>
        <w:rPr>
          <w:rFonts w:ascii="Arial" w:cs="Arial" w:eastAsia="Arial" w:hAnsi="Arial"/>
          <w:sz w:val="12"/>
          <w:szCs w:val="12"/>
          <w:color w:val="auto"/>
        </w:rPr>
      </w:pPr>
      <w:r>
        <w:rPr>
          <w:rFonts w:ascii="Arial" w:cs="Arial" w:eastAsia="Arial" w:hAnsi="Arial"/>
          <w:sz w:val="12"/>
          <w:szCs w:val="12"/>
          <w:color w:val="auto"/>
        </w:rPr>
        <w:t>Data includes our share of capacity entitlement (offtake rights) that may be different from nominal equity interest.</w:t>
      </w:r>
    </w:p>
    <w:p>
      <w:pPr>
        <w:sectPr>
          <w:pgSz w:w="11900" w:h="16838" w:orient="portrait"/>
          <w:cols w:equalWidth="0" w:num="1">
            <w:col w:w="11420"/>
          </w:cols>
          <w:pgMar w:left="240" w:top="415" w:right="239" w:bottom="1440" w:gutter="0" w:footer="0" w:header="0"/>
          <w:type w:val="continuous"/>
        </w:sectPr>
      </w:pPr>
    </w:p>
    <w:p>
      <w:pPr>
        <w:spacing w:after="0" w:line="8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At December 31, 2007, Shell had major interests in chemical manufacturing plants, as described below.</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EUROPE</w:t>
      </w:r>
    </w:p>
    <w:p>
      <w:pPr>
        <w:spacing w:after="0" w:line="6"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b w:val="1"/>
          <w:bCs w:val="1"/>
          <w:color w:val="auto"/>
        </w:rPr>
        <w:t xml:space="preserve">France </w:t>
      </w:r>
      <w:r>
        <w:rPr>
          <w:rFonts w:ascii="Arial" w:cs="Arial" w:eastAsia="Arial" w:hAnsi="Arial"/>
          <w:sz w:val="14"/>
          <w:szCs w:val="14"/>
          <w:color w:val="auto"/>
        </w:rPr>
        <w:t>At Berre l’Etang, Shell Pétrochimie Méditerranée S.A.S. (SPM) (Shell interest 100%),</w:t>
      </w:r>
      <w:r>
        <w:rPr>
          <w:rFonts w:ascii="Arial" w:cs="Arial" w:eastAsia="Arial" w:hAnsi="Arial"/>
          <w:sz w:val="14"/>
          <w:szCs w:val="14"/>
          <w:b w:val="1"/>
          <w:bCs w:val="1"/>
          <w:color w:val="auto"/>
        </w:rPr>
        <w:t xml:space="preserve"> </w:t>
      </w:r>
      <w:r>
        <w:rPr>
          <w:rFonts w:ascii="Arial" w:cs="Arial" w:eastAsia="Arial" w:hAnsi="Arial"/>
          <w:sz w:val="14"/>
          <w:szCs w:val="14"/>
          <w:color w:val="auto"/>
        </w:rPr>
        <w:t>owns and operates petrochemicals units manufacturing solvents, and di-isobutylene. SPM also operates at Berre additives units on behalf of Infineum, several polymer units on behalf of third party companies, and Basell’s ethylene cracker, logistics assets and butadiene plant. In line with Shell’s strategy and active portfolio management, Société des Pétroles Shell has signed a sale and purchase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agreement for the sale of its Berre-l’Etang refinery site complex and associated infrastructure and businesses to Basell.</w:t>
      </w:r>
    </w:p>
    <w:p>
      <w:pPr>
        <w:spacing w:after="0" w:line="171" w:lineRule="exact"/>
        <w:rPr>
          <w:sz w:val="20"/>
          <w:szCs w:val="20"/>
          <w:color w:val="auto"/>
        </w:rPr>
      </w:pPr>
    </w:p>
    <w:p>
      <w:pPr>
        <w:ind w:right="40"/>
        <w:spacing w:after="0" w:line="246" w:lineRule="auto"/>
        <w:rPr>
          <w:sz w:val="20"/>
          <w:szCs w:val="20"/>
          <w:color w:val="auto"/>
        </w:rPr>
      </w:pPr>
      <w:r>
        <w:rPr>
          <w:rFonts w:ascii="Arial" w:cs="Arial" w:eastAsia="Arial" w:hAnsi="Arial"/>
          <w:sz w:val="13"/>
          <w:szCs w:val="13"/>
          <w:b w:val="1"/>
          <w:bCs w:val="1"/>
          <w:color w:val="auto"/>
        </w:rPr>
        <w:t xml:space="preserve">Germany </w:t>
      </w:r>
      <w:r>
        <w:rPr>
          <w:rFonts w:ascii="Arial" w:cs="Arial" w:eastAsia="Arial" w:hAnsi="Arial"/>
          <w:sz w:val="13"/>
          <w:szCs w:val="13"/>
          <w:color w:val="auto"/>
        </w:rPr>
        <w:t>Shell Deutschland Oil GmbH (SDO) (Shell interest 100%) owns and operates</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manufacturing plants in Hamburg (hydrocarbon solvents), Godorf (benzene and toluene), Wesseling (ethylene, propylene, BTX and methanol), and Heide (ethylene, propylene, BTX and hydrocarbon solvents). By virtue of Shell’s interest (32.25%) in the relevant manufacturing company, Shell Chemicals Europe B.V. (SCE) is entitled to a proportion of the production of propylene and methyl tertiary butyl ether (MTBE) from plants in Karlsruhe. Due to Shell’s</w:t>
      </w:r>
    </w:p>
    <w:p>
      <w:pPr>
        <w:spacing w:after="0" w:line="353" w:lineRule="exact"/>
        <w:rPr>
          <w:sz w:val="20"/>
          <w:szCs w:val="20"/>
          <w:color w:val="auto"/>
        </w:rPr>
      </w:pPr>
    </w:p>
    <w:p>
      <w:pPr>
        <w:sectPr>
          <w:pgSz w:w="11900" w:h="16838" w:orient="portrait"/>
          <w:cols w:equalWidth="0" w:num="2">
            <w:col w:w="5480" w:space="460"/>
            <w:col w:w="5480"/>
          </w:cols>
          <w:pgMar w:left="240" w:top="415" w:right="239" w:bottom="1440" w:gutter="0" w:footer="0" w:header="0"/>
          <w:type w:val="continuous"/>
        </w:sectPr>
      </w:pPr>
    </w:p>
    <w:p>
      <w:pPr>
        <w:spacing w:after="0" w:line="14" w:lineRule="exact"/>
        <w:rPr>
          <w:sz w:val="20"/>
          <w:szCs w:val="20"/>
          <w:color w:val="auto"/>
        </w:rPr>
      </w:pPr>
    </w:p>
    <w:p>
      <w:pPr>
        <w:ind w:left="280" w:hanging="273"/>
        <w:spacing w:after="0"/>
        <w:tabs>
          <w:tab w:leader="none" w:pos="280" w:val="left"/>
        </w:tabs>
        <w:numPr>
          <w:ilvl w:val="0"/>
          <w:numId w:val="69"/>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97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share interest (37.5%) in a company in Schwedt, SCE receives propylene and BTX.</w:t>
      </w:r>
    </w:p>
    <w:p>
      <w:pPr>
        <w:spacing w:after="0" w:line="206" w:lineRule="exact"/>
        <w:rPr>
          <w:sz w:val="20"/>
          <w:szCs w:val="20"/>
          <w:color w:val="auto"/>
        </w:rPr>
      </w:pPr>
    </w:p>
    <w:p>
      <w:pPr>
        <w:spacing w:after="0" w:line="239" w:lineRule="auto"/>
        <w:rPr>
          <w:sz w:val="20"/>
          <w:szCs w:val="20"/>
          <w:color w:val="auto"/>
        </w:rPr>
      </w:pPr>
      <w:r>
        <w:rPr>
          <w:rFonts w:ascii="Arial" w:cs="Arial" w:eastAsia="Arial" w:hAnsi="Arial"/>
          <w:sz w:val="13"/>
          <w:szCs w:val="13"/>
          <w:b w:val="1"/>
          <w:bCs w:val="1"/>
          <w:color w:val="auto"/>
        </w:rPr>
        <w:t xml:space="preserve">The Netherlands </w:t>
      </w:r>
      <w:r>
        <w:rPr>
          <w:rFonts w:ascii="Arial" w:cs="Arial" w:eastAsia="Arial" w:hAnsi="Arial"/>
          <w:sz w:val="13"/>
          <w:szCs w:val="13"/>
          <w:color w:val="auto"/>
        </w:rPr>
        <w:t>Shell Nederland Chemie B.V. (SNC) (Shell interest 100%)</w:t>
      </w:r>
      <w:r>
        <w:rPr>
          <w:rFonts w:ascii="Arial" w:cs="Arial" w:eastAsia="Arial" w:hAnsi="Arial"/>
          <w:sz w:val="13"/>
          <w:szCs w:val="13"/>
          <w:b w:val="1"/>
          <w:bCs w:val="1"/>
          <w:color w:val="auto"/>
        </w:rPr>
        <w:t xml:space="preserve"> </w:t>
      </w:r>
      <w:r>
        <w:rPr>
          <w:rFonts w:ascii="Arial" w:cs="Arial" w:eastAsia="Arial" w:hAnsi="Arial"/>
          <w:sz w:val="13"/>
          <w:szCs w:val="13"/>
          <w:color w:val="auto"/>
        </w:rPr>
        <w:t>manufactures at the Pernis facility solvents, MTBE, brake fluids, glycol ethers, urethanes (polyols) and isoprenes and operates an Elastomers (Kraton) plant on behalf of a third party company. Manufacturing of butene ceased in December 2007 and since July 2007 we no longer operate the Basell polypropylene plant. At the Moerdijk facility, SNC manufactures lower olefins, benzene, butadiene, ethyl benzene, ethylene glycols, ethylene oxide, and styrene monomer/propylene oxide (SM/PO) and operates a VEOVA (Hexion) plant on behalf of a third party company. SNC also operates at Moerdijk a SM/PO plant owned by Ellba CV, a 50:50 joint venture between Shell and BASF. Shell Chemicals Europe B.V. is the sole Shell supply and marketing company for chemicals products in Western Europe and is responsible for chemicals sales contracts, chemicals logistic contracts, chemicals distribution agreements, supply chain management, and procurement of feedstock and process chemicals across the region.</w:t>
      </w:r>
    </w:p>
    <w:p>
      <w:pPr>
        <w:spacing w:after="0" w:line="182" w:lineRule="exact"/>
        <w:rPr>
          <w:sz w:val="20"/>
          <w:szCs w:val="20"/>
          <w:color w:val="auto"/>
        </w:rPr>
      </w:pPr>
    </w:p>
    <w:p>
      <w:pPr>
        <w:ind w:right="20"/>
        <w:spacing w:after="0"/>
        <w:rPr>
          <w:sz w:val="20"/>
          <w:szCs w:val="20"/>
          <w:color w:val="auto"/>
        </w:rPr>
      </w:pPr>
      <w:r>
        <w:rPr>
          <w:rFonts w:ascii="Arial" w:cs="Arial" w:eastAsia="Arial" w:hAnsi="Arial"/>
          <w:sz w:val="13"/>
          <w:szCs w:val="13"/>
          <w:b w:val="1"/>
          <w:bCs w:val="1"/>
          <w:color w:val="auto"/>
        </w:rPr>
        <w:t xml:space="preserve">UK </w:t>
      </w:r>
      <w:r>
        <w:rPr>
          <w:rFonts w:ascii="Arial" w:cs="Arial" w:eastAsia="Arial" w:hAnsi="Arial"/>
          <w:sz w:val="13"/>
          <w:szCs w:val="13"/>
          <w:color w:val="auto"/>
        </w:rPr>
        <w:t>Shell U.K. Oil Products Ltd. (as an agent for Shell U.K. Ltd.) operates Shell</w:t>
      </w:r>
      <w:r>
        <w:rPr>
          <w:rFonts w:ascii="Arial" w:cs="Arial" w:eastAsia="Arial" w:hAnsi="Arial"/>
          <w:sz w:val="13"/>
          <w:szCs w:val="13"/>
          <w:b w:val="1"/>
          <w:bCs w:val="1"/>
          <w:color w:val="auto"/>
        </w:rPr>
        <w:t xml:space="preserve"> </w:t>
      </w:r>
      <w:r>
        <w:rPr>
          <w:rFonts w:ascii="Arial" w:cs="Arial" w:eastAsia="Arial" w:hAnsi="Arial"/>
          <w:sz w:val="13"/>
          <w:szCs w:val="13"/>
          <w:color w:val="auto"/>
        </w:rPr>
        <w:t>Chemicals U.K. Ltd’s (SCUK’s) (Shell interest 100%) plant at Stanlow, which produces propylene, benzene, toluene, and higher olefins and derivatives. In July 2007, SCUK closed its plant at Carrington, which was previously operated by Basell and produced derivatives from ethylene oxide (ethoxylates) and polyols. The production of the polyols was transferred to SNC’s polyols facility at Pernis. SCUK also owns NEODOL</w:t>
      </w:r>
      <w:r>
        <w:rPr>
          <w:rFonts w:ascii="Arial" w:cs="Arial" w:eastAsia="Arial" w:hAnsi="Arial"/>
          <w:sz w:val="11"/>
          <w:szCs w:val="11"/>
          <w:color w:val="auto"/>
        </w:rPr>
        <w:t>®</w:t>
      </w:r>
      <w:r>
        <w:rPr>
          <w:rFonts w:ascii="Arial" w:cs="Arial" w:eastAsia="Arial" w:hAnsi="Arial"/>
          <w:sz w:val="13"/>
          <w:szCs w:val="13"/>
          <w:color w:val="auto"/>
        </w:rPr>
        <w:t xml:space="preserve"> ethoxylates assets operated by Uniqema at Wilton. The ethoxylates production at Carrington was transferred to Wilton during the year. SCE has indirect rights to an ethylene oxide supply from Dow’s Wilton facility. At Fife in Scotland, ExxonMobil owns and operates an ethylene plant from which, under a processing rights agreement, SCE is entitled to 50% of the output.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EASTERN HEMISPHERE</w:t>
      </w:r>
    </w:p>
    <w:p>
      <w:pPr>
        <w:spacing w:after="0" w:line="6" w:lineRule="exact"/>
        <w:rPr>
          <w:sz w:val="20"/>
          <w:szCs w:val="20"/>
          <w:color w:val="auto"/>
        </w:rPr>
      </w:pPr>
    </w:p>
    <w:p>
      <w:pPr>
        <w:ind w:right="120"/>
        <w:spacing w:after="0" w:line="259" w:lineRule="auto"/>
        <w:rPr>
          <w:sz w:val="20"/>
          <w:szCs w:val="20"/>
          <w:color w:val="auto"/>
        </w:rPr>
      </w:pPr>
      <w:r>
        <w:rPr>
          <w:rFonts w:ascii="Arial" w:cs="Arial" w:eastAsia="Arial" w:hAnsi="Arial"/>
          <w:sz w:val="12"/>
          <w:szCs w:val="12"/>
          <w:b w:val="1"/>
          <w:bCs w:val="1"/>
          <w:color w:val="auto"/>
        </w:rPr>
        <w:t xml:space="preserve">China </w:t>
      </w:r>
      <w:r>
        <w:rPr>
          <w:rFonts w:ascii="Arial" w:cs="Arial" w:eastAsia="Arial" w:hAnsi="Arial"/>
          <w:sz w:val="12"/>
          <w:szCs w:val="12"/>
          <w:color w:val="auto"/>
        </w:rPr>
        <w:t>CNOOC and Shell Petrochemicals Company Ltd. (CSPCL) is a 50:50 joint</w:t>
      </w:r>
      <w:r>
        <w:rPr>
          <w:rFonts w:ascii="Arial" w:cs="Arial" w:eastAsia="Arial" w:hAnsi="Arial"/>
          <w:sz w:val="12"/>
          <w:szCs w:val="12"/>
          <w:b w:val="1"/>
          <w:bCs w:val="1"/>
          <w:color w:val="auto"/>
        </w:rPr>
        <w:t xml:space="preserve"> </w:t>
      </w:r>
      <w:r>
        <w:rPr>
          <w:rFonts w:ascii="Arial" w:cs="Arial" w:eastAsia="Arial" w:hAnsi="Arial"/>
          <w:sz w:val="12"/>
          <w:szCs w:val="12"/>
          <w:color w:val="auto"/>
        </w:rPr>
        <w:t>venture between Shell and CNOOC Petrochemicals Investment Ltd. (CPIL). CPIL shareholders are CNOOC and the Guangdong Investment &amp; Development Company. Construction of the world scale production facilities, Nanhai, designed to produce 2.3 million metric tonnes of petrochemical products per annum, was completed end 2005. The complex is located in the Daya Bay Economic and Technological Development Zone in the Huizhou Municipality of Guangdong Province. Following a successful start-up in early 2006, the joint venture is now fully operational. CSPCL produces a range of petrochemicals, including ethylene, propylene, styrene monomer, propylene oxide, polyols, propylene glycol, mono-ethylene glycol, polypropylene, high-density polyethylene, low-density polyethylene and butadiene. These products are primarily marketed domestically to meet the demand in the Chinese market for petrochemicals.</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3"/>
          <w:szCs w:val="13"/>
          <w:b w:val="1"/>
          <w:bCs w:val="1"/>
          <w:color w:val="auto"/>
        </w:rPr>
        <w:t xml:space="preserve">Saudi Arabia </w:t>
      </w:r>
      <w:r>
        <w:rPr>
          <w:rFonts w:ascii="Arial" w:cs="Arial" w:eastAsia="Arial" w:hAnsi="Arial"/>
          <w:sz w:val="13"/>
          <w:szCs w:val="13"/>
          <w:color w:val="auto"/>
        </w:rPr>
        <w:t>Sadaf, a 50:50 joint venture between Shell and SABIC, owns and</w:t>
      </w:r>
      <w:r>
        <w:rPr>
          <w:rFonts w:ascii="Arial" w:cs="Arial" w:eastAsia="Arial" w:hAnsi="Arial"/>
          <w:sz w:val="13"/>
          <w:szCs w:val="13"/>
          <w:b w:val="1"/>
          <w:bCs w:val="1"/>
          <w:color w:val="auto"/>
        </w:rPr>
        <w:t xml:space="preserve"> </w:t>
      </w:r>
      <w:r>
        <w:rPr>
          <w:rFonts w:ascii="Arial" w:cs="Arial" w:eastAsia="Arial" w:hAnsi="Arial"/>
          <w:sz w:val="13"/>
          <w:szCs w:val="13"/>
          <w:color w:val="auto"/>
        </w:rPr>
        <w:t>operates a 1 million tonnes per year ethylene cracker and downstream plants capable of producing 3.6 million tonnes per annum of crude industrial ethanol, ethylene dichloride, caustic soda, styrene, and MTBE. The marketing arms of both partners handle the international marketing of Sadaf products, except for MTBE, which is marketed by SABIC. Our marketing effort is co-ordinated by Shell Trading (M.E.) Private Ltd. (Shell interest 100%) located in Dubai, United Arab Emirates.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b w:val="1"/>
          <w:bCs w:val="1"/>
          <w:color w:val="auto"/>
        </w:rPr>
        <w:t xml:space="preserve">Singapore </w:t>
      </w:r>
      <w:r>
        <w:rPr>
          <w:rFonts w:ascii="Arial" w:cs="Arial" w:eastAsia="Arial" w:hAnsi="Arial"/>
          <w:sz w:val="13"/>
          <w:szCs w:val="13"/>
          <w:color w:val="auto"/>
        </w:rPr>
        <w:t>Shell owns a 50% and 30% equity interest in two Sumitomo-managed joint</w:t>
      </w:r>
      <w:r>
        <w:rPr>
          <w:rFonts w:ascii="Arial" w:cs="Arial" w:eastAsia="Arial" w:hAnsi="Arial"/>
          <w:sz w:val="13"/>
          <w:szCs w:val="13"/>
          <w:b w:val="1"/>
          <w:bCs w:val="1"/>
          <w:color w:val="auto"/>
        </w:rPr>
        <w:t xml:space="preserve"> </w:t>
      </w:r>
      <w:r>
        <w:rPr>
          <w:rFonts w:ascii="Arial" w:cs="Arial" w:eastAsia="Arial" w:hAnsi="Arial"/>
          <w:sz w:val="13"/>
          <w:szCs w:val="13"/>
          <w:color w:val="auto"/>
        </w:rPr>
        <w:t>ventures, Petrochemical Corporation of Singapore (Private) Ltd. (PCS) and The Polyolefin Company (Singapore) Pte. Ltd. (TPC), respectively. PCS owns and operates two ethylene crackers with a total capacity of 1.1 million metric tonnes per annum of ethylene and 850,000 metric tonnes per annum of propylene. TPC owns and operates two polyolefin plants. Ethylene Glycols (Singapore) Pte. Ltd. (Shell interest 70%) owns and operates an ethylene oxide/glycols plant. Shell Chemicals Seraya Pte. Ltd. (SCSL) (Shell interest 100%) owns and operates a SM/PO plant, and operates a SM/PO plant owned by Ellba Eastern Pte Ltd., a 50:50 joint venture between Shell and BASF. SCSL also operates two propylene oxide derivatives plants and one mono-propylene glycol plant owned by Shell Eastern Petroleum (Pte) Ltd (SEPL). SEPL is building a world-scale ethylene cracker and MEG plant in Singapore with plant production expected to come on-stream in 2009/2010.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-1214120</wp:posOffset>
            </wp:positionV>
            <wp:extent cx="282575" cy="61741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2575" cy="617410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USA</w:t>
      </w:r>
    </w:p>
    <w:p>
      <w:pPr>
        <w:spacing w:after="0" w:line="6" w:lineRule="exact"/>
        <w:rPr>
          <w:sz w:val="20"/>
          <w:szCs w:val="20"/>
          <w:color w:val="auto"/>
        </w:rPr>
      </w:pPr>
    </w:p>
    <w:p>
      <w:pPr>
        <w:ind w:right="140"/>
        <w:spacing w:after="0" w:line="241" w:lineRule="auto"/>
        <w:rPr>
          <w:sz w:val="20"/>
          <w:szCs w:val="20"/>
          <w:color w:val="auto"/>
        </w:rPr>
      </w:pPr>
      <w:r>
        <w:rPr>
          <w:rFonts w:ascii="Arial" w:cs="Arial" w:eastAsia="Arial" w:hAnsi="Arial"/>
          <w:sz w:val="13"/>
          <w:szCs w:val="13"/>
          <w:color w:val="auto"/>
        </w:rPr>
        <w:t>Shell Chemical LP (SCLP) and other associated entities have manufacturing facilities located at Mobile, Alabama; Martinez, California; St. Rose, Geismar and Norco, Louisiana; and Deer Park, Texas. Chemical products include lower olefins, aromatics, phenol, solvents, ethylene oxide/glycols, higher olefins and their derivatives, RM17 catalyst, propanediol and additives. These chemical products are used in many consumer and industrial products and processes, primarily in the USA.</w:t>
      </w:r>
    </w:p>
    <w:p>
      <w:pPr>
        <w:spacing w:after="0" w:line="180"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Shell’s major chemicals’ joint ventures in the USA are: Infineum, a 50:50 joint venture between Shell and ExxonMobil, which formulates, manufactures, and markets high-quality additives for use in fuels, lubricants, and specialty additives and components; and Sabina Petrochemicals LLC, a joint venture owned by SCLP (62%), BASF Corporation (23%) and Total Petrochemicals USA, Inc. (15%) which produces butadiene at its facility at Port Arthur, Texas.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WESTERN HEMISPHERE</w:t>
      </w:r>
    </w:p>
    <w:p>
      <w:pPr>
        <w:spacing w:after="0" w:line="6" w:lineRule="exact"/>
        <w:rPr>
          <w:sz w:val="20"/>
          <w:szCs w:val="20"/>
          <w:color w:val="auto"/>
        </w:rPr>
      </w:pPr>
    </w:p>
    <w:p>
      <w:pPr>
        <w:ind w:right="40"/>
        <w:spacing w:after="0" w:line="237" w:lineRule="auto"/>
        <w:rPr>
          <w:sz w:val="20"/>
          <w:szCs w:val="20"/>
          <w:color w:val="auto"/>
        </w:rPr>
      </w:pPr>
      <w:r>
        <w:rPr>
          <w:rFonts w:ascii="Arial" w:cs="Arial" w:eastAsia="Arial" w:hAnsi="Arial"/>
          <w:sz w:val="13"/>
          <w:szCs w:val="13"/>
          <w:b w:val="1"/>
          <w:bCs w:val="1"/>
          <w:color w:val="auto"/>
        </w:rPr>
        <w:t xml:space="preserve">Canada </w:t>
      </w:r>
      <w:r>
        <w:rPr>
          <w:rFonts w:ascii="Arial" w:cs="Arial" w:eastAsia="Arial" w:hAnsi="Arial"/>
          <w:sz w:val="13"/>
          <w:szCs w:val="13"/>
          <w:color w:val="auto"/>
        </w:rPr>
        <w:t>Shell Chemicals Canada Ltd. (SCCL) (Shell interest 100%) produces styrene,</w:t>
      </w:r>
      <w:r>
        <w:rPr>
          <w:rFonts w:ascii="Arial" w:cs="Arial" w:eastAsia="Arial" w:hAnsi="Arial"/>
          <w:sz w:val="13"/>
          <w:szCs w:val="13"/>
          <w:b w:val="1"/>
          <w:bCs w:val="1"/>
          <w:color w:val="auto"/>
        </w:rPr>
        <w:t xml:space="preserve"> </w:t>
      </w:r>
      <w:r>
        <w:rPr>
          <w:rFonts w:ascii="Arial" w:cs="Arial" w:eastAsia="Arial" w:hAnsi="Arial"/>
          <w:sz w:val="13"/>
          <w:szCs w:val="13"/>
          <w:color w:val="auto"/>
        </w:rPr>
        <w:t>isopropyl alcohol, and ethylene glycol. Manufacturing locations are at Sarnia, Ontario and near Fort Saskatchewan, Alberta. SCCL sells its products to Shell Chemicals Americas Inc. (SCAI) (Shell interest 100%). SCAI is the marketing company for (i) all Canadian domestic sales of chemical products, (ii) all exports of Canadian made chemical products, and (iii) exports of US made chemical products where a Shell entity arranges transportation. PTT Poly Canada, L.P., a 50:50 joint venture (limited partnership pursuant to the Civil Code of Quebec, Canada) between SCCL and Investissements Petrochimie (2080) Inc., a subsidiary of the Société Générale de Financement du Québec, owns and operates a world-scale polytrimethylene terephthalate (PTT) plant near Montreal, Quebec, Canada. The joint venture markets PTT under the trademark CORTERRA Polymers, with its main use in carpet and textile fibres. A third party, Basell Canada Inc., operates the isopropyl alcohol plant at Sarnia on behalf of Shell Chemicals Canada Ltd.</w:t>
      </w:r>
    </w:p>
    <w:p>
      <w:pPr>
        <w:spacing w:after="0" w:line="182" w:lineRule="exact"/>
        <w:rPr>
          <w:sz w:val="20"/>
          <w:szCs w:val="20"/>
          <w:color w:val="auto"/>
        </w:rPr>
      </w:pPr>
    </w:p>
    <w:p>
      <w:pPr>
        <w:ind w:right="120"/>
        <w:spacing w:after="0" w:line="232" w:lineRule="auto"/>
        <w:rPr>
          <w:sz w:val="20"/>
          <w:szCs w:val="20"/>
          <w:color w:val="auto"/>
        </w:rPr>
      </w:pPr>
      <w:r>
        <w:rPr>
          <w:rFonts w:ascii="Arial" w:cs="Arial" w:eastAsia="Arial" w:hAnsi="Arial"/>
          <w:sz w:val="14"/>
          <w:szCs w:val="14"/>
          <w:b w:val="1"/>
          <w:bCs w:val="1"/>
          <w:color w:val="auto"/>
        </w:rPr>
        <w:t xml:space="preserve">Puerto Rico </w:t>
      </w:r>
      <w:r>
        <w:rPr>
          <w:rFonts w:ascii="Arial" w:cs="Arial" w:eastAsia="Arial" w:hAnsi="Arial"/>
          <w:sz w:val="14"/>
          <w:szCs w:val="14"/>
          <w:color w:val="auto"/>
        </w:rPr>
        <w:t>Shell Chemical Yabucoa Inc. (SCYI) (Shell interest 100%) owns and</w:t>
      </w:r>
      <w:r>
        <w:rPr>
          <w:rFonts w:ascii="Arial" w:cs="Arial" w:eastAsia="Arial" w:hAnsi="Arial"/>
          <w:sz w:val="14"/>
          <w:szCs w:val="14"/>
          <w:b w:val="1"/>
          <w:bCs w:val="1"/>
          <w:color w:val="auto"/>
        </w:rPr>
        <w:t xml:space="preserve"> </w:t>
      </w:r>
      <w:r>
        <w:rPr>
          <w:rFonts w:ascii="Arial" w:cs="Arial" w:eastAsia="Arial" w:hAnsi="Arial"/>
          <w:sz w:val="14"/>
          <w:szCs w:val="14"/>
          <w:color w:val="auto"/>
        </w:rPr>
        <w:t>operates a 77,000 barrel per day refinery producing feedstock for the Deer Park, Texas chemical plant. The facility also produces gasoline, diesel, jet fuel and residual fuels, primarily for use in Puerto Rico.</w:t>
      </w:r>
    </w:p>
    <w:p>
      <w:pPr>
        <w:spacing w:after="0" w:line="181"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1748790</wp:posOffset>
            </wp:positionV>
            <wp:extent cx="725297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20" w:space="240"/>
            <w:col w:w="5020"/>
          </w:cols>
          <w:pgMar w:left="240" w:top="415" w:right="1379" w:bottom="1440" w:gutter="0" w:footer="0" w:header="0"/>
        </w:sectPr>
      </w:pPr>
    </w:p>
    <w:bookmarkStart w:id="62" w:name="page63"/>
    <w:bookmarkEnd w:id="6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3645535" cy="83820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45535" cy="838200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40"/>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ind w:left="140"/>
        <w:spacing w:after="0"/>
        <w:rPr>
          <w:sz w:val="20"/>
          <w:szCs w:val="20"/>
          <w:color w:val="auto"/>
        </w:rPr>
      </w:pPr>
      <w:r>
        <w:rPr>
          <w:rFonts w:ascii="Arial" w:cs="Arial" w:eastAsia="Arial" w:hAnsi="Arial"/>
          <w:sz w:val="36"/>
          <w:szCs w:val="36"/>
          <w:color w:val="auto"/>
        </w:rPr>
        <w:t>Corporate</w:t>
      </w:r>
    </w:p>
    <w:p>
      <w:pPr>
        <w:spacing w:after="0" w:line="153" w:lineRule="exact"/>
        <w:rPr>
          <w:sz w:val="20"/>
          <w:szCs w:val="20"/>
          <w:color w:val="auto"/>
        </w:rPr>
      </w:pPr>
    </w:p>
    <w:tbl>
      <w:tblPr>
        <w:tblLayout w:type="fixed"/>
        <w:tblInd w:w="140" w:type="dxa"/>
        <w:tblCellMar>
          <w:top w:w="0" w:type="dxa"/>
          <w:left w:w="0" w:type="dxa"/>
          <w:bottom w:w="0" w:type="dxa"/>
          <w:right w:w="0" w:type="dxa"/>
        </w:tblCellMar>
      </w:tblPr>
      <w:tr>
        <w:trPr>
          <w:trHeight w:val="152"/>
        </w:trPr>
        <w:tc>
          <w:tcPr>
            <w:tcW w:w="3500" w:type="dxa"/>
            <w:vAlign w:val="bottom"/>
            <w:shd w:val="clear" w:color="auto" w:fill="A14177"/>
          </w:tcPr>
          <w:p>
            <w:pPr>
              <w:ind w:left="40"/>
              <w:spacing w:after="0"/>
              <w:rPr>
                <w:sz w:val="20"/>
                <w:szCs w:val="20"/>
                <w:color w:val="auto"/>
              </w:rPr>
            </w:pPr>
            <w:r>
              <w:rPr>
                <w:rFonts w:ascii="Arial" w:cs="Arial" w:eastAsia="Arial" w:hAnsi="Arial"/>
                <w:sz w:val="12"/>
                <w:szCs w:val="12"/>
                <w:b w:val="1"/>
                <w:bCs w:val="1"/>
                <w:color w:val="FFFFFF"/>
              </w:rPr>
              <w:t>EARNINGS</w:t>
            </w:r>
          </w:p>
        </w:tc>
        <w:tc>
          <w:tcPr>
            <w:tcW w:w="320" w:type="dxa"/>
            <w:vAlign w:val="bottom"/>
            <w:tcBorders>
              <w:right w:val="single" w:sz="8" w:color="A14177"/>
            </w:tcBorders>
            <w:shd w:val="clear" w:color="auto" w:fill="A14177"/>
          </w:tcPr>
          <w:p>
            <w:pPr>
              <w:spacing w:after="0"/>
              <w:rPr>
                <w:sz w:val="13"/>
                <w:szCs w:val="13"/>
                <w:color w:val="auto"/>
              </w:rPr>
            </w:pPr>
          </w:p>
        </w:tc>
        <w:tc>
          <w:tcPr>
            <w:tcW w:w="320" w:type="dxa"/>
            <w:vAlign w:val="bottom"/>
            <w:shd w:val="clear" w:color="auto" w:fill="A14177"/>
          </w:tcPr>
          <w:p>
            <w:pPr>
              <w:spacing w:after="0"/>
              <w:rPr>
                <w:sz w:val="13"/>
                <w:szCs w:val="13"/>
                <w:color w:val="auto"/>
              </w:rPr>
            </w:pPr>
          </w:p>
        </w:tc>
        <w:tc>
          <w:tcPr>
            <w:tcW w:w="60" w:type="dxa"/>
            <w:vAlign w:val="bottom"/>
            <w:shd w:val="clear" w:color="auto" w:fill="A14177"/>
          </w:tcPr>
          <w:p>
            <w:pPr>
              <w:spacing w:after="0"/>
              <w:rPr>
                <w:sz w:val="13"/>
                <w:szCs w:val="13"/>
                <w:color w:val="auto"/>
              </w:rPr>
            </w:pPr>
          </w:p>
        </w:tc>
        <w:tc>
          <w:tcPr>
            <w:tcW w:w="660" w:type="dxa"/>
            <w:vAlign w:val="bottom"/>
            <w:shd w:val="clear" w:color="auto" w:fill="A14177"/>
          </w:tcPr>
          <w:p>
            <w:pPr>
              <w:spacing w:after="0"/>
              <w:rPr>
                <w:sz w:val="13"/>
                <w:szCs w:val="13"/>
                <w:color w:val="auto"/>
              </w:rPr>
            </w:pPr>
          </w:p>
        </w:tc>
        <w:tc>
          <w:tcPr>
            <w:tcW w:w="620" w:type="dxa"/>
            <w:vAlign w:val="bottom"/>
            <w:shd w:val="clear" w:color="auto" w:fill="A14177"/>
          </w:tcPr>
          <w:p>
            <w:pPr>
              <w:jc w:val="right"/>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47"/>
        </w:trPr>
        <w:tc>
          <w:tcPr>
            <w:tcW w:w="3500" w:type="dxa"/>
            <w:vAlign w:val="bottom"/>
            <w:shd w:val="clear" w:color="auto" w:fill="CECAC6"/>
          </w:tcPr>
          <w:p>
            <w:pPr>
              <w:spacing w:after="0"/>
              <w:rPr>
                <w:sz w:val="12"/>
                <w:szCs w:val="12"/>
                <w:color w:val="auto"/>
              </w:rPr>
            </w:pPr>
          </w:p>
        </w:tc>
        <w:tc>
          <w:tcPr>
            <w:tcW w:w="700" w:type="dxa"/>
            <w:vAlign w:val="bottom"/>
            <w:gridSpan w:val="3"/>
            <w:shd w:val="clear" w:color="auto" w:fill="CECAC6"/>
          </w:tcPr>
          <w:p>
            <w:pPr>
              <w:jc w:val="right"/>
              <w:ind w:right="60"/>
              <w:spacing w:after="0" w:line="133" w:lineRule="exact"/>
              <w:rPr>
                <w:sz w:val="20"/>
                <w:szCs w:val="20"/>
                <w:color w:val="auto"/>
              </w:rPr>
            </w:pPr>
            <w:r>
              <w:rPr>
                <w:rFonts w:ascii="Arial" w:cs="Arial" w:eastAsia="Arial" w:hAnsi="Arial"/>
                <w:sz w:val="12"/>
                <w:szCs w:val="12"/>
                <w:color w:val="auto"/>
              </w:rPr>
              <w:t>2007</w:t>
            </w:r>
          </w:p>
        </w:tc>
        <w:tc>
          <w:tcPr>
            <w:tcW w:w="6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c>
          <w:tcPr>
            <w:tcW w:w="6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27"/>
        </w:trPr>
        <w:tc>
          <w:tcPr>
            <w:tcW w:w="3500" w:type="dxa"/>
            <w:vAlign w:val="bottom"/>
          </w:tcPr>
          <w:p>
            <w:pPr>
              <w:spacing w:after="0" w:line="128" w:lineRule="exact"/>
              <w:rPr>
                <w:sz w:val="20"/>
                <w:szCs w:val="20"/>
                <w:color w:val="auto"/>
              </w:rPr>
            </w:pPr>
            <w:r>
              <w:rPr>
                <w:rFonts w:ascii="Arial" w:cs="Arial" w:eastAsia="Arial" w:hAnsi="Arial"/>
                <w:sz w:val="12"/>
                <w:szCs w:val="12"/>
                <w:color w:val="auto"/>
              </w:rPr>
              <w:t>Interest and investment income/(expense)</w:t>
            </w:r>
          </w:p>
        </w:tc>
        <w:tc>
          <w:tcPr>
            <w:tcW w:w="320" w:type="dxa"/>
            <w:vAlign w:val="bottom"/>
            <w:tcBorders>
              <w:right w:val="single" w:sz="8" w:color="E4E3E1"/>
            </w:tcBorders>
          </w:tcPr>
          <w:p>
            <w:pPr>
              <w:spacing w:after="0"/>
              <w:rPr>
                <w:sz w:val="11"/>
                <w:szCs w:val="11"/>
                <w:color w:val="auto"/>
              </w:rPr>
            </w:pPr>
          </w:p>
        </w:tc>
        <w:tc>
          <w:tcPr>
            <w:tcW w:w="380" w:type="dxa"/>
            <w:vAlign w:val="bottom"/>
            <w:gridSpan w:val="2"/>
            <w:shd w:val="clear" w:color="auto" w:fill="E4E3E1"/>
          </w:tcPr>
          <w:p>
            <w:pPr>
              <w:jc w:val="right"/>
              <w:ind w:right="60"/>
              <w:spacing w:after="0" w:line="128" w:lineRule="exact"/>
              <w:rPr>
                <w:sz w:val="20"/>
                <w:szCs w:val="20"/>
                <w:color w:val="auto"/>
              </w:rPr>
            </w:pPr>
            <w:r>
              <w:rPr>
                <w:rFonts w:ascii="Arial" w:cs="Arial" w:eastAsia="Arial" w:hAnsi="Arial"/>
                <w:sz w:val="12"/>
                <w:szCs w:val="12"/>
                <w:color w:val="auto"/>
              </w:rPr>
              <w:t>875</w:t>
            </w:r>
          </w:p>
        </w:tc>
        <w:tc>
          <w:tcPr>
            <w:tcW w:w="6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76</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2"/>
                <w:szCs w:val="12"/>
                <w:color w:val="auto"/>
              </w:rPr>
              <w:t>Currency exchange gains/(losses)</w:t>
            </w:r>
          </w:p>
        </w:tc>
        <w:tc>
          <w:tcPr>
            <w:tcW w:w="320" w:type="dxa"/>
            <w:vAlign w:val="bottom"/>
            <w:tcBorders>
              <w:right w:val="single" w:sz="8" w:color="E4E3E1"/>
            </w:tcBorders>
          </w:tcPr>
          <w:p>
            <w:pPr>
              <w:spacing w:after="0"/>
              <w:rPr>
                <w:sz w:val="11"/>
                <w:szCs w:val="11"/>
                <w:color w:val="auto"/>
              </w:rPr>
            </w:pPr>
          </w:p>
        </w:tc>
        <w:tc>
          <w:tcPr>
            <w:tcW w:w="3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205</w:t>
            </w:r>
          </w:p>
        </w:tc>
        <w:tc>
          <w:tcPr>
            <w:tcW w:w="60" w:type="dxa"/>
            <w:vAlign w:val="bottom"/>
            <w:shd w:val="clear" w:color="auto" w:fill="E4E3E1"/>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113</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(65)</w:t>
            </w:r>
          </w:p>
        </w:tc>
        <w:tc>
          <w:tcPr>
            <w:tcW w:w="0" w:type="dxa"/>
            <w:vAlign w:val="bottom"/>
          </w:tcPr>
          <w:p>
            <w:pPr>
              <w:spacing w:after="0"/>
              <w:rPr>
                <w:sz w:val="1"/>
                <w:szCs w:val="1"/>
                <w:color w:val="auto"/>
              </w:rPr>
            </w:pPr>
          </w:p>
        </w:tc>
      </w:tr>
      <w:tr>
        <w:trPr>
          <w:trHeight w:val="139"/>
        </w:trPr>
        <w:tc>
          <w:tcPr>
            <w:tcW w:w="3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 including taxation</w:t>
            </w:r>
          </w:p>
        </w:tc>
        <w:tc>
          <w:tcPr>
            <w:tcW w:w="320" w:type="dxa"/>
            <w:vAlign w:val="bottom"/>
            <w:tcBorders>
              <w:bottom w:val="single" w:sz="8" w:color="auto"/>
              <w:right w:val="single" w:sz="8" w:color="E4E3E1"/>
            </w:tcBorders>
          </w:tcPr>
          <w:p>
            <w:pPr>
              <w:spacing w:after="0"/>
              <w:rPr>
                <w:sz w:val="12"/>
                <w:szCs w:val="12"/>
                <w:color w:val="auto"/>
              </w:rPr>
            </w:pPr>
          </w:p>
        </w:tc>
        <w:tc>
          <w:tcPr>
            <w:tcW w:w="3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307</w:t>
            </w:r>
          </w:p>
        </w:tc>
        <w:tc>
          <w:tcPr>
            <w:tcW w:w="60" w:type="dxa"/>
            <w:vAlign w:val="bottom"/>
            <w:tcBorders>
              <w:bottom w:val="single" w:sz="8" w:color="auto"/>
            </w:tcBorders>
            <w:shd w:val="clear" w:color="auto" w:fill="E4E3E1"/>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w:t>
            </w:r>
          </w:p>
        </w:tc>
        <w:tc>
          <w:tcPr>
            <w:tcW w:w="0" w:type="dxa"/>
            <w:vAlign w:val="bottom"/>
          </w:tcPr>
          <w:p>
            <w:pPr>
              <w:spacing w:after="0"/>
              <w:rPr>
                <w:sz w:val="1"/>
                <w:szCs w:val="1"/>
                <w:color w:val="auto"/>
              </w:rPr>
            </w:pPr>
          </w:p>
        </w:tc>
      </w:tr>
      <w:tr>
        <w:trPr>
          <w:trHeight w:val="134"/>
        </w:trPr>
        <w:tc>
          <w:tcPr>
            <w:tcW w:w="3500" w:type="dxa"/>
            <w:vAlign w:val="bottom"/>
          </w:tcPr>
          <w:p>
            <w:pPr>
              <w:spacing w:after="0" w:line="134" w:lineRule="exact"/>
              <w:rPr>
                <w:sz w:val="20"/>
                <w:szCs w:val="20"/>
                <w:color w:val="auto"/>
              </w:rPr>
            </w:pPr>
            <w:r>
              <w:rPr>
                <w:rFonts w:ascii="Arial" w:cs="Arial" w:eastAsia="Arial" w:hAnsi="Arial"/>
                <w:sz w:val="12"/>
                <w:szCs w:val="12"/>
                <w:color w:val="auto"/>
              </w:rPr>
              <w:t>Segment earnings from continuing operations</w:t>
            </w:r>
          </w:p>
        </w:tc>
        <w:tc>
          <w:tcPr>
            <w:tcW w:w="320" w:type="dxa"/>
            <w:vAlign w:val="bottom"/>
            <w:tcBorders>
              <w:right w:val="single" w:sz="8" w:color="E4E3E1"/>
            </w:tcBorders>
          </w:tcPr>
          <w:p>
            <w:pPr>
              <w:spacing w:after="0"/>
              <w:rPr>
                <w:sz w:val="11"/>
                <w:szCs w:val="11"/>
                <w:color w:val="auto"/>
              </w:rPr>
            </w:pPr>
          </w:p>
        </w:tc>
        <w:tc>
          <w:tcPr>
            <w:tcW w:w="32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w w:val="99"/>
              </w:rPr>
              <w:t>1,387</w:t>
            </w:r>
          </w:p>
        </w:tc>
        <w:tc>
          <w:tcPr>
            <w:tcW w:w="60" w:type="dxa"/>
            <w:vAlign w:val="bottom"/>
            <w:shd w:val="clear" w:color="auto" w:fill="E4E3E1"/>
          </w:tcPr>
          <w:p>
            <w:pPr>
              <w:spacing w:after="0"/>
              <w:rPr>
                <w:sz w:val="11"/>
                <w:szCs w:val="11"/>
                <w:color w:val="auto"/>
              </w:rPr>
            </w:pP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294</w:t>
            </w:r>
          </w:p>
        </w:tc>
        <w:tc>
          <w:tcPr>
            <w:tcW w:w="620" w:type="dxa"/>
            <w:vAlign w:val="bottom"/>
          </w:tcPr>
          <w:p>
            <w:pPr>
              <w:jc w:val="right"/>
              <w:spacing w:after="0" w:line="134" w:lineRule="exact"/>
              <w:rPr>
                <w:sz w:val="20"/>
                <w:szCs w:val="20"/>
                <w:color w:val="auto"/>
              </w:rPr>
            </w:pPr>
            <w:r>
              <w:rPr>
                <w:rFonts w:ascii="Arial" w:cs="Arial" w:eastAsia="Arial" w:hAnsi="Arial"/>
                <w:sz w:val="12"/>
                <w:szCs w:val="12"/>
                <w:color w:val="auto"/>
              </w:rPr>
              <w:t>(328)</w:t>
            </w:r>
          </w:p>
        </w:tc>
        <w:tc>
          <w:tcPr>
            <w:tcW w:w="0" w:type="dxa"/>
            <w:vAlign w:val="bottom"/>
          </w:tcPr>
          <w:p>
            <w:pPr>
              <w:spacing w:after="0"/>
              <w:rPr>
                <w:sz w:val="1"/>
                <w:szCs w:val="1"/>
                <w:color w:val="auto"/>
              </w:rPr>
            </w:pPr>
          </w:p>
        </w:tc>
      </w:tr>
      <w:tr>
        <w:trPr>
          <w:trHeight w:val="139"/>
        </w:trPr>
        <w:tc>
          <w:tcPr>
            <w:tcW w:w="3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Income/(loss) from discontinued operations</w:t>
            </w:r>
          </w:p>
        </w:tc>
        <w:tc>
          <w:tcPr>
            <w:tcW w:w="320" w:type="dxa"/>
            <w:vAlign w:val="bottom"/>
            <w:tcBorders>
              <w:bottom w:val="single" w:sz="8" w:color="auto"/>
              <w:right w:val="single" w:sz="8" w:color="E4E3E1"/>
            </w:tcBorders>
          </w:tcPr>
          <w:p>
            <w:pPr>
              <w:spacing w:after="0"/>
              <w:rPr>
                <w:sz w:val="12"/>
                <w:szCs w:val="12"/>
                <w:color w:val="auto"/>
              </w:rPr>
            </w:pPr>
          </w:p>
        </w:tc>
        <w:tc>
          <w:tcPr>
            <w:tcW w:w="3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shd w:val="clear" w:color="auto" w:fill="E4E3E1"/>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2"/>
                <w:szCs w:val="12"/>
                <w:b w:val="1"/>
                <w:bCs w:val="1"/>
                <w:color w:val="auto"/>
              </w:rPr>
              <w:t>Segment earnings</w:t>
            </w:r>
          </w:p>
        </w:tc>
        <w:tc>
          <w:tcPr>
            <w:tcW w:w="320" w:type="dxa"/>
            <w:vAlign w:val="bottom"/>
            <w:tcBorders>
              <w:right w:val="single" w:sz="8" w:color="E4E3E1"/>
            </w:tcBorders>
            <w:vMerge w:val="restart"/>
          </w:tcPr>
          <w:p>
            <w:pPr>
              <w:spacing w:after="0" w:line="20" w:lineRule="exact"/>
              <w:rPr>
                <w:sz w:val="1"/>
                <w:szCs w:val="1"/>
                <w:color w:val="auto"/>
              </w:rPr>
            </w:pPr>
          </w:p>
        </w:tc>
        <w:tc>
          <w:tcPr>
            <w:tcW w:w="320" w:type="dxa"/>
            <w:vAlign w:val="bottom"/>
            <w:vMerge w:val="restart"/>
            <w:shd w:val="clear" w:color="auto" w:fill="E4E3E1"/>
          </w:tcPr>
          <w:p>
            <w:pPr>
              <w:jc w:val="right"/>
              <w:spacing w:after="0"/>
              <w:rPr>
                <w:sz w:val="20"/>
                <w:szCs w:val="20"/>
                <w:color w:val="auto"/>
              </w:rPr>
            </w:pPr>
            <w:r>
              <w:rPr>
                <w:rFonts w:ascii="Arial" w:cs="Arial" w:eastAsia="Arial" w:hAnsi="Arial"/>
                <w:sz w:val="12"/>
                <w:szCs w:val="12"/>
                <w:b w:val="1"/>
                <w:bCs w:val="1"/>
                <w:color w:val="auto"/>
                <w:w w:val="99"/>
              </w:rPr>
              <w:t>1,387</w:t>
            </w:r>
          </w:p>
        </w:tc>
        <w:tc>
          <w:tcPr>
            <w:tcW w:w="60" w:type="dxa"/>
            <w:vAlign w:val="bottom"/>
          </w:tcPr>
          <w:p>
            <w:pPr>
              <w:spacing w:after="0" w:line="20" w:lineRule="exact"/>
              <w:rPr>
                <w:sz w:val="1"/>
                <w:szCs w:val="1"/>
                <w:color w:val="auto"/>
              </w:rPr>
            </w:pPr>
          </w:p>
        </w:tc>
        <w:tc>
          <w:tcPr>
            <w:tcW w:w="660" w:type="dxa"/>
            <w:vAlign w:val="bottom"/>
            <w:vMerge w:val="restart"/>
          </w:tcPr>
          <w:p>
            <w:pPr>
              <w:jc w:val="right"/>
              <w:ind w:right="18"/>
              <w:spacing w:after="0"/>
              <w:rPr>
                <w:sz w:val="20"/>
                <w:szCs w:val="20"/>
                <w:color w:val="auto"/>
              </w:rPr>
            </w:pPr>
            <w:r>
              <w:rPr>
                <w:rFonts w:ascii="Arial" w:cs="Arial" w:eastAsia="Arial" w:hAnsi="Arial"/>
                <w:sz w:val="12"/>
                <w:szCs w:val="12"/>
                <w:b w:val="1"/>
                <w:bCs w:val="1"/>
                <w:color w:val="auto"/>
              </w:rPr>
              <w:t>294</w:t>
            </w:r>
          </w:p>
        </w:tc>
        <w:tc>
          <w:tcPr>
            <w:tcW w:w="6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(328)</w:t>
            </w:r>
          </w:p>
        </w:tc>
        <w:tc>
          <w:tcPr>
            <w:tcW w:w="0" w:type="dxa"/>
            <w:vAlign w:val="bottom"/>
          </w:tcPr>
          <w:p>
            <w:pPr>
              <w:spacing w:after="0" w:line="20" w:lineRule="exact"/>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320" w:type="dxa"/>
            <w:vAlign w:val="bottom"/>
            <w:tcBorders>
              <w:right w:val="single" w:sz="8" w:color="E4E3E1"/>
            </w:tcBorders>
            <w:vMerge w:val="continue"/>
          </w:tcPr>
          <w:p>
            <w:pPr>
              <w:spacing w:after="0"/>
              <w:rPr>
                <w:sz w:val="10"/>
                <w:szCs w:val="10"/>
                <w:color w:val="auto"/>
              </w:rPr>
            </w:pPr>
          </w:p>
        </w:tc>
        <w:tc>
          <w:tcPr>
            <w:tcW w:w="320" w:type="dxa"/>
            <w:vAlign w:val="bottom"/>
            <w:vMerge w:val="continue"/>
            <w:shd w:val="clear" w:color="auto" w:fill="E4E3E1"/>
          </w:tcPr>
          <w:p>
            <w:pPr>
              <w:spacing w:after="0"/>
              <w:rPr>
                <w:sz w:val="10"/>
                <w:szCs w:val="10"/>
                <w:color w:val="auto"/>
              </w:rPr>
            </w:pPr>
          </w:p>
        </w:tc>
        <w:tc>
          <w:tcPr>
            <w:tcW w:w="60" w:type="dxa"/>
            <w:vAlign w:val="bottom"/>
            <w:shd w:val="clear" w:color="auto" w:fill="E4E3E1"/>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20" w:hanging="280"/>
        <w:spacing w:after="0"/>
        <w:tabs>
          <w:tab w:leader="none" w:pos="420" w:val="left"/>
        </w:tabs>
        <w:numPr>
          <w:ilvl w:val="0"/>
          <w:numId w:val="7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621030</wp:posOffset>
            </wp:positionV>
            <wp:extent cx="725297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Corporate is a non-operating segment representing the functional activities supporting the Shell group. Key functional activities comprise holdings and treasury, headquarters and central functions and Shell insurance operations.</w:t>
      </w:r>
    </w:p>
    <w:p>
      <w:pPr>
        <w:spacing w:after="0" w:line="180"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The segment results of all other Shell segments exclude interest and other income of a non-operational nature, interest expense, non-trading currency exchange effects and tax on these items. These are included in the Corporate segment earnings together with the insurance underwriting results and the functional costs that have not been allocated to the other segments.</w:t>
      </w:r>
    </w:p>
    <w:p>
      <w:pPr>
        <w:spacing w:after="0" w:line="158"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Holdings and treasury manages the financial assets and liabilities of Shell. It acts as the point of contact between Shell and the external capital markets and conducts a broad range of transactions from raising new debt to share buybacks. Holdings and treasury is supported by treasury centres in London, Houston, Singapore and Rio de Janeiro.</w:t>
      </w:r>
    </w:p>
    <w:p>
      <w:pPr>
        <w:spacing w:after="0" w:line="179"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Headquarters and central functions include costs required to support Royal Dutch Shell plc shareholder-related activities. The central functions provide business support in their respective fields including finance, human resources, legal, corporate affairs, real estate and IT. The majority of costs are recovered from the business segments based on specified methodologies.</w:t>
      </w:r>
    </w:p>
    <w:p>
      <w:pPr>
        <w:spacing w:after="0" w:line="158" w:lineRule="exact"/>
        <w:rPr>
          <w:sz w:val="20"/>
          <w:szCs w:val="20"/>
          <w:color w:val="auto"/>
        </w:rPr>
      </w:pPr>
    </w:p>
    <w:p>
      <w:pPr>
        <w:ind w:right="260"/>
        <w:spacing w:after="0" w:line="228" w:lineRule="auto"/>
        <w:rPr>
          <w:sz w:val="20"/>
          <w:szCs w:val="20"/>
          <w:color w:val="auto"/>
        </w:rPr>
      </w:pPr>
      <w:r>
        <w:rPr>
          <w:rFonts w:ascii="Arial" w:cs="Arial" w:eastAsia="Arial" w:hAnsi="Arial"/>
          <w:sz w:val="14"/>
          <w:szCs w:val="14"/>
          <w:color w:val="auto"/>
        </w:rPr>
        <w:t>The Shell insurance companies offer insurance cover worldwide to subsidiaries and to joint ventures in which Shell has an equity interest. In the case of joint ventures, the amount of insurance offered is usually limited to Shell’s percentage interest. The Shell insurance companies provide cover that is required by any Shell company to the extent this cover is commercially available.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4759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60"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Corporate segment earnings were $1,387 million in 2007, compared to $294 million in 2006 and a loss of $328 million in 2005.</w:t>
      </w:r>
    </w:p>
    <w:p>
      <w:pPr>
        <w:spacing w:after="0" w:line="17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Net interest and investment income increased by $799 million during 2007 compared to 2006 and included the realisation of gains on the sale of the equity portfolio held by the Shell insurance companies of $404 million. Currency exchange results improved during 2007 and 2006.</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Other earnings increased by $202 million in 2007 compared to 2006 and included a gain of</w:t>
      </w:r>
    </w:p>
    <w:p>
      <w:pPr>
        <w:spacing w:after="0" w:line="9"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$55 million related to the sale of property, higher insurance underwriting results and lower tax credits. In 2006, compared to 2005, Other earnings included higher insurance underwriting results, higher tax credits which were partly offset by a $500 million provision in respect of litigation.</w:t>
      </w:r>
    </w:p>
    <w:p>
      <w:pPr>
        <w:sectPr>
          <w:pgSz w:w="11900" w:h="16838" w:orient="portrait"/>
          <w:cols w:equalWidth="0" w:num="2">
            <w:col w:w="5620" w:space="320"/>
            <w:col w:w="5440"/>
          </w:cols>
          <w:pgMar w:left="240" w:top="415" w:right="2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-109855</wp:posOffset>
            </wp:positionV>
            <wp:extent cx="282575" cy="57854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2575" cy="578548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color w:val="auto"/>
        </w:rPr>
        <w:t>Shell’s research and development (R&amp;D) activities result in technological solutions for our</w:t>
      </w:r>
    </w:p>
    <w:p>
      <w:pPr>
        <w:spacing w:after="0" w:line="218" w:lineRule="auto"/>
        <w:rPr>
          <w:sz w:val="20"/>
          <w:szCs w:val="20"/>
          <w:color w:val="auto"/>
        </w:rPr>
      </w:pPr>
      <w:r>
        <w:rPr>
          <w:rFonts w:ascii="Arial" w:cs="Arial" w:eastAsia="Arial" w:hAnsi="Arial"/>
          <w:sz w:val="14"/>
          <w:szCs w:val="14"/>
          <w:color w:val="auto"/>
        </w:rPr>
        <w:t>operating businesses and energy projects around the world. A substantial proportion of</w:t>
      </w:r>
    </w:p>
    <w:p>
      <w:pPr>
        <w:spacing w:after="0" w:line="218" w:lineRule="auto"/>
        <w:rPr>
          <w:sz w:val="20"/>
          <w:szCs w:val="20"/>
          <w:color w:val="auto"/>
        </w:rPr>
      </w:pPr>
      <w:r>
        <w:rPr>
          <w:rFonts w:ascii="Arial" w:cs="Arial" w:eastAsia="Arial" w:hAnsi="Arial"/>
          <w:sz w:val="14"/>
          <w:szCs w:val="14"/>
          <w:color w:val="auto"/>
        </w:rPr>
        <w:t>programmes underpin our drive to help meet the world’s growing demand for energy in a</w:t>
      </w:r>
    </w:p>
    <w:p>
      <w:pPr>
        <w:spacing w:after="0" w:line="219" w:lineRule="auto"/>
        <w:rPr>
          <w:sz w:val="20"/>
          <w:szCs w:val="20"/>
          <w:color w:val="auto"/>
        </w:rPr>
      </w:pPr>
      <w:r>
        <w:rPr>
          <w:rFonts w:ascii="Arial" w:cs="Arial" w:eastAsia="Arial" w:hAnsi="Arial"/>
          <w:sz w:val="14"/>
          <w:szCs w:val="14"/>
          <w:color w:val="auto"/>
        </w:rPr>
        <w:t>responsible way. To do this, we focus on generating technologies that will improve our</w:t>
      </w:r>
    </w:p>
    <w:p>
      <w:pPr>
        <w:spacing w:after="0" w:line="218" w:lineRule="auto"/>
        <w:rPr>
          <w:sz w:val="20"/>
          <w:szCs w:val="20"/>
          <w:color w:val="auto"/>
        </w:rPr>
      </w:pPr>
      <w:r>
        <w:rPr>
          <w:rFonts w:ascii="Arial" w:cs="Arial" w:eastAsia="Arial" w:hAnsi="Arial"/>
          <w:sz w:val="14"/>
          <w:szCs w:val="14"/>
          <w:color w:val="auto"/>
        </w:rPr>
        <w:t>ability to find, lower the cost to develop, recover and process greater volumes of oil and</w:t>
      </w:r>
    </w:p>
    <w:p>
      <w:pPr>
        <w:spacing w:after="0" w:line="219" w:lineRule="auto"/>
        <w:rPr>
          <w:sz w:val="20"/>
          <w:szCs w:val="20"/>
          <w:color w:val="auto"/>
        </w:rPr>
      </w:pPr>
      <w:r>
        <w:rPr>
          <w:rFonts w:ascii="Arial" w:cs="Arial" w:eastAsia="Arial" w:hAnsi="Arial"/>
          <w:sz w:val="14"/>
          <w:szCs w:val="14"/>
          <w:color w:val="auto"/>
        </w:rPr>
        <w:t>gas; develop alternative energy sources; and minimise the environmental impact of our</w:t>
      </w:r>
    </w:p>
    <w:p>
      <w:pPr>
        <w:spacing w:after="0" w:line="218" w:lineRule="auto"/>
        <w:rPr>
          <w:sz w:val="20"/>
          <w:szCs w:val="20"/>
          <w:color w:val="auto"/>
        </w:rPr>
      </w:pPr>
      <w:r>
        <w:rPr>
          <w:rFonts w:ascii="Arial" w:cs="Arial" w:eastAsia="Arial" w:hAnsi="Arial"/>
          <w:sz w:val="14"/>
          <w:szCs w:val="14"/>
          <w:color w:val="auto"/>
        </w:rPr>
        <w:t>operations and the products we sell, including reducing greenhouse gas emissions and water</w:t>
      </w:r>
    </w:p>
    <w:p>
      <w:pPr>
        <w:spacing w:after="0" w:line="218" w:lineRule="auto"/>
        <w:rPr>
          <w:sz w:val="20"/>
          <w:szCs w:val="20"/>
          <w:color w:val="auto"/>
        </w:rPr>
      </w:pPr>
      <w:r>
        <w:rPr>
          <w:rFonts w:ascii="Arial" w:cs="Arial" w:eastAsia="Arial" w:hAnsi="Arial"/>
          <w:sz w:val="14"/>
          <w:szCs w:val="14"/>
          <w:color w:val="auto"/>
        </w:rPr>
        <w:t>wastage. Our R&amp;D programmes also seek to continuously improve the safety, cost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efficiency, and reliability of our operations and the performance of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In 2007, we strengthened the co-ordination and funding of a number of our cross business</w:t>
      </w:r>
    </w:p>
    <w:p>
      <w:pPr>
        <w:spacing w:after="0" w:line="218" w:lineRule="auto"/>
        <w:rPr>
          <w:sz w:val="20"/>
          <w:szCs w:val="20"/>
          <w:color w:val="auto"/>
        </w:rPr>
      </w:pPr>
      <w:r>
        <w:rPr>
          <w:rFonts w:ascii="Arial" w:cs="Arial" w:eastAsia="Arial" w:hAnsi="Arial"/>
          <w:sz w:val="14"/>
          <w:szCs w:val="14"/>
          <w:color w:val="auto"/>
        </w:rPr>
        <w:t>R&amp;D programmes where each of Shell’s major businesses has a specific but connected role</w:t>
      </w:r>
    </w:p>
    <w:p>
      <w:pPr>
        <w:spacing w:after="0" w:line="218" w:lineRule="auto"/>
        <w:rPr>
          <w:sz w:val="20"/>
          <w:szCs w:val="20"/>
          <w:color w:val="auto"/>
        </w:rPr>
      </w:pPr>
      <w:r>
        <w:rPr>
          <w:rFonts w:ascii="Arial" w:cs="Arial" w:eastAsia="Arial" w:hAnsi="Arial"/>
          <w:sz w:val="14"/>
          <w:szCs w:val="14"/>
          <w:color w:val="auto"/>
        </w:rPr>
        <w:t>in its generation or use. These programmes include the generation of solutions to reduce or</w:t>
      </w:r>
    </w:p>
    <w:p>
      <w:pPr>
        <w:spacing w:after="0" w:line="219" w:lineRule="auto"/>
        <w:rPr>
          <w:sz w:val="20"/>
          <w:szCs w:val="20"/>
          <w:color w:val="auto"/>
        </w:rPr>
      </w:pPr>
      <w:r>
        <w:rPr>
          <w:rFonts w:ascii="Arial" w:cs="Arial" w:eastAsia="Arial" w:hAnsi="Arial"/>
          <w:sz w:val="14"/>
          <w:szCs w:val="14"/>
          <w:color w:val="auto"/>
        </w:rPr>
        <w:t>store carbon dioxide (CO</w:t>
      </w:r>
      <w:r>
        <w:rPr>
          <w:rFonts w:ascii="Arial" w:cs="Arial" w:eastAsia="Arial" w:hAnsi="Arial"/>
          <w:sz w:val="12"/>
          <w:szCs w:val="12"/>
          <w:color w:val="auto"/>
        </w:rPr>
        <w:t>2</w:t>
      </w:r>
      <w:r>
        <w:rPr>
          <w:rFonts w:ascii="Arial" w:cs="Arial" w:eastAsia="Arial" w:hAnsi="Arial"/>
          <w:sz w:val="14"/>
          <w:szCs w:val="14"/>
          <w:color w:val="auto"/>
        </w:rPr>
        <w:t>); the application of industrial biotechnology; development of</w:t>
      </w:r>
    </w:p>
    <w:p>
      <w:pPr>
        <w:spacing w:after="0" w:line="218" w:lineRule="auto"/>
        <w:rPr>
          <w:sz w:val="20"/>
          <w:szCs w:val="20"/>
          <w:color w:val="auto"/>
        </w:rPr>
      </w:pPr>
      <w:r>
        <w:rPr>
          <w:rFonts w:ascii="Arial" w:cs="Arial" w:eastAsia="Arial" w:hAnsi="Arial"/>
          <w:sz w:val="14"/>
          <w:szCs w:val="14"/>
          <w:color w:val="auto"/>
        </w:rPr>
        <w:t>new oil conversion processes; and synthesis gas (syngas) production and use which is</w:t>
      </w:r>
    </w:p>
    <w:p>
      <w:pPr>
        <w:spacing w:after="0" w:line="219" w:lineRule="auto"/>
        <w:rPr>
          <w:sz w:val="20"/>
          <w:szCs w:val="20"/>
          <w:color w:val="auto"/>
        </w:rPr>
      </w:pPr>
      <w:r>
        <w:rPr>
          <w:rFonts w:ascii="Arial" w:cs="Arial" w:eastAsia="Arial" w:hAnsi="Arial"/>
          <w:sz w:val="14"/>
          <w:szCs w:val="14"/>
          <w:color w:val="auto"/>
        </w:rPr>
        <w:t>central to the manufacture of differentiated hydrocarbon products from gas, coal and</w:t>
      </w:r>
    </w:p>
    <w:p>
      <w:pPr>
        <w:spacing w:after="0"/>
        <w:rPr>
          <w:sz w:val="20"/>
          <w:szCs w:val="20"/>
          <w:color w:val="auto"/>
        </w:rPr>
      </w:pPr>
      <w:r>
        <w:rPr>
          <w:rFonts w:ascii="Arial" w:cs="Arial" w:eastAsia="Arial" w:hAnsi="Arial"/>
          <w:sz w:val="14"/>
          <w:szCs w:val="14"/>
          <w:color w:val="auto"/>
        </w:rPr>
        <w:t>biomass.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also increased our focus on the management of three core areas: operational</w:t>
      </w:r>
    </w:p>
    <w:p>
      <w:pPr>
        <w:spacing w:after="0" w:line="218" w:lineRule="auto"/>
        <w:rPr>
          <w:sz w:val="20"/>
          <w:szCs w:val="20"/>
          <w:color w:val="auto"/>
        </w:rPr>
      </w:pPr>
      <w:r>
        <w:rPr>
          <w:rFonts w:ascii="Arial" w:cs="Arial" w:eastAsia="Arial" w:hAnsi="Arial"/>
          <w:sz w:val="14"/>
          <w:szCs w:val="14"/>
          <w:color w:val="auto"/>
        </w:rPr>
        <w:t>performance, the leverage of third parties in the development and deployment of</w:t>
      </w:r>
    </w:p>
    <w:p>
      <w:pPr>
        <w:spacing w:after="0"/>
        <w:rPr>
          <w:sz w:val="20"/>
          <w:szCs w:val="20"/>
          <w:color w:val="auto"/>
        </w:rPr>
      </w:pPr>
      <w:r>
        <w:rPr>
          <w:rFonts w:ascii="Arial" w:cs="Arial" w:eastAsia="Arial" w:hAnsi="Arial"/>
          <w:sz w:val="14"/>
          <w:szCs w:val="14"/>
          <w:color w:val="auto"/>
        </w:rPr>
        <w:t>technologies, and the development and protection of proprietary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Shell employs around 30,000 technical staff, including contractors, of whom around 10%</w:t>
      </w:r>
    </w:p>
    <w:p>
      <w:pPr>
        <w:spacing w:after="0" w:line="218" w:lineRule="auto"/>
        <w:rPr>
          <w:sz w:val="20"/>
          <w:szCs w:val="20"/>
          <w:color w:val="auto"/>
        </w:rPr>
      </w:pPr>
      <w:r>
        <w:rPr>
          <w:rFonts w:ascii="Arial" w:cs="Arial" w:eastAsia="Arial" w:hAnsi="Arial"/>
          <w:sz w:val="14"/>
          <w:szCs w:val="14"/>
          <w:color w:val="auto"/>
        </w:rPr>
        <w:t>are directly involved in R&amp;D or demonstration projects. We have a global network of</w:t>
      </w:r>
    </w:p>
    <w:p>
      <w:pPr>
        <w:spacing w:after="0" w:line="218" w:lineRule="auto"/>
        <w:rPr>
          <w:sz w:val="20"/>
          <w:szCs w:val="20"/>
          <w:color w:val="auto"/>
        </w:rPr>
      </w:pPr>
      <w:r>
        <w:rPr>
          <w:rFonts w:ascii="Arial" w:cs="Arial" w:eastAsia="Arial" w:hAnsi="Arial"/>
          <w:sz w:val="14"/>
          <w:szCs w:val="14"/>
          <w:color w:val="auto"/>
        </w:rPr>
        <w:t>technical centres close to our key markets and our wide range of resources from gas to</w:t>
      </w:r>
    </w:p>
    <w:p>
      <w:pPr>
        <w:spacing w:after="0" w:line="219" w:lineRule="auto"/>
        <w:rPr>
          <w:sz w:val="20"/>
          <w:szCs w:val="20"/>
          <w:color w:val="auto"/>
        </w:rPr>
      </w:pPr>
      <w:r>
        <w:rPr>
          <w:rFonts w:ascii="Arial" w:cs="Arial" w:eastAsia="Arial" w:hAnsi="Arial"/>
          <w:sz w:val="14"/>
          <w:szCs w:val="14"/>
          <w:color w:val="auto"/>
        </w:rPr>
        <w:t>heavy oil. In our technology centres in Houston, USA, and in Amsterdam and Rijswijk in</w:t>
      </w:r>
    </w:p>
    <w:p>
      <w:pPr>
        <w:spacing w:after="0" w:line="218" w:lineRule="auto"/>
        <w:rPr>
          <w:sz w:val="20"/>
          <w:szCs w:val="20"/>
          <w:color w:val="auto"/>
        </w:rPr>
      </w:pPr>
      <w:r>
        <w:rPr>
          <w:rFonts w:ascii="Arial" w:cs="Arial" w:eastAsia="Arial" w:hAnsi="Arial"/>
          <w:sz w:val="14"/>
          <w:szCs w:val="14"/>
          <w:color w:val="auto"/>
        </w:rPr>
        <w:t>the Netherlands, the focus is on innovation and development of new technologies, the</w:t>
      </w:r>
    </w:p>
    <w:p>
      <w:pPr>
        <w:spacing w:after="0" w:line="219" w:lineRule="auto"/>
        <w:rPr>
          <w:sz w:val="20"/>
          <w:szCs w:val="20"/>
          <w:color w:val="auto"/>
        </w:rPr>
      </w:pPr>
      <w:r>
        <w:rPr>
          <w:rFonts w:ascii="Arial" w:cs="Arial" w:eastAsia="Arial" w:hAnsi="Arial"/>
          <w:sz w:val="14"/>
          <w:szCs w:val="14"/>
          <w:color w:val="auto"/>
        </w:rPr>
        <w:t>improvement of existing ones and the integration of programmes across our businesses. Our</w:t>
      </w:r>
    </w:p>
    <w:p>
      <w:pPr>
        <w:spacing w:after="0" w:line="218" w:lineRule="auto"/>
        <w:rPr>
          <w:sz w:val="20"/>
          <w:szCs w:val="20"/>
          <w:color w:val="auto"/>
        </w:rPr>
      </w:pPr>
      <w:r>
        <w:rPr>
          <w:rFonts w:ascii="Arial" w:cs="Arial" w:eastAsia="Arial" w:hAnsi="Arial"/>
          <w:sz w:val="14"/>
          <w:szCs w:val="14"/>
          <w:color w:val="auto"/>
        </w:rPr>
        <w:t>other technical centres focus on product development, marketing support or providing</w:t>
      </w:r>
    </w:p>
    <w:p>
      <w:pPr>
        <w:spacing w:after="0" w:line="218" w:lineRule="auto"/>
        <w:rPr>
          <w:sz w:val="20"/>
          <w:szCs w:val="20"/>
          <w:color w:val="auto"/>
        </w:rPr>
      </w:pPr>
      <w:r>
        <w:rPr>
          <w:rFonts w:ascii="Arial" w:cs="Arial" w:eastAsia="Arial" w:hAnsi="Arial"/>
          <w:sz w:val="14"/>
          <w:szCs w:val="14"/>
          <w:color w:val="auto"/>
        </w:rPr>
        <w:t>specific technical assistance to regional operations, and are located in Belgium, Canada,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France, Germany, India, Norway, Oman, Qatar, Singapore and the UK.</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In 2007, Shell’s R&amp;D expenses were $1,201 million compared to $885 million in 2006 and</w:t>
      </w:r>
    </w:p>
    <w:p>
      <w:pPr>
        <w:spacing w:after="0" w:line="218" w:lineRule="auto"/>
        <w:rPr>
          <w:sz w:val="20"/>
          <w:szCs w:val="20"/>
          <w:color w:val="auto"/>
        </w:rPr>
      </w:pPr>
      <w:r>
        <w:rPr>
          <w:rFonts w:ascii="Arial" w:cs="Arial" w:eastAsia="Arial" w:hAnsi="Arial"/>
          <w:sz w:val="14"/>
          <w:szCs w:val="14"/>
          <w:color w:val="auto"/>
        </w:rPr>
        <w:t>$588 million in 2005. This significant and growing investment in R&amp;D aims to secure the</w:t>
      </w:r>
    </w:p>
    <w:p>
      <w:pPr>
        <w:spacing w:after="0"/>
        <w:rPr>
          <w:sz w:val="20"/>
          <w:szCs w:val="20"/>
          <w:color w:val="auto"/>
        </w:rPr>
      </w:pPr>
      <w:r>
        <w:rPr>
          <w:rFonts w:ascii="Arial" w:cs="Arial" w:eastAsia="Arial" w:hAnsi="Arial"/>
          <w:sz w:val="14"/>
          <w:szCs w:val="14"/>
          <w:color w:val="auto"/>
        </w:rPr>
        <w:t>delivery of Shell’s Technology differentiation strategy.</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More details of our R&amp;D activities can be found in the Operating and Financial Review</w:t>
      </w:r>
    </w:p>
    <w:p>
      <w:pPr>
        <w:spacing w:after="0"/>
        <w:rPr>
          <w:sz w:val="20"/>
          <w:szCs w:val="20"/>
          <w:color w:val="auto"/>
        </w:rPr>
      </w:pPr>
      <w:r>
        <w:rPr>
          <w:rFonts w:ascii="Arial" w:cs="Arial" w:eastAsia="Arial" w:hAnsi="Arial"/>
          <w:sz w:val="14"/>
          <w:szCs w:val="14"/>
          <w:color w:val="auto"/>
        </w:rPr>
        <w:t>sections of the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1063625</wp:posOffset>
            </wp:positionV>
            <wp:extent cx="725297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spacing w:after="0"/>
        <w:rPr>
          <w:sz w:val="20"/>
          <w:szCs w:val="20"/>
          <w:color w:val="auto"/>
        </w:rPr>
      </w:pPr>
      <w:r>
        <w:rPr>
          <w:rFonts w:ascii="Arial" w:cs="Arial" w:eastAsia="Arial" w:hAnsi="Arial"/>
          <w:sz w:val="36"/>
          <w:szCs w:val="36"/>
          <w:color w:val="auto"/>
        </w:rPr>
        <w:t>Key performance indicators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 PERFORMANCE – SHELL SCORECARD</w:t>
      </w:r>
    </w:p>
    <w:p>
      <w:pPr>
        <w:spacing w:after="0" w:line="6" w:lineRule="exact"/>
        <w:rPr>
          <w:sz w:val="20"/>
          <w:szCs w:val="20"/>
          <w:color w:val="auto"/>
        </w:rPr>
      </w:pPr>
    </w:p>
    <w:p>
      <w:pPr>
        <w:jc w:val="both"/>
        <w:ind w:right="60"/>
        <w:spacing w:after="0" w:line="250" w:lineRule="auto"/>
        <w:rPr>
          <w:sz w:val="20"/>
          <w:szCs w:val="20"/>
          <w:color w:val="auto"/>
        </w:rPr>
      </w:pPr>
      <w:r>
        <w:rPr>
          <w:rFonts w:ascii="Arial" w:cs="Arial" w:eastAsia="Arial" w:hAnsi="Arial"/>
          <w:sz w:val="13"/>
          <w:szCs w:val="13"/>
          <w:color w:val="auto"/>
        </w:rPr>
        <w:t>Shell uses a number of key performance indicators to evaluate the overall performance of Shell from a financial, efficiency, social and sustainable development perspective. In addition, Shell monitors and manages the businesses by means of detailed parameters.</w:t>
      </w:r>
    </w:p>
    <w:p>
      <w:pPr>
        <w:spacing w:after="0" w:line="67" w:lineRule="exact"/>
        <w:rPr>
          <w:sz w:val="20"/>
          <w:szCs w:val="20"/>
          <w:color w:val="auto"/>
        </w:rPr>
      </w:pPr>
    </w:p>
    <w:p>
      <w:pPr>
        <w:ind w:right="140"/>
        <w:spacing w:after="0" w:line="328" w:lineRule="auto"/>
        <w:rPr>
          <w:sz w:val="20"/>
          <w:szCs w:val="20"/>
          <w:color w:val="auto"/>
        </w:rPr>
      </w:pPr>
      <w:r>
        <w:rPr>
          <w:rFonts w:ascii="Arial" w:cs="Arial" w:eastAsia="Arial" w:hAnsi="Arial"/>
          <w:sz w:val="12"/>
          <w:szCs w:val="12"/>
          <w:color w:val="auto"/>
        </w:rPr>
        <w:t>Shell’s future oil and gas production depends on the success of very large projects that require significant human and capital resources over long periods of time of up to 10 to 30 years.</w:t>
      </w:r>
    </w:p>
    <w:p>
      <w:pPr>
        <w:spacing w:after="0" w:line="129" w:lineRule="exact"/>
        <w:rPr>
          <w:sz w:val="20"/>
          <w:szCs w:val="20"/>
          <w:color w:val="auto"/>
        </w:rPr>
      </w:pPr>
    </w:p>
    <w:p>
      <w:pPr>
        <w:ind w:right="500"/>
        <w:spacing w:after="0" w:line="328" w:lineRule="auto"/>
        <w:rPr>
          <w:sz w:val="20"/>
          <w:szCs w:val="20"/>
          <w:color w:val="auto"/>
        </w:rPr>
      </w:pPr>
      <w:r>
        <w:rPr>
          <w:rFonts w:ascii="Arial" w:cs="Arial" w:eastAsia="Arial" w:hAnsi="Arial"/>
          <w:sz w:val="12"/>
          <w:szCs w:val="12"/>
          <w:color w:val="auto"/>
        </w:rPr>
        <w:t>The key performance indicators and parameters do not necessarily reflect the long-term performance of Shell although these might provide an impression of performance.</w:t>
      </w:r>
    </w:p>
    <w:p>
      <w:pPr>
        <w:spacing w:after="0" w:line="129" w:lineRule="exact"/>
        <w:rPr>
          <w:sz w:val="20"/>
          <w:szCs w:val="20"/>
          <w:color w:val="auto"/>
        </w:rPr>
      </w:pPr>
    </w:p>
    <w:p>
      <w:pPr>
        <w:ind w:right="220"/>
        <w:spacing w:after="0" w:line="235" w:lineRule="auto"/>
        <w:rPr>
          <w:sz w:val="20"/>
          <w:szCs w:val="20"/>
          <w:color w:val="auto"/>
        </w:rPr>
      </w:pPr>
      <w:r>
        <w:rPr>
          <w:rFonts w:ascii="Arial" w:cs="Arial" w:eastAsia="Arial" w:hAnsi="Arial"/>
          <w:sz w:val="14"/>
          <w:szCs w:val="14"/>
          <w:color w:val="auto"/>
        </w:rPr>
        <w:t>The scorecard highlights four key performance factors which together provide a summarised overview of Shell’s performance. The four key performance indicators are measured on a quarterly basis.</w:t>
      </w:r>
    </w:p>
    <w:p>
      <w:pPr>
        <w:spacing w:after="0" w:line="180" w:lineRule="exact"/>
        <w:rPr>
          <w:sz w:val="20"/>
          <w:szCs w:val="20"/>
          <w:color w:val="auto"/>
        </w:rPr>
      </w:pPr>
    </w:p>
    <w:p>
      <w:pPr>
        <w:ind w:right="220"/>
        <w:spacing w:after="0" w:line="285" w:lineRule="auto"/>
        <w:rPr>
          <w:sz w:val="20"/>
          <w:szCs w:val="20"/>
          <w:color w:val="auto"/>
        </w:rPr>
      </w:pPr>
      <w:r>
        <w:rPr>
          <w:rFonts w:ascii="Arial" w:cs="Arial" w:eastAsia="Arial" w:hAnsi="Arial"/>
          <w:sz w:val="13"/>
          <w:szCs w:val="13"/>
          <w:color w:val="auto"/>
        </w:rPr>
        <w:t>As explained on page 96 of the Directors’ Remuneration Report the scorecard is also used to determine remuneration for staff, Senior Management and Executive Directors.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80" w:type="dxa"/>
            <w:vAlign w:val="bottom"/>
            <w:gridSpan w:val="2"/>
            <w:shd w:val="clear" w:color="auto" w:fill="FFD204"/>
          </w:tcPr>
          <w:p>
            <w:pPr>
              <w:spacing w:after="0"/>
              <w:rPr>
                <w:sz w:val="20"/>
                <w:szCs w:val="20"/>
                <w:color w:val="auto"/>
              </w:rPr>
            </w:pPr>
            <w:r>
              <w:rPr>
                <w:rFonts w:ascii="Arial" w:cs="Arial" w:eastAsia="Arial" w:hAnsi="Arial"/>
                <w:sz w:val="12"/>
                <w:szCs w:val="12"/>
                <w:b w:val="1"/>
                <w:bCs w:val="1"/>
                <w:color w:val="auto"/>
              </w:rPr>
              <w:t>SHELL SCORECARD</w:t>
            </w:r>
          </w:p>
        </w:tc>
        <w:tc>
          <w:tcPr>
            <w:tcW w:w="460" w:type="dxa"/>
            <w:vAlign w:val="bottom"/>
            <w:shd w:val="clear" w:color="auto" w:fill="FFD204"/>
          </w:tcPr>
          <w:p>
            <w:pPr>
              <w:jc w:val="right"/>
              <w:spacing w:after="0"/>
              <w:rPr>
                <w:sz w:val="20"/>
                <w:szCs w:val="20"/>
                <w:color w:val="auto"/>
              </w:rPr>
            </w:pPr>
            <w:r>
              <w:rPr>
                <w:rFonts w:ascii="Arial" w:cs="Arial" w:eastAsia="Arial" w:hAnsi="Arial"/>
                <w:sz w:val="12"/>
                <w:szCs w:val="12"/>
                <w:color w:val="auto"/>
              </w:rPr>
              <w:t>2007</w:t>
            </w:r>
          </w:p>
        </w:tc>
        <w:tc>
          <w:tcPr>
            <w:tcW w:w="740" w:type="dxa"/>
            <w:vAlign w:val="bottom"/>
            <w:shd w:val="clear" w:color="auto" w:fill="FFD204"/>
          </w:tcPr>
          <w:p>
            <w:pPr>
              <w:jc w:val="right"/>
              <w:spacing w:after="0"/>
              <w:rPr>
                <w:sz w:val="20"/>
                <w:szCs w:val="20"/>
                <w:color w:val="auto"/>
              </w:rPr>
            </w:pPr>
            <w:r>
              <w:rPr>
                <w:rFonts w:ascii="Arial" w:cs="Arial" w:eastAsia="Arial" w:hAnsi="Arial"/>
                <w:sz w:val="12"/>
                <w:szCs w:val="12"/>
                <w:color w:val="auto"/>
              </w:rPr>
              <w:t>2006</w:t>
            </w:r>
          </w:p>
        </w:tc>
      </w:tr>
      <w:tr>
        <w:trPr>
          <w:trHeight w:val="127"/>
        </w:trPr>
        <w:tc>
          <w:tcPr>
            <w:tcW w:w="100" w:type="dxa"/>
            <w:vAlign w:val="bottom"/>
          </w:tcPr>
          <w:p>
            <w:pPr>
              <w:spacing w:after="0" w:line="128" w:lineRule="exact"/>
              <w:rPr>
                <w:sz w:val="20"/>
                <w:szCs w:val="20"/>
                <w:color w:val="auto"/>
              </w:rPr>
            </w:pPr>
            <w:r>
              <w:rPr>
                <w:rFonts w:ascii="Arial" w:cs="Arial" w:eastAsia="Arial" w:hAnsi="Arial"/>
                <w:sz w:val="12"/>
                <w:szCs w:val="12"/>
                <w:color w:val="auto"/>
              </w:rPr>
              <w:t>1</w:t>
            </w:r>
          </w:p>
        </w:tc>
        <w:tc>
          <w:tcPr>
            <w:tcW w:w="4180" w:type="dxa"/>
            <w:vAlign w:val="bottom"/>
          </w:tcPr>
          <w:p>
            <w:pPr>
              <w:ind w:left="20"/>
              <w:spacing w:after="0" w:line="128" w:lineRule="exact"/>
              <w:rPr>
                <w:sz w:val="20"/>
                <w:szCs w:val="20"/>
                <w:color w:val="auto"/>
              </w:rPr>
            </w:pPr>
            <w:r>
              <w:rPr>
                <w:rFonts w:ascii="Arial" w:cs="Arial" w:eastAsia="Arial" w:hAnsi="Arial"/>
                <w:sz w:val="12"/>
                <w:szCs w:val="12"/>
                <w:color w:val="auto"/>
              </w:rPr>
              <w:t>Total shareholder return</w:t>
            </w:r>
          </w:p>
        </w:tc>
        <w:tc>
          <w:tcPr>
            <w:tcW w:w="46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23.8%</w:t>
            </w:r>
          </w:p>
        </w:tc>
        <w:tc>
          <w:tcPr>
            <w:tcW w:w="740" w:type="dxa"/>
            <w:vAlign w:val="bottom"/>
          </w:tcPr>
          <w:p>
            <w:pPr>
              <w:jc w:val="right"/>
              <w:spacing w:after="0" w:line="128" w:lineRule="exact"/>
              <w:rPr>
                <w:sz w:val="20"/>
                <w:szCs w:val="20"/>
                <w:color w:val="auto"/>
              </w:rPr>
            </w:pPr>
            <w:r>
              <w:rPr>
                <w:rFonts w:ascii="Arial" w:cs="Arial" w:eastAsia="Arial" w:hAnsi="Arial"/>
                <w:sz w:val="12"/>
                <w:szCs w:val="12"/>
                <w:color w:val="auto"/>
              </w:rPr>
              <w:t>10.9%</w:t>
            </w:r>
          </w:p>
        </w:tc>
      </w:tr>
      <w:tr>
        <w:trPr>
          <w:trHeight w:val="133"/>
        </w:trPr>
        <w:tc>
          <w:tcPr>
            <w:tcW w:w="100" w:type="dxa"/>
            <w:vAlign w:val="bottom"/>
          </w:tcPr>
          <w:p>
            <w:pPr>
              <w:spacing w:after="0" w:line="133" w:lineRule="exact"/>
              <w:rPr>
                <w:sz w:val="20"/>
                <w:szCs w:val="20"/>
                <w:color w:val="auto"/>
              </w:rPr>
            </w:pPr>
            <w:r>
              <w:rPr>
                <w:rFonts w:ascii="Arial" w:cs="Arial" w:eastAsia="Arial" w:hAnsi="Arial"/>
                <w:sz w:val="12"/>
                <w:szCs w:val="12"/>
                <w:color w:val="auto"/>
              </w:rPr>
              <w:t>2</w:t>
            </w:r>
          </w:p>
        </w:tc>
        <w:tc>
          <w:tcPr>
            <w:tcW w:w="4180" w:type="dxa"/>
            <w:vAlign w:val="bottom"/>
          </w:tcPr>
          <w:p>
            <w:pPr>
              <w:ind w:left="20"/>
              <w:spacing w:after="0" w:line="133" w:lineRule="exact"/>
              <w:rPr>
                <w:sz w:val="20"/>
                <w:szCs w:val="20"/>
                <w:color w:val="auto"/>
              </w:rPr>
            </w:pPr>
            <w:r>
              <w:rPr>
                <w:rFonts w:ascii="Arial" w:cs="Arial" w:eastAsia="Arial" w:hAnsi="Arial"/>
                <w:sz w:val="12"/>
                <w:szCs w:val="12"/>
                <w:color w:val="auto"/>
              </w:rPr>
              <w:t>Cash flow from operations ($ billion)</w:t>
            </w: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36</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32</w:t>
            </w:r>
          </w:p>
        </w:tc>
      </w:tr>
      <w:tr>
        <w:trPr>
          <w:trHeight w:val="133"/>
        </w:trPr>
        <w:tc>
          <w:tcPr>
            <w:tcW w:w="100" w:type="dxa"/>
            <w:vAlign w:val="bottom"/>
          </w:tcPr>
          <w:p>
            <w:pPr>
              <w:spacing w:after="0" w:line="133" w:lineRule="exact"/>
              <w:rPr>
                <w:sz w:val="20"/>
                <w:szCs w:val="20"/>
                <w:color w:val="auto"/>
              </w:rPr>
            </w:pPr>
            <w:r>
              <w:rPr>
                <w:rFonts w:ascii="Arial" w:cs="Arial" w:eastAsia="Arial" w:hAnsi="Arial"/>
                <w:sz w:val="12"/>
                <w:szCs w:val="12"/>
                <w:color w:val="auto"/>
              </w:rPr>
              <w:t>3</w:t>
            </w:r>
          </w:p>
        </w:tc>
        <w:tc>
          <w:tcPr>
            <w:tcW w:w="4180" w:type="dxa"/>
            <w:vAlign w:val="bottom"/>
          </w:tcPr>
          <w:p>
            <w:pPr>
              <w:ind w:left="20"/>
              <w:spacing w:after="0" w:line="133" w:lineRule="exact"/>
              <w:rPr>
                <w:sz w:val="20"/>
                <w:szCs w:val="20"/>
                <w:color w:val="auto"/>
              </w:rPr>
            </w:pPr>
            <w:r>
              <w:rPr>
                <w:rFonts w:ascii="Arial" w:cs="Arial" w:eastAsia="Arial" w:hAnsi="Arial"/>
                <w:sz w:val="12"/>
                <w:szCs w:val="12"/>
                <w:color w:val="auto"/>
              </w:rPr>
              <w:t>Operational efficiency:</w:t>
            </w:r>
          </w:p>
        </w:tc>
        <w:tc>
          <w:tcPr>
            <w:tcW w:w="460" w:type="dxa"/>
            <w:vAlign w:val="bottom"/>
            <w:shd w:val="clear" w:color="auto" w:fill="E4E3E1"/>
          </w:tcPr>
          <w:p>
            <w:pPr>
              <w:spacing w:after="0"/>
              <w:rPr>
                <w:sz w:val="11"/>
                <w:szCs w:val="11"/>
                <w:color w:val="auto"/>
              </w:rPr>
            </w:pPr>
          </w:p>
        </w:tc>
        <w:tc>
          <w:tcPr>
            <w:tcW w:w="740" w:type="dxa"/>
            <w:vAlign w:val="bottom"/>
          </w:tcPr>
          <w:p>
            <w:pPr>
              <w:spacing w:after="0"/>
              <w:rPr>
                <w:sz w:val="11"/>
                <w:szCs w:val="11"/>
                <w:color w:val="auto"/>
              </w:rPr>
            </w:pPr>
          </w:p>
        </w:tc>
      </w:tr>
      <w:tr>
        <w:trPr>
          <w:trHeight w:val="133"/>
        </w:trPr>
        <w:tc>
          <w:tcPr>
            <w:tcW w:w="4280" w:type="dxa"/>
            <w:vAlign w:val="bottom"/>
            <w:gridSpan w:val="2"/>
          </w:tcPr>
          <w:p>
            <w:pPr>
              <w:spacing w:after="0" w:line="133" w:lineRule="exact"/>
              <w:rPr>
                <w:sz w:val="20"/>
                <w:szCs w:val="20"/>
                <w:color w:val="auto"/>
              </w:rPr>
            </w:pPr>
            <w:r>
              <w:rPr>
                <w:rFonts w:ascii="Arial" w:cs="Arial" w:eastAsia="Arial" w:hAnsi="Arial"/>
                <w:sz w:val="12"/>
                <w:szCs w:val="12"/>
                <w:color w:val="auto"/>
              </w:rPr>
              <w:t>– Oil and gas production (thousands boe/day)</w:t>
            </w:r>
            <w:r>
              <w:rPr>
                <w:rFonts w:ascii="Arial" w:cs="Arial" w:eastAsia="Arial" w:hAnsi="Arial"/>
                <w:sz w:val="10"/>
                <w:szCs w:val="10"/>
                <w:color w:val="auto"/>
              </w:rPr>
              <w:t>[A]</w:t>
            </w: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3,315</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3,473</w:t>
            </w:r>
          </w:p>
        </w:tc>
      </w:tr>
      <w:tr>
        <w:trPr>
          <w:trHeight w:val="133"/>
        </w:trPr>
        <w:tc>
          <w:tcPr>
            <w:tcW w:w="4280" w:type="dxa"/>
            <w:vAlign w:val="bottom"/>
            <w:gridSpan w:val="2"/>
          </w:tcPr>
          <w:p>
            <w:pPr>
              <w:spacing w:after="0" w:line="133" w:lineRule="exact"/>
              <w:rPr>
                <w:sz w:val="20"/>
                <w:szCs w:val="20"/>
                <w:color w:val="auto"/>
              </w:rPr>
            </w:pPr>
            <w:r>
              <w:rPr>
                <w:rFonts w:ascii="Arial" w:cs="Arial" w:eastAsia="Arial" w:hAnsi="Arial"/>
                <w:sz w:val="12"/>
                <w:szCs w:val="12"/>
                <w:color w:val="auto"/>
              </w:rPr>
              <w:t>– LNG sales (million tonnes)</w:t>
            </w: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13.2</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12.1</w:t>
            </w:r>
          </w:p>
        </w:tc>
      </w:tr>
      <w:tr>
        <w:trPr>
          <w:trHeight w:val="133"/>
        </w:trPr>
        <w:tc>
          <w:tcPr>
            <w:tcW w:w="4280" w:type="dxa"/>
            <w:vAlign w:val="bottom"/>
            <w:gridSpan w:val="2"/>
          </w:tcPr>
          <w:p>
            <w:pPr>
              <w:spacing w:after="0" w:line="133" w:lineRule="exact"/>
              <w:rPr>
                <w:sz w:val="20"/>
                <w:szCs w:val="20"/>
                <w:color w:val="auto"/>
              </w:rPr>
            </w:pPr>
            <w:r>
              <w:rPr>
                <w:rFonts w:ascii="Arial" w:cs="Arial" w:eastAsia="Arial" w:hAnsi="Arial"/>
                <w:sz w:val="12"/>
                <w:szCs w:val="12"/>
                <w:color w:val="auto"/>
              </w:rPr>
              <w:t>– Refining controllable unplanned downtime</w:t>
            </w: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5.4%</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4.9%</w:t>
            </w:r>
          </w:p>
        </w:tc>
      </w:tr>
      <w:tr>
        <w:trPr>
          <w:trHeight w:val="133"/>
        </w:trPr>
        <w:tc>
          <w:tcPr>
            <w:tcW w:w="4280" w:type="dxa"/>
            <w:vAlign w:val="bottom"/>
            <w:gridSpan w:val="2"/>
          </w:tcPr>
          <w:p>
            <w:pPr>
              <w:spacing w:after="0" w:line="133" w:lineRule="exact"/>
              <w:rPr>
                <w:sz w:val="20"/>
                <w:szCs w:val="20"/>
                <w:color w:val="auto"/>
              </w:rPr>
            </w:pPr>
            <w:r>
              <w:rPr>
                <w:rFonts w:ascii="Arial" w:cs="Arial" w:eastAsia="Arial" w:hAnsi="Arial"/>
                <w:sz w:val="12"/>
                <w:szCs w:val="12"/>
                <w:color w:val="auto"/>
              </w:rPr>
              <w:t>– Chemical plant availability</w:t>
            </w:r>
          </w:p>
        </w:tc>
        <w:tc>
          <w:tcPr>
            <w:tcW w:w="4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92.6%</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90.2%</w:t>
            </w:r>
          </w:p>
        </w:tc>
      </w:tr>
      <w:tr>
        <w:trPr>
          <w:trHeight w:val="146"/>
        </w:trPr>
        <w:tc>
          <w:tcPr>
            <w:tcW w:w="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4</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Sustainable development (TRCF)</w:t>
            </w:r>
            <w:r>
              <w:rPr>
                <w:rFonts w:ascii="Arial" w:cs="Arial" w:eastAsia="Arial" w:hAnsi="Arial"/>
                <w:sz w:val="10"/>
                <w:szCs w:val="10"/>
                <w:color w:val="auto"/>
              </w:rPr>
              <w:t>[B]</w:t>
            </w:r>
          </w:p>
        </w:tc>
        <w:tc>
          <w:tcPr>
            <w:tcW w:w="4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r>
    </w:tbl>
    <w:p>
      <w:pPr>
        <w:spacing w:after="0" w:line="3" w:lineRule="exact"/>
        <w:rPr>
          <w:sz w:val="20"/>
          <w:szCs w:val="20"/>
          <w:color w:val="auto"/>
        </w:rPr>
      </w:pPr>
    </w:p>
    <w:p>
      <w:pPr>
        <w:ind w:left="240" w:hanging="233"/>
        <w:spacing w:after="0"/>
        <w:tabs>
          <w:tab w:leader="none" w:pos="2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Combined Exploration &amp; Production and Oil Sands production.</w:t>
      </w:r>
    </w:p>
    <w:p>
      <w:pPr>
        <w:ind w:left="240" w:hanging="233"/>
        <w:spacing w:after="0"/>
        <w:tabs>
          <w:tab w:leader="none" w:pos="240" w:val="left"/>
        </w:tabs>
        <w:numPr>
          <w:ilvl w:val="0"/>
          <w:numId w:val="71"/>
        </w:numPr>
        <w:rPr>
          <w:rFonts w:ascii="Arial" w:cs="Arial" w:eastAsia="Arial" w:hAnsi="Arial"/>
          <w:sz w:val="12"/>
          <w:szCs w:val="12"/>
          <w:color w:val="auto"/>
        </w:rPr>
      </w:pPr>
      <w:r>
        <w:rPr>
          <w:rFonts w:ascii="Arial" w:cs="Arial" w:eastAsia="Arial" w:hAnsi="Arial"/>
          <w:sz w:val="12"/>
          <w:szCs w:val="12"/>
          <w:color w:val="auto"/>
        </w:rPr>
        <w:t>Please see page 75 for a description of TRCF.</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SHAREHOLDER RETURN (25% SCORECARD WEIGHTING)</w:t>
      </w:r>
    </w:p>
    <w:p>
      <w:pPr>
        <w:spacing w:after="0" w:line="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Total shareholder return (TSR) is measured as the sum of the difference between the share price at the start of the year and the share price at the end of the year plus the cash value of dividends paid during the calendar year (gross and reinvested quarterly). The TSR is compared against other major integrated oil companies and provides therefore a benchmark of how Shell is performing against its industry peers.</w:t>
      </w:r>
    </w:p>
    <w:p>
      <w:pPr>
        <w:spacing w:after="0" w:line="188"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b w:val="1"/>
          <w:bCs w:val="1"/>
          <w:color w:val="auto"/>
        </w:rPr>
        <w:t xml:space="preserve">CASH FLOW FROM OPERATING ACTIVITIES (25% SCORECARD WEIGHTING) </w:t>
      </w:r>
      <w:r>
        <w:rPr>
          <w:rFonts w:ascii="Arial" w:cs="Arial" w:eastAsia="Arial" w:hAnsi="Arial"/>
          <w:sz w:val="13"/>
          <w:szCs w:val="13"/>
          <w:color w:val="auto"/>
        </w:rPr>
        <w:t>Cash flow from operating activities is a measure that reflects Shell’s ability to generate funding from operations for its investing and financing activities and is representative of the realisation of value for shareholders from Shell operations. The Consolidated Statement of Cash Flows on page 116 shows the components of cash flow. In 2007, the cash flow from operating activities for scorecard purposes is adjusted for taxes paid on divestments.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80" w:hanging="273"/>
        <w:spacing w:after="0"/>
        <w:tabs>
          <w:tab w:leader="none" w:pos="280" w:val="left"/>
        </w:tabs>
        <w:numPr>
          <w:ilvl w:val="0"/>
          <w:numId w:val="7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OPERATIONAL EFFICIENCY (30% SCORECARD WEIGHTING)</w:t>
      </w:r>
    </w:p>
    <w:p>
      <w:pPr>
        <w:spacing w:after="0" w:line="6"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Within each of the different businesses, operational performance is measured by means of detailed parameters that are combined into a business dashboard. Operational excellence of Exploration &amp; Production, Gas &amp; Power, Oil Products and Chemicals is measured quarterly. The four key indicators for the businesses are production, including oil sands, for Exploration &amp; Production, LNG sales for Gas &amp; Power, refining controllable unplanned downtime for Oil Products and technical plant availability for Chemicals.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SUSTAINABLE DEVELOPMENT (20% SCORECARD WEIGHTING)</w:t>
      </w:r>
    </w:p>
    <w:p>
      <w:pPr>
        <w:spacing w:after="0" w:line="6"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As well as measuring financial performance and efficiency, Shell uses various indicators to evaluate Shell’s contribution to Sustainable Development. This report discusses on pages 68-74 the priorities with regards to staff and highlights key performance indicators such as greenhouse gas emissions, use of flaring and energy use in its businesses and assets.</w:t>
      </w:r>
    </w:p>
    <w:p>
      <w:pPr>
        <w:spacing w:after="0" w:line="177" w:lineRule="exact"/>
        <w:rPr>
          <w:sz w:val="20"/>
          <w:szCs w:val="20"/>
          <w:color w:val="auto"/>
        </w:rPr>
      </w:pPr>
    </w:p>
    <w:p>
      <w:pPr>
        <w:ind w:right="220"/>
        <w:spacing w:after="0" w:line="231" w:lineRule="auto"/>
        <w:rPr>
          <w:sz w:val="20"/>
          <w:szCs w:val="20"/>
          <w:color w:val="auto"/>
        </w:rPr>
      </w:pPr>
      <w:r>
        <w:rPr>
          <w:rFonts w:ascii="Arial" w:cs="Arial" w:eastAsia="Arial" w:hAnsi="Arial"/>
          <w:sz w:val="14"/>
          <w:szCs w:val="14"/>
          <w:color w:val="auto"/>
        </w:rPr>
        <w:t>Safety remains a key topic for Shell and is measured by the number of injuries and fatal accidents, as discussed on page 75. It is Shell’s aim to work closely with customers, partners and policymakers to advance more efficient and sustainable uses of energy and natural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 PERFORMANCE – OTHER INDICATORS</w:t>
      </w:r>
    </w:p>
    <w:p>
      <w:pPr>
        <w:spacing w:after="0" w:line="6" w:lineRule="exact"/>
        <w:rPr>
          <w:sz w:val="20"/>
          <w:szCs w:val="20"/>
          <w:color w:val="auto"/>
        </w:rPr>
      </w:pPr>
    </w:p>
    <w:p>
      <w:pPr>
        <w:ind w:right="360"/>
        <w:spacing w:after="0" w:line="234" w:lineRule="auto"/>
        <w:rPr>
          <w:sz w:val="20"/>
          <w:szCs w:val="20"/>
          <w:color w:val="auto"/>
        </w:rPr>
      </w:pPr>
      <w:r>
        <w:rPr>
          <w:rFonts w:ascii="Arial" w:cs="Arial" w:eastAsia="Arial" w:hAnsi="Arial"/>
          <w:sz w:val="14"/>
          <w:szCs w:val="14"/>
          <w:color w:val="auto"/>
        </w:rPr>
        <w:t>In addition to the four key performance indicators that determine the scorecard, additional financial indicators are used to evaluate Shell’s performance including: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00" w:type="dxa"/>
            <w:vAlign w:val="bottom"/>
            <w:shd w:val="clear" w:color="auto" w:fill="FFD204"/>
          </w:tcPr>
          <w:p>
            <w:pPr>
              <w:spacing w:after="0"/>
              <w:rPr>
                <w:sz w:val="20"/>
                <w:szCs w:val="20"/>
                <w:color w:val="auto"/>
              </w:rPr>
            </w:pPr>
            <w:r>
              <w:rPr>
                <w:rFonts w:ascii="Arial" w:cs="Arial" w:eastAsia="Arial" w:hAnsi="Arial"/>
                <w:sz w:val="12"/>
                <w:szCs w:val="12"/>
                <w:b w:val="1"/>
                <w:bCs w:val="1"/>
                <w:color w:val="auto"/>
              </w:rPr>
              <w:t>FINANCIAL INDICATORS</w:t>
            </w:r>
          </w:p>
        </w:tc>
        <w:tc>
          <w:tcPr>
            <w:tcW w:w="480" w:type="dxa"/>
            <w:vAlign w:val="bottom"/>
            <w:shd w:val="clear" w:color="auto" w:fill="FFD204"/>
          </w:tcPr>
          <w:p>
            <w:pPr>
              <w:jc w:val="right"/>
              <w:spacing w:after="0"/>
              <w:rPr>
                <w:sz w:val="20"/>
                <w:szCs w:val="20"/>
                <w:color w:val="auto"/>
              </w:rPr>
            </w:pPr>
            <w:r>
              <w:rPr>
                <w:rFonts w:ascii="Arial" w:cs="Arial" w:eastAsia="Arial" w:hAnsi="Arial"/>
                <w:sz w:val="12"/>
                <w:szCs w:val="12"/>
                <w:color w:val="auto"/>
              </w:rPr>
              <w:t>2007</w:t>
            </w:r>
          </w:p>
        </w:tc>
        <w:tc>
          <w:tcPr>
            <w:tcW w:w="880" w:type="dxa"/>
            <w:vAlign w:val="bottom"/>
            <w:shd w:val="clear" w:color="auto" w:fill="FFD204"/>
          </w:tcPr>
          <w:p>
            <w:pPr>
              <w:jc w:val="right"/>
              <w:ind w:right="118"/>
              <w:spacing w:after="0"/>
              <w:rPr>
                <w:sz w:val="20"/>
                <w:szCs w:val="20"/>
                <w:color w:val="auto"/>
              </w:rPr>
            </w:pPr>
            <w:r>
              <w:rPr>
                <w:rFonts w:ascii="Arial" w:cs="Arial" w:eastAsia="Arial" w:hAnsi="Arial"/>
                <w:sz w:val="12"/>
                <w:szCs w:val="12"/>
                <w:color w:val="auto"/>
              </w:rPr>
              <w:t>2006</w:t>
            </w:r>
          </w:p>
        </w:tc>
        <w:tc>
          <w:tcPr>
            <w:tcW w:w="620" w:type="dxa"/>
            <w:vAlign w:val="bottom"/>
            <w:shd w:val="clear" w:color="auto" w:fill="FFD204"/>
          </w:tcPr>
          <w:p>
            <w:pPr>
              <w:jc w:val="right"/>
              <w:spacing w:after="0"/>
              <w:rPr>
                <w:sz w:val="20"/>
                <w:szCs w:val="20"/>
                <w:color w:val="auto"/>
              </w:rPr>
            </w:pPr>
            <w:r>
              <w:rPr>
                <w:rFonts w:ascii="Arial" w:cs="Arial" w:eastAsia="Arial" w:hAnsi="Arial"/>
                <w:sz w:val="12"/>
                <w:szCs w:val="12"/>
                <w:color w:val="auto"/>
              </w:rPr>
              <w:t>2005</w:t>
            </w:r>
          </w:p>
        </w:tc>
      </w:tr>
      <w:tr>
        <w:trPr>
          <w:trHeight w:val="127"/>
        </w:trPr>
        <w:tc>
          <w:tcPr>
            <w:tcW w:w="3500" w:type="dxa"/>
            <w:vAlign w:val="bottom"/>
          </w:tcPr>
          <w:p>
            <w:pPr>
              <w:spacing w:after="0" w:line="128" w:lineRule="exact"/>
              <w:rPr>
                <w:sz w:val="20"/>
                <w:szCs w:val="20"/>
                <w:color w:val="auto"/>
              </w:rPr>
            </w:pPr>
            <w:r>
              <w:rPr>
                <w:rFonts w:ascii="Arial" w:cs="Arial" w:eastAsia="Arial" w:hAnsi="Arial"/>
                <w:sz w:val="12"/>
                <w:szCs w:val="12"/>
                <w:color w:val="auto"/>
              </w:rPr>
              <w:t>Income for the period ($ million)</w:t>
            </w:r>
          </w:p>
        </w:tc>
        <w:tc>
          <w:tcPr>
            <w:tcW w:w="48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31,926</w:t>
            </w:r>
          </w:p>
        </w:tc>
        <w:tc>
          <w:tcPr>
            <w:tcW w:w="88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26,311</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26,261</w:t>
            </w:r>
          </w:p>
        </w:tc>
      </w:tr>
      <w:tr>
        <w:trPr>
          <w:trHeight w:val="133"/>
        </w:trPr>
        <w:tc>
          <w:tcPr>
            <w:tcW w:w="3500" w:type="dxa"/>
            <w:vAlign w:val="bottom"/>
          </w:tcPr>
          <w:p>
            <w:pPr>
              <w:spacing w:after="0" w:line="133" w:lineRule="exact"/>
              <w:rPr>
                <w:sz w:val="20"/>
                <w:szCs w:val="20"/>
                <w:color w:val="auto"/>
              </w:rPr>
            </w:pPr>
            <w:r>
              <w:rPr>
                <w:rFonts w:ascii="Arial" w:cs="Arial" w:eastAsia="Arial" w:hAnsi="Arial"/>
                <w:sz w:val="12"/>
                <w:szCs w:val="12"/>
                <w:color w:val="auto"/>
              </w:rPr>
              <w:t>Return on average capital employed</w:t>
            </w:r>
          </w:p>
        </w:tc>
        <w:tc>
          <w:tcPr>
            <w:tcW w:w="48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24.4%</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23.4%</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25.6%</w:t>
            </w:r>
          </w:p>
        </w:tc>
      </w:tr>
      <w:tr>
        <w:trPr>
          <w:trHeight w:val="146"/>
        </w:trPr>
        <w:tc>
          <w:tcPr>
            <w:tcW w:w="3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Gearing at December 31</w:t>
            </w:r>
          </w:p>
        </w:tc>
        <w:tc>
          <w:tcPr>
            <w:tcW w:w="4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16.6%</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14.8%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FOR THE PERIOD</w:t>
      </w:r>
    </w:p>
    <w:p>
      <w:pPr>
        <w:spacing w:after="0" w:line="6"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Consolidated Statement of Income on page 113 provides further information on income for the period. The Summary of results on pages 16-18 of the Operating and Financial Review as well as the discussion of segment results on pages 19-58 provide further information on the contribution of the businesses to income.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RETURN ON AVERAGE CAPITAL EMPLOYED (ROACE)</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ROACE measures the efficiency of Shell’s utilisation of the capital that it employs. In this calculation, ROACE is defined as income attributable to shareholders adjusted for Shell’s share of interest expense, after tax, as a percentage of Shell’s share of average capital employed for the period. Capital employed consists of total equity, current debt and non-current debt. The tax rate and the minority interest components are derived from calculations at the published segment level. Between 2005 and 2007, ROACE has moved within a 23-26% range, mainly caused by strong income generation. A significant increase in capital employed of 18% between 2005 and 2006 resulted in a reduction in ROACE compared to 2005. A significant increase in income attributable to shareholders, partly offset by an increase in capital employed, resulted in an increase in ROACE of 1.0% in 2007 compared to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980440</wp:posOffset>
            </wp:positionV>
            <wp:extent cx="725297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140" w:type="dxa"/>
            <w:vAlign w:val="bottom"/>
            <w:shd w:val="clear" w:color="auto" w:fill="FFD204"/>
          </w:tcPr>
          <w:p>
            <w:pPr>
              <w:ind w:left="20"/>
              <w:spacing w:after="0"/>
              <w:rPr>
                <w:sz w:val="20"/>
                <w:szCs w:val="20"/>
                <w:color w:val="auto"/>
              </w:rPr>
            </w:pPr>
            <w:r>
              <w:rPr>
                <w:rFonts w:ascii="Arial" w:cs="Arial" w:eastAsia="Arial" w:hAnsi="Arial"/>
                <w:sz w:val="12"/>
                <w:szCs w:val="12"/>
                <w:b w:val="1"/>
                <w:bCs w:val="1"/>
                <w:color w:val="auto"/>
              </w:rPr>
              <w:t>COMPONENTS OF ROACE CALCULATION</w:t>
            </w:r>
          </w:p>
        </w:tc>
        <w:tc>
          <w:tcPr>
            <w:tcW w:w="540" w:type="dxa"/>
            <w:vAlign w:val="bottom"/>
            <w:shd w:val="clear" w:color="auto" w:fill="FFD204"/>
          </w:tcPr>
          <w:p>
            <w:pPr>
              <w:spacing w:after="0"/>
              <w:rPr>
                <w:sz w:val="12"/>
                <w:szCs w:val="12"/>
                <w:color w:val="auto"/>
              </w:rPr>
            </w:pPr>
          </w:p>
        </w:tc>
        <w:tc>
          <w:tcPr>
            <w:tcW w:w="800" w:type="dxa"/>
            <w:vAlign w:val="bottom"/>
            <w:shd w:val="clear" w:color="auto" w:fill="FFD204"/>
          </w:tcPr>
          <w:p>
            <w:pPr>
              <w:spacing w:after="0"/>
              <w:rPr>
                <w:sz w:val="12"/>
                <w:szCs w:val="12"/>
                <w:color w:val="auto"/>
              </w:rPr>
            </w:pPr>
          </w:p>
        </w:tc>
        <w:tc>
          <w:tcPr>
            <w:tcW w:w="66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3140" w:type="dxa"/>
            <w:vAlign w:val="bottom"/>
            <w:shd w:val="clear" w:color="auto" w:fill="CECAC6"/>
          </w:tcPr>
          <w:p>
            <w:pPr>
              <w:spacing w:after="0"/>
              <w:rPr>
                <w:sz w:val="11"/>
                <w:szCs w:val="11"/>
                <w:color w:val="auto"/>
              </w:rPr>
            </w:pPr>
          </w:p>
        </w:tc>
        <w:tc>
          <w:tcPr>
            <w:tcW w:w="5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80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2006</w:t>
            </w:r>
          </w:p>
        </w:tc>
        <w:tc>
          <w:tcPr>
            <w:tcW w:w="66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3140" w:type="dxa"/>
            <w:vAlign w:val="bottom"/>
          </w:tcPr>
          <w:p>
            <w:pPr>
              <w:ind w:left="20"/>
              <w:spacing w:after="0" w:line="128" w:lineRule="exact"/>
              <w:rPr>
                <w:sz w:val="20"/>
                <w:szCs w:val="20"/>
                <w:color w:val="auto"/>
              </w:rPr>
            </w:pPr>
            <w:r>
              <w:rPr>
                <w:rFonts w:ascii="Arial" w:cs="Arial" w:eastAsia="Arial" w:hAnsi="Arial"/>
                <w:sz w:val="12"/>
                <w:szCs w:val="12"/>
                <w:color w:val="auto"/>
              </w:rPr>
              <w:t>Income attributable to shareholders</w:t>
            </w:r>
          </w:p>
        </w:tc>
        <w:tc>
          <w:tcPr>
            <w:tcW w:w="54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31,331</w:t>
            </w:r>
          </w:p>
        </w:tc>
        <w:tc>
          <w:tcPr>
            <w:tcW w:w="8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25,442</w:t>
            </w:r>
          </w:p>
        </w:tc>
        <w:tc>
          <w:tcPr>
            <w:tcW w:w="660" w:type="dxa"/>
            <w:vAlign w:val="bottom"/>
          </w:tcPr>
          <w:p>
            <w:pPr>
              <w:jc w:val="right"/>
              <w:spacing w:after="0" w:line="128" w:lineRule="exact"/>
              <w:rPr>
                <w:sz w:val="20"/>
                <w:szCs w:val="20"/>
                <w:color w:val="auto"/>
              </w:rPr>
            </w:pPr>
            <w:r>
              <w:rPr>
                <w:rFonts w:ascii="Arial" w:cs="Arial" w:eastAsia="Arial" w:hAnsi="Arial"/>
                <w:sz w:val="12"/>
                <w:szCs w:val="12"/>
                <w:color w:val="auto"/>
              </w:rPr>
              <w:t>25,311</w:t>
            </w:r>
          </w:p>
        </w:tc>
      </w:tr>
      <w:tr>
        <w:trPr>
          <w:trHeight w:val="119"/>
        </w:trPr>
        <w:tc>
          <w:tcPr>
            <w:tcW w:w="3140" w:type="dxa"/>
            <w:vAlign w:val="bottom"/>
          </w:tcPr>
          <w:p>
            <w:pPr>
              <w:ind w:left="20"/>
              <w:spacing w:after="0" w:line="120" w:lineRule="exact"/>
              <w:rPr>
                <w:sz w:val="20"/>
                <w:szCs w:val="20"/>
                <w:color w:val="auto"/>
              </w:rPr>
            </w:pPr>
            <w:r>
              <w:rPr>
                <w:rFonts w:ascii="Arial" w:cs="Arial" w:eastAsia="Arial" w:hAnsi="Arial"/>
                <w:sz w:val="12"/>
                <w:szCs w:val="12"/>
                <w:color w:val="auto"/>
              </w:rPr>
              <w:t>Royal Dutch Shell share of interest expense after tax</w:t>
            </w:r>
          </w:p>
        </w:tc>
        <w:tc>
          <w:tcPr>
            <w:tcW w:w="54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rPr>
              <w:t>641</w:t>
            </w:r>
          </w:p>
        </w:tc>
        <w:tc>
          <w:tcPr>
            <w:tcW w:w="8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662</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602</w:t>
            </w:r>
          </w:p>
        </w:tc>
      </w:tr>
      <w:tr>
        <w:trPr>
          <w:trHeight w:val="147"/>
        </w:trPr>
        <w:tc>
          <w:tcPr>
            <w:tcW w:w="3140" w:type="dxa"/>
            <w:vAlign w:val="bottom"/>
          </w:tcPr>
          <w:p>
            <w:pPr>
              <w:ind w:left="20"/>
              <w:spacing w:after="0"/>
              <w:rPr>
                <w:sz w:val="20"/>
                <w:szCs w:val="20"/>
                <w:color w:val="auto"/>
              </w:rPr>
            </w:pPr>
            <w:r>
              <w:rPr>
                <w:rFonts w:ascii="Arial" w:cs="Arial" w:eastAsia="Arial" w:hAnsi="Arial"/>
                <w:sz w:val="12"/>
                <w:szCs w:val="12"/>
                <w:b w:val="1"/>
                <w:bCs w:val="1"/>
                <w:color w:val="auto"/>
              </w:rPr>
              <w:t>ROACE numerator</w:t>
            </w:r>
          </w:p>
        </w:tc>
        <w:tc>
          <w:tcPr>
            <w:tcW w:w="5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31,972</w:t>
            </w:r>
          </w:p>
        </w:tc>
        <w:tc>
          <w:tcPr>
            <w:tcW w:w="800" w:type="dxa"/>
            <w:vAlign w:val="bottom"/>
          </w:tcPr>
          <w:p>
            <w:pPr>
              <w:jc w:val="right"/>
              <w:ind w:right="58"/>
              <w:spacing w:after="0"/>
              <w:rPr>
                <w:sz w:val="20"/>
                <w:szCs w:val="20"/>
                <w:color w:val="auto"/>
              </w:rPr>
            </w:pPr>
            <w:r>
              <w:rPr>
                <w:rFonts w:ascii="Arial" w:cs="Arial" w:eastAsia="Arial" w:hAnsi="Arial"/>
                <w:sz w:val="12"/>
                <w:szCs w:val="12"/>
                <w:color w:val="auto"/>
              </w:rPr>
              <w:t>26,104</w:t>
            </w:r>
          </w:p>
        </w:tc>
        <w:tc>
          <w:tcPr>
            <w:tcW w:w="660" w:type="dxa"/>
            <w:vAlign w:val="bottom"/>
          </w:tcPr>
          <w:p>
            <w:pPr>
              <w:jc w:val="right"/>
              <w:spacing w:after="0"/>
              <w:rPr>
                <w:sz w:val="20"/>
                <w:szCs w:val="20"/>
                <w:color w:val="auto"/>
              </w:rPr>
            </w:pPr>
            <w:r>
              <w:rPr>
                <w:rFonts w:ascii="Arial" w:cs="Arial" w:eastAsia="Arial" w:hAnsi="Arial"/>
                <w:sz w:val="12"/>
                <w:szCs w:val="12"/>
                <w:color w:val="auto"/>
              </w:rPr>
              <w:t>25,913</w:t>
            </w:r>
          </w:p>
        </w:tc>
      </w:tr>
      <w:tr>
        <w:trPr>
          <w:trHeight w:val="133"/>
        </w:trPr>
        <w:tc>
          <w:tcPr>
            <w:tcW w:w="3140" w:type="dxa"/>
            <w:vAlign w:val="bottom"/>
          </w:tcPr>
          <w:p>
            <w:pPr>
              <w:ind w:left="20"/>
              <w:spacing w:after="0" w:line="133" w:lineRule="exact"/>
              <w:rPr>
                <w:sz w:val="20"/>
                <w:szCs w:val="20"/>
                <w:color w:val="auto"/>
              </w:rPr>
            </w:pPr>
            <w:r>
              <w:rPr>
                <w:rFonts w:ascii="Arial" w:cs="Arial" w:eastAsia="Arial" w:hAnsi="Arial"/>
                <w:sz w:val="12"/>
                <w:szCs w:val="12"/>
                <w:color w:val="auto"/>
              </w:rPr>
              <w:t>Royal Dutch Shell share of capital employed</w:t>
            </w:r>
          </w:p>
        </w:tc>
        <w:tc>
          <w:tcPr>
            <w:tcW w:w="540" w:type="dxa"/>
            <w:vAlign w:val="bottom"/>
            <w:shd w:val="clear" w:color="auto" w:fill="E4E3E1"/>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33"/>
        </w:trPr>
        <w:tc>
          <w:tcPr>
            <w:tcW w:w="3140" w:type="dxa"/>
            <w:vAlign w:val="bottom"/>
          </w:tcPr>
          <w:p>
            <w:pPr>
              <w:ind w:left="20"/>
              <w:spacing w:after="0" w:line="133" w:lineRule="exact"/>
              <w:rPr>
                <w:sz w:val="20"/>
                <w:szCs w:val="20"/>
                <w:color w:val="auto"/>
              </w:rPr>
            </w:pPr>
            <w:r>
              <w:rPr>
                <w:rFonts w:ascii="Arial" w:cs="Arial" w:eastAsia="Arial" w:hAnsi="Arial"/>
                <w:sz w:val="12"/>
                <w:szCs w:val="12"/>
                <w:color w:val="auto"/>
              </w:rPr>
              <w:t>– opening</w:t>
            </w:r>
          </w:p>
        </w:tc>
        <w:tc>
          <w:tcPr>
            <w:tcW w:w="5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120,235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102,917</w:t>
            </w:r>
          </w:p>
        </w:tc>
        <w:tc>
          <w:tcPr>
            <w:tcW w:w="660" w:type="dxa"/>
            <w:vAlign w:val="bottom"/>
          </w:tcPr>
          <w:p>
            <w:pPr>
              <w:jc w:val="right"/>
              <w:spacing w:after="0" w:line="133" w:lineRule="exact"/>
              <w:rPr>
                <w:sz w:val="20"/>
                <w:szCs w:val="20"/>
                <w:color w:val="auto"/>
              </w:rPr>
            </w:pPr>
            <w:r>
              <w:rPr>
                <w:rFonts w:ascii="Arial" w:cs="Arial" w:eastAsia="Arial" w:hAnsi="Arial"/>
                <w:sz w:val="12"/>
                <w:szCs w:val="12"/>
                <w:color w:val="auto"/>
              </w:rPr>
              <w:t>99,815</w:t>
            </w:r>
          </w:p>
        </w:tc>
      </w:tr>
      <w:tr>
        <w:trPr>
          <w:trHeight w:val="133"/>
        </w:trPr>
        <w:tc>
          <w:tcPr>
            <w:tcW w:w="3140" w:type="dxa"/>
            <w:vAlign w:val="bottom"/>
          </w:tcPr>
          <w:p>
            <w:pPr>
              <w:ind w:left="20"/>
              <w:spacing w:after="0" w:line="133" w:lineRule="exact"/>
              <w:rPr>
                <w:sz w:val="20"/>
                <w:szCs w:val="20"/>
                <w:color w:val="auto"/>
              </w:rPr>
            </w:pPr>
            <w:r>
              <w:rPr>
                <w:rFonts w:ascii="Arial" w:cs="Arial" w:eastAsia="Arial" w:hAnsi="Arial"/>
                <w:sz w:val="12"/>
                <w:szCs w:val="12"/>
                <w:color w:val="auto"/>
              </w:rPr>
              <w:t>Royal Dutch Shell share of capital employed</w:t>
            </w:r>
          </w:p>
        </w:tc>
        <w:tc>
          <w:tcPr>
            <w:tcW w:w="540" w:type="dxa"/>
            <w:vAlign w:val="bottom"/>
            <w:shd w:val="clear" w:color="auto" w:fill="E4E3E1"/>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9"/>
        </w:trPr>
        <w:tc>
          <w:tcPr>
            <w:tcW w:w="3140" w:type="dxa"/>
            <w:vAlign w:val="bottom"/>
          </w:tcPr>
          <w:p>
            <w:pPr>
              <w:ind w:left="20"/>
              <w:spacing w:after="0" w:line="120" w:lineRule="exact"/>
              <w:rPr>
                <w:sz w:val="20"/>
                <w:szCs w:val="20"/>
                <w:color w:val="auto"/>
              </w:rPr>
            </w:pPr>
            <w:r>
              <w:rPr>
                <w:rFonts w:ascii="Arial" w:cs="Arial" w:eastAsia="Arial" w:hAnsi="Arial"/>
                <w:sz w:val="12"/>
                <w:szCs w:val="12"/>
                <w:color w:val="auto"/>
              </w:rPr>
              <w:t>– closing</w:t>
            </w:r>
          </w:p>
        </w:tc>
        <w:tc>
          <w:tcPr>
            <w:tcW w:w="54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rPr>
              <w:t>141,770</w:t>
            </w:r>
          </w:p>
        </w:tc>
        <w:tc>
          <w:tcPr>
            <w:tcW w:w="800" w:type="dxa"/>
            <w:vAlign w:val="bottom"/>
          </w:tcPr>
          <w:p>
            <w:pPr>
              <w:jc w:val="right"/>
              <w:ind w:right="58"/>
              <w:spacing w:after="0" w:line="120" w:lineRule="exact"/>
              <w:rPr>
                <w:sz w:val="20"/>
                <w:szCs w:val="20"/>
                <w:color w:val="auto"/>
              </w:rPr>
            </w:pPr>
            <w:r>
              <w:rPr>
                <w:rFonts w:ascii="Arial" w:cs="Arial" w:eastAsia="Arial" w:hAnsi="Arial"/>
                <w:sz w:val="12"/>
                <w:szCs w:val="12"/>
                <w:color w:val="auto"/>
              </w:rPr>
              <w:t>120,235</w:t>
            </w:r>
          </w:p>
        </w:tc>
        <w:tc>
          <w:tcPr>
            <w:tcW w:w="660" w:type="dxa"/>
            <w:vAlign w:val="bottom"/>
          </w:tcPr>
          <w:p>
            <w:pPr>
              <w:jc w:val="right"/>
              <w:spacing w:after="0" w:line="120" w:lineRule="exact"/>
              <w:rPr>
                <w:sz w:val="20"/>
                <w:szCs w:val="20"/>
                <w:color w:val="auto"/>
              </w:rPr>
            </w:pPr>
            <w:r>
              <w:rPr>
                <w:rFonts w:ascii="Arial" w:cs="Arial" w:eastAsia="Arial" w:hAnsi="Arial"/>
                <w:sz w:val="12"/>
                <w:szCs w:val="12"/>
                <w:color w:val="auto"/>
              </w:rPr>
              <w:t>102,917</w:t>
            </w:r>
          </w:p>
        </w:tc>
      </w:tr>
      <w:tr>
        <w:trPr>
          <w:trHeight w:val="133"/>
        </w:trPr>
        <w:tc>
          <w:tcPr>
            <w:tcW w:w="3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Royal Dutch Shell share of capital employed</w:t>
            </w:r>
          </w:p>
        </w:tc>
        <w:tc>
          <w:tcPr>
            <w:tcW w:w="540" w:type="dxa"/>
            <w:vAlign w:val="bottom"/>
            <w:shd w:val="clear" w:color="auto" w:fill="E4E3E1"/>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53"/>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 average</w:t>
            </w:r>
          </w:p>
        </w:tc>
        <w:tc>
          <w:tcPr>
            <w:tcW w:w="5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131,003</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111,576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101,366</w:t>
            </w:r>
          </w:p>
        </w:tc>
      </w:tr>
      <w:tr>
        <w:trPr>
          <w:trHeight w:val="146"/>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ROACE</w:t>
            </w:r>
          </w:p>
        </w:tc>
        <w:tc>
          <w:tcPr>
            <w:tcW w:w="5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24.4%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23.4%</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-921385</wp:posOffset>
            </wp:positionV>
            <wp:extent cx="177800" cy="45332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7800" cy="453326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GEARING</w:t>
      </w:r>
    </w:p>
    <w:p>
      <w:pPr>
        <w:spacing w:after="0" w:line="226" w:lineRule="auto"/>
        <w:rPr>
          <w:sz w:val="20"/>
          <w:szCs w:val="20"/>
          <w:color w:val="auto"/>
        </w:rPr>
      </w:pPr>
      <w:r>
        <w:rPr>
          <w:rFonts w:ascii="Arial" w:cs="Arial" w:eastAsia="Arial" w:hAnsi="Arial"/>
          <w:sz w:val="14"/>
          <w:szCs w:val="14"/>
          <w:color w:val="auto"/>
        </w:rPr>
        <w:t>The gearing ratio is a measure of Shell’s financial leverage reflecting the degree to which</w:t>
      </w:r>
    </w:p>
    <w:p>
      <w:pPr>
        <w:spacing w:after="0" w:line="219" w:lineRule="auto"/>
        <w:rPr>
          <w:sz w:val="20"/>
          <w:szCs w:val="20"/>
          <w:color w:val="auto"/>
        </w:rPr>
      </w:pPr>
      <w:r>
        <w:rPr>
          <w:rFonts w:ascii="Arial" w:cs="Arial" w:eastAsia="Arial" w:hAnsi="Arial"/>
          <w:sz w:val="14"/>
          <w:szCs w:val="14"/>
          <w:color w:val="auto"/>
        </w:rPr>
        <w:t>Shell’s operations are financed by debt and certain other off-balance sheet obligations (see</w:t>
      </w:r>
    </w:p>
    <w:p>
      <w:pPr>
        <w:spacing w:after="0" w:line="218" w:lineRule="auto"/>
        <w:rPr>
          <w:sz w:val="20"/>
          <w:szCs w:val="20"/>
          <w:color w:val="auto"/>
        </w:rPr>
      </w:pPr>
      <w:r>
        <w:rPr>
          <w:rFonts w:ascii="Arial" w:cs="Arial" w:eastAsia="Arial" w:hAnsi="Arial"/>
          <w:sz w:val="14"/>
          <w:szCs w:val="14"/>
          <w:color w:val="auto"/>
        </w:rPr>
        <w:t>Note 19[D] to the Consolidated Financial Statements on page 138). The amount of debt</w:t>
      </w:r>
    </w:p>
    <w:p>
      <w:pPr>
        <w:spacing w:after="0" w:line="218" w:lineRule="auto"/>
        <w:rPr>
          <w:sz w:val="20"/>
          <w:szCs w:val="20"/>
          <w:color w:val="auto"/>
        </w:rPr>
      </w:pPr>
      <w:r>
        <w:rPr>
          <w:rFonts w:ascii="Arial" w:cs="Arial" w:eastAsia="Arial" w:hAnsi="Arial"/>
          <w:sz w:val="14"/>
          <w:szCs w:val="14"/>
          <w:color w:val="auto"/>
        </w:rPr>
        <w:t>that Shell will commit to depends on cash inflow from operations, divestment proceeds</w:t>
      </w:r>
    </w:p>
    <w:p>
      <w:pPr>
        <w:spacing w:after="0" w:line="219" w:lineRule="auto"/>
        <w:rPr>
          <w:sz w:val="20"/>
          <w:szCs w:val="20"/>
          <w:color w:val="auto"/>
        </w:rPr>
      </w:pPr>
      <w:r>
        <w:rPr>
          <w:rFonts w:ascii="Arial" w:cs="Arial" w:eastAsia="Arial" w:hAnsi="Arial"/>
          <w:sz w:val="14"/>
          <w:szCs w:val="14"/>
          <w:color w:val="auto"/>
        </w:rPr>
        <w:t>and cash outflow in the form of capital investment</w:t>
      </w:r>
      <w:r>
        <w:rPr>
          <w:rFonts w:ascii="Arial" w:cs="Arial" w:eastAsia="Arial" w:hAnsi="Arial"/>
          <w:sz w:val="12"/>
          <w:szCs w:val="12"/>
          <w:b w:val="1"/>
          <w:bCs w:val="1"/>
          <w:color w:val="auto"/>
        </w:rPr>
        <w:t>[A]</w:t>
      </w:r>
      <w:r>
        <w:rPr>
          <w:rFonts w:ascii="Arial" w:cs="Arial" w:eastAsia="Arial" w:hAnsi="Arial"/>
          <w:sz w:val="14"/>
          <w:szCs w:val="14"/>
          <w:color w:val="auto"/>
        </w:rPr>
        <w:t xml:space="preserve"> (including acquisitions), dividend</w:t>
      </w:r>
    </w:p>
    <w:p>
      <w:pPr>
        <w:spacing w:after="0" w:line="218" w:lineRule="auto"/>
        <w:rPr>
          <w:sz w:val="20"/>
          <w:szCs w:val="20"/>
          <w:color w:val="auto"/>
        </w:rPr>
      </w:pPr>
      <w:r>
        <w:rPr>
          <w:rFonts w:ascii="Arial" w:cs="Arial" w:eastAsia="Arial" w:hAnsi="Arial"/>
          <w:sz w:val="14"/>
          <w:szCs w:val="14"/>
          <w:color w:val="auto"/>
        </w:rPr>
        <w:t>payments and share repurchases. As described in the section “Liquidity and capital</w:t>
      </w:r>
    </w:p>
    <w:p>
      <w:pPr>
        <w:spacing w:after="0" w:line="219" w:lineRule="auto"/>
        <w:rPr>
          <w:sz w:val="20"/>
          <w:szCs w:val="20"/>
          <w:color w:val="auto"/>
        </w:rPr>
      </w:pPr>
      <w:r>
        <w:rPr>
          <w:rFonts w:ascii="Arial" w:cs="Arial" w:eastAsia="Arial" w:hAnsi="Arial"/>
          <w:sz w:val="14"/>
          <w:szCs w:val="14"/>
          <w:color w:val="auto"/>
        </w:rPr>
        <w:t>resources” (on pages 62-65), Shell has a central financing and debt programme currently</w:t>
      </w:r>
    </w:p>
    <w:p>
      <w:pPr>
        <w:spacing w:after="0" w:line="218" w:lineRule="auto"/>
        <w:rPr>
          <w:sz w:val="20"/>
          <w:szCs w:val="20"/>
          <w:color w:val="auto"/>
        </w:rPr>
      </w:pPr>
      <w:r>
        <w:rPr>
          <w:rFonts w:ascii="Arial" w:cs="Arial" w:eastAsia="Arial" w:hAnsi="Arial"/>
          <w:sz w:val="14"/>
          <w:szCs w:val="14"/>
          <w:color w:val="auto"/>
        </w:rPr>
        <w:t>containing four different debt instruments. Shell aims to maintain an efficient balance</w:t>
      </w:r>
    </w:p>
    <w:p>
      <w:pPr>
        <w:spacing w:after="0"/>
        <w:rPr>
          <w:sz w:val="20"/>
          <w:szCs w:val="20"/>
          <w:color w:val="auto"/>
        </w:rPr>
      </w:pPr>
      <w:r>
        <w:rPr>
          <w:rFonts w:ascii="Arial" w:cs="Arial" w:eastAsia="Arial" w:hAnsi="Arial"/>
          <w:sz w:val="14"/>
          <w:szCs w:val="14"/>
          <w:color w:val="auto"/>
        </w:rPr>
        <w:t>sheet to be able to finance investment and growth, after the funding of dividends.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During 2006, the gearing ratio increased from 13.6% to 14.8%. In 2007, the gearing ratio</w:t>
      </w:r>
    </w:p>
    <w:p>
      <w:pPr>
        <w:spacing w:after="0" w:line="218" w:lineRule="auto"/>
        <w:rPr>
          <w:sz w:val="20"/>
          <w:szCs w:val="20"/>
          <w:color w:val="auto"/>
        </w:rPr>
      </w:pPr>
      <w:r>
        <w:rPr>
          <w:rFonts w:ascii="Arial" w:cs="Arial" w:eastAsia="Arial" w:hAnsi="Arial"/>
          <w:sz w:val="14"/>
          <w:szCs w:val="14"/>
          <w:color w:val="auto"/>
        </w:rPr>
        <w:t>increased to 16.6% mainly due to an increase in total debt and in operating lease</w:t>
      </w:r>
    </w:p>
    <w:p>
      <w:pPr>
        <w:spacing w:after="0"/>
        <w:rPr>
          <w:sz w:val="20"/>
          <w:szCs w:val="20"/>
          <w:color w:val="auto"/>
        </w:rPr>
      </w:pPr>
      <w:r>
        <w:rPr>
          <w:rFonts w:ascii="Arial" w:cs="Arial" w:eastAsia="Arial" w:hAnsi="Arial"/>
          <w:sz w:val="14"/>
          <w:szCs w:val="14"/>
          <w:color w:val="auto"/>
        </w:rPr>
        <w:t>obligations.</w:t>
      </w:r>
    </w:p>
    <w:p>
      <w:pPr>
        <w:spacing w:after="0" w:line="186" w:lineRule="exact"/>
        <w:rPr>
          <w:sz w:val="20"/>
          <w:szCs w:val="20"/>
          <w:color w:val="auto"/>
        </w:rPr>
      </w:pPr>
    </w:p>
    <w:p>
      <w:pPr>
        <w:ind w:left="200" w:right="5780" w:hanging="193"/>
        <w:spacing w:after="0"/>
        <w:tabs>
          <w:tab w:leader="none" w:pos="200" w:val="left"/>
        </w:tabs>
        <w:numPr>
          <w:ilvl w:val="0"/>
          <w:numId w:val="73"/>
        </w:numPr>
        <w:rPr>
          <w:rFonts w:ascii="Arial" w:cs="Arial" w:eastAsia="Arial" w:hAnsi="Arial"/>
          <w:sz w:val="12"/>
          <w:szCs w:val="12"/>
          <w:color w:val="auto"/>
        </w:rPr>
      </w:pPr>
      <w:r>
        <w:rPr>
          <w:rFonts w:ascii="Arial" w:cs="Arial" w:eastAsia="Arial" w:hAnsi="Arial"/>
          <w:sz w:val="12"/>
          <w:szCs w:val="12"/>
          <w:color w:val="auto"/>
        </w:rPr>
        <w:t>Capital investment consists of capital expenditure plus exploration expense and new investments in equity-accounted investments. Capital expenditure and exploration expense are further defined on page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928370</wp:posOffset>
            </wp:positionV>
            <wp:extent cx="725297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spacing w:after="0"/>
        <w:rPr>
          <w:sz w:val="20"/>
          <w:szCs w:val="20"/>
          <w:color w:val="auto"/>
        </w:rPr>
      </w:pPr>
      <w:r>
        <w:rPr>
          <w:rFonts w:ascii="Arial" w:cs="Arial" w:eastAsia="Arial" w:hAnsi="Arial"/>
          <w:sz w:val="36"/>
          <w:szCs w:val="36"/>
          <w:color w:val="auto"/>
        </w:rPr>
        <w:t>Liquidity and capital resources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COMPARED TO 2006 AND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6"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The most significant factors affecting year-to-year comparisons of cash flow provided by operating activities are; changes in realised prices for crude oil and natural gas; crude oil, natural gas and oil sands (bitumen) production levels; and refining and marketing margins. These factors are also the most significant affecting income. Acquisitions, divestments and other portfolio changes can affect the comparability of cash flows in the year of the transaction.</w:t>
      </w:r>
    </w:p>
    <w:p>
      <w:pPr>
        <w:spacing w:after="0" w:line="18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Since the contribution of Exploration &amp; Production to earnings is larger than our other businesses, changes affecting Exploration &amp; Production, particularly changes in realised crude oil and natural gas prices and production levels have a significant impact on the cash flow of Shell. While Exploration &amp; Production benefits from higher realised crude oil and natural gas prices, the extent of such benefit (and the extent of a detriment from a decline in these prices) is dependent on the extent that contractual arrangements are tied to market prices; the dynamics of production-sharing contracts; the existence of agreements with governments or national oil companies that have limited sensitivity to crude oil price; tax impacts; the extent to which changes in crude oil price flow through into operating costs; and the impact of natural gas prices. Changes, therefore, in benchmark prices for crude oil and natural gas only provide a broad indicator of changes in the earnings experienced in any particular period by Exploration &amp; Production.</w:t>
      </w:r>
    </w:p>
    <w:p>
      <w:pPr>
        <w:spacing w:after="0" w:line="182"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In Oil Products, our second largest business, changes in any one of a range of factors derived from either within or beyond the industry can influence margins in the short or long term. The precise impact of any such change at a given point in time is dependent upon other prevailing conditions and the elasticity of the oil markets. For example, a sudden decrease in crude oil and/or natural gas prices would in the very short term lead to an increase in combined refining and marketing margins until responding downward price corrections materialise in the international oil products markets. The converse arises for sudden crude or natural gas price increases. The duration and impact of these dynamics is in turn a function of a number of factors determining the market response, including whether a change in crude price affects all crude types or only a specific grade; regional and global crude oil and refined products inventory; and the collective speed of response of the industry refiners and product marketers in adjusting their operations. It should be noted that commonly agreed benchmarks for refinery and marketing margins do not exist in the way that Brent and WTI crude oil prices and Henry Hub natural gas prices in the USA serve as benchmarks in the Exploration &amp; Production business.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In the longer term, reserve replacement of oil and gas and minable oil sands reserves will affect the ability of Shell to continue to maintain or increase production levels in Exploration &amp; Production and Oil Sands, which in turn will affect our cash flow provided by operating activities and income. We will need to take measures to maintain or increase production levels and cash flows in future periods, which measures may include developing new fields and mines, continuing to develop and apply new technologies and recovery processes to existing fields and mines, and making selective focused acquisitions. Our goal is to offset declines from production and increase reserves. However, reserve and/or production increases are subject to a variety of risks and other factors, including the uncertainties of exploration, operational interruptions, geology, frontier conditions, availability of new technology and</w:t>
      </w:r>
    </w:p>
    <w:p>
      <w:pPr>
        <w:spacing w:after="0" w:line="200" w:lineRule="exact"/>
        <w:rPr>
          <w:sz w:val="20"/>
          <w:szCs w:val="20"/>
          <w:color w:val="auto"/>
        </w:rPr>
      </w:pPr>
    </w:p>
    <w:p>
      <w:pPr>
        <w:spacing w:after="0" w:line="304" w:lineRule="exact"/>
        <w:rPr>
          <w:sz w:val="20"/>
          <w:szCs w:val="20"/>
          <w:color w:val="auto"/>
        </w:rPr>
      </w:pPr>
    </w:p>
    <w:p>
      <w:pPr>
        <w:ind w:left="280" w:hanging="273"/>
        <w:spacing w:after="0"/>
        <w:tabs>
          <w:tab w:leader="none" w:pos="280" w:val="left"/>
        </w:tabs>
        <w:numPr>
          <w:ilvl w:val="0"/>
          <w:numId w:val="74"/>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engineering capacity, availability of skilled resources, project delays and potential cost overruns as well as fiscal, regulatory and political changes.</w:t>
      </w:r>
    </w:p>
    <w:p>
      <w:pPr>
        <w:spacing w:after="0" w:line="175"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auto"/>
        </w:rPr>
        <w:t>Shell has a diverse portfolio of development projects and exploration opportunities, which may mitigate the overall political and technical risks of Exploration &amp; Production and the associated cash flow provided by operating activities.</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It is our intention to continue to divest and, where appropriate, make selective acquisitions as part of active portfolio management. The number of companies or assets divested will depend on market opportunities.</w:t>
      </w:r>
    </w:p>
    <w:p>
      <w:pPr>
        <w:spacing w:after="0" w:line="180"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We manage our portfolio of businesses to balance cash flow provided by operating activities against uses of cash over time, based on conservative assumptions relating to crude oil prices relative to average market crude oil prices during 2006 and 2007.</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STATEMENT OF CASH FLOWS</w:t>
      </w:r>
    </w:p>
    <w:p>
      <w:pPr>
        <w:spacing w:after="0" w:line="6" w:lineRule="exact"/>
        <w:rPr>
          <w:sz w:val="20"/>
          <w:szCs w:val="20"/>
          <w:color w:val="auto"/>
        </w:rPr>
      </w:pPr>
    </w:p>
    <w:p>
      <w:pPr>
        <w:jc w:val="both"/>
        <w:ind w:right="240"/>
        <w:spacing w:after="0" w:line="224" w:lineRule="auto"/>
        <w:rPr>
          <w:sz w:val="20"/>
          <w:szCs w:val="20"/>
          <w:color w:val="auto"/>
        </w:rPr>
      </w:pPr>
      <w:r>
        <w:rPr>
          <w:rFonts w:ascii="Arial" w:cs="Arial" w:eastAsia="Arial" w:hAnsi="Arial"/>
          <w:sz w:val="14"/>
          <w:szCs w:val="14"/>
          <w:color w:val="auto"/>
        </w:rPr>
        <w:t>Cash flow from operating activities reached a record level of $34.5 billion in 2007 compared with $31.7 billion in 2006 and $30.1 billion in 2005. The increased cash flow from operations was driven mainly by the growth in income to $31.9 billion in 2007 from $26.3 billion in 2006 and 2005 as well as a reduction in taxation paid in 2007 compared to 2006.</w:t>
      </w:r>
    </w:p>
    <w:p>
      <w:pPr>
        <w:spacing w:after="0" w:line="182"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Cash flow from/(used in) investing activities was $(14.6) billion in 2007, a reduction from $(20.9) billion in 2006 as proceeds from sale of assets, equity-accounted investments and financial assets more than offset increased capital expenditure in 2007. In 2005, cash flow from/(used in) investing activities was $(8.8) billion reflecting lower capital expenditure and higher proceeds from sale of assets and sale of equity-accounted investments than in 2006.</w:t>
      </w:r>
    </w:p>
    <w:p>
      <w:pPr>
        <w:spacing w:after="0" w:line="183"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Cash flow from/(used in) financing activities increased to $(19.4) billion from $(13.7) billion in 2006, primarily due to the acquisition of the Shell Canada minority interest (see Note 28 to the Consolidated Financial Statements). In 2005, cash flow from/(used in) financing was $(18.6) billion reflecting lower new debt borrowings and higher dividends than in 2006. In addition, in 2005 there were payments to former Royal Dutch shareholders in relation to the Unification.</w:t>
      </w:r>
    </w:p>
    <w:p>
      <w:pPr>
        <w:spacing w:after="0" w:line="177"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Cash and cash equivalents reached $9.7 billion at year-end, up slightly from the 2006 level of $9.0 billion and down from the 2005 level of $11.7 billion.</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3320" w:type="dxa"/>
            <w:vAlign w:val="bottom"/>
            <w:tcBorders>
              <w:right w:val="single" w:sz="8" w:color="FFD204"/>
            </w:tcBorders>
            <w:shd w:val="clear" w:color="auto" w:fill="FFD204"/>
          </w:tcPr>
          <w:p>
            <w:pPr>
              <w:spacing w:after="0"/>
              <w:rPr>
                <w:sz w:val="20"/>
                <w:szCs w:val="20"/>
                <w:color w:val="auto"/>
              </w:rPr>
            </w:pPr>
            <w:r>
              <w:rPr>
                <w:rFonts w:ascii="Arial" w:cs="Arial" w:eastAsia="Arial" w:hAnsi="Arial"/>
                <w:sz w:val="12"/>
                <w:szCs w:val="12"/>
                <w:b w:val="1"/>
                <w:bCs w:val="1"/>
                <w:color w:val="auto"/>
              </w:rPr>
              <w:t>EXTRACT FROM CASH FLOW STATEMENT[A]</w:t>
            </w:r>
          </w:p>
        </w:tc>
        <w:tc>
          <w:tcPr>
            <w:tcW w:w="340" w:type="dxa"/>
            <w:vAlign w:val="bottom"/>
            <w:shd w:val="clear" w:color="auto" w:fill="FFD204"/>
          </w:tcPr>
          <w:p>
            <w:pPr>
              <w:spacing w:after="0"/>
              <w:rPr>
                <w:sz w:val="13"/>
                <w:szCs w:val="13"/>
                <w:color w:val="auto"/>
              </w:rPr>
            </w:pPr>
          </w:p>
        </w:tc>
        <w:tc>
          <w:tcPr>
            <w:tcW w:w="680" w:type="dxa"/>
            <w:vAlign w:val="bottom"/>
            <w:shd w:val="clear" w:color="auto" w:fill="FFD204"/>
          </w:tcPr>
          <w:p>
            <w:pPr>
              <w:spacing w:after="0"/>
              <w:rPr>
                <w:sz w:val="13"/>
                <w:szCs w:val="13"/>
                <w:color w:val="auto"/>
              </w:rPr>
            </w:pPr>
          </w:p>
        </w:tc>
        <w:tc>
          <w:tcPr>
            <w:tcW w:w="64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billion</w:t>
            </w:r>
          </w:p>
        </w:tc>
      </w:tr>
      <w:tr>
        <w:trPr>
          <w:trHeight w:val="133"/>
        </w:trPr>
        <w:tc>
          <w:tcPr>
            <w:tcW w:w="3320" w:type="dxa"/>
            <w:vAlign w:val="bottom"/>
            <w:tcBorders>
              <w:right w:val="single" w:sz="8" w:color="CECAC6"/>
            </w:tcBorders>
            <w:shd w:val="clear" w:color="auto" w:fill="CECAC6"/>
          </w:tcPr>
          <w:p>
            <w:pPr>
              <w:spacing w:after="0"/>
              <w:rPr>
                <w:sz w:val="11"/>
                <w:szCs w:val="11"/>
                <w:color w:val="auto"/>
              </w:rPr>
            </w:pPr>
          </w:p>
        </w:tc>
        <w:tc>
          <w:tcPr>
            <w:tcW w:w="3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w w:val="89"/>
              </w:rPr>
              <w:t>2007</w:t>
            </w:r>
          </w:p>
        </w:tc>
        <w:tc>
          <w:tcPr>
            <w:tcW w:w="68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2006</w:t>
            </w:r>
          </w:p>
        </w:tc>
        <w:tc>
          <w:tcPr>
            <w:tcW w:w="6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332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Cash flow from operating activities</w:t>
            </w:r>
          </w:p>
        </w:tc>
        <w:tc>
          <w:tcPr>
            <w:tcW w:w="34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34.5</w:t>
            </w:r>
          </w:p>
        </w:tc>
        <w:tc>
          <w:tcPr>
            <w:tcW w:w="680" w:type="dxa"/>
            <w:vAlign w:val="bottom"/>
          </w:tcPr>
          <w:p>
            <w:pPr>
              <w:jc w:val="right"/>
              <w:ind w:right="98"/>
              <w:spacing w:after="0" w:line="128" w:lineRule="exact"/>
              <w:rPr>
                <w:sz w:val="20"/>
                <w:szCs w:val="20"/>
                <w:color w:val="auto"/>
              </w:rPr>
            </w:pPr>
            <w:r>
              <w:rPr>
                <w:rFonts w:ascii="Arial" w:cs="Arial" w:eastAsia="Arial" w:hAnsi="Arial"/>
                <w:sz w:val="12"/>
                <w:szCs w:val="12"/>
                <w:color w:val="auto"/>
              </w:rPr>
              <w:t>31.7</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30.1</w:t>
            </w:r>
          </w:p>
        </w:tc>
      </w:tr>
      <w:tr>
        <w:trPr>
          <w:trHeight w:val="139"/>
        </w:trPr>
        <w:tc>
          <w:tcPr>
            <w:tcW w:w="33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Cash flow from investing activities</w:t>
            </w:r>
          </w:p>
        </w:tc>
        <w:tc>
          <w:tcPr>
            <w:tcW w:w="34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w w:val="95"/>
                <w:shd w:val="clear" w:color="auto" w:fill="E4E3E1"/>
              </w:rPr>
              <w:t>(14.6)</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(20.9)</w:t>
            </w:r>
          </w:p>
        </w:tc>
        <w:tc>
          <w:tcPr>
            <w:tcW w:w="640" w:type="dxa"/>
            <w:vAlign w:val="bottom"/>
          </w:tcPr>
          <w:p>
            <w:pPr>
              <w:jc w:val="right"/>
              <w:spacing w:after="0" w:line="133" w:lineRule="exact"/>
              <w:rPr>
                <w:sz w:val="20"/>
                <w:szCs w:val="20"/>
                <w:color w:val="auto"/>
              </w:rPr>
            </w:pPr>
            <w:r>
              <w:rPr>
                <w:rFonts w:ascii="Arial" w:cs="Arial" w:eastAsia="Arial" w:hAnsi="Arial"/>
                <w:sz w:val="12"/>
                <w:szCs w:val="12"/>
                <w:color w:val="auto"/>
              </w:rPr>
              <w:t>(8.8)</w:t>
            </w:r>
          </w:p>
        </w:tc>
      </w:tr>
      <w:tr>
        <w:trPr>
          <w:trHeight w:val="127"/>
        </w:trPr>
        <w:tc>
          <w:tcPr>
            <w:tcW w:w="332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color w:val="auto"/>
              </w:rPr>
              <w:t>Cash flow from financing activities</w:t>
            </w:r>
          </w:p>
        </w:tc>
        <w:tc>
          <w:tcPr>
            <w:tcW w:w="340" w:type="dxa"/>
            <w:vAlign w:val="bottom"/>
          </w:tcPr>
          <w:p>
            <w:pPr>
              <w:jc w:val="right"/>
              <w:spacing w:after="0" w:line="128" w:lineRule="exact"/>
              <w:rPr>
                <w:sz w:val="20"/>
                <w:szCs w:val="20"/>
                <w:color w:val="auto"/>
              </w:rPr>
            </w:pPr>
            <w:r>
              <w:rPr>
                <w:rFonts w:ascii="Arial" w:cs="Arial" w:eastAsia="Arial" w:hAnsi="Arial"/>
                <w:sz w:val="12"/>
                <w:szCs w:val="12"/>
                <w:color w:val="auto"/>
                <w:w w:val="95"/>
              </w:rPr>
              <w:t>(19.4)</w:t>
            </w:r>
          </w:p>
        </w:tc>
        <w:tc>
          <w:tcPr>
            <w:tcW w:w="680" w:type="dxa"/>
            <w:vAlign w:val="bottom"/>
          </w:tcPr>
          <w:p>
            <w:pPr>
              <w:jc w:val="right"/>
              <w:ind w:right="58"/>
              <w:spacing w:after="0" w:line="128" w:lineRule="exact"/>
              <w:rPr>
                <w:sz w:val="20"/>
                <w:szCs w:val="20"/>
                <w:color w:val="auto"/>
              </w:rPr>
            </w:pPr>
            <w:r>
              <w:rPr>
                <w:rFonts w:ascii="Arial" w:cs="Arial" w:eastAsia="Arial" w:hAnsi="Arial"/>
                <w:sz w:val="12"/>
                <w:szCs w:val="12"/>
                <w:color w:val="auto"/>
              </w:rPr>
              <w:t>(13.7)</w:t>
            </w:r>
          </w:p>
        </w:tc>
        <w:tc>
          <w:tcPr>
            <w:tcW w:w="640" w:type="dxa"/>
            <w:vAlign w:val="bottom"/>
          </w:tcPr>
          <w:p>
            <w:pPr>
              <w:jc w:val="right"/>
              <w:spacing w:after="0" w:line="128" w:lineRule="exact"/>
              <w:rPr>
                <w:sz w:val="20"/>
                <w:szCs w:val="20"/>
                <w:color w:val="auto"/>
              </w:rPr>
            </w:pPr>
            <w:r>
              <w:rPr>
                <w:rFonts w:ascii="Arial" w:cs="Arial" w:eastAsia="Arial" w:hAnsi="Arial"/>
                <w:sz w:val="12"/>
                <w:szCs w:val="12"/>
                <w:color w:val="auto"/>
              </w:rPr>
              <w:t>(18.6)</w:t>
            </w:r>
          </w:p>
        </w:tc>
      </w:tr>
      <w:tr>
        <w:trPr>
          <w:trHeight w:val="133"/>
        </w:trPr>
        <w:tc>
          <w:tcPr>
            <w:tcW w:w="33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Currency translation differences</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9"/>
        </w:trPr>
        <w:tc>
          <w:tcPr>
            <w:tcW w:w="33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relating to cash and cash equivalents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(0.2)</w:t>
            </w:r>
          </w:p>
        </w:tc>
      </w:tr>
      <w:tr>
        <w:trPr>
          <w:trHeight w:val="134"/>
        </w:trPr>
        <w:tc>
          <w:tcPr>
            <w:tcW w:w="3320" w:type="dxa"/>
            <w:vAlign w:val="bottom"/>
            <w:tcBorders>
              <w:right w:val="single" w:sz="8" w:color="E4E3E1"/>
            </w:tcBorders>
          </w:tcPr>
          <w:p>
            <w:pPr>
              <w:spacing w:after="0" w:line="134" w:lineRule="exact"/>
              <w:rPr>
                <w:sz w:val="20"/>
                <w:szCs w:val="20"/>
                <w:color w:val="auto"/>
              </w:rPr>
            </w:pPr>
            <w:r>
              <w:rPr>
                <w:rFonts w:ascii="Arial" w:cs="Arial" w:eastAsia="Arial" w:hAnsi="Arial"/>
                <w:sz w:val="12"/>
                <w:szCs w:val="12"/>
                <w:color w:val="auto"/>
              </w:rPr>
              <w:t>Increase/(decrease) in cash and cash equivalents</w:t>
            </w:r>
          </w:p>
        </w:tc>
        <w:tc>
          <w:tcPr>
            <w:tcW w:w="34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0.7</w:t>
            </w:r>
          </w:p>
        </w:tc>
        <w:tc>
          <w:tcPr>
            <w:tcW w:w="6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(2.7)</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2.5</w:t>
            </w:r>
          </w:p>
        </w:tc>
      </w:tr>
      <w:tr>
        <w:trPr>
          <w:trHeight w:val="139"/>
        </w:trPr>
        <w:tc>
          <w:tcPr>
            <w:tcW w:w="33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Cash and cash equivalents at the beginning of the year</w:t>
            </w:r>
          </w:p>
        </w:tc>
        <w:tc>
          <w:tcPr>
            <w:tcW w:w="3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9.0</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w:t>
            </w:r>
          </w:p>
        </w:tc>
      </w:tr>
      <w:tr>
        <w:trPr>
          <w:trHeight w:val="146"/>
        </w:trPr>
        <w:tc>
          <w:tcPr>
            <w:tcW w:w="33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Cash and cash equivalents at the end of the year</w:t>
            </w:r>
          </w:p>
        </w:tc>
        <w:tc>
          <w:tcPr>
            <w:tcW w:w="34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9.7</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-641985</wp:posOffset>
            </wp:positionV>
            <wp:extent cx="219710" cy="3384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9710" cy="3384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 For Consolidated Statement of Cash Flows see page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988060</wp:posOffset>
            </wp:positionV>
            <wp:extent cx="725297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CONDITION AND LIQUIDITY</w:t>
      </w:r>
    </w:p>
    <w:p>
      <w:pPr>
        <w:spacing w:after="0" w:line="6" w:lineRule="exact"/>
        <w:rPr>
          <w:sz w:val="20"/>
          <w:szCs w:val="20"/>
          <w:color w:val="auto"/>
        </w:rPr>
      </w:pPr>
    </w:p>
    <w:p>
      <w:pPr>
        <w:ind w:right="480"/>
        <w:spacing w:after="0" w:line="226" w:lineRule="auto"/>
        <w:rPr>
          <w:sz w:val="20"/>
          <w:szCs w:val="20"/>
          <w:color w:val="auto"/>
        </w:rPr>
      </w:pPr>
      <w:r>
        <w:rPr>
          <w:rFonts w:ascii="Arial" w:cs="Arial" w:eastAsia="Arial" w:hAnsi="Arial"/>
          <w:sz w:val="14"/>
          <w:szCs w:val="14"/>
          <w:color w:val="auto"/>
        </w:rPr>
        <w:t>Shell’s financial position is robust, and we returned $13.4 billion to our shareholders through dividends and buybacks in 2007. The current financial market conditions are not expected to have a material impact on the liquidity of Shell.</w:t>
      </w:r>
    </w:p>
    <w:p>
      <w:pPr>
        <w:spacing w:after="0" w:line="181" w:lineRule="exact"/>
        <w:rPr>
          <w:sz w:val="20"/>
          <w:szCs w:val="20"/>
          <w:color w:val="auto"/>
        </w:rPr>
      </w:pPr>
    </w:p>
    <w:p>
      <w:pPr>
        <w:ind w:right="540"/>
        <w:spacing w:after="0" w:line="273" w:lineRule="auto"/>
        <w:rPr>
          <w:sz w:val="20"/>
          <w:szCs w:val="20"/>
          <w:color w:val="auto"/>
        </w:rPr>
      </w:pPr>
      <w:r>
        <w:rPr>
          <w:rFonts w:ascii="Arial" w:cs="Arial" w:eastAsia="Arial" w:hAnsi="Arial"/>
          <w:sz w:val="12"/>
          <w:szCs w:val="12"/>
          <w:color w:val="auto"/>
        </w:rPr>
        <w:t>Cash and cash equivalents amounted to $9.7 billion at the end of 2007 (2006: $9.0 billion). Total short and long-term debt rose $2.3 billion in the year. Total debt at the end of 2007 amounted to $18.1 billion. The total debt outstanding (excluding leases) at December 31, 2007 will mature as follows: 40% in 2008, 9% in 2009, 15% in 2010, 9% in 2011 and 27% in 2012 and beyond.</w:t>
      </w:r>
    </w:p>
    <w:p>
      <w:pPr>
        <w:spacing w:after="0" w:line="54" w:lineRule="exact"/>
        <w:rPr>
          <w:sz w:val="20"/>
          <w:szCs w:val="20"/>
          <w:color w:val="auto"/>
        </w:rPr>
      </w:pPr>
    </w:p>
    <w:p>
      <w:pPr>
        <w:ind w:right="340"/>
        <w:spacing w:after="0" w:line="243" w:lineRule="auto"/>
        <w:rPr>
          <w:sz w:val="20"/>
          <w:szCs w:val="20"/>
          <w:color w:val="auto"/>
        </w:rPr>
      </w:pPr>
      <w:r>
        <w:rPr>
          <w:rFonts w:ascii="Arial" w:cs="Arial" w:eastAsia="Arial" w:hAnsi="Arial"/>
          <w:sz w:val="13"/>
          <w:szCs w:val="13"/>
          <w:color w:val="auto"/>
        </w:rPr>
        <w:t>Shell believes its current working capital is sufficient for its present requirements. Shell currently satisfies its funding and working capital requirements from the substantial cash generated within its business and through issuance of external debt. Our external debt is principally financed from the international debt capital markets – through two commercial paper programmes (CP programmes), a euro medium-term note programme (EMTN programme) and a US universal shelf registration (US shelf registration), each guaranteed by Royal Dutch Shell plc.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The central debt programmes and facilities now consist of:</w:t>
      </w:r>
    </w:p>
    <w:p>
      <w:pPr>
        <w:spacing w:after="0" w:line="92" w:lineRule="exact"/>
        <w:rPr>
          <w:sz w:val="20"/>
          <w:szCs w:val="20"/>
          <w:color w:val="auto"/>
        </w:rPr>
      </w:pPr>
    </w:p>
    <w:p>
      <w:pPr>
        <w:ind w:left="200" w:right="360" w:hanging="193"/>
        <w:spacing w:after="0" w:line="224" w:lineRule="auto"/>
        <w:tabs>
          <w:tab w:leader="none" w:pos="20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a $10 billion global CP programme, exempt from registration under section 3(a)(3) of the U.S. Securities Act 1933, which funds current transactions, with maturities not exceeding 270 days;</w:t>
      </w:r>
    </w:p>
    <w:p>
      <w:pPr>
        <w:ind w:left="200" w:right="480" w:hanging="193"/>
        <w:spacing w:after="0" w:line="218" w:lineRule="auto"/>
        <w:tabs>
          <w:tab w:leader="none" w:pos="20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a $10 billion CP programme, exempt from registration under section 4(2) of the U.S. Securities Act 1933, which can be used to finance non-current transactions. The maximum maturity of commercial paper issued under the programme is limited to 397 days;</w:t>
      </w:r>
    </w:p>
    <w:p>
      <w:pPr>
        <w:spacing w:after="0" w:line="1" w:lineRule="exact"/>
        <w:rPr>
          <w:rFonts w:ascii="Arial" w:cs="Arial" w:eastAsia="Arial" w:hAnsi="Arial"/>
          <w:sz w:val="14"/>
          <w:szCs w:val="14"/>
          <w:b w:val="1"/>
          <w:bCs w:val="1"/>
          <w:color w:val="auto"/>
        </w:rPr>
      </w:pPr>
    </w:p>
    <w:p>
      <w:pPr>
        <w:ind w:left="200" w:hanging="193"/>
        <w:spacing w:after="0" w:line="218" w:lineRule="auto"/>
        <w:tabs>
          <w:tab w:leader="none" w:pos="20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a $15 billion EMTN programme; and</w:t>
      </w:r>
    </w:p>
    <w:p>
      <w:pPr>
        <w:ind w:left="200" w:hanging="193"/>
        <w:spacing w:after="0"/>
        <w:tabs>
          <w:tab w:leader="none" w:pos="200" w:val="left"/>
        </w:tabs>
        <w:numPr>
          <w:ilvl w:val="0"/>
          <w:numId w:val="75"/>
        </w:numPr>
        <w:rPr>
          <w:rFonts w:ascii="Arial" w:cs="Arial" w:eastAsia="Arial" w:hAnsi="Arial"/>
          <w:sz w:val="14"/>
          <w:szCs w:val="14"/>
          <w:b w:val="1"/>
          <w:bCs w:val="1"/>
          <w:color w:val="auto"/>
        </w:rPr>
      </w:pPr>
      <w:r>
        <w:rPr>
          <w:rFonts w:ascii="Arial" w:cs="Arial" w:eastAsia="Arial" w:hAnsi="Arial"/>
          <w:sz w:val="14"/>
          <w:szCs w:val="14"/>
          <w:color w:val="auto"/>
        </w:rPr>
        <w:t>a $10 billion US shelf registration.</w:t>
      </w:r>
    </w:p>
    <w:p>
      <w:pPr>
        <w:spacing w:after="0" w:line="187" w:lineRule="exact"/>
        <w:rPr>
          <w:sz w:val="20"/>
          <w:szCs w:val="20"/>
          <w:color w:val="auto"/>
        </w:rPr>
      </w:pPr>
    </w:p>
    <w:p>
      <w:pPr>
        <w:ind w:right="320"/>
        <w:spacing w:after="0" w:line="222" w:lineRule="auto"/>
        <w:rPr>
          <w:sz w:val="20"/>
          <w:szCs w:val="20"/>
          <w:color w:val="auto"/>
        </w:rPr>
      </w:pPr>
      <w:r>
        <w:rPr>
          <w:rFonts w:ascii="Arial" w:cs="Arial" w:eastAsia="Arial" w:hAnsi="Arial"/>
          <w:sz w:val="14"/>
          <w:szCs w:val="14"/>
          <w:color w:val="auto"/>
        </w:rPr>
        <w:t>Under the debt programmes mentioned above, Shell made the following issuances: in 2007, $4.3 billion of new term debt was issued with maturities ranging from 3 years to 10 years, more than offsetting some $2 billion of maturing term debt. Term debt issuance included a 5-year $500 million and a 10-year $750 million issuance from the US shelf registration and some $3 billion issued from the EMTN programme, including a €1.5 billion 10-year issue. All CP, EMTN and US shelf issuance was undertaken by Shell International Finance B.V. (SIF BV), and guaranteed by Royal Dutch Shell plc. Fuller disclosure on debt issued – including maturity profile and fixed/floating rate characteristics – is included in Note 19 to the Consolidated Financial Statements. Certain joint venture operations and subsidiary undertakings with minority interests are separately financed.</w:t>
      </w:r>
    </w:p>
    <w:p>
      <w:pPr>
        <w:spacing w:after="0" w:line="184" w:lineRule="exact"/>
        <w:rPr>
          <w:sz w:val="20"/>
          <w:szCs w:val="20"/>
          <w:color w:val="auto"/>
        </w:rPr>
      </w:pPr>
    </w:p>
    <w:p>
      <w:pPr>
        <w:ind w:right="420"/>
        <w:spacing w:after="0" w:line="245" w:lineRule="auto"/>
        <w:rPr>
          <w:sz w:val="20"/>
          <w:szCs w:val="20"/>
          <w:color w:val="auto"/>
        </w:rPr>
      </w:pPr>
      <w:r>
        <w:rPr>
          <w:rFonts w:ascii="Arial" w:cs="Arial" w:eastAsia="Arial" w:hAnsi="Arial"/>
          <w:sz w:val="13"/>
          <w:szCs w:val="13"/>
          <w:color w:val="auto"/>
        </w:rPr>
        <w:t>Shell currently maintains $2.5 billion of committed bank facilities, as well as internally available liquidity, primarily to provide back-up coverage for commercial paper maturing within 30 days. Aside from this facility and certain borrowing in local subsidiaries, Shell does not have committed bank facilities as this is not considered to be a necessary or cost-effective form of financing for Shell given its size, credit rating and cash-generative nature.</w:t>
      </w:r>
    </w:p>
    <w:p>
      <w:pPr>
        <w:spacing w:after="0" w:line="177"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The maturity profile of Shell’s outstanding commercial paper is actively managed to ensure that the amount of commercial paper maturing within 30 days remains consistent with the level of supporting liquidity. The committed facilities, which are with a number of international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banks, will expire in 2012. Shell expects to be able to renew or increase these facilities on commercially acceptable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-198120</wp:posOffset>
            </wp:positionV>
            <wp:extent cx="177800" cy="72485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7800" cy="7248525"/>
                    </a:xfrm>
                    <a:prstGeom prst="rect">
                      <a:avLst/>
                    </a:prstGeom>
                    <a:noFill/>
                  </pic:spPr>
                </pic:pic>
              </a:graphicData>
            </a:graphic>
          </wp:anchor>
        </w:drawing>
      </w:r>
    </w:p>
    <w:p>
      <w:pPr>
        <w:spacing w:after="0" w:line="155" w:lineRule="exact"/>
        <w:rPr>
          <w:sz w:val="20"/>
          <w:szCs w:val="20"/>
          <w:color w:val="auto"/>
        </w:rPr>
      </w:pPr>
    </w:p>
    <w:p>
      <w:pPr>
        <w:ind w:right="160"/>
        <w:spacing w:after="0" w:line="231" w:lineRule="auto"/>
        <w:rPr>
          <w:sz w:val="20"/>
          <w:szCs w:val="20"/>
          <w:color w:val="auto"/>
        </w:rPr>
      </w:pPr>
      <w:r>
        <w:rPr>
          <w:rFonts w:ascii="Arial" w:cs="Arial" w:eastAsia="Arial" w:hAnsi="Arial"/>
          <w:sz w:val="14"/>
          <w:szCs w:val="14"/>
          <w:color w:val="auto"/>
        </w:rPr>
        <w:t>While Shell is subject to restrictions (such as foreign withholding taxes), on the ability of subsidiaries to transfer funds in the form of cash dividends, loans or advances, such restrictions are not expected to have a material impact on the ability of Shell to meet its cash obligations.</w:t>
      </w:r>
    </w:p>
    <w:p>
      <w:pPr>
        <w:spacing w:after="0" w:line="179" w:lineRule="exact"/>
        <w:rPr>
          <w:sz w:val="20"/>
          <w:szCs w:val="20"/>
          <w:color w:val="auto"/>
        </w:rPr>
      </w:pPr>
    </w:p>
    <w:p>
      <w:pPr>
        <w:jc w:val="both"/>
        <w:ind w:right="260"/>
        <w:spacing w:after="0" w:line="235" w:lineRule="auto"/>
        <w:rPr>
          <w:sz w:val="20"/>
          <w:szCs w:val="20"/>
          <w:color w:val="auto"/>
        </w:rPr>
      </w:pPr>
      <w:r>
        <w:rPr>
          <w:rFonts w:ascii="Arial" w:cs="Arial" w:eastAsia="Arial" w:hAnsi="Arial"/>
          <w:sz w:val="14"/>
          <w:szCs w:val="14"/>
          <w:color w:val="auto"/>
        </w:rPr>
        <w:t>The following table sets forth the consolidated unaudited Ratio of Earnings to Fixed Charges of Royal Dutch Shell for the years ended December 31, 2004, 2005, 2006 and 2007.</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60" w:type="dxa"/>
            <w:vAlign w:val="bottom"/>
            <w:shd w:val="clear" w:color="auto" w:fill="FFD204"/>
          </w:tcPr>
          <w:p>
            <w:pPr>
              <w:spacing w:after="0"/>
              <w:rPr>
                <w:sz w:val="20"/>
                <w:szCs w:val="20"/>
                <w:color w:val="auto"/>
              </w:rPr>
            </w:pPr>
            <w:r>
              <w:rPr>
                <w:rFonts w:ascii="Arial" w:cs="Arial" w:eastAsia="Arial" w:hAnsi="Arial"/>
                <w:sz w:val="12"/>
                <w:szCs w:val="12"/>
                <w:b w:val="1"/>
                <w:bCs w:val="1"/>
                <w:color w:val="auto"/>
              </w:rPr>
              <w:t>RATIO OF EARNINGS TO FIXED CHARGES</w:t>
            </w:r>
          </w:p>
        </w:tc>
        <w:tc>
          <w:tcPr>
            <w:tcW w:w="400" w:type="dxa"/>
            <w:vAlign w:val="bottom"/>
            <w:shd w:val="clear" w:color="auto" w:fill="FFD204"/>
          </w:tcPr>
          <w:p>
            <w:pPr>
              <w:spacing w:after="0"/>
              <w:rPr>
                <w:sz w:val="12"/>
                <w:szCs w:val="12"/>
                <w:color w:val="auto"/>
              </w:rPr>
            </w:pPr>
          </w:p>
        </w:tc>
        <w:tc>
          <w:tcPr>
            <w:tcW w:w="620" w:type="dxa"/>
            <w:vAlign w:val="bottom"/>
            <w:shd w:val="clear" w:color="auto" w:fill="FFD204"/>
          </w:tcPr>
          <w:p>
            <w:pPr>
              <w:spacing w:after="0"/>
              <w:rPr>
                <w:sz w:val="12"/>
                <w:szCs w:val="12"/>
                <w:color w:val="auto"/>
              </w:rPr>
            </w:pPr>
          </w:p>
        </w:tc>
        <w:tc>
          <w:tcPr>
            <w:tcW w:w="520" w:type="dxa"/>
            <w:vAlign w:val="bottom"/>
            <w:shd w:val="clear" w:color="auto" w:fill="FFD204"/>
          </w:tcPr>
          <w:p>
            <w:pPr>
              <w:spacing w:after="0"/>
              <w:rPr>
                <w:sz w:val="12"/>
                <w:szCs w:val="12"/>
                <w:color w:val="auto"/>
              </w:rPr>
            </w:pPr>
          </w:p>
        </w:tc>
        <w:tc>
          <w:tcPr>
            <w:tcW w:w="460" w:type="dxa"/>
            <w:vAlign w:val="bottom"/>
            <w:shd w:val="clear" w:color="auto" w:fill="FFD204"/>
          </w:tcPr>
          <w:p>
            <w:pPr>
              <w:spacing w:after="0"/>
              <w:rPr>
                <w:sz w:val="12"/>
                <w:szCs w:val="12"/>
                <w:color w:val="auto"/>
              </w:rPr>
            </w:pPr>
          </w:p>
        </w:tc>
      </w:tr>
      <w:tr>
        <w:trPr>
          <w:trHeight w:val="133"/>
        </w:trPr>
        <w:tc>
          <w:tcPr>
            <w:tcW w:w="2660" w:type="dxa"/>
            <w:vAlign w:val="bottom"/>
            <w:shd w:val="clear" w:color="auto" w:fill="CECAC6"/>
          </w:tcPr>
          <w:p>
            <w:pPr>
              <w:spacing w:after="0"/>
              <w:rPr>
                <w:sz w:val="11"/>
                <w:szCs w:val="11"/>
                <w:color w:val="auto"/>
              </w:rPr>
            </w:pPr>
          </w:p>
        </w:tc>
        <w:tc>
          <w:tcPr>
            <w:tcW w:w="4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6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2006</w:t>
            </w:r>
          </w:p>
        </w:tc>
        <w:tc>
          <w:tcPr>
            <w:tcW w:w="5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c>
          <w:tcPr>
            <w:tcW w:w="46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2004</w:t>
            </w:r>
          </w:p>
        </w:tc>
      </w:tr>
      <w:tr>
        <w:trPr>
          <w:trHeight w:val="133"/>
        </w:trPr>
        <w:tc>
          <w:tcPr>
            <w:tcW w:w="266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Ratio of earnings to fixed charges</w:t>
            </w:r>
          </w:p>
        </w:tc>
        <w:tc>
          <w:tcPr>
            <w:tcW w:w="400" w:type="dxa"/>
            <w:vAlign w:val="bottom"/>
            <w:tcBorders>
              <w:bottom w:val="single" w:sz="8" w:color="auto"/>
            </w:tcBorders>
            <w:shd w:val="clear" w:color="auto" w:fill="E4E3E1"/>
          </w:tcPr>
          <w:p>
            <w:pPr>
              <w:jc w:val="right"/>
              <w:spacing w:after="0" w:line="133" w:lineRule="exact"/>
              <w:rPr>
                <w:sz w:val="20"/>
                <w:szCs w:val="20"/>
                <w:color w:val="auto"/>
              </w:rPr>
            </w:pPr>
            <w:r>
              <w:rPr>
                <w:rFonts w:ascii="Arial" w:cs="Arial" w:eastAsia="Arial" w:hAnsi="Arial"/>
                <w:sz w:val="12"/>
                <w:szCs w:val="12"/>
                <w:color w:val="auto"/>
              </w:rPr>
              <w:t>21.43</w:t>
            </w:r>
          </w:p>
        </w:tc>
        <w:tc>
          <w:tcPr>
            <w:tcW w:w="62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2"/>
                <w:szCs w:val="12"/>
                <w:color w:val="auto"/>
              </w:rPr>
              <w:t>19.99</w:t>
            </w:r>
          </w:p>
        </w:tc>
        <w:tc>
          <w:tcPr>
            <w:tcW w:w="52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23.33</w:t>
            </w:r>
          </w:p>
        </w:tc>
        <w:tc>
          <w:tcPr>
            <w:tcW w:w="4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19.17</w:t>
            </w:r>
          </w:p>
        </w:tc>
      </w:tr>
    </w:tbl>
    <w:p>
      <w:pPr>
        <w:spacing w:after="0" w:line="208" w:lineRule="exact"/>
        <w:rPr>
          <w:sz w:val="20"/>
          <w:szCs w:val="20"/>
          <w:color w:val="auto"/>
        </w:rPr>
      </w:pPr>
    </w:p>
    <w:p>
      <w:pPr>
        <w:ind w:right="20"/>
        <w:spacing w:after="0" w:line="267" w:lineRule="auto"/>
        <w:rPr>
          <w:sz w:val="20"/>
          <w:szCs w:val="20"/>
          <w:color w:val="auto"/>
        </w:rPr>
      </w:pPr>
      <w:r>
        <w:rPr>
          <w:rFonts w:ascii="Arial" w:cs="Arial" w:eastAsia="Arial" w:hAnsi="Arial"/>
          <w:sz w:val="12"/>
          <w:szCs w:val="12"/>
          <w:color w:val="auto"/>
        </w:rPr>
        <w:t>For the purposes of this table, earnings consist of pre-tax income from continuing operations before adjustment for minority interest and share of profit from equity-accounted investments plus fixed charges (excluding capitalised interest) less undistributed earnings of equity-accounted investments, plus distributed income from equity-accounted investments. Fixed charges consist of expensed and capitalised interest plus interest within rental expenses (for operating leases) plus preference security dividend requirements of consolidated subsidiaries.</w:t>
      </w:r>
    </w:p>
    <w:p>
      <w:pPr>
        <w:spacing w:after="0" w:line="16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Please refer to Exhibit 7.1 for details concerning the calculation of the Ratio of Earnings to Fixed Charges.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RATINGS</w:t>
      </w:r>
    </w:p>
    <w:p>
      <w:pPr>
        <w:spacing w:after="0" w:line="6"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On October 1, 2007, Moody’s Investors Services (Moody’s) affirmed the “Aa1” long-term issuer rating of Royal Dutch Shell plc with stable outlook, as well as the guaranteed programmes/outstanding debt securities of its issuance subsidiary SIF BV. On October 8, 2007, Standard &amp; Poor’s Ratings Services (S&amp;P) revised its outlook on Royal Dutch Shell plc and its related subsidiaries to positive from stable and reaffirmed the “AA” long-term corporate credit rating. Short-term credit ratings of the commercial paper programmes remain unchanged at “Prime-1” and “A-1+” from Moody’s and S&amp;P respectively.</w:t>
      </w:r>
    </w:p>
    <w:p>
      <w:pPr>
        <w:spacing w:after="0" w:line="182" w:lineRule="exact"/>
        <w:rPr>
          <w:sz w:val="20"/>
          <w:szCs w:val="20"/>
          <w:color w:val="auto"/>
        </w:rPr>
      </w:pPr>
    </w:p>
    <w:p>
      <w:pPr>
        <w:spacing w:after="0" w:line="328" w:lineRule="auto"/>
        <w:rPr>
          <w:sz w:val="20"/>
          <w:szCs w:val="20"/>
          <w:color w:val="auto"/>
        </w:rPr>
      </w:pPr>
      <w:r>
        <w:rPr>
          <w:rFonts w:ascii="Arial" w:cs="Arial" w:eastAsia="Arial" w:hAnsi="Arial"/>
          <w:sz w:val="12"/>
          <w:szCs w:val="12"/>
          <w:color w:val="auto"/>
        </w:rPr>
        <w:t>All central debt programmes and facilities continue to operate under the guarantee of Royal Dutch Shell plc, with all debt issuance in 2007 undertaken by SIF BV.</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INVESTMENTS AND DIVIDENDS</w:t>
      </w:r>
    </w:p>
    <w:p>
      <w:pPr>
        <w:spacing w:after="0" w:line="6"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After servicing outstanding debt, Shell’s first priority for applying its cash is payment of the dividend. Up to and including the fourth quarter 2006 interim dividend, the dividend was declared in euro, and per share increases in dividends were grown at least in line with European inflation over time. On February 1, 2007, Shell announced that, effective from the first quarter 2007, dividends would be declared in US dollars.</w:t>
      </w:r>
    </w:p>
    <w:p>
      <w:pPr>
        <w:spacing w:after="0" w:line="183"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Royal Dutch Shell’s dividend policy of growing the dividend at least in line with inflation over a number of years has not changed. The inflation level will be based on inflation levels in global, developed, economies. Dividend growth in the future will be measured in US dollars.</w:t>
      </w:r>
    </w:p>
    <w:p>
      <w:pPr>
        <w:spacing w:after="0" w:line="179" w:lineRule="exact"/>
        <w:rPr>
          <w:sz w:val="20"/>
          <w:szCs w:val="20"/>
          <w:color w:val="auto"/>
        </w:rPr>
      </w:pPr>
    </w:p>
    <w:p>
      <w:pPr>
        <w:ind w:right="160"/>
        <w:spacing w:after="0" w:line="328" w:lineRule="auto"/>
        <w:rPr>
          <w:sz w:val="20"/>
          <w:szCs w:val="20"/>
          <w:color w:val="auto"/>
        </w:rPr>
      </w:pPr>
      <w:r>
        <w:rPr>
          <w:rFonts w:ascii="Arial" w:cs="Arial" w:eastAsia="Arial" w:hAnsi="Arial"/>
          <w:sz w:val="12"/>
          <w:szCs w:val="12"/>
          <w:color w:val="auto"/>
        </w:rPr>
        <w:t>Shell’s capital expenditure, exploration expense and new investments in equity-accounted investments increased by $2.2 billion to $27.1 billion in 2007.</w:t>
      </w:r>
    </w:p>
    <w:p>
      <w:pPr>
        <w:spacing w:after="0" w:line="200" w:lineRule="exact"/>
        <w:rPr>
          <w:sz w:val="20"/>
          <w:szCs w:val="20"/>
          <w:color w:val="auto"/>
        </w:rPr>
      </w:pPr>
    </w:p>
    <w:p>
      <w:pPr>
        <w:spacing w:after="0" w:line="27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1841500</wp:posOffset>
            </wp:positionV>
            <wp:extent cx="725297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00" w:space="720"/>
            <w:col w:w="4680"/>
          </w:cols>
          <w:pgMar w:left="240" w:top="415" w:right="1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LIQUIDITY AND CAPITAL RESOURCES</w:t>
      </w:r>
    </w:p>
    <w:p>
      <w:pPr>
        <w:spacing w:after="0" w:line="200" w:lineRule="exact"/>
        <w:rPr>
          <w:sz w:val="20"/>
          <w:szCs w:val="20"/>
          <w:color w:val="auto"/>
        </w:rPr>
      </w:pPr>
    </w:p>
    <w:p>
      <w:pPr>
        <w:spacing w:after="0" w:line="221"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Exploration &amp; Production expenditures of $15.9 billion (2006: $17.1 billion; 2005: $11.8 billion) accounted for more than half the total capital investment. Gas &amp; Power accounted for $3.5 billion (2006: $2.4 billion; 2005: $1.7 billion). Oil Sands accounted for $1.9 billion (2006: $0.9 billion; 2005: $0.3 billion). Oil Products investment amounted to $3.9 billion (2006: $3.5 billion; 2005: $2.8 billion). Chemicals investment was $1.4 billion (2006: $0.9 billion; 2005: $0.6 billion). Investment in Corporate was $0.4 billion (2006: $0.3 billion; 2005: $0.3 billion).</w:t>
      </w:r>
    </w:p>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After dividends and capital investment, the priority for cash generated is to maintain a strong and flexible balance sheet. Both the medium and long-term focus will remain on improving the underlying operational performance in order to continue to deliver consistently strong cash flows.</w:t>
      </w:r>
    </w:p>
    <w:p>
      <w:pPr>
        <w:spacing w:after="0" w:line="179"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Share buyback plans will be reviewed periodically, and are subject to market conditions and the capital requirements of the company. A resolution will be submitted to the 2008 AGM to seek shareholder approval for the company to make such market purchases of its ordinary shares, together with an explanation that shares so repurchased may, at the company’s discretion, be either held in treasury or cancelled.</w:t>
      </w:r>
    </w:p>
    <w:p>
      <w:pPr>
        <w:spacing w:after="0" w:line="176" w:lineRule="exact"/>
        <w:rPr>
          <w:sz w:val="20"/>
          <w:szCs w:val="20"/>
          <w:color w:val="auto"/>
        </w:rPr>
      </w:pPr>
    </w:p>
    <w:p>
      <w:pPr>
        <w:ind w:right="140"/>
        <w:spacing w:after="0" w:line="228" w:lineRule="auto"/>
        <w:rPr>
          <w:sz w:val="20"/>
          <w:szCs w:val="20"/>
          <w:color w:val="auto"/>
        </w:rPr>
      </w:pPr>
      <w:r>
        <w:rPr>
          <w:rFonts w:ascii="Arial" w:cs="Arial" w:eastAsia="Arial" w:hAnsi="Arial"/>
          <w:sz w:val="14"/>
          <w:szCs w:val="14"/>
          <w:color w:val="auto"/>
        </w:rPr>
        <w:t>As at March 31, 2007, Royal Dutch Shell, through its affiliates, had acquired the remaining shares of Shell Canada, not already owned by Shell, at a total cost of some $7.1 billion. As from the second quarter 2007, Royal Dutch Shell’s Consolidated Financial Statements include the fully consolidated results of Shell Canada with no minority interest impact.</w:t>
      </w:r>
    </w:p>
    <w:p>
      <w:pPr>
        <w:spacing w:after="0" w:line="181" w:lineRule="exact"/>
        <w:rPr>
          <w:sz w:val="20"/>
          <w:szCs w:val="20"/>
          <w:color w:val="auto"/>
        </w:rPr>
      </w:pPr>
    </w:p>
    <w:p>
      <w:pPr>
        <w:ind w:right="140"/>
        <w:spacing w:after="0" w:line="226" w:lineRule="auto"/>
        <w:rPr>
          <w:sz w:val="20"/>
          <w:szCs w:val="20"/>
          <w:color w:val="auto"/>
        </w:rPr>
      </w:pPr>
      <w:r>
        <w:rPr>
          <w:rFonts w:ascii="Arial" w:cs="Arial" w:eastAsia="Arial" w:hAnsi="Arial"/>
          <w:sz w:val="14"/>
          <w:szCs w:val="14"/>
          <w:color w:val="auto"/>
        </w:rPr>
        <w:t>On April 18, 2007, Royal Dutch Shell completed the divestment to OAO Gazprom of 50% of its stake in the Sakhalin II project in Russia. Royal Dutch Shell reduced its stake in the project from 55% to 27.5% for a total sale price of $4.1 billion. Royal Dutch Shell’s Consolidated Financial Statements from the second quarter of 2007 include Sakhalin II on an equity-accounted basis, rather than as a subsidiary (see Summary of results, page 17).</w:t>
      </w:r>
    </w:p>
    <w:p>
      <w:pPr>
        <w:spacing w:after="0" w:line="188" w:lineRule="exact"/>
        <w:rPr>
          <w:sz w:val="20"/>
          <w:szCs w:val="20"/>
          <w:color w:val="auto"/>
        </w:rPr>
      </w:pPr>
    </w:p>
    <w:p>
      <w:pPr>
        <w:ind w:right="40"/>
        <w:spacing w:after="0" w:line="230" w:lineRule="auto"/>
        <w:rPr>
          <w:sz w:val="20"/>
          <w:szCs w:val="20"/>
          <w:color w:val="auto"/>
        </w:rPr>
      </w:pPr>
      <w:r>
        <w:rPr>
          <w:rFonts w:ascii="Arial" w:cs="Arial" w:eastAsia="Arial" w:hAnsi="Arial"/>
          <w:sz w:val="14"/>
          <w:szCs w:val="14"/>
          <w:b w:val="1"/>
          <w:bCs w:val="1"/>
          <w:color w:val="auto"/>
        </w:rPr>
        <w:t xml:space="preserve">GUARANTEES AND OTHER OFF-BALANCE SHEET ARRANGEMENTS </w:t>
      </w:r>
      <w:r>
        <w:rPr>
          <w:rFonts w:ascii="Arial" w:cs="Arial" w:eastAsia="Arial" w:hAnsi="Arial"/>
          <w:sz w:val="14"/>
          <w:szCs w:val="14"/>
          <w:color w:val="auto"/>
        </w:rPr>
        <w:t>Guarantees at December 31, 2007, were $1.9 billion (2006: $2.8 billion). At December 31, 2007, $0.6 billion were guarantees of debt of equity-accounted investments (2006: $2.0 billion), $ nil (2006: $0.1 billion) were guarantees for customs duties and $1.3 billion (2006: $0.7 billion) were other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80" w:hanging="273"/>
        <w:spacing w:after="0"/>
        <w:tabs>
          <w:tab w:leader="none" w:pos="280" w:val="left"/>
        </w:tabs>
        <w:numPr>
          <w:ilvl w:val="0"/>
          <w:numId w:val="7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31635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07"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Shell manages its business to deliver strong cash flows to fund investment and growth based on cautious assumptions relating to crude oil prices.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REPURCHASES</w:t>
      </w:r>
    </w:p>
    <w:p>
      <w:pPr>
        <w:spacing w:after="0" w:line="6"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During 2007, Royal Dutch Shell purchased approximately 112 million shares of its common stock for cancellation at a gross cost of $4.4 billion. These purchases reduced the number of shares outstanding. Shares outstanding were reduced by 1.7% in 2007 and by 7.3% in total since the commencement of share repurchases following the Unification into Royal Dutch Shell and successful completion of the Royal Dutch minority tender (August 2005).</w:t>
      </w:r>
    </w:p>
    <w:p>
      <w:pPr>
        <w:spacing w:after="0" w:line="183"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table provides an overview of the share repurchases that occurred in 2007 and the first two months of 2008. Only Royal Dutch Shell Class A shares have been repurchased. Although the transactions were executed in different currencies depending on the exchange used, all purchases have been converted to the dollar functional currency of Royal Dutch Shell (based on the daily exchange rate). The table omits certain Royal Dutch Shell Class A and B shares that were repurchased by ESOP Trusts and trustlike entities holding the shares pending delivery under share plans and not held as treasury shares.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152"/>
        </w:trPr>
        <w:tc>
          <w:tcPr>
            <w:tcW w:w="2860" w:type="dxa"/>
            <w:vAlign w:val="bottom"/>
            <w:gridSpan w:val="6"/>
            <w:shd w:val="clear" w:color="auto" w:fill="FFD204"/>
          </w:tcPr>
          <w:p>
            <w:pPr>
              <w:spacing w:after="0"/>
              <w:rPr>
                <w:sz w:val="20"/>
                <w:szCs w:val="20"/>
                <w:color w:val="auto"/>
              </w:rPr>
            </w:pPr>
            <w:r>
              <w:rPr>
                <w:rFonts w:ascii="Arial" w:cs="Arial" w:eastAsia="Arial" w:hAnsi="Arial"/>
                <w:sz w:val="12"/>
                <w:szCs w:val="12"/>
                <w:b w:val="1"/>
                <w:bCs w:val="1"/>
                <w:color w:val="auto"/>
              </w:rPr>
              <w:t>ISSUER PURCHASES OF EQUITY SECURITIES</w:t>
            </w:r>
          </w:p>
        </w:tc>
        <w:tc>
          <w:tcPr>
            <w:tcW w:w="920" w:type="dxa"/>
            <w:vAlign w:val="bottom"/>
            <w:shd w:val="clear" w:color="auto" w:fill="FFD204"/>
          </w:tcPr>
          <w:p>
            <w:pPr>
              <w:spacing w:after="0"/>
              <w:rPr>
                <w:sz w:val="13"/>
                <w:szCs w:val="13"/>
                <w:color w:val="auto"/>
              </w:rPr>
            </w:pPr>
          </w:p>
        </w:tc>
        <w:tc>
          <w:tcPr>
            <w:tcW w:w="1140" w:type="dxa"/>
            <w:vAlign w:val="bottom"/>
            <w:shd w:val="clear" w:color="auto" w:fill="FFD204"/>
          </w:tcPr>
          <w:p>
            <w:pPr>
              <w:jc w:val="right"/>
              <w:ind w:right="78"/>
              <w:spacing w:after="0"/>
              <w:rPr>
                <w:sz w:val="20"/>
                <w:szCs w:val="20"/>
                <w:color w:val="auto"/>
              </w:rPr>
            </w:pPr>
            <w:r>
              <w:rPr>
                <w:rFonts w:ascii="Arial" w:cs="Arial" w:eastAsia="Arial" w:hAnsi="Arial"/>
                <w:sz w:val="12"/>
                <w:szCs w:val="12"/>
                <w:b w:val="1"/>
                <w:bCs w:val="1"/>
                <w:color w:val="auto"/>
              </w:rPr>
              <w:t>volume</w:t>
            </w:r>
          </w:p>
        </w:tc>
      </w:tr>
      <w:tr>
        <w:trPr>
          <w:trHeight w:val="127"/>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46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Total</w:t>
            </w:r>
          </w:p>
        </w:tc>
        <w:tc>
          <w:tcPr>
            <w:tcW w:w="1140" w:type="dxa"/>
            <w:vAlign w:val="bottom"/>
            <w:shd w:val="clear" w:color="auto" w:fill="E4E3E1"/>
          </w:tcPr>
          <w:p>
            <w:pPr>
              <w:spacing w:after="0"/>
              <w:rPr>
                <w:sz w:val="11"/>
                <w:szCs w:val="11"/>
                <w:color w:val="auto"/>
              </w:rPr>
            </w:pP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46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number of</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Maximum</w:t>
            </w: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46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shares</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number</w:t>
            </w: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46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purchased as</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of shares that</w:t>
            </w: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460" w:type="dxa"/>
            <w:vAlign w:val="bottom"/>
            <w:shd w:val="clear" w:color="auto" w:fill="E4E3E1"/>
          </w:tcPr>
          <w:p>
            <w:pPr>
              <w:spacing w:after="0"/>
              <w:rPr>
                <w:sz w:val="11"/>
                <w:szCs w:val="11"/>
                <w:color w:val="auto"/>
              </w:rPr>
            </w:pP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part of publicly</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may yet be</w:t>
            </w: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Total number</w:t>
            </w:r>
          </w:p>
        </w:tc>
        <w:tc>
          <w:tcPr>
            <w:tcW w:w="140" w:type="dxa"/>
            <w:vAlign w:val="bottom"/>
            <w:shd w:val="clear" w:color="auto" w:fill="E4E3E1"/>
          </w:tcPr>
          <w:p>
            <w:pPr>
              <w:spacing w:after="0"/>
              <w:rPr>
                <w:sz w:val="11"/>
                <w:szCs w:val="11"/>
                <w:color w:val="auto"/>
              </w:rPr>
            </w:pPr>
          </w:p>
        </w:tc>
        <w:tc>
          <w:tcPr>
            <w:tcW w:w="140" w:type="dxa"/>
            <w:vAlign w:val="bottom"/>
            <w:shd w:val="clear" w:color="auto" w:fill="E4E3E1"/>
          </w:tcPr>
          <w:p>
            <w:pPr>
              <w:spacing w:after="0"/>
              <w:rPr>
                <w:sz w:val="11"/>
                <w:szCs w:val="11"/>
                <w:color w:val="auto"/>
              </w:rPr>
            </w:pPr>
          </w:p>
        </w:tc>
        <w:tc>
          <w:tcPr>
            <w:tcW w:w="640" w:type="dxa"/>
            <w:vAlign w:val="bottom"/>
            <w:gridSpan w:val="2"/>
            <w:shd w:val="clear" w:color="auto" w:fill="E4E3E1"/>
          </w:tcPr>
          <w:p>
            <w:pPr>
              <w:jc w:val="right"/>
              <w:ind w:right="127"/>
              <w:spacing w:after="0" w:line="133" w:lineRule="exact"/>
              <w:rPr>
                <w:sz w:val="20"/>
                <w:szCs w:val="20"/>
                <w:color w:val="auto"/>
              </w:rPr>
            </w:pPr>
            <w:r>
              <w:rPr>
                <w:rFonts w:ascii="Arial" w:cs="Arial" w:eastAsia="Arial" w:hAnsi="Arial"/>
                <w:sz w:val="12"/>
                <w:szCs w:val="12"/>
                <w:color w:val="auto"/>
                <w:w w:val="98"/>
              </w:rPr>
              <w:t>Average</w:t>
            </w: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announced</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purchased under</w:t>
            </w:r>
          </w:p>
        </w:tc>
      </w:tr>
      <w:tr>
        <w:trPr>
          <w:trHeight w:val="133"/>
        </w:trPr>
        <w:tc>
          <w:tcPr>
            <w:tcW w:w="1120" w:type="dxa"/>
            <w:vAlign w:val="bottom"/>
            <w:shd w:val="clear" w:color="auto" w:fill="E4E3E1"/>
          </w:tcPr>
          <w:p>
            <w:pPr>
              <w:spacing w:after="0"/>
              <w:rPr>
                <w:sz w:val="11"/>
                <w:szCs w:val="11"/>
                <w:color w:val="auto"/>
              </w:rPr>
            </w:pPr>
          </w:p>
        </w:tc>
        <w:tc>
          <w:tcPr>
            <w:tcW w:w="8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of shares</w:t>
            </w:r>
          </w:p>
        </w:tc>
        <w:tc>
          <w:tcPr>
            <w:tcW w:w="140" w:type="dxa"/>
            <w:vAlign w:val="bottom"/>
            <w:shd w:val="clear" w:color="auto" w:fill="E4E3E1"/>
          </w:tcPr>
          <w:p>
            <w:pPr>
              <w:spacing w:after="0"/>
              <w:rPr>
                <w:sz w:val="11"/>
                <w:szCs w:val="11"/>
                <w:color w:val="auto"/>
              </w:rPr>
            </w:pPr>
          </w:p>
        </w:tc>
        <w:tc>
          <w:tcPr>
            <w:tcW w:w="600" w:type="dxa"/>
            <w:vAlign w:val="bottom"/>
            <w:gridSpan w:val="2"/>
            <w:shd w:val="clear" w:color="auto" w:fill="E4E3E1"/>
          </w:tcPr>
          <w:p>
            <w:pPr>
              <w:jc w:val="right"/>
              <w:spacing w:after="0" w:line="133" w:lineRule="exact"/>
              <w:rPr>
                <w:sz w:val="20"/>
                <w:szCs w:val="20"/>
                <w:color w:val="auto"/>
              </w:rPr>
            </w:pPr>
            <w:r>
              <w:rPr>
                <w:rFonts w:ascii="Arial" w:cs="Arial" w:eastAsia="Arial" w:hAnsi="Arial"/>
                <w:sz w:val="12"/>
                <w:szCs w:val="12"/>
                <w:color w:val="auto"/>
              </w:rPr>
              <w:t>price paid</w:t>
            </w:r>
          </w:p>
        </w:tc>
        <w:tc>
          <w:tcPr>
            <w:tcW w:w="180" w:type="dxa"/>
            <w:vAlign w:val="bottom"/>
            <w:shd w:val="clear" w:color="auto" w:fill="E4E3E1"/>
          </w:tcPr>
          <w:p>
            <w:pPr>
              <w:spacing w:after="0"/>
              <w:rPr>
                <w:sz w:val="11"/>
                <w:szCs w:val="11"/>
                <w:color w:val="auto"/>
              </w:rPr>
            </w:pPr>
          </w:p>
        </w:tc>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plans or</w:t>
            </w:r>
          </w:p>
        </w:tc>
        <w:tc>
          <w:tcPr>
            <w:tcW w:w="1140" w:type="dxa"/>
            <w:vAlign w:val="bottom"/>
            <w:shd w:val="clear" w:color="auto" w:fill="E4E3E1"/>
          </w:tcPr>
          <w:p>
            <w:pPr>
              <w:jc w:val="right"/>
              <w:ind w:right="78"/>
              <w:spacing w:after="0" w:line="133" w:lineRule="exact"/>
              <w:rPr>
                <w:sz w:val="20"/>
                <w:szCs w:val="20"/>
                <w:color w:val="auto"/>
              </w:rPr>
            </w:pPr>
            <w:r>
              <w:rPr>
                <w:rFonts w:ascii="Arial" w:cs="Arial" w:eastAsia="Arial" w:hAnsi="Arial"/>
                <w:sz w:val="12"/>
                <w:szCs w:val="12"/>
                <w:color w:val="auto"/>
              </w:rPr>
              <w:t>the plans or</w:t>
            </w:r>
          </w:p>
        </w:tc>
      </w:tr>
      <w:tr>
        <w:trPr>
          <w:trHeight w:val="139"/>
        </w:trPr>
        <w:tc>
          <w:tcPr>
            <w:tcW w:w="1120" w:type="dxa"/>
            <w:vAlign w:val="bottom"/>
            <w:shd w:val="clear" w:color="auto" w:fill="E4E3E1"/>
          </w:tcPr>
          <w:p>
            <w:pPr>
              <w:spacing w:after="0"/>
              <w:rPr>
                <w:sz w:val="20"/>
                <w:szCs w:val="20"/>
                <w:color w:val="auto"/>
              </w:rPr>
            </w:pPr>
            <w:r>
              <w:rPr>
                <w:rFonts w:ascii="Arial" w:cs="Arial" w:eastAsia="Arial" w:hAnsi="Arial"/>
                <w:sz w:val="12"/>
                <w:szCs w:val="12"/>
                <w:color w:val="auto"/>
              </w:rPr>
              <w:t>Purchase period</w:t>
            </w:r>
          </w:p>
        </w:tc>
        <w:tc>
          <w:tcPr>
            <w:tcW w:w="820" w:type="dxa"/>
            <w:vAlign w:val="bottom"/>
            <w:shd w:val="clear" w:color="auto" w:fill="E4E3E1"/>
          </w:tcPr>
          <w:p>
            <w:pPr>
              <w:jc w:val="right"/>
              <w:spacing w:after="0"/>
              <w:rPr>
                <w:sz w:val="20"/>
                <w:szCs w:val="20"/>
                <w:color w:val="auto"/>
              </w:rPr>
            </w:pPr>
            <w:r>
              <w:rPr>
                <w:rFonts w:ascii="Arial" w:cs="Arial" w:eastAsia="Arial" w:hAnsi="Arial"/>
                <w:sz w:val="12"/>
                <w:szCs w:val="12"/>
                <w:color w:val="auto"/>
              </w:rPr>
              <w:t>purchased</w:t>
            </w:r>
          </w:p>
        </w:tc>
        <w:tc>
          <w:tcPr>
            <w:tcW w:w="140" w:type="dxa"/>
            <w:vAlign w:val="bottom"/>
            <w:shd w:val="clear" w:color="auto" w:fill="E4E3E1"/>
          </w:tcPr>
          <w:p>
            <w:pPr>
              <w:spacing w:after="0"/>
              <w:rPr>
                <w:sz w:val="20"/>
                <w:szCs w:val="20"/>
                <w:color w:val="auto"/>
              </w:rPr>
            </w:pPr>
            <w:r>
              <w:rPr>
                <w:rFonts w:ascii="Arial" w:cs="Arial" w:eastAsia="Arial" w:hAnsi="Arial"/>
                <w:sz w:val="11"/>
                <w:szCs w:val="11"/>
                <w:color w:val="auto"/>
                <w:w w:val="88"/>
              </w:rPr>
              <w:t>[A]</w:t>
            </w:r>
          </w:p>
        </w:tc>
        <w:tc>
          <w:tcPr>
            <w:tcW w:w="600" w:type="dxa"/>
            <w:vAlign w:val="bottom"/>
            <w:gridSpan w:val="2"/>
            <w:shd w:val="clear" w:color="auto" w:fill="E4E3E1"/>
          </w:tcPr>
          <w:p>
            <w:pPr>
              <w:jc w:val="right"/>
              <w:spacing w:after="0"/>
              <w:rPr>
                <w:sz w:val="20"/>
                <w:szCs w:val="20"/>
                <w:color w:val="auto"/>
              </w:rPr>
            </w:pPr>
            <w:r>
              <w:rPr>
                <w:rFonts w:ascii="Arial" w:cs="Arial" w:eastAsia="Arial" w:hAnsi="Arial"/>
                <w:sz w:val="12"/>
                <w:szCs w:val="12"/>
                <w:color w:val="auto"/>
              </w:rPr>
              <w:t>per share</w:t>
            </w:r>
          </w:p>
        </w:tc>
        <w:tc>
          <w:tcPr>
            <w:tcW w:w="180" w:type="dxa"/>
            <w:vAlign w:val="bottom"/>
            <w:shd w:val="clear" w:color="auto" w:fill="E4E3E1"/>
          </w:tcPr>
          <w:p>
            <w:pPr>
              <w:jc w:val="right"/>
              <w:ind w:right="7"/>
              <w:spacing w:after="0"/>
              <w:rPr>
                <w:sz w:val="20"/>
                <w:szCs w:val="20"/>
                <w:color w:val="auto"/>
              </w:rPr>
            </w:pPr>
            <w:r>
              <w:rPr>
                <w:rFonts w:ascii="Arial" w:cs="Arial" w:eastAsia="Arial" w:hAnsi="Arial"/>
                <w:sz w:val="11"/>
                <w:szCs w:val="11"/>
                <w:color w:val="auto"/>
                <w:w w:val="73"/>
              </w:rPr>
              <w:t>[B]</w:t>
            </w:r>
          </w:p>
        </w:tc>
        <w:tc>
          <w:tcPr>
            <w:tcW w:w="920" w:type="dxa"/>
            <w:vAlign w:val="bottom"/>
            <w:shd w:val="clear" w:color="auto" w:fill="E4E3E1"/>
          </w:tcPr>
          <w:p>
            <w:pPr>
              <w:jc w:val="right"/>
              <w:spacing w:after="0"/>
              <w:rPr>
                <w:sz w:val="20"/>
                <w:szCs w:val="20"/>
                <w:color w:val="auto"/>
              </w:rPr>
            </w:pPr>
            <w:r>
              <w:rPr>
                <w:rFonts w:ascii="Arial" w:cs="Arial" w:eastAsia="Arial" w:hAnsi="Arial"/>
                <w:sz w:val="12"/>
                <w:szCs w:val="12"/>
                <w:color w:val="auto"/>
              </w:rPr>
              <w:t>programmes</w:t>
            </w:r>
          </w:p>
        </w:tc>
        <w:tc>
          <w:tcPr>
            <w:tcW w:w="1140" w:type="dxa"/>
            <w:vAlign w:val="bottom"/>
            <w:shd w:val="clear" w:color="auto" w:fill="E4E3E1"/>
          </w:tcPr>
          <w:p>
            <w:pPr>
              <w:jc w:val="right"/>
              <w:spacing w:after="0"/>
              <w:rPr>
                <w:sz w:val="20"/>
                <w:szCs w:val="20"/>
                <w:color w:val="auto"/>
              </w:rPr>
            </w:pPr>
            <w:r>
              <w:rPr>
                <w:rFonts w:ascii="Arial" w:cs="Arial" w:eastAsia="Arial" w:hAnsi="Arial"/>
                <w:sz w:val="12"/>
                <w:szCs w:val="12"/>
                <w:color w:val="auto"/>
              </w:rPr>
              <w:t>programmes</w:t>
            </w:r>
            <w:r>
              <w:rPr>
                <w:rFonts w:ascii="Arial" w:cs="Arial" w:eastAsia="Arial" w:hAnsi="Arial"/>
                <w:sz w:val="10"/>
                <w:szCs w:val="10"/>
                <w:color w:val="auto"/>
              </w:rPr>
              <w:t>[C]</w:t>
            </w:r>
          </w:p>
        </w:tc>
      </w:tr>
      <w:tr>
        <w:trPr>
          <w:trHeight w:val="127"/>
        </w:trPr>
        <w:tc>
          <w:tcPr>
            <w:tcW w:w="1120" w:type="dxa"/>
            <w:vAlign w:val="bottom"/>
          </w:tcPr>
          <w:p>
            <w:pPr>
              <w:spacing w:after="0" w:line="128" w:lineRule="exact"/>
              <w:rPr>
                <w:sz w:val="20"/>
                <w:szCs w:val="20"/>
                <w:color w:val="auto"/>
              </w:rPr>
            </w:pPr>
            <w:r>
              <w:rPr>
                <w:rFonts w:ascii="Arial" w:cs="Arial" w:eastAsia="Arial" w:hAnsi="Arial"/>
                <w:sz w:val="12"/>
                <w:szCs w:val="12"/>
                <w:color w:val="auto"/>
              </w:rPr>
              <w:t>January</w:t>
            </w:r>
          </w:p>
        </w:tc>
        <w:tc>
          <w:tcPr>
            <w:tcW w:w="820" w:type="dxa"/>
            <w:vAlign w:val="bottom"/>
          </w:tcPr>
          <w:p>
            <w:pPr>
              <w:jc w:val="right"/>
              <w:spacing w:after="0" w:line="128" w:lineRule="exact"/>
              <w:rPr>
                <w:sz w:val="20"/>
                <w:szCs w:val="20"/>
                <w:color w:val="auto"/>
              </w:rPr>
            </w:pPr>
            <w:r>
              <w:rPr>
                <w:rFonts w:ascii="Arial" w:cs="Arial" w:eastAsia="Arial" w:hAnsi="Arial"/>
                <w:sz w:val="12"/>
                <w:szCs w:val="12"/>
                <w:color w:val="auto"/>
              </w:rPr>
              <w:t>13,760,000</w:t>
            </w:r>
          </w:p>
        </w:tc>
        <w:tc>
          <w:tcPr>
            <w:tcW w:w="140" w:type="dxa"/>
            <w:vAlign w:val="bottom"/>
          </w:tcPr>
          <w:p>
            <w:pPr>
              <w:spacing w:after="0"/>
              <w:rPr>
                <w:sz w:val="11"/>
                <w:szCs w:val="11"/>
                <w:color w:val="auto"/>
              </w:rPr>
            </w:pPr>
          </w:p>
        </w:tc>
        <w:tc>
          <w:tcPr>
            <w:tcW w:w="1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28" w:lineRule="exact"/>
              <w:rPr>
                <w:sz w:val="20"/>
                <w:szCs w:val="20"/>
                <w:color w:val="auto"/>
              </w:rPr>
            </w:pPr>
            <w:r>
              <w:rPr>
                <w:rFonts w:ascii="Arial" w:cs="Arial" w:eastAsia="Arial" w:hAnsi="Arial"/>
                <w:sz w:val="12"/>
                <w:szCs w:val="12"/>
                <w:color w:val="auto"/>
              </w:rPr>
              <w:t>34.11</w:t>
            </w:r>
          </w:p>
        </w:tc>
        <w:tc>
          <w:tcPr>
            <w:tcW w:w="180" w:type="dxa"/>
            <w:vAlign w:val="bottom"/>
          </w:tcPr>
          <w:p>
            <w:pPr>
              <w:spacing w:after="0"/>
              <w:rPr>
                <w:sz w:val="11"/>
                <w:szCs w:val="11"/>
                <w:color w:val="auto"/>
              </w:rPr>
            </w:pPr>
          </w:p>
        </w:tc>
        <w:tc>
          <w:tcPr>
            <w:tcW w:w="920" w:type="dxa"/>
            <w:vAlign w:val="bottom"/>
          </w:tcPr>
          <w:p>
            <w:pPr>
              <w:jc w:val="right"/>
              <w:spacing w:after="0" w:line="128" w:lineRule="exact"/>
              <w:rPr>
                <w:sz w:val="20"/>
                <w:szCs w:val="20"/>
                <w:color w:val="auto"/>
              </w:rPr>
            </w:pPr>
            <w:r>
              <w:rPr>
                <w:rFonts w:ascii="Arial" w:cs="Arial" w:eastAsia="Arial" w:hAnsi="Arial"/>
                <w:sz w:val="12"/>
                <w:szCs w:val="12"/>
                <w:color w:val="auto"/>
              </w:rPr>
              <w:t>13,760,000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February</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460,000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36.29</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460,000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March</w:t>
            </w:r>
          </w:p>
        </w:tc>
        <w:tc>
          <w:tcPr>
            <w:tcW w:w="960" w:type="dxa"/>
            <w:vAlign w:val="bottom"/>
            <w:gridSpan w:val="2"/>
          </w:tcPr>
          <w:p>
            <w:pPr>
              <w:jc w:val="right"/>
              <w:ind w:right="87"/>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27"/>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April</w:t>
            </w:r>
          </w:p>
        </w:tc>
        <w:tc>
          <w:tcPr>
            <w:tcW w:w="960" w:type="dxa"/>
            <w:vAlign w:val="bottom"/>
            <w:gridSpan w:val="2"/>
          </w:tcPr>
          <w:p>
            <w:pPr>
              <w:jc w:val="right"/>
              <w:ind w:right="87"/>
              <w:spacing w:after="0" w:line="133"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640" w:type="dxa"/>
            <w:vAlign w:val="bottom"/>
            <w:gridSpan w:val="2"/>
          </w:tcPr>
          <w:p>
            <w:pPr>
              <w:jc w:val="right"/>
              <w:ind w:right="127"/>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May</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10,960,000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36.39</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10,960,000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June</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12,757,000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39.16</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12,757,000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July</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11,135,000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41.67</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11,135,000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August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13,323,000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37.36</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13,323,000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September</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12,150,000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41.30</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12,150,000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October</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14,880,000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41.95</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14,880,000</w:t>
            </w:r>
          </w:p>
        </w:tc>
        <w:tc>
          <w:tcPr>
            <w:tcW w:w="1140" w:type="dxa"/>
            <w:vAlign w:val="bottom"/>
          </w:tcPr>
          <w:p>
            <w:pPr>
              <w:spacing w:after="0"/>
              <w:rPr>
                <w:sz w:val="11"/>
                <w:szCs w:val="11"/>
                <w:color w:val="auto"/>
              </w:rPr>
            </w:pPr>
          </w:p>
        </w:tc>
      </w:tr>
      <w:tr>
        <w:trPr>
          <w:trHeight w:val="133"/>
        </w:trPr>
        <w:tc>
          <w:tcPr>
            <w:tcW w:w="1120" w:type="dxa"/>
            <w:vAlign w:val="bottom"/>
          </w:tcPr>
          <w:p>
            <w:pPr>
              <w:spacing w:after="0" w:line="133" w:lineRule="exact"/>
              <w:rPr>
                <w:sz w:val="20"/>
                <w:szCs w:val="20"/>
                <w:color w:val="auto"/>
              </w:rPr>
            </w:pPr>
            <w:r>
              <w:rPr>
                <w:rFonts w:ascii="Arial" w:cs="Arial" w:eastAsia="Arial" w:hAnsi="Arial"/>
                <w:sz w:val="12"/>
                <w:szCs w:val="12"/>
                <w:color w:val="auto"/>
              </w:rPr>
              <w:t>November</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14,423,000</w:t>
            </w:r>
          </w:p>
        </w:tc>
        <w:tc>
          <w:tcPr>
            <w:tcW w:w="140" w:type="dxa"/>
            <w:vAlign w:val="bottom"/>
          </w:tcPr>
          <w:p>
            <w:pPr>
              <w:spacing w:after="0"/>
              <w:rPr>
                <w:sz w:val="11"/>
                <w:szCs w:val="11"/>
                <w:color w:val="auto"/>
              </w:rPr>
            </w:pPr>
          </w:p>
        </w:tc>
        <w:tc>
          <w:tcPr>
            <w:tcW w:w="1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3" w:lineRule="exact"/>
              <w:rPr>
                <w:sz w:val="20"/>
                <w:szCs w:val="20"/>
                <w:color w:val="auto"/>
              </w:rPr>
            </w:pPr>
            <w:r>
              <w:rPr>
                <w:rFonts w:ascii="Arial" w:cs="Arial" w:eastAsia="Arial" w:hAnsi="Arial"/>
                <w:sz w:val="12"/>
                <w:szCs w:val="12"/>
                <w:color w:val="auto"/>
              </w:rPr>
              <w:t>41.48</w:t>
            </w:r>
          </w:p>
        </w:tc>
        <w:tc>
          <w:tcPr>
            <w:tcW w:w="1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14,423,000</w:t>
            </w:r>
          </w:p>
        </w:tc>
        <w:tc>
          <w:tcPr>
            <w:tcW w:w="1140" w:type="dxa"/>
            <w:vAlign w:val="bottom"/>
          </w:tcPr>
          <w:p>
            <w:pPr>
              <w:spacing w:after="0"/>
              <w:rPr>
                <w:sz w:val="11"/>
                <w:szCs w:val="11"/>
                <w:color w:val="auto"/>
              </w:rPr>
            </w:pPr>
          </w:p>
        </w:tc>
      </w:tr>
      <w:tr>
        <w:trPr>
          <w:trHeight w:val="139"/>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December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8,427,000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40.67</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8,427,000</w:t>
            </w:r>
          </w:p>
        </w:tc>
        <w:tc>
          <w:tcPr>
            <w:tcW w:w="1140" w:type="dxa"/>
            <w:vAlign w:val="bottom"/>
            <w:tcBorders>
              <w:bottom w:val="single" w:sz="8" w:color="auto"/>
            </w:tcBorders>
          </w:tcPr>
          <w:p>
            <w:pPr>
              <w:spacing w:after="0"/>
              <w:rPr>
                <w:sz w:val="12"/>
                <w:szCs w:val="12"/>
                <w:color w:val="auto"/>
              </w:rPr>
            </w:pPr>
          </w:p>
        </w:tc>
      </w:tr>
      <w:tr>
        <w:trPr>
          <w:trHeight w:val="140"/>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2007 total</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112,275,000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39.31</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112,275,000</w:t>
            </w:r>
          </w:p>
        </w:tc>
        <w:tc>
          <w:tcPr>
            <w:tcW w:w="1140" w:type="dxa"/>
            <w:vAlign w:val="bottom"/>
            <w:tcBorders>
              <w:bottom w:val="single" w:sz="8" w:color="auto"/>
            </w:tcBorders>
          </w:tcPr>
          <w:p>
            <w:pPr>
              <w:spacing w:after="0"/>
              <w:rPr>
                <w:sz w:val="12"/>
                <w:szCs w:val="12"/>
                <w:color w:val="auto"/>
              </w:rPr>
            </w:pPr>
          </w:p>
        </w:tc>
      </w:tr>
      <w:tr>
        <w:trPr>
          <w:trHeight w:val="134"/>
        </w:trPr>
        <w:tc>
          <w:tcPr>
            <w:tcW w:w="1120" w:type="dxa"/>
            <w:vAlign w:val="bottom"/>
          </w:tcPr>
          <w:p>
            <w:pPr>
              <w:spacing w:after="0" w:line="134" w:lineRule="exact"/>
              <w:rPr>
                <w:sz w:val="20"/>
                <w:szCs w:val="20"/>
                <w:color w:val="auto"/>
              </w:rPr>
            </w:pPr>
            <w:r>
              <w:rPr>
                <w:rFonts w:ascii="Arial" w:cs="Arial" w:eastAsia="Arial" w:hAnsi="Arial"/>
                <w:sz w:val="12"/>
                <w:szCs w:val="12"/>
                <w:color w:val="auto"/>
              </w:rPr>
              <w:t>January</w:t>
            </w: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12,195,000</w:t>
            </w:r>
          </w:p>
        </w:tc>
        <w:tc>
          <w:tcPr>
            <w:tcW w:w="140" w:type="dxa"/>
            <w:vAlign w:val="bottom"/>
          </w:tcPr>
          <w:p>
            <w:pPr>
              <w:spacing w:after="0"/>
              <w:rPr>
                <w:sz w:val="11"/>
                <w:szCs w:val="11"/>
                <w:color w:val="auto"/>
              </w:rPr>
            </w:pP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38.87</w:t>
            </w:r>
          </w:p>
        </w:tc>
        <w:tc>
          <w:tcPr>
            <w:tcW w:w="18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2"/>
                <w:szCs w:val="12"/>
                <w:color w:val="auto"/>
              </w:rPr>
              <w:t>12,195,000</w:t>
            </w:r>
          </w:p>
        </w:tc>
        <w:tc>
          <w:tcPr>
            <w:tcW w:w="1140" w:type="dxa"/>
            <w:vAlign w:val="bottom"/>
          </w:tcPr>
          <w:p>
            <w:pPr>
              <w:spacing w:after="0"/>
              <w:rPr>
                <w:sz w:val="11"/>
                <w:szCs w:val="11"/>
                <w:color w:val="auto"/>
              </w:rPr>
            </w:pPr>
          </w:p>
        </w:tc>
      </w:tr>
      <w:tr>
        <w:trPr>
          <w:trHeight w:val="139"/>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February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9,085,000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35.39</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9,085,000</w:t>
            </w:r>
          </w:p>
        </w:tc>
        <w:tc>
          <w:tcPr>
            <w:tcW w:w="1140" w:type="dxa"/>
            <w:vAlign w:val="bottom"/>
            <w:tcBorders>
              <w:bottom w:val="single" w:sz="8" w:color="auto"/>
            </w:tcBorders>
          </w:tcPr>
          <w:p>
            <w:pPr>
              <w:spacing w:after="0"/>
              <w:rPr>
                <w:sz w:val="12"/>
                <w:szCs w:val="12"/>
                <w:color w:val="auto"/>
              </w:rPr>
            </w:pPr>
          </w:p>
        </w:tc>
      </w:tr>
      <w:tr>
        <w:trPr>
          <w:trHeight w:val="146"/>
        </w:trPr>
        <w:tc>
          <w:tcPr>
            <w:tcW w:w="1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2008 total</w:t>
            </w:r>
            <w:r>
              <w:rPr>
                <w:rFonts w:ascii="Arial" w:cs="Arial" w:eastAsia="Arial" w:hAnsi="Arial"/>
                <w:sz w:val="10"/>
                <w:szCs w:val="10"/>
                <w:b w:val="1"/>
                <w:bCs w:val="1"/>
                <w:color w:val="auto"/>
              </w:rPr>
              <w:t>[D]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21,280,000</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37.38</w:t>
            </w: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21,280,000</w:t>
            </w:r>
          </w:p>
        </w:tc>
        <w:tc>
          <w:tcPr>
            <w:tcW w:w="1140" w:type="dxa"/>
            <w:vAlign w:val="bottom"/>
            <w:tcBorders>
              <w:bottom w:val="single" w:sz="8" w:color="auto"/>
            </w:tcBorders>
          </w:tcPr>
          <w:p>
            <w:pPr>
              <w:spacing w:after="0"/>
              <w:rPr>
                <w:sz w:val="12"/>
                <w:szCs w:val="12"/>
                <w:color w:val="auto"/>
              </w:rPr>
            </w:pPr>
          </w:p>
        </w:tc>
      </w:tr>
    </w:tbl>
    <w:p>
      <w:pPr>
        <w:spacing w:after="0" w:line="3" w:lineRule="exact"/>
        <w:rPr>
          <w:sz w:val="20"/>
          <w:szCs w:val="20"/>
          <w:color w:val="auto"/>
        </w:rPr>
      </w:pPr>
    </w:p>
    <w:p>
      <w:pPr>
        <w:ind w:left="220" w:hanging="210"/>
        <w:spacing w:after="0"/>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All shares purchased were open market transactions.</w:t>
      </w:r>
    </w:p>
    <w:p>
      <w:pPr>
        <w:ind w:left="220" w:hanging="210"/>
        <w:spacing w:after="0" w:line="231" w:lineRule="auto"/>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Average price paid per share includes stamp duty and brokers commission.</w:t>
      </w:r>
    </w:p>
    <w:p>
      <w:pPr>
        <w:ind w:left="220" w:right="40" w:hanging="210"/>
        <w:spacing w:after="0"/>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At the AGM on May 16, 2006, authorisation was given to repurchase 667 million ordinary shares in the period until the next AGM. At the AGM on May 15, 2007, authorisation was given to repurchase up to 644 million ordinary shares in the period until the next AGM, or until August 14, 2008. This authorisation is reviewed annually at the AGM.</w:t>
      </w:r>
    </w:p>
    <w:p>
      <w:pPr>
        <w:spacing w:after="0" w:line="114" w:lineRule="exact"/>
        <w:rPr>
          <w:rFonts w:ascii="Arial" w:cs="Arial" w:eastAsia="Arial" w:hAnsi="Arial"/>
          <w:sz w:val="12"/>
          <w:szCs w:val="12"/>
          <w:color w:val="auto"/>
        </w:rPr>
      </w:pPr>
    </w:p>
    <w:p>
      <w:pPr>
        <w:ind w:left="220" w:hanging="210"/>
        <w:spacing w:after="0"/>
        <w:tabs>
          <w:tab w:leader="none" w:pos="2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As at February 26,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979805</wp:posOffset>
            </wp:positionV>
            <wp:extent cx="725297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00" w:space="400"/>
            <w:col w:w="4980"/>
          </w:cols>
          <w:pgMar w:left="240" w:top="415" w:right="1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w:t>
      </w:r>
    </w:p>
    <w:p>
      <w:pPr>
        <w:spacing w:after="0" w:line="6" w:lineRule="exact"/>
        <w:rPr>
          <w:sz w:val="20"/>
          <w:szCs w:val="20"/>
          <w:color w:val="auto"/>
        </w:rPr>
      </w:pPr>
    </w:p>
    <w:p>
      <w:pPr>
        <w:ind w:right="180"/>
        <w:spacing w:after="0" w:line="281" w:lineRule="auto"/>
        <w:rPr>
          <w:sz w:val="20"/>
          <w:szCs w:val="20"/>
          <w:color w:val="auto"/>
        </w:rPr>
      </w:pPr>
      <w:r>
        <w:rPr>
          <w:rFonts w:ascii="Arial" w:cs="Arial" w:eastAsia="Arial" w:hAnsi="Arial"/>
          <w:sz w:val="12"/>
          <w:szCs w:val="12"/>
          <w:color w:val="auto"/>
        </w:rPr>
        <w:t>The table below summarises Shell companies’ principal contractual obligations at December 31, 2007, by expected settlement period. The amounts presented have not been offset by any committed third party revenues in relation to these obligations.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920" w:type="dxa"/>
            <w:vAlign w:val="bottom"/>
            <w:shd w:val="clear" w:color="auto" w:fill="FFD204"/>
          </w:tcPr>
          <w:p>
            <w:pPr>
              <w:spacing w:after="0"/>
              <w:rPr>
                <w:sz w:val="20"/>
                <w:szCs w:val="20"/>
                <w:color w:val="auto"/>
              </w:rPr>
            </w:pPr>
            <w:r>
              <w:rPr>
                <w:rFonts w:ascii="Arial" w:cs="Arial" w:eastAsia="Arial" w:hAnsi="Arial"/>
                <w:sz w:val="12"/>
                <w:szCs w:val="12"/>
                <w:b w:val="1"/>
                <w:bCs w:val="1"/>
                <w:color w:val="auto"/>
              </w:rPr>
              <w:t>CONTRACTUAL OBLIGATIONS</w:t>
            </w:r>
          </w:p>
        </w:tc>
        <w:tc>
          <w:tcPr>
            <w:tcW w:w="560" w:type="dxa"/>
            <w:vAlign w:val="bottom"/>
            <w:shd w:val="clear" w:color="auto" w:fill="FFD204"/>
          </w:tcPr>
          <w:p>
            <w:pPr>
              <w:spacing w:after="0"/>
              <w:rPr>
                <w:sz w:val="12"/>
                <w:szCs w:val="12"/>
                <w:color w:val="auto"/>
              </w:rPr>
            </w:pPr>
          </w:p>
        </w:tc>
        <w:tc>
          <w:tcPr>
            <w:tcW w:w="520" w:type="dxa"/>
            <w:vAlign w:val="bottom"/>
            <w:shd w:val="clear" w:color="auto" w:fill="FFD204"/>
          </w:tcPr>
          <w:p>
            <w:pPr>
              <w:spacing w:after="0"/>
              <w:rPr>
                <w:sz w:val="12"/>
                <w:szCs w:val="12"/>
                <w:color w:val="auto"/>
              </w:rPr>
            </w:pPr>
          </w:p>
        </w:tc>
        <w:tc>
          <w:tcPr>
            <w:tcW w:w="660" w:type="dxa"/>
            <w:vAlign w:val="bottom"/>
            <w:shd w:val="clear" w:color="auto" w:fill="FFD204"/>
          </w:tcPr>
          <w:p>
            <w:pPr>
              <w:spacing w:after="0"/>
              <w:rPr>
                <w:sz w:val="12"/>
                <w:szCs w:val="12"/>
                <w:color w:val="auto"/>
              </w:rPr>
            </w:pPr>
          </w:p>
        </w:tc>
        <w:tc>
          <w:tcPr>
            <w:tcW w:w="680" w:type="dxa"/>
            <w:vAlign w:val="bottom"/>
            <w:shd w:val="clear" w:color="auto" w:fill="FFD204"/>
          </w:tcPr>
          <w:p>
            <w:pPr>
              <w:spacing w:after="0"/>
              <w:rPr>
                <w:sz w:val="12"/>
                <w:szCs w:val="12"/>
                <w:color w:val="auto"/>
              </w:rPr>
            </w:pPr>
          </w:p>
        </w:tc>
        <w:tc>
          <w:tcPr>
            <w:tcW w:w="640" w:type="dxa"/>
            <w:vAlign w:val="bottom"/>
            <w:shd w:val="clear" w:color="auto" w:fill="FFD204"/>
          </w:tcPr>
          <w:p>
            <w:pPr>
              <w:jc w:val="right"/>
              <w:spacing w:after="0"/>
              <w:rPr>
                <w:sz w:val="20"/>
                <w:szCs w:val="20"/>
                <w:color w:val="auto"/>
              </w:rPr>
            </w:pPr>
            <w:r>
              <w:rPr>
                <w:rFonts w:ascii="Arial" w:cs="Arial" w:eastAsia="Arial" w:hAnsi="Arial"/>
                <w:sz w:val="12"/>
                <w:szCs w:val="12"/>
                <w:b w:val="1"/>
                <w:bCs w:val="1"/>
                <w:color w:val="auto"/>
              </w:rPr>
              <w:t>$ billion</w:t>
            </w:r>
          </w:p>
        </w:tc>
      </w:tr>
      <w:tr>
        <w:trPr>
          <w:trHeight w:val="127"/>
        </w:trPr>
        <w:tc>
          <w:tcPr>
            <w:tcW w:w="1920" w:type="dxa"/>
            <w:vAlign w:val="bottom"/>
            <w:shd w:val="clear" w:color="auto" w:fill="CECAC6"/>
          </w:tcPr>
          <w:p>
            <w:pPr>
              <w:spacing w:after="0"/>
              <w:rPr>
                <w:sz w:val="11"/>
                <w:szCs w:val="11"/>
                <w:color w:val="auto"/>
              </w:rPr>
            </w:pPr>
          </w:p>
        </w:tc>
        <w:tc>
          <w:tcPr>
            <w:tcW w:w="560" w:type="dxa"/>
            <w:vAlign w:val="bottom"/>
            <w:shd w:val="clear" w:color="auto" w:fill="CECAC6"/>
          </w:tcPr>
          <w:p>
            <w:pPr>
              <w:spacing w:after="0"/>
              <w:rPr>
                <w:sz w:val="11"/>
                <w:szCs w:val="11"/>
                <w:color w:val="auto"/>
              </w:rPr>
            </w:pPr>
          </w:p>
        </w:tc>
        <w:tc>
          <w:tcPr>
            <w:tcW w:w="52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64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After</w:t>
            </w:r>
          </w:p>
        </w:tc>
      </w:tr>
      <w:tr>
        <w:trPr>
          <w:trHeight w:val="133"/>
        </w:trPr>
        <w:tc>
          <w:tcPr>
            <w:tcW w:w="1920" w:type="dxa"/>
            <w:vAlign w:val="bottom"/>
            <w:shd w:val="clear" w:color="auto" w:fill="CECAC6"/>
          </w:tcPr>
          <w:p>
            <w:pPr>
              <w:spacing w:after="0"/>
              <w:rPr>
                <w:sz w:val="11"/>
                <w:szCs w:val="11"/>
                <w:color w:val="auto"/>
              </w:rPr>
            </w:pPr>
          </w:p>
        </w:tc>
        <w:tc>
          <w:tcPr>
            <w:tcW w:w="560" w:type="dxa"/>
            <w:vAlign w:val="bottom"/>
            <w:shd w:val="clear" w:color="auto" w:fill="CECAC6"/>
          </w:tcPr>
          <w:p>
            <w:pPr>
              <w:spacing w:after="0"/>
              <w:rPr>
                <w:sz w:val="11"/>
                <w:szCs w:val="11"/>
                <w:color w:val="auto"/>
              </w:rPr>
            </w:pPr>
          </w:p>
        </w:tc>
        <w:tc>
          <w:tcPr>
            <w:tcW w:w="5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Within</w:t>
            </w:r>
          </w:p>
        </w:tc>
        <w:tc>
          <w:tcPr>
            <w:tcW w:w="6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2/3 years</w:t>
            </w:r>
          </w:p>
        </w:tc>
        <w:tc>
          <w:tcPr>
            <w:tcW w:w="6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4/5 years</w:t>
            </w:r>
          </w:p>
        </w:tc>
        <w:tc>
          <w:tcPr>
            <w:tcW w:w="6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5 years</w:t>
            </w:r>
          </w:p>
        </w:tc>
      </w:tr>
      <w:tr>
        <w:trPr>
          <w:trHeight w:val="133"/>
        </w:trPr>
        <w:tc>
          <w:tcPr>
            <w:tcW w:w="1920" w:type="dxa"/>
            <w:vAlign w:val="bottom"/>
            <w:shd w:val="clear" w:color="auto" w:fill="CECAC6"/>
          </w:tcPr>
          <w:p>
            <w:pPr>
              <w:spacing w:after="0"/>
              <w:rPr>
                <w:sz w:val="11"/>
                <w:szCs w:val="11"/>
                <w:color w:val="auto"/>
              </w:rPr>
            </w:pPr>
          </w:p>
        </w:tc>
        <w:tc>
          <w:tcPr>
            <w:tcW w:w="560" w:type="dxa"/>
            <w:vAlign w:val="bottom"/>
            <w:shd w:val="clear" w:color="auto" w:fill="CECAC6"/>
          </w:tcPr>
          <w:p>
            <w:pPr>
              <w:spacing w:after="0"/>
              <w:rPr>
                <w:sz w:val="11"/>
                <w:szCs w:val="11"/>
                <w:color w:val="auto"/>
              </w:rPr>
            </w:pPr>
          </w:p>
        </w:tc>
        <w:tc>
          <w:tcPr>
            <w:tcW w:w="5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1 year</w:t>
            </w:r>
          </w:p>
        </w:tc>
        <w:tc>
          <w:tcPr>
            <w:tcW w:w="6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(2009/</w:t>
            </w:r>
          </w:p>
        </w:tc>
        <w:tc>
          <w:tcPr>
            <w:tcW w:w="6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(2011/</w:t>
            </w:r>
          </w:p>
        </w:tc>
        <w:tc>
          <w:tcPr>
            <w:tcW w:w="6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(2013</w:t>
            </w:r>
          </w:p>
        </w:tc>
      </w:tr>
      <w:tr>
        <w:trPr>
          <w:trHeight w:val="139"/>
        </w:trPr>
        <w:tc>
          <w:tcPr>
            <w:tcW w:w="1920" w:type="dxa"/>
            <w:vAlign w:val="bottom"/>
            <w:shd w:val="clear" w:color="auto" w:fill="CECAC6"/>
          </w:tcPr>
          <w:p>
            <w:pPr>
              <w:spacing w:after="0"/>
              <w:rPr>
                <w:sz w:val="12"/>
                <w:szCs w:val="12"/>
                <w:color w:val="auto"/>
              </w:rPr>
            </w:pPr>
          </w:p>
        </w:tc>
        <w:tc>
          <w:tcPr>
            <w:tcW w:w="5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5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(2008)</w:t>
            </w:r>
          </w:p>
        </w:tc>
        <w:tc>
          <w:tcPr>
            <w:tcW w:w="6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2010)</w:t>
            </w:r>
          </w:p>
        </w:tc>
        <w:tc>
          <w:tcPr>
            <w:tcW w:w="6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2012)</w:t>
            </w:r>
          </w:p>
        </w:tc>
        <w:tc>
          <w:tcPr>
            <w:tcW w:w="6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and after)</w:t>
            </w:r>
          </w:p>
        </w:tc>
      </w:tr>
      <w:tr>
        <w:trPr>
          <w:trHeight w:val="148"/>
        </w:trPr>
        <w:tc>
          <w:tcPr>
            <w:tcW w:w="1920" w:type="dxa"/>
            <w:vAlign w:val="bottom"/>
          </w:tcPr>
          <w:p>
            <w:pPr>
              <w:spacing w:after="0"/>
              <w:rPr>
                <w:sz w:val="20"/>
                <w:szCs w:val="20"/>
                <w:color w:val="auto"/>
              </w:rPr>
            </w:pPr>
            <w:r>
              <w:rPr>
                <w:rFonts w:ascii="Arial" w:cs="Arial" w:eastAsia="Arial" w:hAnsi="Arial"/>
                <w:sz w:val="12"/>
                <w:szCs w:val="12"/>
                <w:color w:val="auto"/>
              </w:rPr>
              <w:t>Debt</w:t>
            </w:r>
            <w:r>
              <w:rPr>
                <w:rFonts w:ascii="Arial" w:cs="Arial" w:eastAsia="Arial" w:hAnsi="Arial"/>
                <w:sz w:val="10"/>
                <w:szCs w:val="10"/>
                <w:color w:val="auto"/>
              </w:rPr>
              <w:t>[A]</w:t>
            </w: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14.1</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5.6</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3.5</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1.8</w:t>
            </w:r>
          </w:p>
        </w:tc>
        <w:tc>
          <w:tcPr>
            <w:tcW w:w="64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81"/>
        </w:trPr>
        <w:tc>
          <w:tcPr>
            <w:tcW w:w="1920" w:type="dxa"/>
            <w:vAlign w:val="bottom"/>
          </w:tcPr>
          <w:p>
            <w:pPr>
              <w:spacing w:after="0"/>
              <w:rPr>
                <w:sz w:val="20"/>
                <w:szCs w:val="20"/>
                <w:color w:val="auto"/>
              </w:rPr>
            </w:pPr>
            <w:r>
              <w:rPr>
                <w:rFonts w:ascii="Arial" w:cs="Arial" w:eastAsia="Arial" w:hAnsi="Arial"/>
                <w:sz w:val="12"/>
                <w:szCs w:val="12"/>
                <w:color w:val="auto"/>
              </w:rPr>
              <w:t>Finance leases</w:t>
            </w:r>
            <w:r>
              <w:rPr>
                <w:rFonts w:ascii="Arial" w:cs="Arial" w:eastAsia="Arial" w:hAnsi="Arial"/>
                <w:sz w:val="10"/>
                <w:szCs w:val="10"/>
                <w:color w:val="auto"/>
              </w:rPr>
              <w:t>[B]</w:t>
            </w: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7.0</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0.5</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1.0</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0.9</w:t>
            </w:r>
          </w:p>
        </w:tc>
        <w:tc>
          <w:tcPr>
            <w:tcW w:w="64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86"/>
        </w:trPr>
        <w:tc>
          <w:tcPr>
            <w:tcW w:w="1920" w:type="dxa"/>
            <w:vAlign w:val="bottom"/>
          </w:tcPr>
          <w:p>
            <w:pPr>
              <w:spacing w:after="0"/>
              <w:rPr>
                <w:sz w:val="20"/>
                <w:szCs w:val="20"/>
                <w:color w:val="auto"/>
              </w:rPr>
            </w:pPr>
            <w:r>
              <w:rPr>
                <w:rFonts w:ascii="Arial" w:cs="Arial" w:eastAsia="Arial" w:hAnsi="Arial"/>
                <w:sz w:val="12"/>
                <w:szCs w:val="12"/>
                <w:color w:val="auto"/>
              </w:rPr>
              <w:t>Operating leases</w:t>
            </w:r>
            <w:r>
              <w:rPr>
                <w:rFonts w:ascii="Arial" w:cs="Arial" w:eastAsia="Arial" w:hAnsi="Arial"/>
                <w:sz w:val="10"/>
                <w:szCs w:val="10"/>
                <w:color w:val="auto"/>
              </w:rPr>
              <w:t>[C]</w:t>
            </w: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17.1</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3.7</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5.5</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3.5</w:t>
            </w:r>
          </w:p>
        </w:tc>
        <w:tc>
          <w:tcPr>
            <w:tcW w:w="640" w:type="dxa"/>
            <w:vAlign w:val="bottom"/>
          </w:tcPr>
          <w:p>
            <w:pPr>
              <w:jc w:val="right"/>
              <w:spacing w:after="0"/>
              <w:rPr>
                <w:sz w:val="20"/>
                <w:szCs w:val="20"/>
                <w:color w:val="auto"/>
              </w:rPr>
            </w:pPr>
            <w:r>
              <w:rPr>
                <w:rFonts w:ascii="Arial" w:cs="Arial" w:eastAsia="Arial" w:hAnsi="Arial"/>
                <w:sz w:val="12"/>
                <w:szCs w:val="12"/>
                <w:color w:val="auto"/>
              </w:rPr>
              <w:t>4.4</w:t>
            </w:r>
          </w:p>
        </w:tc>
      </w:tr>
      <w:tr>
        <w:trPr>
          <w:trHeight w:val="186"/>
        </w:trPr>
        <w:tc>
          <w:tcPr>
            <w:tcW w:w="1920" w:type="dxa"/>
            <w:vAlign w:val="bottom"/>
          </w:tcPr>
          <w:p>
            <w:pPr>
              <w:spacing w:after="0"/>
              <w:rPr>
                <w:sz w:val="20"/>
                <w:szCs w:val="20"/>
                <w:color w:val="auto"/>
              </w:rPr>
            </w:pPr>
            <w:r>
              <w:rPr>
                <w:rFonts w:ascii="Arial" w:cs="Arial" w:eastAsia="Arial" w:hAnsi="Arial"/>
                <w:sz w:val="12"/>
                <w:szCs w:val="12"/>
                <w:color w:val="auto"/>
              </w:rPr>
              <w:t>Purchase obligations</w:t>
            </w:r>
            <w:r>
              <w:rPr>
                <w:rFonts w:ascii="Arial" w:cs="Arial" w:eastAsia="Arial" w:hAnsi="Arial"/>
                <w:sz w:val="10"/>
                <w:szCs w:val="10"/>
                <w:color w:val="auto"/>
              </w:rPr>
              <w:t>[D]</w:t>
            </w:r>
          </w:p>
        </w:tc>
        <w:tc>
          <w:tcPr>
            <w:tcW w:w="560" w:type="dxa"/>
            <w:vAlign w:val="bottom"/>
          </w:tcPr>
          <w:p>
            <w:pPr>
              <w:jc w:val="right"/>
              <w:ind w:right="18"/>
              <w:spacing w:after="0"/>
              <w:rPr>
                <w:sz w:val="20"/>
                <w:szCs w:val="20"/>
                <w:color w:val="auto"/>
              </w:rPr>
            </w:pPr>
            <w:r>
              <w:rPr>
                <w:rFonts w:ascii="Arial" w:cs="Arial" w:eastAsia="Arial" w:hAnsi="Arial"/>
                <w:sz w:val="12"/>
                <w:szCs w:val="12"/>
                <w:color w:val="auto"/>
              </w:rPr>
              <w:t>375.9</w:t>
            </w:r>
          </w:p>
        </w:tc>
        <w:tc>
          <w:tcPr>
            <w:tcW w:w="520" w:type="dxa"/>
            <w:vAlign w:val="bottom"/>
          </w:tcPr>
          <w:p>
            <w:pPr>
              <w:jc w:val="right"/>
              <w:ind w:right="18"/>
              <w:spacing w:after="0"/>
              <w:rPr>
                <w:sz w:val="20"/>
                <w:szCs w:val="20"/>
                <w:color w:val="auto"/>
              </w:rPr>
            </w:pPr>
            <w:r>
              <w:rPr>
                <w:rFonts w:ascii="Arial" w:cs="Arial" w:eastAsia="Arial" w:hAnsi="Arial"/>
                <w:sz w:val="12"/>
                <w:szCs w:val="12"/>
                <w:color w:val="auto"/>
              </w:rPr>
              <w:t>135.2</w:t>
            </w:r>
          </w:p>
        </w:tc>
        <w:tc>
          <w:tcPr>
            <w:tcW w:w="660" w:type="dxa"/>
            <w:vAlign w:val="bottom"/>
          </w:tcPr>
          <w:p>
            <w:pPr>
              <w:jc w:val="right"/>
              <w:ind w:right="18"/>
              <w:spacing w:after="0"/>
              <w:rPr>
                <w:sz w:val="20"/>
                <w:szCs w:val="20"/>
                <w:color w:val="auto"/>
              </w:rPr>
            </w:pPr>
            <w:r>
              <w:rPr>
                <w:rFonts w:ascii="Arial" w:cs="Arial" w:eastAsia="Arial" w:hAnsi="Arial"/>
                <w:sz w:val="12"/>
                <w:szCs w:val="12"/>
                <w:color w:val="auto"/>
              </w:rPr>
              <w:t>66.1</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49.4</w:t>
            </w:r>
          </w:p>
        </w:tc>
        <w:tc>
          <w:tcPr>
            <w:tcW w:w="640" w:type="dxa"/>
            <w:vAlign w:val="bottom"/>
          </w:tcPr>
          <w:p>
            <w:pPr>
              <w:jc w:val="right"/>
              <w:spacing w:after="0"/>
              <w:rPr>
                <w:sz w:val="20"/>
                <w:szCs w:val="20"/>
                <w:color w:val="auto"/>
              </w:rPr>
            </w:pPr>
            <w:r>
              <w:rPr>
                <w:rFonts w:ascii="Arial" w:cs="Arial" w:eastAsia="Arial" w:hAnsi="Arial"/>
                <w:sz w:val="12"/>
                <w:szCs w:val="12"/>
                <w:color w:val="auto"/>
              </w:rPr>
              <w:t>125.2</w:t>
            </w:r>
          </w:p>
        </w:tc>
      </w:tr>
      <w:tr>
        <w:trPr>
          <w:trHeight w:val="171"/>
        </w:trPr>
        <w:tc>
          <w:tcPr>
            <w:tcW w:w="1920" w:type="dxa"/>
            <w:vAlign w:val="bottom"/>
          </w:tcPr>
          <w:p>
            <w:pPr>
              <w:spacing w:after="0"/>
              <w:rPr>
                <w:sz w:val="20"/>
                <w:szCs w:val="20"/>
                <w:color w:val="auto"/>
              </w:rPr>
            </w:pPr>
            <w:r>
              <w:rPr>
                <w:rFonts w:ascii="Arial" w:cs="Arial" w:eastAsia="Arial" w:hAnsi="Arial"/>
                <w:sz w:val="12"/>
                <w:szCs w:val="12"/>
                <w:color w:val="auto"/>
              </w:rPr>
              <w:t>Other long-term contractual</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9"/>
        </w:trPr>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liabilities</w:t>
            </w:r>
            <w:r>
              <w:rPr>
                <w:rFonts w:ascii="Arial" w:cs="Arial" w:eastAsia="Arial" w:hAnsi="Arial"/>
                <w:sz w:val="10"/>
                <w:szCs w:val="10"/>
                <w:color w:val="auto"/>
              </w:rPr>
              <w:t>[E]</w:t>
            </w: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0.3</w:t>
            </w: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0.1</w:t>
            </w:r>
          </w:p>
        </w:tc>
      </w:tr>
      <w:tr>
        <w:trPr>
          <w:trHeight w:val="146"/>
        </w:trPr>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414.4</w:t>
            </w:r>
          </w:p>
        </w:tc>
        <w:tc>
          <w:tcPr>
            <w:tcW w:w="5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145.0</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76.2</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55.7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137.5</w:t>
            </w:r>
          </w:p>
        </w:tc>
      </w:tr>
    </w:tbl>
    <w:p>
      <w:pPr>
        <w:spacing w:after="0" w:line="61" w:lineRule="exact"/>
        <w:rPr>
          <w:sz w:val="20"/>
          <w:szCs w:val="20"/>
          <w:color w:val="auto"/>
        </w:rPr>
      </w:pPr>
    </w:p>
    <w:p>
      <w:pPr>
        <w:ind w:left="200" w:right="240" w:hanging="193"/>
        <w:spacing w:after="0" w:line="231" w:lineRule="auto"/>
        <w:tabs>
          <w:tab w:leader="none" w:pos="2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Excludes $4.0 billion of finance lease obligations. See Note 19 to the Consolidated Financial Statements.</w:t>
      </w:r>
    </w:p>
    <w:p>
      <w:pPr>
        <w:ind w:left="200" w:hanging="193"/>
        <w:spacing w:after="0" w:line="231" w:lineRule="auto"/>
        <w:tabs>
          <w:tab w:leader="none" w:pos="2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interest. See Note 19[C] to the Consolidated Financial Statements.</w:t>
      </w:r>
    </w:p>
    <w:p>
      <w:pPr>
        <w:ind w:left="200" w:hanging="193"/>
        <w:spacing w:after="0" w:line="231" w:lineRule="auto"/>
        <w:tabs>
          <w:tab w:leader="none" w:pos="2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See Note 19[C] to the Consolidated Financial Statements.</w:t>
      </w:r>
    </w:p>
    <w:p>
      <w:pPr>
        <w:ind w:left="200" w:right="80" w:hanging="193"/>
        <w:spacing w:after="0" w:line="231" w:lineRule="auto"/>
        <w:tabs>
          <w:tab w:leader="none" w:pos="2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any agreement to purchase goods and services that is enforceable, legally binding and specifies all significant terms, including: fixed or minimum quantities to be purchased; fixed, minimum or variable price provisions; and the approximate timing of the purchase. Raw materials and finished products account for 92% of total purchase obligations.</w:t>
      </w:r>
    </w:p>
    <w:p>
      <w:pPr>
        <w:spacing w:after="0" w:line="1" w:lineRule="exact"/>
        <w:rPr>
          <w:rFonts w:ascii="Arial" w:cs="Arial" w:eastAsia="Arial" w:hAnsi="Arial"/>
          <w:sz w:val="12"/>
          <w:szCs w:val="12"/>
          <w:color w:val="auto"/>
        </w:rPr>
      </w:pPr>
    </w:p>
    <w:p>
      <w:pPr>
        <w:ind w:left="200" w:hanging="193"/>
        <w:spacing w:after="0" w:line="235" w:lineRule="auto"/>
        <w:tabs>
          <w:tab w:leader="none" w:pos="2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Includes all obligations included in “Other Non-current liabilities” on the Consolidated Balance Sheet that are contractually fixed as to timing and amount. In addition to these amounts, Shell has certain obligations that are not contractually fixed as to timing and amount, including contributions to defined benefit pension plans estimated to be $0.9 billion in 2008 (see Note 21 to the Consolidated Financial Statements) and obligations associated with asset retirements (see Note 22 to the Consolidated Financial Statements).</w:t>
      </w:r>
    </w:p>
    <w:p>
      <w:pPr>
        <w:spacing w:after="0" w:line="80"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The table above excludes interest expense related to debt estimated to be $0.7 billion in 2008, $0.7 billion in 2009/2010, $0.4 billion in 2011/2012 and $0.1 billion in 2013 and after (assuming interest rates with respect to variable interest rate debt remain constant and there is no change in aggregate principal amount of debt other than repayment at scheduled maturity as reflected in the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20"/>
        <w:spacing w:after="0" w:line="243" w:lineRule="auto"/>
        <w:rPr>
          <w:sz w:val="20"/>
          <w:szCs w:val="20"/>
          <w:color w:val="auto"/>
        </w:rPr>
      </w:pPr>
      <w:r>
        <w:rPr>
          <w:rFonts w:ascii="Arial" w:cs="Arial" w:eastAsia="Arial" w:hAnsi="Arial"/>
          <w:sz w:val="14"/>
          <w:szCs w:val="14"/>
          <w:b w:val="1"/>
          <w:bCs w:val="1"/>
          <w:color w:val="auto"/>
        </w:rPr>
        <w:t>FINANCIAL INFORMATION RELATING TO THE ROYAL DUTCH SHELL DIVIDEND ACCESS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-198120</wp:posOffset>
            </wp:positionV>
            <wp:extent cx="177800" cy="5108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77800" cy="5108575"/>
                    </a:xfrm>
                    <a:prstGeom prst="rect">
                      <a:avLst/>
                    </a:prstGeom>
                    <a:noFill/>
                  </pic:spPr>
                </pic:pic>
              </a:graphicData>
            </a:graphic>
          </wp:anchor>
        </w:drawing>
      </w:r>
    </w:p>
    <w:p>
      <w:pPr>
        <w:ind w:right="40"/>
        <w:spacing w:after="0" w:line="226" w:lineRule="auto"/>
        <w:rPr>
          <w:sz w:val="20"/>
          <w:szCs w:val="20"/>
          <w:color w:val="auto"/>
        </w:rPr>
      </w:pPr>
      <w:r>
        <w:rPr>
          <w:rFonts w:ascii="Arial" w:cs="Arial" w:eastAsia="Arial" w:hAnsi="Arial"/>
          <w:sz w:val="14"/>
          <w:szCs w:val="14"/>
          <w:color w:val="auto"/>
        </w:rPr>
        <w:t>The results of operations and financial position of the Dividend Access Trust are included in the consolidated results of operations and financial position of Royal Dutch Shell. Set out below is certain condensed financial information in respect of the Dividend Access Trust.</w:t>
      </w:r>
    </w:p>
    <w:p>
      <w:pPr>
        <w:spacing w:after="0" w:line="18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Separate Financial Statements for the Dividend Access Trust are also included in this Report.</w:t>
      </w:r>
    </w:p>
    <w:p>
      <w:pPr>
        <w:spacing w:after="0" w:line="175"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For the years 2007, 2006 and the period May 19, 2005, to December 31, 2005, the Dividend Access Trust recorded income before tax of £1,930 million, £1,837 million and £869 million respectively. In each period this reflected the amount of dividends received on the dividend access share less immaterial finance costs attributable to foreign exchange differences.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At December 31, 2007, the Dividend Access Trust had total equity of £ nil (2006: £ nil;</w:t>
      </w:r>
    </w:p>
    <w:p>
      <w:pPr>
        <w:spacing w:after="0" w:line="9"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2005: £ nil), reflecting cash of £444,639 (2006: £27,465; 2005: £ nil)), less unclaimed dividends of £444,639 (2006: £27,465; 2005: £ nil). The Dividend Access Trust only records a liability for an unclaimed dividend, and a corresponding amount of cash, to the extent that cheques expire, which is one year after their issuance, or to the extent that they are returned unpresented.</w:t>
      </w:r>
    </w:p>
    <w:p>
      <w:pPr>
        <w:spacing w:after="0" w:line="182"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The movements in cash and cash equivalents of the Dividend Access Trust consist primarily of dividends received of £1,930 million in 2007 (2006: £1,837 million; 2005: £869 million) and distributions made on behalf of Shell to shareholders of</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£1,930 million in 2007 (2006: £1,837 million; 2005: £869 million) and changes in net working capital (£ nil). See “Supplementary Information – Control of registrant (unaudited) – Rights attaching to shares” for an explanation of the Dividend Access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1621790</wp:posOffset>
            </wp:positionV>
            <wp:extent cx="725297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spacing w:after="0"/>
        <w:rPr>
          <w:sz w:val="20"/>
          <w:szCs w:val="20"/>
          <w:color w:val="auto"/>
        </w:rPr>
      </w:pPr>
      <w:r>
        <w:rPr>
          <w:rFonts w:ascii="Arial" w:cs="Arial" w:eastAsia="Arial" w:hAnsi="Arial"/>
          <w:sz w:val="36"/>
          <w:szCs w:val="36"/>
          <w:color w:val="auto"/>
        </w:rPr>
        <w:t>Our people</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6"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Shell employs 104,000 people in over 110 countries and territories worldwide. Our people are central to the delivery of the Shell business strategy of More Upstream, Profitable Downstream. In 2007, we continued to advance our people strategy, which focuses mainly on recruiting, developing skills and improving employee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DEVELOPING OUR PEOPLE</w:t>
      </w:r>
    </w:p>
    <w:p>
      <w:pPr>
        <w:spacing w:after="0" w:line="6" w:lineRule="exact"/>
        <w:rPr>
          <w:sz w:val="20"/>
          <w:szCs w:val="20"/>
          <w:color w:val="auto"/>
        </w:rPr>
      </w:pPr>
    </w:p>
    <w:p>
      <w:pPr>
        <w:ind w:right="180"/>
        <w:spacing w:after="0" w:line="223" w:lineRule="auto"/>
        <w:rPr>
          <w:sz w:val="20"/>
          <w:szCs w:val="20"/>
          <w:color w:val="auto"/>
        </w:rPr>
      </w:pPr>
      <w:r>
        <w:rPr>
          <w:rFonts w:ascii="Arial" w:cs="Arial" w:eastAsia="Arial" w:hAnsi="Arial"/>
          <w:sz w:val="14"/>
          <w:szCs w:val="14"/>
          <w:color w:val="auto"/>
        </w:rPr>
        <w:t>In 2007, we achieved high levels of professional development, in line with the increased recruitment of graduates and experienced hires in 2006 and 2007. Other factors contributing to the increased focus on professional development included the changing demographics of staff, particularly in Europe and the USA; our drive for excellence in technology; and increasing industry demand for compliance and assurance of skills development.</w:t>
      </w:r>
    </w:p>
    <w:p>
      <w:pPr>
        <w:spacing w:after="0" w:line="183" w:lineRule="exact"/>
        <w:rPr>
          <w:sz w:val="20"/>
          <w:szCs w:val="20"/>
          <w:color w:val="auto"/>
        </w:rPr>
      </w:pPr>
    </w:p>
    <w:p>
      <w:pPr>
        <w:ind w:right="140"/>
        <w:spacing w:after="0" w:line="231" w:lineRule="auto"/>
        <w:rPr>
          <w:sz w:val="20"/>
          <w:szCs w:val="20"/>
          <w:color w:val="auto"/>
        </w:rPr>
      </w:pPr>
      <w:r>
        <w:rPr>
          <w:rFonts w:ascii="Arial" w:cs="Arial" w:eastAsia="Arial" w:hAnsi="Arial"/>
          <w:sz w:val="14"/>
          <w:szCs w:val="14"/>
          <w:color w:val="auto"/>
        </w:rPr>
        <w:t>The Shell Project Academy and Commercial Academy continue to accelerate the development of project management and commercial skills. Around 1,500 people attended Project Academy-related activities during 2007, with nearly 1,000 attending Commercial Academy learning events.</w:t>
      </w:r>
    </w:p>
    <w:p>
      <w:pPr>
        <w:spacing w:after="0" w:line="179"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Blended learning, which offers employees a combination of workplace assignments, traditional classroom events, e-learning and informal coaching is becoming a Shell standard for delivering development programmes. These programmes are available through the Shell Open University portal for employees, increasingly our main resource for formal learning.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RESOURCING FOR THE FUTURE</w:t>
      </w:r>
    </w:p>
    <w:p>
      <w:pPr>
        <w:spacing w:after="0" w:line="6" w:lineRule="exact"/>
        <w:rPr>
          <w:sz w:val="20"/>
          <w:szCs w:val="20"/>
          <w:color w:val="auto"/>
        </w:rPr>
      </w:pPr>
    </w:p>
    <w:p>
      <w:pPr>
        <w:spacing w:after="0" w:line="223" w:lineRule="auto"/>
        <w:rPr>
          <w:sz w:val="20"/>
          <w:szCs w:val="20"/>
          <w:color w:val="auto"/>
        </w:rPr>
      </w:pPr>
      <w:r>
        <w:rPr>
          <w:rFonts w:ascii="Arial" w:cs="Arial" w:eastAsia="Arial" w:hAnsi="Arial"/>
          <w:sz w:val="14"/>
          <w:szCs w:val="14"/>
          <w:color w:val="auto"/>
        </w:rPr>
        <w:t>Recruiting, developing and deploying highly skilled people remain essential to our business. In 2007, we recruited nearly 5,000 people worldwide. This comprised 1,150 graduates and 3,780 experienced professionals – over half from technical disciplines and from more than 95 countries. We maintained our reputation as the energy employer of choice in key target markets, in particular in India, China, the Netherlands, UK, Malaysia and the USA as confirmed by independent surveys, such as that conducted by Universum Incorporated.</w:t>
      </w:r>
    </w:p>
    <w:p>
      <w:pPr>
        <w:spacing w:after="0" w:line="18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Our focus continued to be on recruiting talent where we aim to grow our business. We hired more graduates and experienced professionals in Asia than in any other region in 2007. We also demonstrated that we can recruit in challenging regions like the Middle East and Nigeria, where demand exceeds supply. For our Nigerian business, we recruited nearly 200 graduates and 300 experienced professionals, both from within the country and by attracting Nigerians working abroad.</w:t>
      </w:r>
    </w:p>
    <w:p>
      <w:pPr>
        <w:spacing w:after="0" w:line="177"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We continue to strengthen diversity through recruitment. Women make up 31% of all our professional hires, and 20% of recruits for technical roles, and we aim to continuously improve these rates. The range of nationalities in our senior ranks is also growing.</w:t>
      </w:r>
    </w:p>
    <w:p>
      <w:pPr>
        <w:spacing w:after="0" w:line="179"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In addition to building local talent, our ability to deploy people quickly to major projects around the world remains one of our strengths.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 AND INVOLVEMENT</w:t>
      </w:r>
    </w:p>
    <w:p>
      <w:pPr>
        <w:spacing w:after="0" w:line="6"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We involve our people in the planning and direction of their work, drawing on a wide range of communication methods. These include regular letters to staff from the Chief Executive on business performance and global priorities, published on our employee intranet.</w:t>
      </w:r>
    </w:p>
    <w:p>
      <w:pPr>
        <w:spacing w:after="0" w:line="200" w:lineRule="exact"/>
        <w:rPr>
          <w:sz w:val="20"/>
          <w:szCs w:val="20"/>
          <w:color w:val="auto"/>
        </w:rPr>
      </w:pPr>
    </w:p>
    <w:p>
      <w:pPr>
        <w:spacing w:after="0" w:line="332" w:lineRule="exact"/>
        <w:rPr>
          <w:sz w:val="20"/>
          <w:szCs w:val="20"/>
          <w:color w:val="auto"/>
        </w:rPr>
      </w:pPr>
    </w:p>
    <w:p>
      <w:pPr>
        <w:ind w:left="280" w:hanging="273"/>
        <w:spacing w:after="0"/>
        <w:tabs>
          <w:tab w:leader="none" w:pos="280" w:val="left"/>
        </w:tabs>
        <w:numPr>
          <w:ilvl w:val="0"/>
          <w:numId w:val="7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We also have targeted webcasts, briefings, publications and face-to-face engagement sessions on specific business activities. We encourage safe and confidential reporting of feedback and concerns about our processes and practices. Our global telephone helpline and website, which have been in place since 2005, enable employees to report breaches of our Code of Conduct and the Shell General Business Principles, confidentially and anonymously.</w:t>
      </w:r>
    </w:p>
    <w:p>
      <w:pPr>
        <w:spacing w:after="0" w:line="183"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biennial Shell People Survey provides valuable insights into employees’ views about working for the company. Action plans to address concerns and to further enhance employee engagement across Shell are in place. From 2008, the survey will be conducted annually and earlier in the year to enable results to be taken into account in business planning for each year.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 AND INCLUSION</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Shell has a long-standing commitment to the integration of diversity and inclusion into our operations and culture. Our intention is to provide equal opportunity in recruitment, career development, promotion, training and reward for all employees, including those with disabilities.</w:t>
      </w:r>
    </w:p>
    <w:p>
      <w:pPr>
        <w:spacing w:after="0" w:line="181"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By the end of 2007, the proportion of women in senior leadership positions had risen to 12.9%, compared to 11.6% in 2006. In 33% of countries, local nationals filled more than half the senior leadership positions, compared to 25% in 2006.</w:t>
      </w:r>
    </w:p>
    <w:p>
      <w:pPr>
        <w:spacing w:after="0" w:line="18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In 2006, the Shell People Survey showed that 64% of employees perceived workplace inclusion as favourable. Much work was done in 2007 to address areas for improvement such as a review of flexible working options and childcare provisions, as well as the expansion of existing training programmes to promote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3663950</wp:posOffset>
            </wp:positionV>
            <wp:extent cx="725297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4980"/>
          </w:cols>
          <w:pgMar w:left="240" w:top="415" w:right="1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80" w:type="dxa"/>
            <w:vAlign w:val="bottom"/>
            <w:shd w:val="clear" w:color="auto" w:fill="FFD204"/>
          </w:tcPr>
          <w:p>
            <w:pPr>
              <w:ind w:left="20"/>
              <w:spacing w:after="0"/>
              <w:rPr>
                <w:sz w:val="20"/>
                <w:szCs w:val="20"/>
                <w:color w:val="auto"/>
              </w:rPr>
            </w:pPr>
            <w:r>
              <w:rPr>
                <w:rFonts w:ascii="Arial" w:cs="Arial" w:eastAsia="Arial" w:hAnsi="Arial"/>
                <w:sz w:val="12"/>
                <w:szCs w:val="12"/>
                <w:b w:val="1"/>
                <w:bCs w:val="1"/>
                <w:color w:val="auto"/>
              </w:rPr>
              <w:t>EMPLOYEES BY SEGMENT (average numbers)</w:t>
            </w:r>
          </w:p>
        </w:tc>
        <w:tc>
          <w:tcPr>
            <w:tcW w:w="520" w:type="dxa"/>
            <w:vAlign w:val="bottom"/>
            <w:shd w:val="clear" w:color="auto" w:fill="FFD204"/>
          </w:tcPr>
          <w:p>
            <w:pPr>
              <w:spacing w:after="0"/>
              <w:rPr>
                <w:sz w:val="12"/>
                <w:szCs w:val="12"/>
                <w:color w:val="auto"/>
              </w:rPr>
            </w:pPr>
          </w:p>
        </w:tc>
        <w:tc>
          <w:tcPr>
            <w:tcW w:w="500" w:type="dxa"/>
            <w:vAlign w:val="bottom"/>
            <w:shd w:val="clear" w:color="auto" w:fill="FFD204"/>
          </w:tcPr>
          <w:p>
            <w:pPr>
              <w:spacing w:after="0"/>
              <w:rPr>
                <w:sz w:val="12"/>
                <w:szCs w:val="12"/>
                <w:color w:val="auto"/>
              </w:rPr>
            </w:pPr>
          </w:p>
        </w:tc>
        <w:tc>
          <w:tcPr>
            <w:tcW w:w="1260" w:type="dxa"/>
            <w:vAlign w:val="bottom"/>
            <w:shd w:val="clear" w:color="auto" w:fill="FFD204"/>
          </w:tcPr>
          <w:p>
            <w:pPr>
              <w:spacing w:after="0"/>
              <w:rPr>
                <w:sz w:val="12"/>
                <w:szCs w:val="12"/>
                <w:color w:val="auto"/>
              </w:rPr>
            </w:pPr>
          </w:p>
        </w:tc>
        <w:tc>
          <w:tcPr>
            <w:tcW w:w="1240" w:type="dxa"/>
            <w:vAlign w:val="bottom"/>
            <w:shd w:val="clear" w:color="auto" w:fill="FFD204"/>
          </w:tcPr>
          <w:p>
            <w:pPr>
              <w:spacing w:after="0"/>
              <w:rPr>
                <w:sz w:val="12"/>
                <w:szCs w:val="12"/>
                <w:color w:val="auto"/>
              </w:rPr>
            </w:pPr>
          </w:p>
        </w:tc>
        <w:tc>
          <w:tcPr>
            <w:tcW w:w="1060" w:type="dxa"/>
            <w:vAlign w:val="bottom"/>
            <w:shd w:val="clear" w:color="auto" w:fill="FFD204"/>
          </w:tcPr>
          <w:p>
            <w:pPr>
              <w:spacing w:after="0"/>
              <w:rPr>
                <w:sz w:val="12"/>
                <w:szCs w:val="12"/>
                <w:color w:val="auto"/>
              </w:rPr>
            </w:pPr>
          </w:p>
        </w:tc>
        <w:tc>
          <w:tcPr>
            <w:tcW w:w="1020" w:type="dxa"/>
            <w:vAlign w:val="bottom"/>
            <w:shd w:val="clear" w:color="auto" w:fill="FFD204"/>
          </w:tcPr>
          <w:p>
            <w:pPr>
              <w:jc w:val="right"/>
              <w:ind w:right="18"/>
              <w:spacing w:after="0"/>
              <w:rPr>
                <w:sz w:val="20"/>
                <w:szCs w:val="20"/>
                <w:color w:val="auto"/>
              </w:rPr>
            </w:pPr>
            <w:r>
              <w:rPr>
                <w:rFonts w:ascii="Arial" w:cs="Arial" w:eastAsia="Arial" w:hAnsi="Arial"/>
                <w:sz w:val="12"/>
                <w:szCs w:val="12"/>
                <w:b w:val="1"/>
                <w:bCs w:val="1"/>
                <w:color w:val="auto"/>
              </w:rPr>
              <w:t>thousands</w:t>
            </w:r>
          </w:p>
        </w:tc>
      </w:tr>
      <w:tr>
        <w:trPr>
          <w:trHeight w:val="133"/>
        </w:trPr>
        <w:tc>
          <w:tcPr>
            <w:tcW w:w="4780" w:type="dxa"/>
            <w:vAlign w:val="bottom"/>
            <w:shd w:val="clear" w:color="auto" w:fill="CECAC6"/>
          </w:tcPr>
          <w:p>
            <w:pPr>
              <w:spacing w:after="0"/>
              <w:rPr>
                <w:sz w:val="11"/>
                <w:szCs w:val="11"/>
                <w:color w:val="auto"/>
              </w:rPr>
            </w:pPr>
          </w:p>
        </w:tc>
        <w:tc>
          <w:tcPr>
            <w:tcW w:w="1020" w:type="dxa"/>
            <w:vAlign w:val="bottom"/>
            <w:gridSpan w:val="2"/>
            <w:shd w:val="clear" w:color="auto" w:fill="CECAC6"/>
          </w:tcPr>
          <w:p>
            <w:pPr>
              <w:jc w:val="right"/>
              <w:ind w:right="480"/>
              <w:spacing w:after="0" w:line="133"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24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2005</w:t>
            </w:r>
          </w:p>
        </w:tc>
        <w:tc>
          <w:tcPr>
            <w:tcW w:w="10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27"/>
        </w:trPr>
        <w:tc>
          <w:tcPr>
            <w:tcW w:w="4780" w:type="dxa"/>
            <w:vAlign w:val="bottom"/>
          </w:tcPr>
          <w:p>
            <w:pPr>
              <w:ind w:left="20"/>
              <w:spacing w:after="0" w:line="128" w:lineRule="exact"/>
              <w:rPr>
                <w:sz w:val="20"/>
                <w:szCs w:val="20"/>
                <w:color w:val="auto"/>
              </w:rPr>
            </w:pPr>
            <w:r>
              <w:rPr>
                <w:rFonts w:ascii="Arial" w:cs="Arial" w:eastAsia="Arial" w:hAnsi="Arial"/>
                <w:sz w:val="12"/>
                <w:szCs w:val="12"/>
                <w:color w:val="auto"/>
              </w:rPr>
              <w:t>Exploration &amp; Production</w:t>
            </w:r>
          </w:p>
        </w:tc>
        <w:tc>
          <w:tcPr>
            <w:tcW w:w="5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18</w:t>
            </w:r>
          </w:p>
        </w:tc>
        <w:tc>
          <w:tcPr>
            <w:tcW w:w="500" w:type="dxa"/>
            <w:vAlign w:val="bottom"/>
          </w:tcPr>
          <w:p>
            <w:pPr>
              <w:spacing w:after="0"/>
              <w:rPr>
                <w:sz w:val="11"/>
                <w:szCs w:val="11"/>
                <w:color w:val="auto"/>
              </w:rPr>
            </w:pPr>
          </w:p>
        </w:tc>
        <w:tc>
          <w:tcPr>
            <w:tcW w:w="12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18</w:t>
            </w:r>
          </w:p>
        </w:tc>
        <w:tc>
          <w:tcPr>
            <w:tcW w:w="1240" w:type="dxa"/>
            <w:vAlign w:val="bottom"/>
          </w:tcPr>
          <w:p>
            <w:pPr>
              <w:jc w:val="right"/>
              <w:ind w:right="418"/>
              <w:spacing w:after="0" w:line="128" w:lineRule="exact"/>
              <w:rPr>
                <w:sz w:val="20"/>
                <w:szCs w:val="20"/>
                <w:color w:val="auto"/>
              </w:rPr>
            </w:pPr>
            <w:r>
              <w:rPr>
                <w:rFonts w:ascii="Arial" w:cs="Arial" w:eastAsia="Arial" w:hAnsi="Arial"/>
                <w:sz w:val="12"/>
                <w:szCs w:val="12"/>
                <w:color w:val="auto"/>
              </w:rPr>
              <w:t>17</w:t>
            </w:r>
          </w:p>
        </w:tc>
        <w:tc>
          <w:tcPr>
            <w:tcW w:w="106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15</w:t>
            </w:r>
          </w:p>
        </w:tc>
        <w:tc>
          <w:tcPr>
            <w:tcW w:w="10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17</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Gas &amp; Power</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3</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Oil Sands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Oil Products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63</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67</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71</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78</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82</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Chemicals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6</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8</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8</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w:t>
            </w:r>
          </w:p>
        </w:tc>
      </w:tr>
      <w:tr>
        <w:trPr>
          <w:trHeight w:val="13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Corporate</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13</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13</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9</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8</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w:t>
            </w:r>
          </w:p>
        </w:tc>
      </w:tr>
      <w:tr>
        <w:trPr>
          <w:trHeight w:val="14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104</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108</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109</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113</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-743585</wp:posOffset>
            </wp:positionV>
            <wp:extent cx="177800" cy="5040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77800" cy="504063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80" w:type="dxa"/>
            <w:vAlign w:val="bottom"/>
            <w:shd w:val="clear" w:color="auto" w:fill="FFD204"/>
          </w:tcPr>
          <w:p>
            <w:pPr>
              <w:ind w:left="20"/>
              <w:spacing w:after="0"/>
              <w:rPr>
                <w:sz w:val="20"/>
                <w:szCs w:val="20"/>
                <w:color w:val="auto"/>
              </w:rPr>
            </w:pPr>
            <w:r>
              <w:rPr>
                <w:rFonts w:ascii="Arial" w:cs="Arial" w:eastAsia="Arial" w:hAnsi="Arial"/>
                <w:sz w:val="12"/>
                <w:szCs w:val="12"/>
                <w:b w:val="1"/>
                <w:bCs w:val="1"/>
                <w:color w:val="auto"/>
              </w:rPr>
              <w:t>EMPLOYEES BY GEOGRAPHICAL AREA (average numbers)</w:t>
            </w:r>
          </w:p>
        </w:tc>
        <w:tc>
          <w:tcPr>
            <w:tcW w:w="520" w:type="dxa"/>
            <w:vAlign w:val="bottom"/>
            <w:shd w:val="clear" w:color="auto" w:fill="FFD204"/>
          </w:tcPr>
          <w:p>
            <w:pPr>
              <w:spacing w:after="0"/>
              <w:rPr>
                <w:sz w:val="12"/>
                <w:szCs w:val="12"/>
                <w:color w:val="auto"/>
              </w:rPr>
            </w:pPr>
          </w:p>
        </w:tc>
        <w:tc>
          <w:tcPr>
            <w:tcW w:w="500" w:type="dxa"/>
            <w:vAlign w:val="bottom"/>
            <w:shd w:val="clear" w:color="auto" w:fill="FFD204"/>
          </w:tcPr>
          <w:p>
            <w:pPr>
              <w:spacing w:after="0"/>
              <w:rPr>
                <w:sz w:val="12"/>
                <w:szCs w:val="12"/>
                <w:color w:val="auto"/>
              </w:rPr>
            </w:pPr>
          </w:p>
        </w:tc>
        <w:tc>
          <w:tcPr>
            <w:tcW w:w="1260" w:type="dxa"/>
            <w:vAlign w:val="bottom"/>
            <w:shd w:val="clear" w:color="auto" w:fill="FFD204"/>
          </w:tcPr>
          <w:p>
            <w:pPr>
              <w:spacing w:after="0"/>
              <w:rPr>
                <w:sz w:val="12"/>
                <w:szCs w:val="12"/>
                <w:color w:val="auto"/>
              </w:rPr>
            </w:pPr>
          </w:p>
        </w:tc>
        <w:tc>
          <w:tcPr>
            <w:tcW w:w="1240" w:type="dxa"/>
            <w:vAlign w:val="bottom"/>
            <w:shd w:val="clear" w:color="auto" w:fill="FFD204"/>
          </w:tcPr>
          <w:p>
            <w:pPr>
              <w:spacing w:after="0"/>
              <w:rPr>
                <w:sz w:val="12"/>
                <w:szCs w:val="12"/>
                <w:color w:val="auto"/>
              </w:rPr>
            </w:pPr>
          </w:p>
        </w:tc>
        <w:tc>
          <w:tcPr>
            <w:tcW w:w="1060" w:type="dxa"/>
            <w:vAlign w:val="bottom"/>
            <w:shd w:val="clear" w:color="auto" w:fill="FFD204"/>
          </w:tcPr>
          <w:p>
            <w:pPr>
              <w:spacing w:after="0"/>
              <w:rPr>
                <w:sz w:val="12"/>
                <w:szCs w:val="12"/>
                <w:color w:val="auto"/>
              </w:rPr>
            </w:pPr>
          </w:p>
        </w:tc>
        <w:tc>
          <w:tcPr>
            <w:tcW w:w="1020" w:type="dxa"/>
            <w:vAlign w:val="bottom"/>
            <w:shd w:val="clear" w:color="auto" w:fill="FFD204"/>
          </w:tcPr>
          <w:p>
            <w:pPr>
              <w:jc w:val="right"/>
              <w:ind w:right="18"/>
              <w:spacing w:after="0"/>
              <w:rPr>
                <w:sz w:val="20"/>
                <w:szCs w:val="20"/>
                <w:color w:val="auto"/>
              </w:rPr>
            </w:pPr>
            <w:r>
              <w:rPr>
                <w:rFonts w:ascii="Arial" w:cs="Arial" w:eastAsia="Arial" w:hAnsi="Arial"/>
                <w:sz w:val="12"/>
                <w:szCs w:val="12"/>
                <w:b w:val="1"/>
                <w:bCs w:val="1"/>
                <w:color w:val="auto"/>
              </w:rPr>
              <w:t>thousands</w:t>
            </w:r>
          </w:p>
        </w:tc>
      </w:tr>
      <w:tr>
        <w:trPr>
          <w:trHeight w:val="133"/>
        </w:trPr>
        <w:tc>
          <w:tcPr>
            <w:tcW w:w="4780" w:type="dxa"/>
            <w:vAlign w:val="bottom"/>
            <w:shd w:val="clear" w:color="auto" w:fill="CECAC6"/>
          </w:tcPr>
          <w:p>
            <w:pPr>
              <w:spacing w:after="0"/>
              <w:rPr>
                <w:sz w:val="11"/>
                <w:szCs w:val="11"/>
                <w:color w:val="auto"/>
              </w:rPr>
            </w:pPr>
          </w:p>
        </w:tc>
        <w:tc>
          <w:tcPr>
            <w:tcW w:w="1020" w:type="dxa"/>
            <w:vAlign w:val="bottom"/>
            <w:gridSpan w:val="2"/>
            <w:shd w:val="clear" w:color="auto" w:fill="CECAC6"/>
          </w:tcPr>
          <w:p>
            <w:pPr>
              <w:jc w:val="right"/>
              <w:ind w:right="480"/>
              <w:spacing w:after="0" w:line="133"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24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2005</w:t>
            </w:r>
          </w:p>
        </w:tc>
        <w:tc>
          <w:tcPr>
            <w:tcW w:w="10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2004</w:t>
            </w:r>
          </w:p>
        </w:tc>
        <w:tc>
          <w:tcPr>
            <w:tcW w:w="10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27"/>
        </w:trPr>
        <w:tc>
          <w:tcPr>
            <w:tcW w:w="4780" w:type="dxa"/>
            <w:vAlign w:val="bottom"/>
          </w:tcPr>
          <w:p>
            <w:pPr>
              <w:ind w:left="20"/>
              <w:spacing w:after="0" w:line="128" w:lineRule="exact"/>
              <w:rPr>
                <w:sz w:val="20"/>
                <w:szCs w:val="20"/>
                <w:color w:val="auto"/>
              </w:rPr>
            </w:pPr>
            <w:r>
              <w:rPr>
                <w:rFonts w:ascii="Arial" w:cs="Arial" w:eastAsia="Arial" w:hAnsi="Arial"/>
                <w:sz w:val="12"/>
                <w:szCs w:val="12"/>
                <w:color w:val="auto"/>
              </w:rPr>
              <w:t>Europe</w:t>
            </w:r>
          </w:p>
        </w:tc>
        <w:tc>
          <w:tcPr>
            <w:tcW w:w="520" w:type="dxa"/>
            <w:vAlign w:val="bottom"/>
            <w:shd w:val="clear" w:color="auto" w:fill="E4E3E1"/>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The Netherlands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10</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10</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10</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10</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UK</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8</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8</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7</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8</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w:t>
            </w:r>
          </w:p>
        </w:tc>
      </w:tr>
      <w:tr>
        <w:trPr>
          <w:trHeight w:val="13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Others</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17</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19</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22</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25</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w:t>
            </w:r>
          </w:p>
        </w:tc>
      </w:tr>
      <w:tr>
        <w:trPr>
          <w:trHeight w:val="140"/>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 Europe</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35</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37</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39</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43</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46</w:t>
            </w:r>
          </w:p>
        </w:tc>
      </w:tr>
      <w:tr>
        <w:trPr>
          <w:trHeight w:val="134"/>
        </w:trPr>
        <w:tc>
          <w:tcPr>
            <w:tcW w:w="4780" w:type="dxa"/>
            <w:vAlign w:val="bottom"/>
          </w:tcPr>
          <w:p>
            <w:pPr>
              <w:ind w:left="20"/>
              <w:spacing w:after="0" w:line="134" w:lineRule="exact"/>
              <w:rPr>
                <w:sz w:val="20"/>
                <w:szCs w:val="20"/>
                <w:color w:val="auto"/>
              </w:rPr>
            </w:pPr>
            <w:r>
              <w:rPr>
                <w:rFonts w:ascii="Arial" w:cs="Arial" w:eastAsia="Arial" w:hAnsi="Arial"/>
                <w:sz w:val="12"/>
                <w:szCs w:val="12"/>
                <w:color w:val="auto"/>
              </w:rPr>
              <w:t>Other Eastern Hemisphere</w:t>
            </w:r>
          </w:p>
        </w:tc>
        <w:tc>
          <w:tcPr>
            <w:tcW w:w="52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33</w:t>
            </w:r>
          </w:p>
        </w:tc>
        <w:tc>
          <w:tcPr>
            <w:tcW w:w="500" w:type="dxa"/>
            <w:vAlign w:val="bottom"/>
          </w:tcPr>
          <w:p>
            <w:pPr>
              <w:spacing w:after="0"/>
              <w:rPr>
                <w:sz w:val="11"/>
                <w:szCs w:val="11"/>
                <w:color w:val="auto"/>
              </w:rPr>
            </w:pPr>
          </w:p>
        </w:tc>
        <w:tc>
          <w:tcPr>
            <w:tcW w:w="126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35</w:t>
            </w:r>
          </w:p>
        </w:tc>
        <w:tc>
          <w:tcPr>
            <w:tcW w:w="1240" w:type="dxa"/>
            <w:vAlign w:val="bottom"/>
          </w:tcPr>
          <w:p>
            <w:pPr>
              <w:jc w:val="right"/>
              <w:ind w:right="418"/>
              <w:spacing w:after="0" w:line="134" w:lineRule="exact"/>
              <w:rPr>
                <w:sz w:val="20"/>
                <w:szCs w:val="20"/>
                <w:color w:val="auto"/>
              </w:rPr>
            </w:pPr>
            <w:r>
              <w:rPr>
                <w:rFonts w:ascii="Arial" w:cs="Arial" w:eastAsia="Arial" w:hAnsi="Arial"/>
                <w:sz w:val="12"/>
                <w:szCs w:val="12"/>
                <w:color w:val="auto"/>
              </w:rPr>
              <w:t>33</w:t>
            </w:r>
          </w:p>
        </w:tc>
        <w:tc>
          <w:tcPr>
            <w:tcW w:w="106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30</w:t>
            </w:r>
          </w:p>
        </w:tc>
        <w:tc>
          <w:tcPr>
            <w:tcW w:w="10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28</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USA</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24</w:t>
            </w:r>
          </w:p>
        </w:tc>
        <w:tc>
          <w:tcPr>
            <w:tcW w:w="500" w:type="dxa"/>
            <w:vAlign w:val="bottom"/>
          </w:tcPr>
          <w:p>
            <w:pPr>
              <w:spacing w:after="0"/>
              <w:rPr>
                <w:sz w:val="11"/>
                <w:szCs w:val="11"/>
                <w:color w:val="auto"/>
              </w:rPr>
            </w:pPr>
          </w:p>
        </w:tc>
        <w:tc>
          <w:tcPr>
            <w:tcW w:w="12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24</w:t>
            </w:r>
          </w:p>
        </w:tc>
        <w:tc>
          <w:tcPr>
            <w:tcW w:w="12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24</w:t>
            </w:r>
          </w:p>
        </w:tc>
        <w:tc>
          <w:tcPr>
            <w:tcW w:w="10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26</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30</w:t>
            </w:r>
          </w:p>
        </w:tc>
      </w:tr>
      <w:tr>
        <w:trPr>
          <w:trHeight w:val="13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Western Hemisphere</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12</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12</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13</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14</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w:t>
            </w:r>
          </w:p>
        </w:tc>
      </w:tr>
      <w:tr>
        <w:trPr>
          <w:trHeight w:val="14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 Worldwide</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104</w:t>
            </w:r>
          </w:p>
        </w:tc>
        <w:tc>
          <w:tcPr>
            <w:tcW w:w="5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108</w:t>
            </w:r>
          </w:p>
        </w:tc>
        <w:tc>
          <w:tcPr>
            <w:tcW w:w="12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109</w:t>
            </w:r>
          </w:p>
        </w:tc>
        <w:tc>
          <w:tcPr>
            <w:tcW w:w="10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113</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119</w:t>
            </w:r>
          </w:p>
        </w:tc>
      </w:tr>
    </w:tbl>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80" w:type="dxa"/>
            <w:vAlign w:val="bottom"/>
            <w:shd w:val="clear" w:color="auto" w:fill="FFD204"/>
          </w:tcPr>
          <w:p>
            <w:pPr>
              <w:ind w:left="20"/>
              <w:spacing w:after="0"/>
              <w:rPr>
                <w:sz w:val="20"/>
                <w:szCs w:val="20"/>
                <w:color w:val="auto"/>
              </w:rPr>
            </w:pPr>
            <w:r>
              <w:rPr>
                <w:rFonts w:ascii="Arial" w:cs="Arial" w:eastAsia="Arial" w:hAnsi="Arial"/>
                <w:sz w:val="12"/>
                <w:szCs w:val="12"/>
                <w:b w:val="1"/>
                <w:bCs w:val="1"/>
                <w:color w:val="auto"/>
              </w:rPr>
              <w:t>EMPLOYEE EMOLUMENTS</w:t>
            </w:r>
          </w:p>
        </w:tc>
        <w:tc>
          <w:tcPr>
            <w:tcW w:w="520" w:type="dxa"/>
            <w:vAlign w:val="bottom"/>
            <w:shd w:val="clear" w:color="auto" w:fill="FFD204"/>
          </w:tcPr>
          <w:p>
            <w:pPr>
              <w:spacing w:after="0"/>
              <w:rPr>
                <w:sz w:val="12"/>
                <w:szCs w:val="12"/>
                <w:color w:val="auto"/>
              </w:rPr>
            </w:pPr>
          </w:p>
        </w:tc>
        <w:tc>
          <w:tcPr>
            <w:tcW w:w="440" w:type="dxa"/>
            <w:vAlign w:val="bottom"/>
            <w:shd w:val="clear" w:color="auto" w:fill="FFD204"/>
          </w:tcPr>
          <w:p>
            <w:pPr>
              <w:spacing w:after="0"/>
              <w:rPr>
                <w:sz w:val="12"/>
                <w:szCs w:val="12"/>
                <w:color w:val="auto"/>
              </w:rPr>
            </w:pPr>
          </w:p>
        </w:tc>
        <w:tc>
          <w:tcPr>
            <w:tcW w:w="1260" w:type="dxa"/>
            <w:vAlign w:val="bottom"/>
            <w:shd w:val="clear" w:color="auto" w:fill="FFD204"/>
          </w:tcPr>
          <w:p>
            <w:pPr>
              <w:spacing w:after="0"/>
              <w:rPr>
                <w:sz w:val="12"/>
                <w:szCs w:val="12"/>
                <w:color w:val="auto"/>
              </w:rPr>
            </w:pPr>
          </w:p>
        </w:tc>
        <w:tc>
          <w:tcPr>
            <w:tcW w:w="1280" w:type="dxa"/>
            <w:vAlign w:val="bottom"/>
            <w:shd w:val="clear" w:color="auto" w:fill="FFD204"/>
          </w:tcPr>
          <w:p>
            <w:pPr>
              <w:spacing w:after="0"/>
              <w:rPr>
                <w:sz w:val="12"/>
                <w:szCs w:val="12"/>
                <w:color w:val="auto"/>
              </w:rPr>
            </w:pPr>
          </w:p>
        </w:tc>
        <w:tc>
          <w:tcPr>
            <w:tcW w:w="1140" w:type="dxa"/>
            <w:vAlign w:val="bottom"/>
            <w:shd w:val="clear" w:color="auto" w:fill="FFD204"/>
          </w:tcPr>
          <w:p>
            <w:pPr>
              <w:spacing w:after="0"/>
              <w:rPr>
                <w:sz w:val="12"/>
                <w:szCs w:val="12"/>
                <w:color w:val="auto"/>
              </w:rPr>
            </w:pPr>
          </w:p>
        </w:tc>
        <w:tc>
          <w:tcPr>
            <w:tcW w:w="960" w:type="dxa"/>
            <w:vAlign w:val="bottom"/>
            <w:shd w:val="clear" w:color="auto" w:fill="FFD204"/>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4780" w:type="dxa"/>
            <w:vAlign w:val="bottom"/>
            <w:shd w:val="clear" w:color="auto" w:fill="CECAC6"/>
          </w:tcPr>
          <w:p>
            <w:pPr>
              <w:spacing w:after="0"/>
              <w:rPr>
                <w:sz w:val="11"/>
                <w:szCs w:val="11"/>
                <w:color w:val="auto"/>
              </w:rPr>
            </w:pPr>
          </w:p>
        </w:tc>
        <w:tc>
          <w:tcPr>
            <w:tcW w:w="960" w:type="dxa"/>
            <w:vAlign w:val="bottom"/>
            <w:gridSpan w:val="2"/>
            <w:shd w:val="clear" w:color="auto" w:fill="CECAC6"/>
          </w:tcPr>
          <w:p>
            <w:pPr>
              <w:jc w:val="right"/>
              <w:ind w:right="420"/>
              <w:spacing w:after="0" w:line="133"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1280" w:type="dxa"/>
            <w:vAlign w:val="bottom"/>
            <w:shd w:val="clear" w:color="auto" w:fill="CECAC6"/>
          </w:tcPr>
          <w:p>
            <w:pPr>
              <w:jc w:val="right"/>
              <w:ind w:right="398"/>
              <w:spacing w:after="0" w:line="133" w:lineRule="exact"/>
              <w:rPr>
                <w:sz w:val="20"/>
                <w:szCs w:val="20"/>
                <w:color w:val="auto"/>
              </w:rPr>
            </w:pPr>
            <w:r>
              <w:rPr>
                <w:rFonts w:ascii="Arial" w:cs="Arial" w:eastAsia="Arial" w:hAnsi="Arial"/>
                <w:sz w:val="12"/>
                <w:szCs w:val="12"/>
                <w:color w:val="auto"/>
              </w:rPr>
              <w:t>2005</w:t>
            </w:r>
          </w:p>
        </w:tc>
        <w:tc>
          <w:tcPr>
            <w:tcW w:w="1140" w:type="dxa"/>
            <w:vAlign w:val="bottom"/>
            <w:shd w:val="clear" w:color="auto" w:fill="CECAC6"/>
          </w:tcPr>
          <w:p>
            <w:pPr>
              <w:jc w:val="right"/>
              <w:ind w:right="298"/>
              <w:spacing w:after="0" w:line="133" w:lineRule="exact"/>
              <w:rPr>
                <w:sz w:val="20"/>
                <w:szCs w:val="20"/>
                <w:color w:val="auto"/>
              </w:rPr>
            </w:pPr>
            <w:r>
              <w:rPr>
                <w:rFonts w:ascii="Arial" w:cs="Arial" w:eastAsia="Arial" w:hAnsi="Arial"/>
                <w:sz w:val="12"/>
                <w:szCs w:val="12"/>
                <w:color w:val="auto"/>
              </w:rPr>
              <w:t>2004</w:t>
            </w:r>
          </w:p>
        </w:tc>
        <w:tc>
          <w:tcPr>
            <w:tcW w:w="9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2003</w:t>
            </w:r>
            <w:r>
              <w:rPr>
                <w:rFonts w:ascii="Arial" w:cs="Arial" w:eastAsia="Arial" w:hAnsi="Arial"/>
                <w:sz w:val="10"/>
                <w:szCs w:val="10"/>
                <w:color w:val="auto"/>
              </w:rPr>
              <w:t>[A]</w:t>
            </w:r>
          </w:p>
        </w:tc>
      </w:tr>
      <w:tr>
        <w:trPr>
          <w:trHeight w:val="127"/>
        </w:trPr>
        <w:tc>
          <w:tcPr>
            <w:tcW w:w="4780" w:type="dxa"/>
            <w:vAlign w:val="bottom"/>
          </w:tcPr>
          <w:p>
            <w:pPr>
              <w:ind w:left="20"/>
              <w:spacing w:after="0" w:line="128" w:lineRule="exact"/>
              <w:rPr>
                <w:sz w:val="20"/>
                <w:szCs w:val="20"/>
                <w:color w:val="auto"/>
              </w:rPr>
            </w:pPr>
            <w:r>
              <w:rPr>
                <w:rFonts w:ascii="Arial" w:cs="Arial" w:eastAsia="Arial" w:hAnsi="Arial"/>
                <w:sz w:val="12"/>
                <w:szCs w:val="12"/>
                <w:color w:val="auto"/>
              </w:rPr>
              <w:t>Remuneration</w:t>
            </w:r>
          </w:p>
        </w:tc>
        <w:tc>
          <w:tcPr>
            <w:tcW w:w="5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10,021</w:t>
            </w:r>
          </w:p>
        </w:tc>
        <w:tc>
          <w:tcPr>
            <w:tcW w:w="440" w:type="dxa"/>
            <w:vAlign w:val="bottom"/>
          </w:tcPr>
          <w:p>
            <w:pPr>
              <w:spacing w:after="0"/>
              <w:rPr>
                <w:sz w:val="11"/>
                <w:szCs w:val="11"/>
                <w:color w:val="auto"/>
              </w:rPr>
            </w:pPr>
          </w:p>
        </w:tc>
        <w:tc>
          <w:tcPr>
            <w:tcW w:w="126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8,827</w:t>
            </w:r>
          </w:p>
        </w:tc>
        <w:tc>
          <w:tcPr>
            <w:tcW w:w="1280" w:type="dxa"/>
            <w:vAlign w:val="bottom"/>
          </w:tcPr>
          <w:p>
            <w:pPr>
              <w:jc w:val="right"/>
              <w:ind w:right="398"/>
              <w:spacing w:after="0" w:line="128" w:lineRule="exact"/>
              <w:rPr>
                <w:sz w:val="20"/>
                <w:szCs w:val="20"/>
                <w:color w:val="auto"/>
              </w:rPr>
            </w:pPr>
            <w:r>
              <w:rPr>
                <w:rFonts w:ascii="Arial" w:cs="Arial" w:eastAsia="Arial" w:hAnsi="Arial"/>
                <w:sz w:val="12"/>
                <w:szCs w:val="12"/>
                <w:color w:val="auto"/>
              </w:rPr>
              <w:t>8,286</w:t>
            </w:r>
          </w:p>
        </w:tc>
        <w:tc>
          <w:tcPr>
            <w:tcW w:w="114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8,037</w:t>
            </w:r>
          </w:p>
        </w:tc>
        <w:tc>
          <w:tcPr>
            <w:tcW w:w="9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7,477</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Social law taxes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854</w:t>
            </w:r>
          </w:p>
        </w:tc>
        <w:tc>
          <w:tcPr>
            <w:tcW w:w="440" w:type="dxa"/>
            <w:vAlign w:val="bottom"/>
          </w:tcPr>
          <w:p>
            <w:pPr>
              <w:spacing w:after="0"/>
              <w:rPr>
                <w:sz w:val="11"/>
                <w:szCs w:val="11"/>
                <w:color w:val="auto"/>
              </w:rPr>
            </w:pPr>
          </w:p>
        </w:tc>
        <w:tc>
          <w:tcPr>
            <w:tcW w:w="12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712</w:t>
            </w:r>
          </w:p>
        </w:tc>
        <w:tc>
          <w:tcPr>
            <w:tcW w:w="12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681</w:t>
            </w:r>
          </w:p>
        </w:tc>
        <w:tc>
          <w:tcPr>
            <w:tcW w:w="114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691</w:t>
            </w:r>
          </w:p>
        </w:tc>
        <w:tc>
          <w:tcPr>
            <w:tcW w:w="9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660</w:t>
            </w:r>
          </w:p>
        </w:tc>
      </w:tr>
      <w:tr>
        <w:trPr>
          <w:trHeight w:val="133"/>
        </w:trPr>
        <w:tc>
          <w:tcPr>
            <w:tcW w:w="4780" w:type="dxa"/>
            <w:vAlign w:val="bottom"/>
          </w:tcPr>
          <w:p>
            <w:pPr>
              <w:ind w:left="20"/>
              <w:spacing w:after="0" w:line="133" w:lineRule="exact"/>
              <w:rPr>
                <w:sz w:val="20"/>
                <w:szCs w:val="20"/>
                <w:color w:val="auto"/>
              </w:rPr>
            </w:pPr>
            <w:r>
              <w:rPr>
                <w:rFonts w:ascii="Arial" w:cs="Arial" w:eastAsia="Arial" w:hAnsi="Arial"/>
                <w:sz w:val="12"/>
                <w:szCs w:val="12"/>
                <w:color w:val="auto"/>
              </w:rPr>
              <w:t>Retirement benefits</w:t>
            </w: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98</w:t>
            </w:r>
          </w:p>
        </w:tc>
        <w:tc>
          <w:tcPr>
            <w:tcW w:w="440" w:type="dxa"/>
            <w:vAlign w:val="bottom"/>
          </w:tcPr>
          <w:p>
            <w:pPr>
              <w:spacing w:after="0"/>
              <w:rPr>
                <w:sz w:val="11"/>
                <w:szCs w:val="11"/>
                <w:color w:val="auto"/>
              </w:rPr>
            </w:pPr>
          </w:p>
        </w:tc>
        <w:tc>
          <w:tcPr>
            <w:tcW w:w="12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743</w:t>
            </w:r>
          </w:p>
        </w:tc>
        <w:tc>
          <w:tcPr>
            <w:tcW w:w="12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768</w:t>
            </w:r>
          </w:p>
        </w:tc>
        <w:tc>
          <w:tcPr>
            <w:tcW w:w="114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782</w:t>
            </w:r>
          </w:p>
        </w:tc>
        <w:tc>
          <w:tcPr>
            <w:tcW w:w="9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538</w:t>
            </w:r>
          </w:p>
        </w:tc>
      </w:tr>
      <w:tr>
        <w:trPr>
          <w:trHeight w:val="13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Share-based compensation</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589</w:t>
            </w:r>
          </w:p>
        </w:tc>
        <w:tc>
          <w:tcPr>
            <w:tcW w:w="4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462</w:t>
            </w: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376</w:t>
            </w: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285</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[B]</w:t>
            </w:r>
          </w:p>
        </w:tc>
      </w:tr>
      <w:tr>
        <w:trPr>
          <w:trHeight w:val="146"/>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11,562</w:t>
            </w:r>
          </w:p>
        </w:tc>
        <w:tc>
          <w:tcPr>
            <w:tcW w:w="4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10,744</w:t>
            </w:r>
          </w:p>
        </w:tc>
        <w:tc>
          <w:tcPr>
            <w:tcW w:w="12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10,111</w:t>
            </w: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9,795</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8,675</w:t>
            </w:r>
          </w:p>
        </w:tc>
      </w:tr>
    </w:tbl>
    <w:p>
      <w:pPr>
        <w:spacing w:after="0" w:line="74" w:lineRule="exact"/>
        <w:rPr>
          <w:sz w:val="20"/>
          <w:szCs w:val="20"/>
          <w:color w:val="auto"/>
        </w:rPr>
      </w:pPr>
    </w:p>
    <w:p>
      <w:pPr>
        <w:ind w:left="240" w:right="20" w:hanging="233"/>
        <w:spacing w:after="0" w:line="231" w:lineRule="auto"/>
        <w:tabs>
          <w:tab w:leader="none" w:pos="2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In connection with the adoption of IFRS as of January 1, 2004, an entity in Europe that had previously been accounted for as a Shell company on a proportionate basis, has instead been accounted for as an equity-accounted investment. As a result of this change, information for this entity is included above for 2003, but beginning on January 1, 2004 information for this entity is no longer included.</w:t>
      </w:r>
    </w:p>
    <w:p>
      <w:pPr>
        <w:spacing w:after="0" w:line="1" w:lineRule="exact"/>
        <w:rPr>
          <w:rFonts w:ascii="Arial" w:cs="Arial" w:eastAsia="Arial" w:hAnsi="Arial"/>
          <w:sz w:val="12"/>
          <w:szCs w:val="12"/>
          <w:color w:val="auto"/>
        </w:rPr>
      </w:pPr>
    </w:p>
    <w:p>
      <w:pPr>
        <w:ind w:left="240" w:hanging="233"/>
        <w:spacing w:after="0"/>
        <w:tabs>
          <w:tab w:leader="none" w:pos="2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Until December 31, 2004 the intrinsic value method was applied under US GAAP and this required no recognition of compensation expense for the existing plans.</w:t>
      </w:r>
    </w:p>
    <w:p>
      <w:pPr>
        <w:spacing w:after="0" w:line="31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2315210</wp:posOffset>
            </wp:positionV>
            <wp:extent cx="725297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OPERATING AND FINANCIAL REVIEW</w:t>
      </w:r>
    </w:p>
    <w:p>
      <w:pPr>
        <w:spacing w:after="0" w:line="89" w:lineRule="exact"/>
        <w:rPr>
          <w:sz w:val="20"/>
          <w:szCs w:val="20"/>
          <w:color w:val="auto"/>
        </w:rPr>
      </w:pPr>
    </w:p>
    <w:p>
      <w:pPr>
        <w:spacing w:after="0"/>
        <w:rPr>
          <w:sz w:val="20"/>
          <w:szCs w:val="20"/>
          <w:color w:val="auto"/>
        </w:rPr>
      </w:pPr>
      <w:r>
        <w:rPr>
          <w:rFonts w:ascii="Arial" w:cs="Arial" w:eastAsia="Arial" w:hAnsi="Arial"/>
          <w:sz w:val="36"/>
          <w:szCs w:val="36"/>
          <w:color w:val="auto"/>
        </w:rPr>
        <w:t>Environment and society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67"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recognise that our continuing business success depends on finding environmentally and socially responsible ways to help meet the world’s growing energy needs. Managing today’s business risks, delivering our strategy and achieving our goals all critically require maintaining the trust of a wide range of stakeholders. To keep their trust, we must do many things, including: behaving with integrity at all times, in line with the Shell General Business Principles (Business Principles) and Code of Conduct (Code); operating our facilities safely; being a good neighbour; contributing to development in the societies where we operate; and helping to find effective solutions to the problem of growing carbon dioxide (CO</w:t>
      </w:r>
      <w:r>
        <w:rPr>
          <w:rFonts w:ascii="Arial" w:cs="Arial" w:eastAsia="Arial" w:hAnsi="Arial"/>
          <w:sz w:val="10"/>
          <w:szCs w:val="10"/>
          <w:color w:val="auto"/>
        </w:rPr>
        <w:t>2</w:t>
      </w:r>
      <w:r>
        <w:rPr>
          <w:rFonts w:ascii="Arial" w:cs="Arial" w:eastAsia="Arial" w:hAnsi="Arial"/>
          <w:sz w:val="12"/>
          <w:szCs w:val="12"/>
          <w:color w:val="auto"/>
        </w:rPr>
        <w:t>) emissions. In this section we discuss our overall approach to managing environmental and social impacts, how we are addressing our main risks and opportunities and our performance in this area in 2007.</w:t>
      </w:r>
    </w:p>
    <w:p>
      <w:pPr>
        <w:spacing w:after="0" w:line="173" w:lineRule="exact"/>
        <w:rPr>
          <w:sz w:val="20"/>
          <w:szCs w:val="20"/>
          <w:color w:val="auto"/>
        </w:rPr>
      </w:pPr>
    </w:p>
    <w:p>
      <w:pPr>
        <w:ind w:right="560"/>
        <w:spacing w:after="0" w:line="279" w:lineRule="auto"/>
        <w:rPr>
          <w:sz w:val="20"/>
          <w:szCs w:val="20"/>
          <w:color w:val="auto"/>
        </w:rPr>
      </w:pPr>
      <w:r>
        <w:rPr>
          <w:rFonts w:ascii="Arial" w:cs="Arial" w:eastAsia="Arial" w:hAnsi="Arial"/>
          <w:sz w:val="14"/>
          <w:szCs w:val="14"/>
          <w:b w:val="1"/>
          <w:bCs w:val="1"/>
          <w:color w:val="auto"/>
        </w:rPr>
        <w:t>OUR APPROACH TO MANAGING ENVIRONMENTAL AND SOCIAL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1635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13"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We take a systematic approach to managing environmental and social impacts as part of the Shell Control Framework, through a combination of company-wide standards and processes, controls, incentives and our governance. In 2007, we took additional steps to clarify what we expect from staff to increase their skills, and to tighten further our checks that these expectations are being met.</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STANDARDS AND PROCESSES</w:t>
      </w:r>
    </w:p>
    <w:p>
      <w:pPr>
        <w:spacing w:after="0" w:line="6" w:lineRule="exact"/>
        <w:rPr>
          <w:sz w:val="20"/>
          <w:szCs w:val="20"/>
          <w:color w:val="auto"/>
        </w:rPr>
      </w:pPr>
    </w:p>
    <w:p>
      <w:pPr>
        <w:ind w:right="60"/>
        <w:spacing w:after="0" w:line="238" w:lineRule="auto"/>
        <w:rPr>
          <w:sz w:val="20"/>
          <w:szCs w:val="20"/>
          <w:color w:val="auto"/>
        </w:rPr>
      </w:pPr>
      <w:r>
        <w:rPr>
          <w:rFonts w:ascii="Arial" w:cs="Arial" w:eastAsia="Arial" w:hAnsi="Arial"/>
          <w:sz w:val="13"/>
          <w:szCs w:val="13"/>
          <w:color w:val="auto"/>
        </w:rPr>
        <w:t>Our Business Principles include our commitment to contribute to sustainable development. This involves providing economically, socially and environmentally responsible energy and requires balancing short-term and long-term interests and integrating economic, environmental and social considerations into business decision-making. It includes reducing environmental impacts from our operations and products, being a good neighbour by enhancing benefits to the local communities where we operate, and maintaining regular dialogue with stakeholders. All companies and joint ventures we control must apply the Business Principles, our Code, launched in 2006, and the rest of the Shell Control Framework, although in practice we may agree that a joint venture operates to materially equivalent principles and standards.</w:t>
      </w:r>
    </w:p>
    <w:p>
      <w:pPr>
        <w:spacing w:after="0" w:line="184"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Our Business Principles and Code require compliance with all applicable laws and support for human rights. They forbid, among other things, bribery, fraud and anti-competitive behaviour. Companies and joint ventures we control must also apply Shell-wide environmental and social standards. These include our company-wide Health, Safety, Security and Environment (HSSE) standards which require the systematic management of HSSE and set Shell-wide requirements in areas including greenhouse gas management, road and process safety, animal testing, biodiversity, environmental management, health management, security and ship quality. We require contractors to manage HSSE in line with our standards and expect them to follow our Business Principles or an equivalent standard when working for us, including these expectations in our contract terms and conditions. We also encourage suppliers and joint ventures we do not control to adopt and follow materially equivalent principles and HSSE standards. If these contractors, suppliers and ventures cannot meet our expectations within a reasonable period, we are required to review the relationship. This can involve actions up to and including ending the relationship.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80" w:hanging="273"/>
        <w:spacing w:after="0"/>
        <w:tabs>
          <w:tab w:leader="none" w:pos="280" w:val="left"/>
        </w:tabs>
        <w:numPr>
          <w:ilvl w:val="0"/>
          <w:numId w:val="81"/>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Our Business Principles and standards are reflected in our business processes. For example, they are included in the criteria used to assess investment proposals and in the planning and design of major new projects. All major new investments must include the expected future costs of emitting CO</w:t>
      </w:r>
      <w:r>
        <w:rPr>
          <w:rFonts w:ascii="Arial" w:cs="Arial" w:eastAsia="Arial" w:hAnsi="Arial"/>
          <w:sz w:val="11"/>
          <w:szCs w:val="11"/>
          <w:color w:val="auto"/>
        </w:rPr>
        <w:t>2</w:t>
      </w:r>
      <w:r>
        <w:rPr>
          <w:rFonts w:ascii="Arial" w:cs="Arial" w:eastAsia="Arial" w:hAnsi="Arial"/>
          <w:sz w:val="13"/>
          <w:szCs w:val="13"/>
          <w:color w:val="auto"/>
        </w:rPr>
        <w:t xml:space="preserve"> in their project design and decision-making. We require an integrated environmental, health and social impact assessment to be carried out before we begin significant work on a project or at an existing facility. The actions identified must be part of the project’s design and operation. All our major refining and chemicals facilities, and upstream operations where social impacts could be high, must also have social performance plans in line with Shell guidance. These plans spell out how the operation will manage its social impacts and generate benefits for the local community. Shell’s social performance specialists review these plans every three years at our refineries and chemical plants.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CONTROLS AND INCENTIVES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Following our environmental and social standards is part of the duties of line managers, with challenge and support provided by HSSE, social performance, human resources and finance specialists. Each Shell business is responsible for complying with our requirements and achieving its specific targets in this area. We monitor compliance through an annual assurance letter process, internal audits and performance appraisals. The assurance letter process requires the heads of our businesses and functions to report to the Chief Executive on compliance with our Business Principles and standards. Shell Internal Audit investigates fraud, compliance and other control incidents. Ethical and legal incidents are reported to the Executive Committee and to the Audit Committee. Sustainable development performance is part of Shell-wide appraisal and compensation, as it comprises 20% of the Shell Scorecard.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w:t>
      </w:r>
    </w:p>
    <w:p>
      <w:pPr>
        <w:spacing w:after="0" w:line="6" w:lineRule="exact"/>
        <w:rPr>
          <w:sz w:val="20"/>
          <w:szCs w:val="20"/>
          <w:color w:val="auto"/>
        </w:rPr>
      </w:pPr>
    </w:p>
    <w:p>
      <w:pPr>
        <w:jc w:val="both"/>
        <w:ind w:right="220"/>
        <w:spacing w:after="0" w:line="281" w:lineRule="auto"/>
        <w:rPr>
          <w:sz w:val="20"/>
          <w:szCs w:val="20"/>
          <w:color w:val="auto"/>
        </w:rPr>
      </w:pPr>
      <w:r>
        <w:rPr>
          <w:rFonts w:ascii="Arial" w:cs="Arial" w:eastAsia="Arial" w:hAnsi="Arial"/>
          <w:sz w:val="12"/>
          <w:szCs w:val="12"/>
          <w:color w:val="auto"/>
        </w:rPr>
        <w:t>The Chief Executive counts sustainable development among his responsibilities. He chairs Shell’s Sustainable Development and HSSE Executive, which sets standards, priorities, key performance indicators (KPIs) and targets and reviews performance.</w:t>
      </w:r>
    </w:p>
    <w:p>
      <w:pPr>
        <w:spacing w:after="0" w:line="156"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Our HSSE function, central Social Performance Management Unit and issues management staff provide challenge and support to our businesses to develop the necessary skills, share lessons learned and deal with issues in a consistent way. The Social Responsibility Committee is one of four committees of the Royal Dutch Shell plc Board. It reviews our policies and performance with respect to our Business Principles, Code, HSSE standards, and other relevant environmental and social standards, and major issues of public concern. It comprises three Non-executive Directors, including its chair, Wim Kok.</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MAIN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50165</wp:posOffset>
            </wp:positionV>
            <wp:extent cx="31635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67" w:lineRule="exact"/>
        <w:rPr>
          <w:sz w:val="20"/>
          <w:szCs w:val="20"/>
          <w:color w:val="auto"/>
        </w:rPr>
      </w:pPr>
    </w:p>
    <w:p>
      <w:pPr>
        <w:jc w:val="both"/>
        <w:ind w:right="200"/>
        <w:spacing w:after="0" w:line="260" w:lineRule="auto"/>
        <w:rPr>
          <w:sz w:val="20"/>
          <w:szCs w:val="20"/>
          <w:color w:val="auto"/>
        </w:rPr>
      </w:pPr>
      <w:r>
        <w:rPr>
          <w:rFonts w:ascii="Arial" w:cs="Arial" w:eastAsia="Arial" w:hAnsi="Arial"/>
          <w:sz w:val="13"/>
          <w:szCs w:val="13"/>
          <w:color w:val="auto"/>
        </w:rPr>
        <w:t>We systematically assess and prioritise the many environmental and social risks and opportunities we face, using our risk and issues management processes. We describe the way we manage the most significant ones below.</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OUR FACILITIES SAFELY</w:t>
      </w:r>
    </w:p>
    <w:p>
      <w:pPr>
        <w:spacing w:after="0" w:line="6"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We are committed to preventing incidents – such as spills, fires and accidents – that place our people, the environment and our facilities at risk. We are investing to keep our facilities safe and we are working hard to strengthen our safety culture further. We require that all 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970280</wp:posOffset>
            </wp:positionV>
            <wp:extent cx="725297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rPr>
          <w:sz w:val="20"/>
          <w:szCs w:val="20"/>
          <w:color w:val="auto"/>
        </w:rPr>
      </w:pPr>
      <w:r>
        <w:rPr>
          <w:rFonts w:ascii="Arial" w:cs="Arial" w:eastAsia="Arial" w:hAnsi="Arial"/>
          <w:sz w:val="13"/>
          <w:szCs w:val="13"/>
          <w:color w:val="auto"/>
        </w:rPr>
        <w:t>companies, contractors and the joint ventures we control operate in line with our HSSE standards. This means managing HSSE risks in a systematic way, including having each site understand all major risks and be able to show, through regular audits, that they are managing them to a level “as low as reasonably practicable”. It also involves having major facilities certified to international environmental standards, such as ISO14001, and having emergency response plans in place – and regularly tested – that minimise damage in the event of an incident. In 2007, we clarified, simplified and tightened our requirements further, introducing new process safety and road safety standards to make it easier to understand the requirements and check they are being implemented.</w:t>
      </w:r>
    </w:p>
    <w:p>
      <w:pPr>
        <w:spacing w:after="0" w:line="183"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We investigate serious incidents and near misses, and share the lessons we learn with other parts of our business and other companies in our industry to help prevent similar incidents happening again. We know that processes and systems must be translated into safe behaviour. In 2007, we launched “Goal Zero” which aims to achieve zero fatalities, zero accidents and zero significant incidents. We held two company-wide safety days – inviting our main contractors to participate – to recognise the importance of safe behaviour; and we launched the Chief Executive’s HSSE awards to reward and share examples of excellent safety performance. Our award-winning Hearts and Minds programme, introduced in 2004, continues to drive home the need for every employee to stop unsafe behaviour when they spot it in line with the three easy-to remember prompts of our HSSE Golden Rules: “comply, intervene, respect.” We continue to check that staff responsible for tasks with a significant HSSE risk have the necessary training and skills.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CLIMATE CHANGE</w:t>
      </w:r>
    </w:p>
    <w:p>
      <w:pPr>
        <w:spacing w:after="0" w:line="6" w:lineRule="exact"/>
        <w:rPr>
          <w:sz w:val="20"/>
          <w:szCs w:val="20"/>
          <w:color w:val="auto"/>
        </w:rPr>
      </w:pPr>
    </w:p>
    <w:p>
      <w:pPr>
        <w:ind w:right="140"/>
        <w:spacing w:after="0" w:line="265" w:lineRule="auto"/>
        <w:rPr>
          <w:sz w:val="20"/>
          <w:szCs w:val="20"/>
          <w:color w:val="auto"/>
        </w:rPr>
      </w:pPr>
      <w:r>
        <w:rPr>
          <w:rFonts w:ascii="Arial" w:cs="Arial" w:eastAsia="Arial" w:hAnsi="Arial"/>
          <w:sz w:val="12"/>
          <w:szCs w:val="12"/>
          <w:color w:val="auto"/>
        </w:rPr>
        <w:t>We were one of the first energy companies to acknowledge the threat of climate change, to call for action, and to take action ourselves. In 1998, we set ourselves voluntary targets for reducing greenhouse gas (GHG) emissions from our operations. Our current target requires our GHG emissions in 2010 to be 5% below 1990 levels, while growing our business, mainly through our efforts to end continuous flaring of natural gas and by improving the energy efficiency of our facilities.</w:t>
      </w:r>
    </w:p>
    <w:p>
      <w:pPr>
        <w:spacing w:after="0" w:line="166" w:lineRule="exact"/>
        <w:rPr>
          <w:sz w:val="20"/>
          <w:szCs w:val="20"/>
          <w:color w:val="auto"/>
        </w:rPr>
      </w:pPr>
    </w:p>
    <w:p>
      <w:pPr>
        <w:ind w:right="20"/>
        <w:spacing w:after="0" w:line="241" w:lineRule="auto"/>
        <w:rPr>
          <w:sz w:val="20"/>
          <w:szCs w:val="20"/>
          <w:color w:val="auto"/>
        </w:rPr>
      </w:pPr>
      <w:r>
        <w:rPr>
          <w:rFonts w:ascii="Arial" w:cs="Arial" w:eastAsia="Arial" w:hAnsi="Arial"/>
          <w:sz w:val="13"/>
          <w:szCs w:val="13"/>
          <w:color w:val="auto"/>
        </w:rPr>
        <w:t>In addition to managing the emissions from our operations, we are also providing products and advice that help customers use energy more efficiently and reduce their emissions. We continued to be a major supplier of lower-carbon natural gas. In 2007, we increased the availability of Fuel Economy formula – an additive and cleaning agent package that can help improve drivers’ fuel efficiency by reducing energy loss in engines. The formula is included in main grade Shell petrol in 12 countries. It is in main grade Shell diesel in nine of these, where we also launched the Shell Fuel Save Energy Challenge in 2007, a driver awareness campaign to promote fuel saving driving habits and the use of Fuel Economy formula fuels.</w:t>
      </w:r>
    </w:p>
    <w:p>
      <w:pPr>
        <w:spacing w:after="0" w:line="181"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As a major buyer and distributor of first-generation biofuels, we are working to help develop industry-wide sustainability standards for biofuel production. Clauses in our supplier contracts require that their production not be linked to human rights abuses or recent clearing of important habitats. To check compliance, we have appointed a dedicated biofuel sustainability officer and team.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We are also investing to build a commercially material business in at least one alternative energy technology. In 2007, we further strengthened our position in second-generation transport biofuels by quadrupling our rate of investment, moving it into our mainstream business and adding projects with Codexis (faster enzymes) and HR Biopetroleum (fuel from algae) to our existing partnerships with Iogen (cellulosic ethanol) and CHOREN (biodiesel from waste wood). Our partnership continued with glassmaker St Gobain to develop advanced solar power technology and we remained a major wind power developer. Construction continues on the first phase of the Mount Storm wind project in the USA, which has a capacity of 164 MW (Shell share 82 MW). In late 2007, a final investment decision was made to expand this project by a further 100 MW.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-1303020</wp:posOffset>
            </wp:positionV>
            <wp:extent cx="389255" cy="8145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89255" cy="8145145"/>
                    </a:xfrm>
                    <a:prstGeom prst="rect">
                      <a:avLst/>
                    </a:prstGeom>
                    <a:noFill/>
                  </pic:spPr>
                </pic:pic>
              </a:graphicData>
            </a:graphic>
          </wp:anchor>
        </w:drawing>
      </w:r>
    </w:p>
    <w:p>
      <w:pPr>
        <w:spacing w:after="0" w:line="159"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color w:val="auto"/>
        </w:rPr>
        <w:t>We see potential business opportunities and competitive advantage from providing cost-effective solutions for CO</w:t>
      </w:r>
      <w:r>
        <w:rPr>
          <w:rFonts w:ascii="Arial" w:cs="Arial" w:eastAsia="Arial" w:hAnsi="Arial"/>
          <w:sz w:val="11"/>
          <w:szCs w:val="11"/>
          <w:color w:val="auto"/>
        </w:rPr>
        <w:t>2</w:t>
      </w:r>
      <w:r>
        <w:rPr>
          <w:rFonts w:ascii="Arial" w:cs="Arial" w:eastAsia="Arial" w:hAnsi="Arial"/>
          <w:sz w:val="13"/>
          <w:szCs w:val="13"/>
          <w:color w:val="auto"/>
        </w:rPr>
        <w:t>, including its capture and underground storage on a large scale. We continue to build our technical capability in this area. We are already supplying captured waste CO</w:t>
      </w:r>
      <w:r>
        <w:rPr>
          <w:rFonts w:ascii="Arial" w:cs="Arial" w:eastAsia="Arial" w:hAnsi="Arial"/>
          <w:sz w:val="11"/>
          <w:szCs w:val="11"/>
          <w:color w:val="auto"/>
        </w:rPr>
        <w:t>2</w:t>
      </w:r>
      <w:r>
        <w:rPr>
          <w:rFonts w:ascii="Arial" w:cs="Arial" w:eastAsia="Arial" w:hAnsi="Arial"/>
          <w:sz w:val="13"/>
          <w:szCs w:val="13"/>
          <w:color w:val="auto"/>
        </w:rPr>
        <w:t xml:space="preserve"> from the Pernis refinery in the Netherlands to greenhouses and doing feasibility studies for potential projects to drive down costs and demonstrate the safety of capturing and storing CO</w:t>
      </w:r>
      <w:r>
        <w:rPr>
          <w:rFonts w:ascii="Arial" w:cs="Arial" w:eastAsia="Arial" w:hAnsi="Arial"/>
          <w:sz w:val="11"/>
          <w:szCs w:val="11"/>
          <w:color w:val="auto"/>
        </w:rPr>
        <w:t>2</w:t>
      </w:r>
      <w:r>
        <w:rPr>
          <w:rFonts w:ascii="Arial" w:cs="Arial" w:eastAsia="Arial" w:hAnsi="Arial"/>
          <w:sz w:val="13"/>
          <w:szCs w:val="13"/>
          <w:color w:val="auto"/>
        </w:rPr>
        <w:t xml:space="preserve"> emitted from fossil fuels – for example, as part of the ZeroGen low CO</w:t>
      </w:r>
      <w:r>
        <w:rPr>
          <w:rFonts w:ascii="Arial" w:cs="Arial" w:eastAsia="Arial" w:hAnsi="Arial"/>
          <w:sz w:val="11"/>
          <w:szCs w:val="11"/>
          <w:color w:val="auto"/>
        </w:rPr>
        <w:t>2</w:t>
      </w:r>
      <w:r>
        <w:rPr>
          <w:rFonts w:ascii="Arial" w:cs="Arial" w:eastAsia="Arial" w:hAnsi="Arial"/>
          <w:sz w:val="13"/>
          <w:szCs w:val="13"/>
          <w:color w:val="auto"/>
        </w:rPr>
        <w:t xml:space="preserve"> power project development in Australia.</w:t>
      </w:r>
    </w:p>
    <w:p>
      <w:pPr>
        <w:spacing w:after="0" w:line="179" w:lineRule="exact"/>
        <w:rPr>
          <w:sz w:val="20"/>
          <w:szCs w:val="20"/>
          <w:color w:val="auto"/>
        </w:rPr>
      </w:pPr>
    </w:p>
    <w:p>
      <w:pPr>
        <w:ind w:right="60"/>
        <w:spacing w:after="0"/>
        <w:rPr>
          <w:sz w:val="20"/>
          <w:szCs w:val="20"/>
          <w:color w:val="auto"/>
        </w:rPr>
      </w:pPr>
      <w:r>
        <w:rPr>
          <w:rFonts w:ascii="Arial" w:cs="Arial" w:eastAsia="Arial" w:hAnsi="Arial"/>
          <w:sz w:val="13"/>
          <w:szCs w:val="13"/>
          <w:color w:val="auto"/>
        </w:rPr>
        <w:t>We have stepped up our efforts to actively inform and support governments in their efforts to develop an international policy framework for responding to climate change that encourages the technology development and investments required without distorting international competition. This involves sharing our insights into the energy system and technology development, for example through our own strategic energy scenarios. It also includes helping building the coalitions between companies, the public sector and non-governmental organisations (NGOs) that will be needed. We actively promote the use of emission trading systems for heavy industry and the power sector, in which governments set absolute limits on the amount of GHGs the industry can release, coupled with incentives to speed up the demonstration and deployment of technologies to capture and store CO</w:t>
      </w:r>
      <w:r>
        <w:rPr>
          <w:rFonts w:ascii="Arial" w:cs="Arial" w:eastAsia="Arial" w:hAnsi="Arial"/>
          <w:sz w:val="11"/>
          <w:szCs w:val="11"/>
          <w:color w:val="auto"/>
        </w:rPr>
        <w:t>2</w:t>
      </w:r>
      <w:r>
        <w:rPr>
          <w:rFonts w:ascii="Arial" w:cs="Arial" w:eastAsia="Arial" w:hAnsi="Arial"/>
          <w:sz w:val="13"/>
          <w:szCs w:val="13"/>
          <w:color w:val="auto"/>
        </w:rPr>
        <w:t xml:space="preserve"> underground.</w:t>
      </w:r>
    </w:p>
    <w:p>
      <w:pPr>
        <w:spacing w:after="0" w:line="180" w:lineRule="exact"/>
        <w:rPr>
          <w:sz w:val="20"/>
          <w:szCs w:val="20"/>
          <w:color w:val="auto"/>
        </w:rPr>
      </w:pPr>
    </w:p>
    <w:p>
      <w:pPr>
        <w:ind w:right="180"/>
        <w:spacing w:after="0" w:line="291" w:lineRule="auto"/>
        <w:rPr>
          <w:sz w:val="20"/>
          <w:szCs w:val="20"/>
          <w:color w:val="auto"/>
        </w:rPr>
      </w:pPr>
      <w:r>
        <w:rPr>
          <w:rFonts w:ascii="Arial" w:cs="Arial" w:eastAsia="Arial" w:hAnsi="Arial"/>
          <w:sz w:val="12"/>
          <w:szCs w:val="12"/>
          <w:color w:val="auto"/>
        </w:rPr>
        <w:t>For the transport sector, we are appealing to governments to introduce fuel standards that compare all fuels on a standard wells-to-wheels basis, and reward those with a lower CO</w:t>
      </w:r>
      <w:r>
        <w:rPr>
          <w:rFonts w:ascii="Arial" w:cs="Arial" w:eastAsia="Arial" w:hAnsi="Arial"/>
          <w:sz w:val="10"/>
          <w:szCs w:val="10"/>
          <w:color w:val="auto"/>
        </w:rPr>
        <w:t>2</w:t>
      </w:r>
      <w:r>
        <w:rPr>
          <w:rFonts w:ascii="Arial" w:cs="Arial" w:eastAsia="Arial" w:hAnsi="Arial"/>
          <w:sz w:val="12"/>
          <w:szCs w:val="12"/>
          <w:color w:val="auto"/>
        </w:rPr>
        <w:t xml:space="preserve"> impact and that also have the best chance of becoming cost competitive.</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SECURITY AND HUMAN RIGHTS</w:t>
      </w:r>
    </w:p>
    <w:p>
      <w:pPr>
        <w:spacing w:after="0" w:line="6"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Our company-wide security standards define how we protect our people and assets, while respecting the rights of others, including local communities. For example, armed security is only permitted when required by law or where there is no other acceptable way to manage the risks. The standards set strict guidelines on the use of force.</w:t>
      </w:r>
    </w:p>
    <w:p>
      <w:pPr>
        <w:spacing w:after="0" w:line="177"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We strengthened our security standards in 2007. They now require all operations to manage their security risks in the same way, based on a standard risk assessment, which must be reviewed annually. The assessment covers a number of items highlighted in the Voluntary Principles on Security and Human Rights, which were developed by NGOs, governments and companies working in extractive industries like oil and gas and minerals mining. For example, it requires background checks on security staff, to make sure they have no past record of human rights abuse, and checks that they have been trained in using the Voluntary Principles. We now require all of our approximately</w:t>
      </w: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3161030</wp:posOffset>
            </wp:positionV>
            <wp:extent cx="725297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ENVIRONMENT AND SOCIETY</w:t>
      </w:r>
    </w:p>
    <w:p>
      <w:pPr>
        <w:spacing w:after="0" w:line="200" w:lineRule="exact"/>
        <w:rPr>
          <w:sz w:val="20"/>
          <w:szCs w:val="20"/>
          <w:color w:val="auto"/>
        </w:rPr>
      </w:pPr>
    </w:p>
    <w:p>
      <w:pPr>
        <w:spacing w:after="0" w:line="221"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300 security staff worldwide to follow a standard training programme that checks they have the necessary skills. We have strengthened the requirements that must be included in our contracts with private security companies, referencing the Voluntary Principles and being clearer about our need for contractors to investigate accusations of human rights violations promptly and take disciplinary action. We now also use the Voluntary Principles when working with government security forces.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BEHAVING WITH INTEGRITY</w:t>
      </w:r>
    </w:p>
    <w:p>
      <w:pPr>
        <w:spacing w:after="0" w:line="6"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Integrity is one of our three core values and a cornerstone of our Business Principles. We translate this value into action with a clear and simple policy: zero tolerance for bribes and fraud.</w:t>
      </w:r>
    </w:p>
    <w:p>
      <w:pPr>
        <w:spacing w:after="0" w:line="180"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To help us follow this policy, employees are provided with online and face-to-face training in key areas, including bribery and corruption.</w:t>
      </w:r>
    </w:p>
    <w:p>
      <w:pPr>
        <w:spacing w:after="0" w:line="175"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We also train staff to help them understand what the Code of Conduct requires of them. In the first half of 2007, we rolled-out mandatory online training across the company, to help employees put our Business Principles into practice. We have a global helpline and website for staff and business partners to report concerns confidentially and get advice on any suspected infringements of the law or our Business Principles. It is managed by a third party and is available 24 hours a day. Since its introduction in 2005, the helpline has become the channel for nearly 40% of all incidents reported. Staff make line management or human resources departments aware directly of more than 60%.</w:t>
      </w:r>
    </w:p>
    <w:p>
      <w:pPr>
        <w:spacing w:after="0" w:line="179" w:lineRule="exact"/>
        <w:rPr>
          <w:sz w:val="20"/>
          <w:szCs w:val="20"/>
          <w:color w:val="auto"/>
        </w:rPr>
      </w:pPr>
    </w:p>
    <w:p>
      <w:pPr>
        <w:jc w:val="both"/>
        <w:ind w:right="60"/>
        <w:spacing w:after="0" w:line="235" w:lineRule="auto"/>
        <w:rPr>
          <w:sz w:val="20"/>
          <w:szCs w:val="20"/>
          <w:color w:val="auto"/>
        </w:rPr>
      </w:pPr>
      <w:r>
        <w:rPr>
          <w:rFonts w:ascii="Arial" w:cs="Arial" w:eastAsia="Arial" w:hAnsi="Arial"/>
          <w:sz w:val="14"/>
          <w:szCs w:val="14"/>
          <w:color w:val="auto"/>
        </w:rPr>
        <w:t>Cases of bribery and fraud are reported to the Audit Committee of the Board. In 2007, 112 violations were reported. As a result, we ended our relationship with 151 staff and contractors.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ENVIRONMENTAL AND SOCIAL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We face a range of other environmental and social issues, including but not limited to:</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IN ECOLOGICALLY SENSITIVE AREAS</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We recognise the importance of protecting biodiversity. We were the first energy company to adopt a Biodiversity Standard. We have committed to not exploring or drilling for oil or gas in certain ecologically sensitive locations (natural World Heritage sites), and to following strict operating practices, including having biodiversity action plans, when operating in others (World Conservation Union Category I-IV protected areas). Biodiversity checks are also required as part of project impact assessments, so that risks are identified and addressed at an early stage. We work with more than 100 scientific and conservation organisations to reduce biodiversity impacts around our projects and to support conservation. We have also signed strategic partnerships with the World Conservation Union (IUCN) and Wetlands International.</w:t>
      </w:r>
    </w:p>
    <w:p>
      <w:pPr>
        <w:spacing w:after="0" w:line="189"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b w:val="1"/>
          <w:bCs w:val="1"/>
          <w:color w:val="auto"/>
        </w:rPr>
        <w:t xml:space="preserve">OUR NEIGHBOURS AND CONTRIBUTING TO LOCAL DEVELOPMENT </w:t>
      </w:r>
      <w:r>
        <w:rPr>
          <w:rFonts w:ascii="Arial" w:cs="Arial" w:eastAsia="Arial" w:hAnsi="Arial"/>
          <w:sz w:val="13"/>
          <w:szCs w:val="13"/>
          <w:color w:val="auto"/>
        </w:rPr>
        <w:t>We are committed to being a good neighbour, which means not only running our facilities cleanly and safely but working in partnership with local people to help them benefit from our activities, as well as supporting wider development in the country.</w:t>
      </w:r>
    </w:p>
    <w:p>
      <w:pPr>
        <w:spacing w:after="0" w:line="200" w:lineRule="exact"/>
        <w:rPr>
          <w:sz w:val="20"/>
          <w:szCs w:val="20"/>
          <w:color w:val="auto"/>
        </w:rPr>
      </w:pPr>
    </w:p>
    <w:p>
      <w:pPr>
        <w:spacing w:after="0" w:line="320" w:lineRule="exact"/>
        <w:rPr>
          <w:sz w:val="20"/>
          <w:szCs w:val="20"/>
          <w:color w:val="auto"/>
        </w:rPr>
      </w:pPr>
    </w:p>
    <w:p>
      <w:pPr>
        <w:ind w:left="280" w:hanging="273"/>
        <w:spacing w:after="0"/>
        <w:tabs>
          <w:tab w:leader="none" w:pos="280" w:val="left"/>
        </w:tabs>
        <w:numPr>
          <w:ilvl w:val="0"/>
          <w:numId w:val="8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47" w:lineRule="auto"/>
        <w:rPr>
          <w:sz w:val="20"/>
          <w:szCs w:val="20"/>
          <w:color w:val="auto"/>
        </w:rPr>
      </w:pPr>
      <w:r>
        <w:rPr>
          <w:rFonts w:ascii="Arial" w:cs="Arial" w:eastAsia="Arial" w:hAnsi="Arial"/>
          <w:sz w:val="13"/>
          <w:szCs w:val="13"/>
          <w:color w:val="auto"/>
        </w:rPr>
        <w:t>We have a structured company-wide approach to working with our neighbours, based on social performance plans. Social performance plans are in place at all our major manufacturing sites and chemicals facilities, and at all our upstream operations where social impacts could be high. Central and business-level social performance advisers provide expertise and share good practice across our sites.</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3"/>
          <w:szCs w:val="13"/>
          <w:color w:val="auto"/>
        </w:rPr>
        <w:t>We promote the use of local contractors and suppliers and encourage the local contractors we work with to hire and train more local staff. We also sponsor social investment programmes in many countries throughout the world. In the UK, for example, we donated $26 million to charitable causes in 2007. We work closely, wherever we can, with development experts and the local communities involved. But our biggest economic contribution to the countries where we operate comes from the taxes and royalties we pay. Governments decide how, and where these revenues are spent. We actively encourage them to use these funds wisely and transparently, to bring development and reduce poverty. We continue to strongly support the Extractive Industries Transparency Initiative, which seeks to have energy and mining companies publish the payments they make to governments. We try to set an example through our social investment and local contracting, as well as by enforcing our policy of zero tolerance for bribes and fraud.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AND DECOMMISSIONING COSTS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Shell operates in more than 110 countries and territories and are subject to a variety of environmental laws, regulations and reporting requirements. The costs of avoiding emissions into the air and water and the safe disposal and handling of waste from our operations are part of our business and are included in operating expenses. Such estimated costs incurred in 2007 by subsidiaries were approximately $1.3 billion (2006: $1.5 billion). Capital spending to limit or monitor hazardous substances or releases covers both measures at existing plants and features incorporated into new plants. Some of this spending is readily identifiable; the remainder is reasonably estimated using technical and financial judgements. On this basis, environmental capital spending in Shell companies with major programmes in 2007 were approximately $0.6 billion (2006: $1.0 billion).</w:t>
      </w:r>
    </w:p>
    <w:p>
      <w:pPr>
        <w:spacing w:after="0" w:line="182" w:lineRule="exact"/>
        <w:rPr>
          <w:sz w:val="20"/>
          <w:szCs w:val="20"/>
          <w:color w:val="auto"/>
        </w:rPr>
      </w:pPr>
    </w:p>
    <w:p>
      <w:pPr>
        <w:jc w:val="both"/>
        <w:ind w:right="180"/>
        <w:spacing w:after="0" w:line="241" w:lineRule="auto"/>
        <w:rPr>
          <w:sz w:val="20"/>
          <w:szCs w:val="20"/>
          <w:color w:val="auto"/>
        </w:rPr>
      </w:pPr>
      <w:r>
        <w:rPr>
          <w:rFonts w:ascii="Arial" w:cs="Arial" w:eastAsia="Arial" w:hAnsi="Arial"/>
          <w:sz w:val="13"/>
          <w:szCs w:val="13"/>
          <w:color w:val="auto"/>
        </w:rPr>
        <w:t>The effect of this necessary investment in existing facilities on the future earnings of Shell is not predictable. Factors affecting our earnings include our ability to recover costs from consumers and through financial incentives offered by governments.</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14"/>
          <w:szCs w:val="14"/>
          <w:color w:val="auto"/>
        </w:rPr>
        <w:t>However, it is expected that there will be no material impact on Shell’s total earnings in the long term. These risks are comparable to those faced by other companies in similar businesses.</w:t>
      </w:r>
    </w:p>
    <w:p>
      <w:pPr>
        <w:spacing w:after="0" w:line="180"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At the end of 2007, the total liabilities being carried for environmental clean-up were $1,212 million (2006: $967 million). In 2007, there were payments of $200 million and increases in provisions of $385 million. The estimated present value of the obligations being carried for spending on decommissioning and site restoration including oil and gas platforms, at December 31, 2007, amounted to $11,226 million (2006: $8,317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1428115</wp:posOffset>
            </wp:positionV>
            <wp:extent cx="725297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6863715</wp:posOffset>
            </wp:positionH>
            <wp:positionV relativeFrom="paragraph">
              <wp:posOffset>201295</wp:posOffset>
            </wp:positionV>
            <wp:extent cx="389255" cy="498157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9255" cy="498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Reporting environmental and social data differs from financial data in a number of</w:t>
      </w:r>
    </w:p>
    <w:p>
      <w:pPr>
        <w:spacing w:after="0" w:line="218" w:lineRule="auto"/>
        <w:rPr>
          <w:sz w:val="20"/>
          <w:szCs w:val="20"/>
          <w:color w:val="auto"/>
        </w:rPr>
      </w:pPr>
      <w:r>
        <w:rPr>
          <w:rFonts w:ascii="Arial" w:cs="Arial" w:eastAsia="Arial" w:hAnsi="Arial"/>
          <w:sz w:val="14"/>
          <w:szCs w:val="14"/>
          <w:color w:val="auto"/>
        </w:rPr>
        <w:t>important ways. There are inherent limitations to the accuracy, precision and</w:t>
      </w:r>
    </w:p>
    <w:p>
      <w:pPr>
        <w:spacing w:after="0" w:line="218" w:lineRule="auto"/>
        <w:rPr>
          <w:sz w:val="20"/>
          <w:szCs w:val="20"/>
          <w:color w:val="auto"/>
        </w:rPr>
      </w:pPr>
      <w:r>
        <w:rPr>
          <w:rFonts w:ascii="Arial" w:cs="Arial" w:eastAsia="Arial" w:hAnsi="Arial"/>
          <w:sz w:val="14"/>
          <w:szCs w:val="14"/>
          <w:color w:val="auto"/>
        </w:rPr>
        <w:t>completeness of environmental and social data. These limitations stem from the nature</w:t>
      </w:r>
    </w:p>
    <w:p>
      <w:pPr>
        <w:spacing w:after="0" w:line="219" w:lineRule="auto"/>
        <w:rPr>
          <w:sz w:val="20"/>
          <w:szCs w:val="20"/>
          <w:color w:val="auto"/>
        </w:rPr>
      </w:pPr>
      <w:r>
        <w:rPr>
          <w:rFonts w:ascii="Arial" w:cs="Arial" w:eastAsia="Arial" w:hAnsi="Arial"/>
          <w:sz w:val="14"/>
          <w:szCs w:val="14"/>
          <w:color w:val="auto"/>
        </w:rPr>
        <w:t>of the data. Certain parameters rely on human behaviour and are affected by culture</w:t>
      </w:r>
    </w:p>
    <w:p>
      <w:pPr>
        <w:spacing w:after="0" w:line="218" w:lineRule="auto"/>
        <w:rPr>
          <w:sz w:val="20"/>
          <w:szCs w:val="20"/>
          <w:color w:val="auto"/>
        </w:rPr>
      </w:pPr>
      <w:r>
        <w:rPr>
          <w:rFonts w:ascii="Arial" w:cs="Arial" w:eastAsia="Arial" w:hAnsi="Arial"/>
          <w:sz w:val="14"/>
          <w:szCs w:val="14"/>
          <w:color w:val="auto"/>
        </w:rPr>
        <w:t>and personal perception. Other parameters rely on complex measurements that require</w:t>
      </w:r>
    </w:p>
    <w:p>
      <w:pPr>
        <w:spacing w:after="0" w:line="219" w:lineRule="auto"/>
        <w:rPr>
          <w:sz w:val="20"/>
          <w:szCs w:val="20"/>
          <w:color w:val="auto"/>
        </w:rPr>
      </w:pPr>
      <w:r>
        <w:rPr>
          <w:rFonts w:ascii="Arial" w:cs="Arial" w:eastAsia="Arial" w:hAnsi="Arial"/>
          <w:sz w:val="14"/>
          <w:szCs w:val="14"/>
          <w:color w:val="auto"/>
        </w:rPr>
        <w:t>constant tuning. Still others rely on estimation and modelling. We accept that our</w:t>
      </w:r>
    </w:p>
    <w:p>
      <w:pPr>
        <w:spacing w:after="0" w:line="218" w:lineRule="auto"/>
        <w:rPr>
          <w:sz w:val="20"/>
          <w:szCs w:val="20"/>
          <w:color w:val="auto"/>
        </w:rPr>
      </w:pPr>
      <w:r>
        <w:rPr>
          <w:rFonts w:ascii="Arial" w:cs="Arial" w:eastAsia="Arial" w:hAnsi="Arial"/>
          <w:sz w:val="14"/>
          <w:szCs w:val="14"/>
          <w:color w:val="auto"/>
        </w:rPr>
        <w:t>published environmental and social data will be affected by these inherent limitations.</w:t>
      </w:r>
    </w:p>
    <w:p>
      <w:pPr>
        <w:spacing w:after="0"/>
        <w:rPr>
          <w:sz w:val="20"/>
          <w:szCs w:val="20"/>
          <w:color w:val="auto"/>
        </w:rPr>
      </w:pPr>
      <w:r>
        <w:rPr>
          <w:rFonts w:ascii="Arial" w:cs="Arial" w:eastAsia="Arial" w:hAnsi="Arial"/>
          <w:sz w:val="14"/>
          <w:szCs w:val="14"/>
          <w:color w:val="auto"/>
        </w:rPr>
        <w:t>We continue to improve data integrity by strengthening internal controls.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Safety and environmental data are collected from operations we control (meaning those</w:t>
      </w:r>
    </w:p>
    <w:p>
      <w:pPr>
        <w:spacing w:after="0" w:line="218" w:lineRule="auto"/>
        <w:rPr>
          <w:sz w:val="20"/>
          <w:szCs w:val="20"/>
          <w:color w:val="auto"/>
        </w:rPr>
      </w:pPr>
      <w:r>
        <w:rPr>
          <w:rFonts w:ascii="Arial" w:cs="Arial" w:eastAsia="Arial" w:hAnsi="Arial"/>
          <w:sz w:val="14"/>
          <w:szCs w:val="14"/>
          <w:color w:val="auto"/>
        </w:rPr>
        <w:t>operations for which we can require the Shell Control Framework to be applied) and</w:t>
      </w:r>
    </w:p>
    <w:p>
      <w:pPr>
        <w:spacing w:after="0" w:line="218" w:lineRule="auto"/>
        <w:rPr>
          <w:sz w:val="20"/>
          <w:szCs w:val="20"/>
          <w:color w:val="auto"/>
        </w:rPr>
      </w:pPr>
      <w:r>
        <w:rPr>
          <w:rFonts w:ascii="Arial" w:cs="Arial" w:eastAsia="Arial" w:hAnsi="Arial"/>
          <w:sz w:val="14"/>
          <w:szCs w:val="14"/>
          <w:color w:val="auto"/>
        </w:rPr>
        <w:t>certain companies to which we provide operational services. Data is reported on a</w:t>
      </w:r>
    </w:p>
    <w:p>
      <w:pPr>
        <w:spacing w:after="0" w:line="219" w:lineRule="auto"/>
        <w:rPr>
          <w:sz w:val="20"/>
          <w:szCs w:val="20"/>
          <w:color w:val="auto"/>
        </w:rPr>
      </w:pPr>
      <w:r>
        <w:rPr>
          <w:rFonts w:ascii="Arial" w:cs="Arial" w:eastAsia="Arial" w:hAnsi="Arial"/>
          <w:sz w:val="14"/>
          <w:szCs w:val="14"/>
          <w:color w:val="auto"/>
        </w:rPr>
        <w:t>100% basis regardless of our equity share in the company. Data from companies that</w:t>
      </w:r>
    </w:p>
    <w:p>
      <w:pPr>
        <w:spacing w:after="0" w:line="218" w:lineRule="auto"/>
        <w:rPr>
          <w:sz w:val="20"/>
          <w:szCs w:val="20"/>
          <w:color w:val="auto"/>
        </w:rPr>
      </w:pPr>
      <w:r>
        <w:rPr>
          <w:rFonts w:ascii="Arial" w:cs="Arial" w:eastAsia="Arial" w:hAnsi="Arial"/>
          <w:sz w:val="14"/>
          <w:szCs w:val="14"/>
          <w:color w:val="auto"/>
        </w:rPr>
        <w:t>were disposed of or acquired during the year is included only for the period that we had</w:t>
      </w:r>
    </w:p>
    <w:p>
      <w:pPr>
        <w:spacing w:after="0" w:line="219" w:lineRule="auto"/>
        <w:rPr>
          <w:sz w:val="20"/>
          <w:szCs w:val="20"/>
          <w:color w:val="auto"/>
        </w:rPr>
      </w:pPr>
      <w:r>
        <w:rPr>
          <w:rFonts w:ascii="Arial" w:cs="Arial" w:eastAsia="Arial" w:hAnsi="Arial"/>
          <w:sz w:val="14"/>
          <w:szCs w:val="14"/>
          <w:color w:val="auto"/>
        </w:rPr>
        <w:t>control. In some cases, data for companies where control changed hands during the</w:t>
      </w:r>
    </w:p>
    <w:p>
      <w:pPr>
        <w:spacing w:after="0" w:line="218" w:lineRule="auto"/>
        <w:rPr>
          <w:sz w:val="20"/>
          <w:szCs w:val="20"/>
          <w:color w:val="auto"/>
        </w:rPr>
      </w:pPr>
      <w:r>
        <w:rPr>
          <w:rFonts w:ascii="Arial" w:cs="Arial" w:eastAsia="Arial" w:hAnsi="Arial"/>
          <w:sz w:val="14"/>
          <w:szCs w:val="14"/>
          <w:color w:val="auto"/>
        </w:rPr>
        <w:t>year, for example the Sakhalin II project, is included for the entire year in 2007, to</w:t>
      </w:r>
    </w:p>
    <w:p>
      <w:pPr>
        <w:spacing w:after="0" w:line="218" w:lineRule="auto"/>
        <w:rPr>
          <w:sz w:val="20"/>
          <w:szCs w:val="20"/>
          <w:color w:val="auto"/>
        </w:rPr>
      </w:pPr>
      <w:r>
        <w:rPr>
          <w:rFonts w:ascii="Arial" w:cs="Arial" w:eastAsia="Arial" w:hAnsi="Arial"/>
          <w:sz w:val="14"/>
          <w:szCs w:val="14"/>
          <w:color w:val="auto"/>
        </w:rPr>
        <w:t>allow consistent comparison of performance trends at a company level. We include</w:t>
      </w:r>
    </w:p>
    <w:p>
      <w:pPr>
        <w:spacing w:after="0" w:line="219" w:lineRule="auto"/>
        <w:rPr>
          <w:sz w:val="20"/>
          <w:szCs w:val="20"/>
          <w:color w:val="auto"/>
        </w:rPr>
      </w:pPr>
      <w:r>
        <w:rPr>
          <w:rFonts w:ascii="Arial" w:cs="Arial" w:eastAsia="Arial" w:hAnsi="Arial"/>
          <w:sz w:val="14"/>
          <w:szCs w:val="14"/>
          <w:color w:val="auto"/>
        </w:rPr>
        <w:t>only data and events, like safety incidents, that have been confirmed by internal</w:t>
      </w:r>
    </w:p>
    <w:p>
      <w:pPr>
        <w:spacing w:after="0" w:line="218" w:lineRule="auto"/>
        <w:rPr>
          <w:sz w:val="20"/>
          <w:szCs w:val="20"/>
          <w:color w:val="auto"/>
        </w:rPr>
      </w:pPr>
      <w:r>
        <w:rPr>
          <w:rFonts w:ascii="Arial" w:cs="Arial" w:eastAsia="Arial" w:hAnsi="Arial"/>
          <w:sz w:val="14"/>
          <w:szCs w:val="14"/>
          <w:color w:val="auto"/>
        </w:rPr>
        <w:t>investigations by the time of publication. These investigations can take several months</w:t>
      </w:r>
    </w:p>
    <w:p>
      <w:pPr>
        <w:spacing w:after="0" w:line="219" w:lineRule="auto"/>
        <w:rPr>
          <w:sz w:val="20"/>
          <w:szCs w:val="20"/>
          <w:color w:val="auto"/>
        </w:rPr>
      </w:pPr>
      <w:r>
        <w:rPr>
          <w:rFonts w:ascii="Arial" w:cs="Arial" w:eastAsia="Arial" w:hAnsi="Arial"/>
          <w:sz w:val="14"/>
          <w:szCs w:val="14"/>
          <w:color w:val="auto"/>
        </w:rPr>
        <w:t>to complete, particularly where the security situation in an area makes access difficult.</w:t>
      </w:r>
    </w:p>
    <w:p>
      <w:pPr>
        <w:spacing w:after="0" w:line="218" w:lineRule="auto"/>
        <w:rPr>
          <w:sz w:val="20"/>
          <w:szCs w:val="20"/>
          <w:color w:val="auto"/>
        </w:rPr>
      </w:pPr>
      <w:r>
        <w:rPr>
          <w:rFonts w:ascii="Arial" w:cs="Arial" w:eastAsia="Arial" w:hAnsi="Arial"/>
          <w:sz w:val="14"/>
          <w:szCs w:val="14"/>
          <w:color w:val="auto"/>
        </w:rPr>
        <w:t>If incidents are confirmed after publication, the data for the year is restated in the next</w:t>
      </w:r>
    </w:p>
    <w:p>
      <w:pPr>
        <w:spacing w:after="0"/>
        <w:rPr>
          <w:sz w:val="20"/>
          <w:szCs w:val="20"/>
          <w:color w:val="auto"/>
        </w:rPr>
      </w:pPr>
      <w:r>
        <w:rPr>
          <w:rFonts w:ascii="Arial" w:cs="Arial" w:eastAsia="Arial" w:hAnsi="Arial"/>
          <w:sz w:val="14"/>
          <w:szCs w:val="14"/>
          <w:color w:val="auto"/>
        </w:rPr>
        <w:t>year’s publication.</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We set internal improvement targets for our key safety and environmental parameters</w:t>
      </w:r>
    </w:p>
    <w:p>
      <w:pPr>
        <w:spacing w:after="0" w:line="218" w:lineRule="auto"/>
        <w:rPr>
          <w:sz w:val="20"/>
          <w:szCs w:val="20"/>
          <w:color w:val="auto"/>
        </w:rPr>
      </w:pPr>
      <w:r>
        <w:rPr>
          <w:rFonts w:ascii="Arial" w:cs="Arial" w:eastAsia="Arial" w:hAnsi="Arial"/>
          <w:sz w:val="14"/>
          <w:szCs w:val="14"/>
          <w:color w:val="auto"/>
        </w:rPr>
        <w:t>and have set public targets for energy efficiency in our chemicals plants, for</w:t>
      </w:r>
    </w:p>
    <w:p>
      <w:pPr>
        <w:spacing w:after="0" w:line="218" w:lineRule="auto"/>
        <w:rPr>
          <w:sz w:val="20"/>
          <w:szCs w:val="20"/>
          <w:color w:val="auto"/>
        </w:rPr>
      </w:pPr>
      <w:r>
        <w:rPr>
          <w:rFonts w:ascii="Arial" w:cs="Arial" w:eastAsia="Arial" w:hAnsi="Arial"/>
          <w:sz w:val="14"/>
          <w:szCs w:val="14"/>
          <w:color w:val="auto"/>
        </w:rPr>
        <w:t>eliminating the disposal of gas by continuous flaring and for reducing greenhouse gas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emissions from our operations.</w:t>
      </w: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2087245</wp:posOffset>
            </wp:positionV>
            <wp:extent cx="725297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ENVIRONMENT AND SOCIETY</w:t>
      </w:r>
    </w:p>
    <w:p>
      <w:pPr>
        <w:spacing w:after="0" w:line="200" w:lineRule="exact"/>
        <w:rPr>
          <w:sz w:val="20"/>
          <w:szCs w:val="20"/>
          <w:color w:val="auto"/>
        </w:rPr>
      </w:pPr>
    </w:p>
    <w:p>
      <w:pPr>
        <w:spacing w:after="0"/>
        <w:rPr>
          <w:sz w:val="20"/>
          <w:szCs w:val="20"/>
          <w:color w:val="auto"/>
        </w:rPr>
      </w:pPr>
      <w:r>
        <w:rPr>
          <w:rFonts w:ascii="Arial" w:cs="Arial" w:eastAsia="Arial" w:hAnsi="Arial"/>
          <w:sz w:val="36"/>
          <w:szCs w:val="36"/>
          <w:color w:val="auto"/>
        </w:rPr>
        <w:t>Environmental data</w:t>
      </w: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In 2007, we continued to work towards meeting the voluntary target we set ourselves in 1998: to reduce CO</w:t>
      </w:r>
      <w:r>
        <w:rPr>
          <w:rFonts w:ascii="Arial" w:cs="Arial" w:eastAsia="Arial" w:hAnsi="Arial"/>
          <w:sz w:val="12"/>
          <w:szCs w:val="12"/>
          <w:color w:val="auto"/>
        </w:rPr>
        <w:t>2</w:t>
      </w:r>
      <w:r>
        <w:rPr>
          <w:rFonts w:ascii="Arial" w:cs="Arial" w:eastAsia="Arial" w:hAnsi="Arial"/>
          <w:sz w:val="14"/>
          <w:szCs w:val="14"/>
          <w:color w:val="auto"/>
        </w:rPr>
        <w:t xml:space="preserve"> emissions from our operations by at least 5% compared to 1990, despite growing our business.</w:t>
      </w:r>
    </w:p>
    <w:p>
      <w:pPr>
        <w:spacing w:after="0" w:line="180" w:lineRule="exact"/>
        <w:rPr>
          <w:sz w:val="20"/>
          <w:szCs w:val="20"/>
          <w:color w:val="auto"/>
        </w:rPr>
      </w:pPr>
    </w:p>
    <w:p>
      <w:pPr>
        <w:jc w:val="both"/>
        <w:ind w:right="60"/>
        <w:spacing w:after="0" w:line="231" w:lineRule="auto"/>
        <w:rPr>
          <w:sz w:val="20"/>
          <w:szCs w:val="20"/>
          <w:color w:val="auto"/>
        </w:rPr>
      </w:pPr>
      <w:r>
        <w:rPr>
          <w:rFonts w:ascii="Arial" w:cs="Arial" w:eastAsia="Arial" w:hAnsi="Arial"/>
          <w:sz w:val="14"/>
          <w:szCs w:val="14"/>
          <w:color w:val="auto"/>
        </w:rPr>
        <w:t>Our biggest reductions since 1998 have come from phasing out the continuous venting of natural gas at oil production sites, and from the programme we launched in 2001 to end the continuous flaring of gas. Improvements in energy efficiency at our refineries since 2002 have also helped.</w:t>
      </w:r>
    </w:p>
    <w:p>
      <w:pPr>
        <w:spacing w:after="0" w:line="179" w:lineRule="exact"/>
        <w:rPr>
          <w:sz w:val="20"/>
          <w:szCs w:val="20"/>
          <w:color w:val="auto"/>
        </w:rPr>
      </w:pPr>
    </w:p>
    <w:p>
      <w:pPr>
        <w:jc w:val="both"/>
        <w:ind w:right="140"/>
        <w:spacing w:after="0" w:line="235" w:lineRule="auto"/>
        <w:rPr>
          <w:sz w:val="20"/>
          <w:szCs w:val="20"/>
          <w:color w:val="auto"/>
        </w:rPr>
      </w:pPr>
      <w:r>
        <w:rPr>
          <w:rFonts w:ascii="Arial" w:cs="Arial" w:eastAsia="Arial" w:hAnsi="Arial"/>
          <w:sz w:val="14"/>
          <w:szCs w:val="14"/>
          <w:color w:val="auto"/>
        </w:rPr>
        <w:t>In 2007, Shell operated facilities emitted 92 million tonnes of GHGs, (measured on a CO</w:t>
      </w:r>
      <w:r>
        <w:rPr>
          <w:rFonts w:ascii="Arial" w:cs="Arial" w:eastAsia="Arial" w:hAnsi="Arial"/>
          <w:sz w:val="12"/>
          <w:szCs w:val="12"/>
          <w:color w:val="auto"/>
        </w:rPr>
        <w:t>2</w:t>
      </w:r>
      <w:r>
        <w:rPr>
          <w:rFonts w:ascii="Arial" w:cs="Arial" w:eastAsia="Arial" w:hAnsi="Arial"/>
          <w:sz w:val="14"/>
          <w:szCs w:val="14"/>
          <w:color w:val="auto"/>
        </w:rPr>
        <w:t xml:space="preserve"> equivalent basis), about 6 million lower than the previous year, and nearly 25% below 1990 levels.</w:t>
      </w:r>
    </w:p>
    <w:p>
      <w:pPr>
        <w:spacing w:after="0" w:line="180"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Most of the reduction in 2007 was due to reduced flaring in our Exploration &amp; Production business, largely because a number of normally high flaring wells in Nigeria were shut down, in part because of Shell Petroleum Development Company’s strategy to reduce use of high gas wells and in part because of violence.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Since 2001, Exploration &amp; Production has reduced its natural gas flaring by nearly 60%, mainly through a multi-billion dollar programme to end continuous gas flaring by collecting gas from oil production facilities and bringing it to market. In Nigeria alone, which on average accounts for two-thirds of our continuous flaring, the Shell operated joint venture in the Niger Delta has invested around $3 billion in equipment to capture and use gas formerly flared.</w:t>
      </w:r>
    </w:p>
    <w:p>
      <w:pPr>
        <w:spacing w:after="0" w:line="183" w:lineRule="exact"/>
        <w:rPr>
          <w:sz w:val="20"/>
          <w:szCs w:val="20"/>
          <w:color w:val="auto"/>
        </w:rPr>
      </w:pPr>
    </w:p>
    <w:p>
      <w:pPr>
        <w:ind w:right="60"/>
        <w:spacing w:after="0" w:line="291" w:lineRule="auto"/>
        <w:rPr>
          <w:sz w:val="20"/>
          <w:szCs w:val="20"/>
          <w:color w:val="auto"/>
        </w:rPr>
      </w:pPr>
      <w:r>
        <w:rPr>
          <w:rFonts w:ascii="Arial" w:cs="Arial" w:eastAsia="Arial" w:hAnsi="Arial"/>
          <w:sz w:val="12"/>
          <w:szCs w:val="12"/>
          <w:color w:val="auto"/>
        </w:rPr>
        <w:t>In 2007, total flaring in Exploration &amp; Production dropped again. Nearly 80% of the drop in 2007 came in Nigeria, most of this from the closing down of production wells with a high gas content in the Niger Delta onshore, as a result of the security situation.</w:t>
      </w:r>
    </w:p>
    <w:p>
      <w:pPr>
        <w:spacing w:after="0" w:line="151" w:lineRule="exact"/>
        <w:rPr>
          <w:sz w:val="20"/>
          <w:szCs w:val="20"/>
          <w:color w:val="auto"/>
        </w:rPr>
      </w:pPr>
    </w:p>
    <w:p>
      <w:pPr>
        <w:ind w:right="20"/>
        <w:spacing w:after="0" w:line="265" w:lineRule="auto"/>
        <w:rPr>
          <w:sz w:val="20"/>
          <w:szCs w:val="20"/>
          <w:color w:val="auto"/>
        </w:rPr>
      </w:pPr>
      <w:r>
        <w:rPr>
          <w:rFonts w:ascii="Arial" w:cs="Arial" w:eastAsia="Arial" w:hAnsi="Arial"/>
          <w:sz w:val="12"/>
          <w:szCs w:val="12"/>
          <w:color w:val="auto"/>
        </w:rPr>
        <w:t>Violence continued to block access to all remaining sites where gas-gathering equipment is needed in the Niger Delta, causing further delays in ending continuous flaring there. Outside of Nigeria we have largely met our goal of ending continuous flaring by 2008. Only four sites we operate, representing about 0.25% of our total CO</w:t>
      </w:r>
      <w:r>
        <w:rPr>
          <w:rFonts w:ascii="Arial" w:cs="Arial" w:eastAsia="Arial" w:hAnsi="Arial"/>
          <w:sz w:val="10"/>
          <w:szCs w:val="10"/>
          <w:color w:val="auto"/>
        </w:rPr>
        <w:t>2</w:t>
      </w:r>
      <w:r>
        <w:rPr>
          <w:rFonts w:ascii="Arial" w:cs="Arial" w:eastAsia="Arial" w:hAnsi="Arial"/>
          <w:sz w:val="12"/>
          <w:szCs w:val="12"/>
          <w:color w:val="auto"/>
        </w:rPr>
        <w:t xml:space="preserve"> emissions, were still continuously flaring at the end of 2007. They will continue to do so because measures to end flaring would have produced more GHGs at two sites, collecting the gas was technically impossible at a third, and because a small continuous flare is required at the fourth to avoid releasing dangerous hydrogen sulphide.</w:t>
      </w:r>
    </w:p>
    <w:p>
      <w:pPr>
        <w:spacing w:after="0" w:line="200" w:lineRule="exact"/>
        <w:rPr>
          <w:sz w:val="20"/>
          <w:szCs w:val="20"/>
          <w:color w:val="auto"/>
        </w:rPr>
      </w:pPr>
    </w:p>
    <w:p>
      <w:pPr>
        <w:spacing w:after="0" w:line="317" w:lineRule="exact"/>
        <w:rPr>
          <w:sz w:val="20"/>
          <w:szCs w:val="20"/>
          <w:color w:val="auto"/>
        </w:rPr>
      </w:pPr>
    </w:p>
    <w:p>
      <w:pPr>
        <w:ind w:left="280" w:hanging="273"/>
        <w:spacing w:after="0"/>
        <w:tabs>
          <w:tab w:leader="none" w:pos="280" w:val="left"/>
        </w:tabs>
        <w:numPr>
          <w:ilvl w:val="0"/>
          <w:numId w:val="83"/>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92" w:hanging="392"/>
        <w:spacing w:after="0"/>
        <w:tabs>
          <w:tab w:leader="none" w:pos="392" w:val="left"/>
        </w:tabs>
        <w:numPr>
          <w:ilvl w:val="0"/>
          <w:numId w:val="84"/>
        </w:numPr>
        <w:rPr>
          <w:rFonts w:ascii="Arial" w:cs="Arial" w:eastAsia="Arial" w:hAnsi="Arial"/>
          <w:sz w:val="12"/>
          <w:szCs w:val="12"/>
          <w:color w:val="auto"/>
        </w:rPr>
      </w:pPr>
      <w:r>
        <w:rPr>
          <w:rFonts w:ascii="Arial" w:cs="Arial" w:eastAsia="Arial" w:hAnsi="Arial"/>
          <w:sz w:val="12"/>
          <w:szCs w:val="12"/>
          <w:color w:val="auto"/>
        </w:rPr>
        <w:t>Petroleum Industry Guidelines for Greenhouse Gas Estimation, December 2003, (API, IPIECA, OGP) indicate that uncertainty in greenhouse gas measurements can be significant depending on the methods used.</w:t>
      </w:r>
    </w:p>
    <w:p>
      <w:pPr>
        <w:spacing w:after="0" w:line="52" w:lineRule="exact"/>
        <w:rPr>
          <w:rFonts w:ascii="Arial" w:cs="Arial" w:eastAsia="Arial" w:hAnsi="Arial"/>
          <w:sz w:val="12"/>
          <w:szCs w:val="12"/>
          <w:color w:val="auto"/>
        </w:rPr>
      </w:pPr>
    </w:p>
    <w:p>
      <w:pPr>
        <w:ind w:left="392" w:hanging="392"/>
        <w:spacing w:after="0"/>
        <w:tabs>
          <w:tab w:leader="none" w:pos="392" w:val="left"/>
        </w:tabs>
        <w:numPr>
          <w:ilvl w:val="0"/>
          <w:numId w:val="84"/>
        </w:numPr>
        <w:rPr>
          <w:rFonts w:ascii="Arial" w:cs="Arial" w:eastAsia="Arial" w:hAnsi="Arial"/>
          <w:sz w:val="12"/>
          <w:szCs w:val="12"/>
          <w:color w:val="auto"/>
        </w:rPr>
      </w:pPr>
      <w:r>
        <w:rPr>
          <w:rFonts w:ascii="Arial" w:cs="Arial" w:eastAsia="Arial" w:hAnsi="Arial"/>
          <w:sz w:val="12"/>
          <w:szCs w:val="12"/>
          <w:color w:val="auto"/>
        </w:rPr>
        <w:t>Target and baseline adjusted to reflect portfolio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-3431540</wp:posOffset>
            </wp:positionH>
            <wp:positionV relativeFrom="paragraph">
              <wp:posOffset>3474720</wp:posOffset>
            </wp:positionV>
            <wp:extent cx="725297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2970" cy="209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-2214880</wp:posOffset>
            </wp:positionV>
            <wp:extent cx="3163570" cy="180149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163570" cy="1801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567690</wp:posOffset>
            </wp:positionV>
            <wp:extent cx="3163570" cy="1818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63570" cy="1818640"/>
                    </a:xfrm>
                    <a:prstGeom prst="rect">
                      <a:avLst/>
                    </a:prstGeom>
                    <a:noFill/>
                  </pic:spPr>
                </pic:pic>
              </a:graphicData>
            </a:graphic>
          </wp:anchor>
        </w:drawing>
      </w:r>
    </w:p>
    <w:p>
      <w:pPr>
        <w:sectPr>
          <w:pgSz w:w="11900" w:h="16838" w:orient="portrait"/>
          <w:cols w:equalWidth="0" w:num="2">
            <w:col w:w="4980" w:space="428"/>
            <w:col w:w="4812"/>
          </w:cols>
          <w:pgMar w:left="240" w:top="415" w:right="1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INTENSITY – EXPLORATION &amp;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248525" cy="82042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8525" cy="8204200"/>
                    </a:xfrm>
                    <a:prstGeom prst="rect">
                      <a:avLst/>
                    </a:prstGeom>
                    <a:noFill/>
                  </pic:spPr>
                </pic:pic>
              </a:graphicData>
            </a:graphic>
          </wp:anchor>
        </w:drawing>
      </w:r>
    </w:p>
    <w:p>
      <w:pPr>
        <w:spacing w:after="0" w:line="107" w:lineRule="exact"/>
        <w:rPr>
          <w:sz w:val="20"/>
          <w:szCs w:val="20"/>
          <w:color w:val="auto"/>
        </w:rPr>
      </w:pPr>
    </w:p>
    <w:p>
      <w:pPr>
        <w:ind w:right="5420"/>
        <w:spacing w:after="0" w:line="226" w:lineRule="auto"/>
        <w:rPr>
          <w:sz w:val="20"/>
          <w:szCs w:val="20"/>
          <w:color w:val="auto"/>
        </w:rPr>
      </w:pPr>
      <w:r>
        <w:rPr>
          <w:rFonts w:ascii="Arial" w:cs="Arial" w:eastAsia="Arial" w:hAnsi="Arial"/>
          <w:sz w:val="14"/>
          <w:szCs w:val="14"/>
          <w:color w:val="auto"/>
        </w:rPr>
        <w:t>Across the industry, the energy needed to produce each unit of oil or natural gas is rising fast as fields age and more heavy and harder-to-reach oil is produced. Shell is no exception. Our upstream energy intensity has risen by nearly 30% since 2000. In response, we launched a major energy efficiency programme in Exploration &amp; Production in 2007. It aims to put energy management systems in place at our 42 major production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400"/>
        <w:spacing w:after="0"/>
        <w:tabs>
          <w:tab w:leader="none" w:pos="5660" w:val="left"/>
        </w:tabs>
        <w:rPr>
          <w:sz w:val="20"/>
          <w:szCs w:val="20"/>
          <w:color w:val="auto"/>
        </w:rPr>
      </w:pPr>
      <w:r>
        <w:rPr>
          <w:rFonts w:ascii="Arial" w:cs="Arial" w:eastAsia="Arial" w:hAnsi="Arial"/>
          <w:sz w:val="12"/>
          <w:szCs w:val="12"/>
          <w:color w:val="auto"/>
        </w:rPr>
        <w:t>[A]</w:t>
        <w:tab/>
        <w:t>2003-5 figures adjusted to reflect the removal of oil sands activities from Exploration</w:t>
      </w:r>
    </w:p>
    <w:p>
      <w:pPr>
        <w:ind w:left="5680"/>
        <w:spacing w:after="0"/>
        <w:rPr>
          <w:sz w:val="20"/>
          <w:szCs w:val="20"/>
          <w:color w:val="auto"/>
        </w:rPr>
      </w:pPr>
      <w:r>
        <w:rPr>
          <w:rFonts w:ascii="Arial" w:cs="Arial" w:eastAsia="Arial" w:hAnsi="Arial"/>
          <w:sz w:val="12"/>
          <w:szCs w:val="12"/>
          <w:color w:val="auto"/>
        </w:rPr>
        <w:t>&amp; Production data.</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INTENSITY – OIL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420"/>
        <w:spacing w:after="0" w:line="242" w:lineRule="auto"/>
        <w:rPr>
          <w:sz w:val="20"/>
          <w:szCs w:val="20"/>
          <w:color w:val="auto"/>
        </w:rPr>
      </w:pPr>
      <w:r>
        <w:rPr>
          <w:rFonts w:ascii="Arial" w:cs="Arial" w:eastAsia="Arial" w:hAnsi="Arial"/>
          <w:sz w:val="13"/>
          <w:szCs w:val="13"/>
          <w:color w:val="auto"/>
        </w:rPr>
        <w:t>In 2007, we made our minable Oil Sands activities in Canada – the mining and upgrading operations of the Athabasca Oil Sands Project (Shell interest 60%) – a separate segment within our downstream business. It was previously part of Exploration &amp; Production. We report the energy intensity of our Oil Sands activities separately here for the first time, using the same metric as for Exploration &amp; Production: energy used per tonne of oil equivalent (in the case of Oil Sands –upgraded synthetic crude oil) produced. Exploration &amp; Production’s energy intensity data since 2003 have been adjusted to reflect the removal of Oil 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-685800</wp:posOffset>
            </wp:positionV>
            <wp:extent cx="2706370" cy="18859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000000"/>
                        </a:clrFrom>
                        <a:clrTo>
                          <a:srgbClr val="000000">
                            <a:alpha val="0"/>
                          </a:srgbClr>
                        </a:clrTo>
                      </a:clrChange>
                      <a:extLst>
                        <a:ext uri="{28A0092B-C50C-407E-A947-70E740481C1C}"/>
                      </a:extLst>
                    </a:blip>
                    <a:srcRect/>
                    <a:stretch>
                      <a:fillRect/>
                    </a:stretch>
                  </pic:blipFill>
                  <pic:spPr bwMode="auto">
                    <a:xfrm>
                      <a:off x="0" y="0"/>
                      <a:ext cx="2706370" cy="1885950"/>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-685800</wp:posOffset>
            </wp:positionV>
            <wp:extent cx="2706370" cy="18859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2706370" cy="1885950"/>
                    </a:xfrm>
                    <a:prstGeom prst="rect">
                      <a:avLst/>
                    </a:prstGeom>
                    <a:noFill/>
                  </pic:spPr>
                </pic:pic>
              </a:graphicData>
            </a:graphic>
          </wp:anchor>
        </w:drawing>
      </w:r>
    </w:p>
    <w:p>
      <w:pPr>
        <w:spacing w:after="0" w:line="159" w:lineRule="exact"/>
        <w:rPr>
          <w:sz w:val="20"/>
          <w:szCs w:val="20"/>
          <w:color w:val="auto"/>
        </w:rPr>
      </w:pPr>
    </w:p>
    <w:p>
      <w:pPr>
        <w:ind w:right="5420"/>
        <w:spacing w:after="0" w:line="223" w:lineRule="auto"/>
        <w:rPr>
          <w:sz w:val="20"/>
          <w:szCs w:val="20"/>
          <w:color w:val="auto"/>
        </w:rPr>
      </w:pPr>
      <w:r>
        <w:rPr>
          <w:rFonts w:ascii="Arial" w:cs="Arial" w:eastAsia="Arial" w:hAnsi="Arial"/>
          <w:sz w:val="14"/>
          <w:szCs w:val="14"/>
          <w:color w:val="auto"/>
        </w:rPr>
        <w:t>As the graph shows, producing petrol from oil sands requires significantly more energy than producing it from conventional oil. The Athabasca project has focused on reducing energy use from the start. Energy saving technologies – like using lower temperature water to wash the oil from the sand, and using highly efficient cogeneration and heat integration with other facilities – were part of the design of the current operation. Since full production began in 2003, the search for operational improvements that continue to improve energy efficiency have remained a priority. In a critical assessment of the sustainability of oil sands projects in early 2008, the Pembina Institute and World Wildlife Fund acknowledged the leadership of the current phase of the Athabasca project on energy efficiency and other aspects of environmental performance.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INTENSITY – REFINERIES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460"/>
        <w:spacing w:after="0" w:line="239" w:lineRule="auto"/>
        <w:rPr>
          <w:sz w:val="20"/>
          <w:szCs w:val="20"/>
          <w:color w:val="auto"/>
        </w:rPr>
      </w:pPr>
      <w:r>
        <w:rPr>
          <w:rFonts w:ascii="Arial" w:cs="Arial" w:eastAsia="Arial" w:hAnsi="Arial"/>
          <w:sz w:val="13"/>
          <w:szCs w:val="13"/>
          <w:color w:val="auto"/>
        </w:rPr>
        <w:t>We use the industry standard Solomon Associates Energy Intensity Index (EII™) to measure and rank the energy efficiency of our refineries. Our refineries have improved their energy efficiency by 2% since 2002. These gains have come from operating our refineries closer to full production capacity, running our Energise™ energy efficiency programme and conducting business improvement reviews (BIRs). Since 2002, our Energise™ and BIR programmes have reduced our GHG emissions by approximately 1.7 million tonnes a year and saved us a combined $180 million annually at our refineries and chemical plants. Over the past two years these improvement trends have reversed, mainly because we have had more shutdowns at refineries. Starting plants up again requires substantial extra energy. We are redoubling our efforts, increasing the importance of energy efficiency in our BIRs and implementing our three-year capital investment programme for energy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-1054100</wp:posOffset>
            </wp:positionV>
            <wp:extent cx="2706370" cy="18776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000000"/>
                        </a:clrFrom>
                        <a:clrTo>
                          <a:srgbClr val="000000">
                            <a:alpha val="0"/>
                          </a:srgbClr>
                        </a:clrTo>
                      </a:clrChange>
                      <a:extLst>
                        <a:ext uri="{28A0092B-C50C-407E-A947-70E740481C1C}"/>
                      </a:extLst>
                    </a:blip>
                    <a:srcRect/>
                    <a:stretch>
                      <a:fillRect/>
                    </a:stretch>
                  </pic:blipFill>
                  <pic:spPr bwMode="auto">
                    <a:xfrm>
                      <a:off x="0" y="0"/>
                      <a:ext cx="2706370" cy="1877695"/>
                    </a:xfrm>
                    <a:prstGeom prst="rect">
                      <a:avLst/>
                    </a:prstGeom>
                    <a:noFill/>
                  </pic:spPr>
                </pic:pic>
              </a:graphicData>
            </a:graphic>
          </wp:anchor>
        </w:drawing>
        <w:drawing>
          <wp:anchor simplePos="0" relativeHeight="251657728" behindDoc="1" locked="0" layoutInCell="0" allowOverlap="1">
            <wp:simplePos x="0" y="0"/>
            <wp:positionH relativeFrom="column">
              <wp:posOffset>3895090</wp:posOffset>
            </wp:positionH>
            <wp:positionV relativeFrom="paragraph">
              <wp:posOffset>-1054100</wp:posOffset>
            </wp:positionV>
            <wp:extent cx="2706370" cy="18776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2706370" cy="187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674370</wp:posOffset>
            </wp:positionV>
            <wp:extent cx="725297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OPERATING AND FINANCIAL REVIEW </w:t>
      </w:r>
      <w:r>
        <w:rPr>
          <w:rFonts w:ascii="Arial" w:cs="Arial" w:eastAsia="Arial" w:hAnsi="Arial"/>
          <w:sz w:val="12"/>
          <w:szCs w:val="12"/>
          <w:b w:val="1"/>
          <w:bCs w:val="1"/>
          <w:color w:val="F68933"/>
        </w:rPr>
        <w:t>ENVIRONMENT AND SOCIETY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ENERGY INTENSITY – CHEMICAL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259"/>
        <w:spacing w:after="0" w:line="251" w:lineRule="auto"/>
        <w:rPr>
          <w:sz w:val="20"/>
          <w:szCs w:val="20"/>
          <w:color w:val="auto"/>
        </w:rPr>
      </w:pPr>
      <w:r>
        <w:rPr>
          <w:rFonts w:ascii="Arial" w:cs="Arial" w:eastAsia="Arial" w:hAnsi="Arial"/>
          <w:sz w:val="13"/>
          <w:szCs w:val="13"/>
          <w:color w:val="auto"/>
        </w:rPr>
        <w:t>In 2001, we set a target to achieve 10% improvement in energy use at our chemical plants by 2007. Lacking a standard way in the industry to measure this, we devised our own: Shell’s Chemical Energy Index (CEI), which compares the energy used to make a tonne of product to a 2000 baseline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-316865</wp:posOffset>
            </wp:positionV>
            <wp:extent cx="2706370" cy="18522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06370" cy="1852295"/>
                    </a:xfrm>
                    <a:prstGeom prst="rect">
                      <a:avLst/>
                    </a:prstGeom>
                    <a:noFill/>
                  </pic:spPr>
                </pic:pic>
              </a:graphicData>
            </a:graphic>
          </wp:anchor>
        </w:drawing>
      </w:r>
    </w:p>
    <w:p>
      <w:pPr>
        <w:spacing w:after="0" w:line="154" w:lineRule="exact"/>
        <w:rPr>
          <w:sz w:val="20"/>
          <w:szCs w:val="20"/>
          <w:color w:val="auto"/>
        </w:rPr>
      </w:pPr>
    </w:p>
    <w:p>
      <w:pPr>
        <w:ind w:right="5379"/>
        <w:spacing w:after="0" w:line="260" w:lineRule="auto"/>
        <w:rPr>
          <w:sz w:val="20"/>
          <w:szCs w:val="20"/>
          <w:color w:val="auto"/>
        </w:rPr>
      </w:pPr>
      <w:r>
        <w:rPr>
          <w:rFonts w:ascii="Arial" w:cs="Arial" w:eastAsia="Arial" w:hAnsi="Arial"/>
          <w:sz w:val="13"/>
          <w:szCs w:val="13"/>
          <w:color w:val="auto"/>
        </w:rPr>
        <w:t>Our chemical plants have boosted efficiency by 9% since 2001, mainly through operating our plants closer to their full production capacity, having fewer shutdowns, and running our Energise™ energy efficiency programme at all major sites.</w:t>
      </w:r>
    </w:p>
    <w:p>
      <w:pPr>
        <w:spacing w:after="0" w:line="167" w:lineRule="exact"/>
        <w:rPr>
          <w:sz w:val="20"/>
          <w:szCs w:val="20"/>
          <w:color w:val="auto"/>
        </w:rPr>
      </w:pPr>
    </w:p>
    <w:p>
      <w:pPr>
        <w:ind w:right="5499"/>
        <w:spacing w:after="0" w:line="235" w:lineRule="auto"/>
        <w:rPr>
          <w:sz w:val="20"/>
          <w:szCs w:val="20"/>
          <w:color w:val="auto"/>
        </w:rPr>
      </w:pPr>
      <w:r>
        <w:rPr>
          <w:rFonts w:ascii="Arial" w:cs="Arial" w:eastAsia="Arial" w:hAnsi="Arial"/>
          <w:sz w:val="14"/>
          <w:szCs w:val="14"/>
          <w:color w:val="auto"/>
        </w:rPr>
        <w:t>In 2007, our chemicals plants were not able to further improve their performance, leaving them slightly above their target. Improvements at some sites were offset by unplanned shutdowns at several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SPILLS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239"/>
        <w:spacing w:after="0" w:line="231" w:lineRule="auto"/>
        <w:rPr>
          <w:sz w:val="20"/>
          <w:szCs w:val="20"/>
          <w:color w:val="auto"/>
        </w:rPr>
      </w:pPr>
      <w:r>
        <w:rPr>
          <w:rFonts w:ascii="Arial" w:cs="Arial" w:eastAsia="Arial" w:hAnsi="Arial"/>
          <w:sz w:val="14"/>
          <w:szCs w:val="14"/>
          <w:color w:val="auto"/>
        </w:rPr>
        <w:t>Since 1997, we have been reducing the amount of oil and oil products spilled from our operations for reasons we can control, like corrosion or operational failures. Spills from sabotage or extreme weather, like hurricanes, which are harder to prevent, have fluctuated with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3895090</wp:posOffset>
            </wp:positionH>
            <wp:positionV relativeFrom="paragraph">
              <wp:posOffset>-313690</wp:posOffset>
            </wp:positionV>
            <wp:extent cx="2706370" cy="33997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06370" cy="3399790"/>
                    </a:xfrm>
                    <a:prstGeom prst="rect">
                      <a:avLst/>
                    </a:prstGeom>
                    <a:noFill/>
                  </pic:spPr>
                </pic:pic>
              </a:graphicData>
            </a:graphic>
          </wp:anchor>
        </w:drawing>
      </w:r>
    </w:p>
    <w:p>
      <w:pPr>
        <w:spacing w:after="0" w:line="159" w:lineRule="exact"/>
        <w:rPr>
          <w:sz w:val="20"/>
          <w:szCs w:val="20"/>
          <w:color w:val="auto"/>
        </w:rPr>
      </w:pPr>
    </w:p>
    <w:p>
      <w:pPr>
        <w:ind w:right="5259"/>
        <w:spacing w:after="0" w:line="243" w:lineRule="auto"/>
        <w:rPr>
          <w:sz w:val="20"/>
          <w:szCs w:val="20"/>
          <w:color w:val="auto"/>
        </w:rPr>
      </w:pPr>
      <w:r>
        <w:rPr>
          <w:rFonts w:ascii="Arial" w:cs="Arial" w:eastAsia="Arial" w:hAnsi="Arial"/>
          <w:sz w:val="13"/>
          <w:szCs w:val="13"/>
          <w:color w:val="auto"/>
        </w:rPr>
        <w:t>In 2007, there were no spills from hurricanes. Controllable spill volumes from operations were lower than in 2006. This was because of continuing improvements in our downstream business, where we are tracking minor leaks more carefully and fixing their underlying causes earlier at our refineries and chemical plants. Our distribution network continued to implement its programme to proactively prevent spills through focused inspection and maintenance of pipelines and tanks at storage depots and through efforts to prevent spills from delivery trucks, particularly in Africa.</w:t>
      </w:r>
    </w:p>
    <w:p>
      <w:pPr>
        <w:spacing w:after="0" w:line="179" w:lineRule="exact"/>
        <w:rPr>
          <w:sz w:val="20"/>
          <w:szCs w:val="20"/>
          <w:color w:val="auto"/>
        </w:rPr>
      </w:pPr>
    </w:p>
    <w:p>
      <w:pPr>
        <w:ind w:right="5399"/>
        <w:spacing w:after="0" w:line="228" w:lineRule="auto"/>
        <w:rPr>
          <w:sz w:val="20"/>
          <w:szCs w:val="20"/>
          <w:color w:val="auto"/>
        </w:rPr>
      </w:pPr>
      <w:r>
        <w:rPr>
          <w:rFonts w:ascii="Arial" w:cs="Arial" w:eastAsia="Arial" w:hAnsi="Arial"/>
          <w:sz w:val="14"/>
          <w:szCs w:val="14"/>
          <w:color w:val="auto"/>
        </w:rPr>
        <w:t>Our overall spill volumes were higher because spills due to sabotage in Nigeria rose sharply in the areas where we were able to operate, as crude oil thefts and attacks by militants continued. At sites shut down by the security situation, reliable information about spills was not available pending our return to repair the damage and restart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0" w:hanging="273"/>
        <w:spacing w:after="0"/>
        <w:tabs>
          <w:tab w:leader="none" w:pos="280"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544830</wp:posOffset>
            </wp:positionV>
            <wp:extent cx="725297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Social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-109855</wp:posOffset>
            </wp:positionV>
            <wp:extent cx="177800" cy="5666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77800" cy="566674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SAFETY – FATAL ACCIDENT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480"/>
        <w:spacing w:after="0" w:line="247" w:lineRule="auto"/>
        <w:rPr>
          <w:sz w:val="20"/>
          <w:szCs w:val="20"/>
          <w:color w:val="auto"/>
        </w:rPr>
      </w:pPr>
      <w:r>
        <w:rPr>
          <w:rFonts w:ascii="Arial" w:cs="Arial" w:eastAsia="Arial" w:hAnsi="Arial"/>
          <w:sz w:val="14"/>
          <w:szCs w:val="14"/>
          <w:color w:val="auto"/>
        </w:rPr>
        <w:t>Sadly two employees and 26 contractors lost their lives in confirmed incidents at work in 2007, nine fewer than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4292600</wp:posOffset>
            </wp:positionH>
            <wp:positionV relativeFrom="paragraph">
              <wp:posOffset>-198120</wp:posOffset>
            </wp:positionV>
            <wp:extent cx="2308860" cy="15563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308860" cy="1556385"/>
                    </a:xfrm>
                    <a:prstGeom prst="rect">
                      <a:avLst/>
                    </a:prstGeom>
                    <a:noFill/>
                  </pic:spPr>
                </pic:pic>
              </a:graphicData>
            </a:graphic>
          </wp:anchor>
        </w:drawing>
      </w:r>
    </w:p>
    <w:p>
      <w:pPr>
        <w:spacing w:after="0" w:line="155" w:lineRule="exact"/>
        <w:rPr>
          <w:sz w:val="20"/>
          <w:szCs w:val="20"/>
          <w:color w:val="auto"/>
        </w:rPr>
      </w:pPr>
    </w:p>
    <w:p>
      <w:pPr>
        <w:ind w:right="5480"/>
        <w:spacing w:after="0" w:line="225" w:lineRule="auto"/>
        <w:rPr>
          <w:sz w:val="20"/>
          <w:szCs w:val="20"/>
          <w:color w:val="auto"/>
        </w:rPr>
      </w:pPr>
      <w:r>
        <w:rPr>
          <w:rFonts w:ascii="Arial" w:cs="Arial" w:eastAsia="Arial" w:hAnsi="Arial"/>
          <w:sz w:val="14"/>
          <w:szCs w:val="14"/>
          <w:color w:val="auto"/>
        </w:rPr>
        <w:t>The largest share of these fatalities occurred on the road, where we have less oversight and safety depends especially on the behaviour of individuals. Road accidents accounted for more than 60% of the staff and contractor lives lost in 2007, re-confirming the importance of our push to improve road safety. A further three lives were lost due to assaults in Nigeria. Our fatal accident rate (number of fatalities over 100 million working hours) continued to improve. It has dropped by nearly two-thirds since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INJURIES – TRCF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65970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97015" cy="8255"/>
                    </a:xfrm>
                    <a:prstGeom prst="rect">
                      <a:avLst/>
                    </a:prstGeom>
                    <a:noFill/>
                  </pic:spPr>
                </pic:pic>
              </a:graphicData>
            </a:graphic>
          </wp:anchor>
        </w:drawing>
      </w:r>
    </w:p>
    <w:p>
      <w:pPr>
        <w:spacing w:after="0" w:line="160" w:lineRule="exact"/>
        <w:rPr>
          <w:sz w:val="20"/>
          <w:szCs w:val="20"/>
          <w:color w:val="auto"/>
        </w:rPr>
      </w:pPr>
    </w:p>
    <w:p>
      <w:pPr>
        <w:ind w:right="5420"/>
        <w:spacing w:after="0" w:line="243" w:lineRule="auto"/>
        <w:rPr>
          <w:sz w:val="20"/>
          <w:szCs w:val="20"/>
          <w:color w:val="auto"/>
        </w:rPr>
      </w:pPr>
      <w:r>
        <w:rPr>
          <w:rFonts w:ascii="Arial" w:cs="Arial" w:eastAsia="Arial" w:hAnsi="Arial"/>
          <w:sz w:val="13"/>
          <w:szCs w:val="13"/>
          <w:color w:val="auto"/>
        </w:rPr>
        <w:t>To help monitor our safety performance, we use a standard safety measure – total recordable case frequency (TRCF). This is the number of injuries of contractors and staff requiring medical treatment or time off work, for every million hours worked. Our injury rate has come down over time, improving approximately 50% since 1998. In 2007, our TRCF improved again and was better than our target. TRCF remained the lead indicator in the Sustainable Development section of our company-wide Scorecard; underlining the importance we place on improving our safety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-660400</wp:posOffset>
            </wp:positionV>
            <wp:extent cx="2427605" cy="15900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27605"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1359535</wp:posOffset>
            </wp:positionV>
            <wp:extent cx="725297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OPERATING AND FINANCIAL REVIEW</w:t>
      </w:r>
    </w:p>
    <w:p>
      <w:pPr>
        <w:spacing w:after="0" w:line="196" w:lineRule="exact"/>
        <w:rPr>
          <w:sz w:val="20"/>
          <w:szCs w:val="20"/>
          <w:color w:val="auto"/>
        </w:rPr>
      </w:pPr>
    </w:p>
    <w:p>
      <w:pPr>
        <w:spacing w:after="0"/>
        <w:rPr>
          <w:sz w:val="20"/>
          <w:szCs w:val="20"/>
          <w:color w:val="auto"/>
        </w:rPr>
      </w:pPr>
      <w:r>
        <w:rPr>
          <w:rFonts w:ascii="Arial" w:cs="Arial" w:eastAsia="Arial" w:hAnsi="Arial"/>
          <w:sz w:val="36"/>
          <w:szCs w:val="36"/>
          <w:color w:val="auto"/>
        </w:rPr>
        <w:t>Share plans and other matters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PLANS AND TREASURY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There are a number of share-based plans for senior staff and other employees of the Shell group. Following the Unification, the underlying shares for the continuing share-based plans are shares of Royal Dutch Shell and awards and rights under the plans in existence at the time of the Unification were converted into awards and rights over Royal Dutch Shell shares. In 2005, the share option plans were replaced with an amended Long-term Incentive Plan. All awards and rights over common shares of Shell Canada at the time of the acquisition of the minority interest in Shell Canada have been converted into awards and rights over Royal Dutch Shell Class A shares. Details of the principal plans, both old plans with continuing outstanding awards and the Long-term Incentive Plan/Performance Share Plan, are given below.</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OPTION PLANS</w:t>
      </w:r>
    </w:p>
    <w:p>
      <w:pPr>
        <w:spacing w:after="0" w:line="6" w:lineRule="exact"/>
        <w:rPr>
          <w:sz w:val="20"/>
          <w:szCs w:val="20"/>
          <w:color w:val="auto"/>
        </w:rPr>
      </w:pPr>
    </w:p>
    <w:p>
      <w:pPr>
        <w:ind w:right="20"/>
        <w:spacing w:after="0" w:line="235" w:lineRule="auto"/>
        <w:rPr>
          <w:sz w:val="20"/>
          <w:szCs w:val="20"/>
          <w:color w:val="auto"/>
        </w:rPr>
      </w:pPr>
      <w:r>
        <w:rPr>
          <w:rFonts w:ascii="Arial" w:cs="Arial" w:eastAsia="Arial" w:hAnsi="Arial"/>
          <w:sz w:val="13"/>
          <w:szCs w:val="13"/>
          <w:color w:val="auto"/>
        </w:rPr>
        <w:t>The options that were granted under the Shell group share option plans were share options over shares of Royal Dutch or Shell Transport (now converted into options over shares of Royal Dutch Shell), at a price not less than the fair market value of the shares at the date the options were granted. This was calculated as the average of the stock exchange opening and closing prices over the five business days ending on the date of grant, except for the US plans where the grant price was the New York Stock Exchange closing price on the date of grant. Options under the Shell group option plans are generally exercisable three years from grant, except for those granted under the separate US plans that vest one-third per year for three years. Share options lapse</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10 years after grant; however, leaving Shell employment may cause options to lapse earlier.</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Details of the shares under option at February 26, 2008, in connection with these plans are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760" w:type="dxa"/>
            <w:vAlign w:val="bottom"/>
            <w:shd w:val="clear" w:color="auto" w:fill="FFD204"/>
          </w:tcPr>
          <w:p>
            <w:pPr>
              <w:ind w:left="80"/>
              <w:spacing w:after="0"/>
              <w:rPr>
                <w:sz w:val="20"/>
                <w:szCs w:val="20"/>
                <w:color w:val="auto"/>
              </w:rPr>
            </w:pPr>
            <w:r>
              <w:rPr>
                <w:rFonts w:ascii="Arial" w:cs="Arial" w:eastAsia="Arial" w:hAnsi="Arial"/>
                <w:sz w:val="12"/>
                <w:szCs w:val="12"/>
                <w:b w:val="1"/>
                <w:bCs w:val="1"/>
                <w:color w:val="auto"/>
              </w:rPr>
              <w:t>ROYAL DUTCH SHELL</w:t>
            </w:r>
          </w:p>
        </w:tc>
        <w:tc>
          <w:tcPr>
            <w:tcW w:w="1280" w:type="dxa"/>
            <w:vAlign w:val="bottom"/>
            <w:shd w:val="clear" w:color="auto" w:fill="FFD204"/>
          </w:tcPr>
          <w:p>
            <w:pPr>
              <w:spacing w:after="0"/>
              <w:rPr>
                <w:sz w:val="12"/>
                <w:szCs w:val="12"/>
                <w:color w:val="auto"/>
              </w:rPr>
            </w:pPr>
          </w:p>
        </w:tc>
        <w:tc>
          <w:tcPr>
            <w:tcW w:w="1040" w:type="dxa"/>
            <w:vAlign w:val="bottom"/>
            <w:shd w:val="clear" w:color="auto" w:fill="FFD204"/>
          </w:tcPr>
          <w:p>
            <w:pPr>
              <w:spacing w:after="0"/>
              <w:rPr>
                <w:sz w:val="12"/>
                <w:szCs w:val="12"/>
                <w:color w:val="auto"/>
              </w:rPr>
            </w:pPr>
          </w:p>
        </w:tc>
        <w:tc>
          <w:tcPr>
            <w:tcW w:w="900" w:type="dxa"/>
            <w:vAlign w:val="bottom"/>
            <w:shd w:val="clear" w:color="auto" w:fill="FFD204"/>
          </w:tcPr>
          <w:p>
            <w:pPr>
              <w:spacing w:after="0"/>
              <w:rPr>
                <w:sz w:val="12"/>
                <w:szCs w:val="12"/>
                <w:color w:val="auto"/>
              </w:rPr>
            </w:pPr>
          </w:p>
        </w:tc>
      </w:tr>
      <w:tr>
        <w:trPr>
          <w:trHeight w:val="133"/>
        </w:trPr>
        <w:tc>
          <w:tcPr>
            <w:tcW w:w="176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Class A Shares</w:t>
            </w:r>
          </w:p>
        </w:tc>
        <w:tc>
          <w:tcPr>
            <w:tcW w:w="10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Class B Shares</w:t>
            </w:r>
          </w:p>
        </w:tc>
        <w:tc>
          <w:tcPr>
            <w:tcW w:w="9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Class A ADRs</w:t>
            </w:r>
          </w:p>
        </w:tc>
      </w:tr>
      <w:tr>
        <w:trPr>
          <w:trHeight w:val="252"/>
        </w:trPr>
        <w:tc>
          <w:tcPr>
            <w:tcW w:w="1760" w:type="dxa"/>
            <w:vAlign w:val="bottom"/>
          </w:tcPr>
          <w:p>
            <w:pPr>
              <w:ind w:left="80"/>
              <w:spacing w:after="0"/>
              <w:rPr>
                <w:sz w:val="20"/>
                <w:szCs w:val="20"/>
                <w:color w:val="auto"/>
              </w:rPr>
            </w:pPr>
            <w:r>
              <w:rPr>
                <w:rFonts w:ascii="Arial" w:cs="Arial" w:eastAsia="Arial" w:hAnsi="Arial"/>
                <w:sz w:val="12"/>
                <w:szCs w:val="12"/>
                <w:color w:val="auto"/>
              </w:rPr>
              <w:t>Options outstanding</w:t>
            </w:r>
          </w:p>
        </w:tc>
        <w:tc>
          <w:tcPr>
            <w:tcW w:w="1280" w:type="dxa"/>
            <w:vAlign w:val="bottom"/>
          </w:tcPr>
          <w:p>
            <w:pPr>
              <w:jc w:val="right"/>
              <w:ind w:right="18"/>
              <w:spacing w:after="0"/>
              <w:rPr>
                <w:sz w:val="20"/>
                <w:szCs w:val="20"/>
                <w:color w:val="auto"/>
              </w:rPr>
            </w:pPr>
            <w:r>
              <w:rPr>
                <w:rFonts w:ascii="Arial" w:cs="Arial" w:eastAsia="Arial" w:hAnsi="Arial"/>
                <w:sz w:val="12"/>
                <w:szCs w:val="12"/>
                <w:color w:val="auto"/>
              </w:rPr>
              <w:t>47,095,905</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27,270,527</w:t>
            </w:r>
          </w:p>
        </w:tc>
        <w:tc>
          <w:tcPr>
            <w:tcW w:w="900" w:type="dxa"/>
            <w:vAlign w:val="bottom"/>
          </w:tcPr>
          <w:p>
            <w:pPr>
              <w:jc w:val="right"/>
              <w:spacing w:after="0"/>
              <w:rPr>
                <w:sz w:val="20"/>
                <w:szCs w:val="20"/>
                <w:color w:val="auto"/>
              </w:rPr>
            </w:pPr>
            <w:r>
              <w:rPr>
                <w:rFonts w:ascii="Arial" w:cs="Arial" w:eastAsia="Arial" w:hAnsi="Arial"/>
                <w:sz w:val="12"/>
                <w:szCs w:val="12"/>
                <w:color w:val="auto"/>
              </w:rPr>
              <w:t>13,076,598</w:t>
            </w:r>
          </w:p>
        </w:tc>
      </w:tr>
      <w:tr>
        <w:trPr>
          <w:trHeight w:val="133"/>
        </w:trPr>
        <w:tc>
          <w:tcPr>
            <w:tcW w:w="1760" w:type="dxa"/>
            <w:vAlign w:val="bottom"/>
          </w:tcPr>
          <w:p>
            <w:pPr>
              <w:ind w:left="80"/>
              <w:spacing w:after="0" w:line="133" w:lineRule="exact"/>
              <w:rPr>
                <w:sz w:val="20"/>
                <w:szCs w:val="20"/>
                <w:color w:val="auto"/>
              </w:rPr>
            </w:pPr>
            <w:r>
              <w:rPr>
                <w:rFonts w:ascii="Arial" w:cs="Arial" w:eastAsia="Arial" w:hAnsi="Arial"/>
                <w:sz w:val="12"/>
                <w:szCs w:val="12"/>
                <w:color w:val="auto"/>
              </w:rPr>
              <w:t>Average price per share</w:t>
            </w:r>
          </w:p>
        </w:tc>
        <w:tc>
          <w:tcPr>
            <w:tcW w:w="12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€26.20</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€16.42</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$49.94</w:t>
            </w:r>
          </w:p>
        </w:tc>
      </w:tr>
      <w:tr>
        <w:trPr>
          <w:trHeight w:val="141"/>
        </w:trPr>
        <w:tc>
          <w:tcPr>
            <w:tcW w:w="1760" w:type="dxa"/>
            <w:vAlign w:val="bottom"/>
          </w:tcPr>
          <w:p>
            <w:pPr>
              <w:ind w:left="80"/>
              <w:spacing w:after="0"/>
              <w:rPr>
                <w:sz w:val="20"/>
                <w:szCs w:val="20"/>
                <w:color w:val="auto"/>
              </w:rPr>
            </w:pPr>
            <w:r>
              <w:rPr>
                <w:rFonts w:ascii="Arial" w:cs="Arial" w:eastAsia="Arial" w:hAnsi="Arial"/>
                <w:sz w:val="12"/>
                <w:szCs w:val="12"/>
                <w:color w:val="auto"/>
              </w:rPr>
              <w:t>Total price</w:t>
            </w:r>
          </w:p>
        </w:tc>
        <w:tc>
          <w:tcPr>
            <w:tcW w:w="1280" w:type="dxa"/>
            <w:vAlign w:val="bottom"/>
          </w:tcPr>
          <w:p>
            <w:pPr>
              <w:jc w:val="right"/>
              <w:ind w:right="18"/>
              <w:spacing w:after="0"/>
              <w:rPr>
                <w:sz w:val="20"/>
                <w:szCs w:val="20"/>
                <w:color w:val="auto"/>
              </w:rPr>
            </w:pPr>
            <w:r>
              <w:rPr>
                <w:rFonts w:ascii="Arial" w:cs="Arial" w:eastAsia="Arial" w:hAnsi="Arial"/>
                <w:sz w:val="12"/>
                <w:szCs w:val="12"/>
                <w:color w:val="auto"/>
              </w:rPr>
              <w:t>€1,233,756,867</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€447,708,592</w:t>
            </w:r>
          </w:p>
        </w:tc>
        <w:tc>
          <w:tcPr>
            <w:tcW w:w="900" w:type="dxa"/>
            <w:vAlign w:val="bottom"/>
          </w:tcPr>
          <w:p>
            <w:pPr>
              <w:jc w:val="right"/>
              <w:spacing w:after="0"/>
              <w:rPr>
                <w:sz w:val="20"/>
                <w:szCs w:val="20"/>
                <w:color w:val="auto"/>
              </w:rPr>
            </w:pPr>
            <w:r>
              <w:rPr>
                <w:rFonts w:ascii="Arial" w:cs="Arial" w:eastAsia="Arial" w:hAnsi="Arial"/>
                <w:sz w:val="12"/>
                <w:szCs w:val="12"/>
                <w:color w:val="auto"/>
              </w:rPr>
              <w:t>$653,015,967</w:t>
            </w:r>
          </w:p>
        </w:tc>
      </w:tr>
      <w:tr>
        <w:trPr>
          <w:trHeight w:val="133"/>
        </w:trPr>
        <w:tc>
          <w:tcPr>
            <w:tcW w:w="1760" w:type="dxa"/>
            <w:vAlign w:val="bottom"/>
          </w:tcPr>
          <w:p>
            <w:pPr>
              <w:ind w:left="80"/>
              <w:spacing w:after="0" w:line="133" w:lineRule="exact"/>
              <w:rPr>
                <w:sz w:val="20"/>
                <w:szCs w:val="20"/>
                <w:color w:val="auto"/>
              </w:rPr>
            </w:pPr>
            <w:r>
              <w:rPr>
                <w:rFonts w:ascii="Arial" w:cs="Arial" w:eastAsia="Arial" w:hAnsi="Arial"/>
                <w:sz w:val="12"/>
                <w:szCs w:val="12"/>
                <w:color w:val="auto"/>
              </w:rPr>
              <w:t>Term</w:t>
            </w:r>
          </w:p>
        </w:tc>
        <w:tc>
          <w:tcPr>
            <w:tcW w:w="12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10/12/2007-</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10/12/2007-</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01/03/2010-</w:t>
            </w:r>
          </w:p>
        </w:tc>
      </w:tr>
      <w:tr>
        <w:trPr>
          <w:trHeight w:val="148"/>
        </w:trPr>
        <w:tc>
          <w:tcPr>
            <w:tcW w:w="1760" w:type="dxa"/>
            <w:vAlign w:val="bottom"/>
          </w:tcPr>
          <w:p>
            <w:pPr>
              <w:spacing w:after="0"/>
              <w:rPr>
                <w:sz w:val="12"/>
                <w:szCs w:val="12"/>
                <w:color w:val="auto"/>
              </w:rPr>
            </w:pPr>
          </w:p>
        </w:tc>
        <w:tc>
          <w:tcPr>
            <w:tcW w:w="1280" w:type="dxa"/>
            <w:vAlign w:val="bottom"/>
          </w:tcPr>
          <w:p>
            <w:pPr>
              <w:jc w:val="right"/>
              <w:ind w:right="18"/>
              <w:spacing w:after="0"/>
              <w:rPr>
                <w:sz w:val="20"/>
                <w:szCs w:val="20"/>
                <w:color w:val="auto"/>
              </w:rPr>
            </w:pPr>
            <w:r>
              <w:rPr>
                <w:rFonts w:ascii="Arial" w:cs="Arial" w:eastAsia="Arial" w:hAnsi="Arial"/>
                <w:sz w:val="12"/>
                <w:szCs w:val="12"/>
                <w:color w:val="auto"/>
              </w:rPr>
              <w:t>04/11/2014</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04/11/2014</w:t>
            </w:r>
          </w:p>
        </w:tc>
        <w:tc>
          <w:tcPr>
            <w:tcW w:w="900" w:type="dxa"/>
            <w:vAlign w:val="bottom"/>
          </w:tcPr>
          <w:p>
            <w:pPr>
              <w:jc w:val="right"/>
              <w:spacing w:after="0"/>
              <w:rPr>
                <w:sz w:val="20"/>
                <w:szCs w:val="20"/>
                <w:color w:val="auto"/>
              </w:rPr>
            </w:pPr>
            <w:r>
              <w:rPr>
                <w:rFonts w:ascii="Arial" w:cs="Arial" w:eastAsia="Arial" w:hAnsi="Arial"/>
                <w:sz w:val="12"/>
                <w:szCs w:val="12"/>
                <w:color w:val="auto"/>
              </w:rPr>
              <w:t>07/05/2014</w:t>
            </w:r>
          </w:p>
        </w:tc>
      </w:tr>
      <w:tr>
        <w:trPr>
          <w:trHeight w:val="124"/>
        </w:trPr>
        <w:tc>
          <w:tcPr>
            <w:tcW w:w="17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INCENTIVE PLAN AND PERFORMANCE SHARE PLAN</w:t>
      </w:r>
    </w:p>
    <w:p>
      <w:pPr>
        <w:spacing w:after="0" w:line="6" w:lineRule="exact"/>
        <w:rPr>
          <w:sz w:val="20"/>
          <w:szCs w:val="20"/>
          <w:color w:val="auto"/>
        </w:rPr>
      </w:pPr>
    </w:p>
    <w:p>
      <w:pPr>
        <w:ind w:right="20"/>
        <w:spacing w:after="0" w:line="258" w:lineRule="auto"/>
        <w:rPr>
          <w:sz w:val="20"/>
          <w:szCs w:val="20"/>
          <w:color w:val="auto"/>
        </w:rPr>
      </w:pPr>
      <w:r>
        <w:rPr>
          <w:rFonts w:ascii="Arial" w:cs="Arial" w:eastAsia="Arial" w:hAnsi="Arial"/>
          <w:sz w:val="12"/>
          <w:szCs w:val="12"/>
          <w:color w:val="auto"/>
        </w:rPr>
        <w:t>In July 2005, Royal Dutch Shell adopted an amended Long-term Incentive Plan (LTIP). When awards are made under the LTIP other than to the Executive Directors the plan is called the Performance Share Plan (PSP). On the award date conditional awards are made of Royal Dutch Shell shares. For the LTIP, the actual amount of shares that may vest, which can be between 0 – 200% of the conditional award, depends on the Total Shareholder Return of Royal Dutch Shell versus four of its main competitors over a three year performance period. For the PSP awards made in 2005 and 2006, the extent to which the awards vest depends on the Total Shareholder Return (TSR) of Royal Dutch Shell compared with four of its main competitors over a specific measurement period. For the PSP awards made in 2007, the extent to which the awards vest will be determined by two performance conditions. The relative TSR measure over the measurement period will be used (as in previous years) to determine the vesting of half the award and the other half of the award will be linked to the declared Business Performance Factor (Shell Scorecard results). For the shares granted in 2007, the measurement period is three years from January 1, 2007 (for the shares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 w:hanging="273"/>
        <w:spacing w:after="0"/>
        <w:tabs>
          <w:tab w:leader="none" w:pos="280" w:val="left"/>
        </w:tabs>
        <w:numPr>
          <w:ilvl w:val="0"/>
          <w:numId w:val="8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granted in 2006, the measurement period is three years from January 1, 2006). Awards made in 2007 under the LTIP and PSP to individuals employed in the Netherlands at the time of the award will be cash-settled. None of the awards will result in beneficial ownership until the shares are released.</w:t>
      </w:r>
    </w:p>
    <w:p>
      <w:pPr>
        <w:spacing w:after="0" w:line="179"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The total number of outstanding shares of Royal Dutch Shell conditionally awarded under these plans as at February 26, 2008, is 17,434,487 (Class A) 8,817,901 (Class B) and 5,809,286 (Class A ADRs) of which 965,757 (Class A), 524,567 (Class B) and 298,907 (Class A ADRs) relate to notional dividend shares to date.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SHARE PLAN</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Under the restricted share plan, awards are made on a highly selective basis to senior staff. Executive Directors currently do not receive awards under the restricted share plan. In 2005, the existing restricted share plan was replaced with a new restricted share plan consistent with amendment of the Long-term Incentive Plan and Performance Share Plan. Shares are awarded subject to a three-year restriction period. The shares, together with additional shares equivalent to the value of the dividends payable over the restriction period, are released to the individual at the end of the three-year period. The total number of outstanding shares of Royal Dutch Shell under these plans as at February 26, 2008, is 136,102 (Class A), 55,644 (Class B) and 61,488 (Class A ADRs) of which 8,398 (Class A), 4,121 (Class B) and 3,264 (Class A ADRs) relate to notional dividend shares to date.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BONUS PLAN</w:t>
      </w:r>
    </w:p>
    <w:p>
      <w:pPr>
        <w:spacing w:after="0" w:line="6"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Executive Directors participate in the Deferred Bonus Plan and can elect to defer up to 50% of their annual bonus for an award of Royal Dutch Shell shares (“deferred bonus shares”), which is released after three years. From 2006, Executive Directors are required to defer 25% of their annual bonuses. Subject to remaining in employment with the Shell group for three years following the year in which the bonus was earned, the participant may also be granted an additional award of matching Royal Dutch Shell shares (“matching shares”) equal to the number of deferred bonus shares awarded together with Royal Dutch Shell shares representing the value of dividends payable on the deferred bonus shares. A maximum of four matching shares will be awarded for every four deferred bonus shares. Vesting of three out of every four matching shares awarded to Executive Directors will be subject to satisfaction of a performance target with the remaining matching shares vesting over time.</w:t>
      </w:r>
    </w:p>
    <w:p>
      <w:pPr>
        <w:spacing w:after="0" w:line="180"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The total number of outstanding shares (excluding matching shares) of Royal Dutch Shell under these plans as at February 26, 2008, is 256,747 (Class A), and 103,295 (Class B) and 25,761 (Class A ADRs) of which 8,390 (Class A) and 3,969 (Class B) and 406 (Class A ADRs) relate to notional dividend shares to date.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GLOBAL EMPLOYEE SHARE PURCHASE PLAN</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This plan enables employees to make contributions, which are applied quarterly, to purchase Royal Dutch Shell Class A shares, at current market value (previously employees could also purchase Class B and Class A ADRs). If the acquired shares are retained in the plan until the end of the twelve-month savings cycle the employee receives an additional 15% share allocation. In the USA, a variant of this plan is operated, where the main difference is that the purchase price is the lower of the market price on the first or last trading day of the cycle, reduced by 15%. Executive Directors are not eligible to participate in the Global Employee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1216660</wp:posOffset>
            </wp:positionV>
            <wp:extent cx="725297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000" w:space="400"/>
            <w:col w:w="4980"/>
          </w:cols>
          <w:pgMar w:left="240" w:top="415" w:right="1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336550</wp:posOffset>
            </wp:positionV>
            <wp:extent cx="177800" cy="55568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7800" cy="55568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At February 26, 2008, the number of shares of Royal Dutch Shell which were held in</w:t>
      </w:r>
    </w:p>
    <w:p>
      <w:pPr>
        <w:spacing w:after="0" w:line="218" w:lineRule="auto"/>
        <w:rPr>
          <w:sz w:val="20"/>
          <w:szCs w:val="20"/>
          <w:color w:val="auto"/>
        </w:rPr>
      </w:pPr>
      <w:r>
        <w:rPr>
          <w:rFonts w:ascii="Arial" w:cs="Arial" w:eastAsia="Arial" w:hAnsi="Arial"/>
          <w:sz w:val="14"/>
          <w:szCs w:val="14"/>
          <w:color w:val="auto"/>
        </w:rPr>
        <w:t>employee benefit trusts in connection with this plan was 3,636,665 Class A, 929,993</w:t>
      </w:r>
    </w:p>
    <w:p>
      <w:pPr>
        <w:spacing w:after="0"/>
        <w:rPr>
          <w:sz w:val="20"/>
          <w:szCs w:val="20"/>
          <w:color w:val="auto"/>
        </w:rPr>
      </w:pPr>
      <w:r>
        <w:rPr>
          <w:rFonts w:ascii="Arial" w:cs="Arial" w:eastAsia="Arial" w:hAnsi="Arial"/>
          <w:sz w:val="14"/>
          <w:szCs w:val="14"/>
          <w:color w:val="auto"/>
        </w:rPr>
        <w:t>Class B and 100,936 Class A ADRs.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UK SHARESAVE SCHEME</w:t>
      </w:r>
    </w:p>
    <w:p>
      <w:pPr>
        <w:spacing w:after="0" w:line="226" w:lineRule="auto"/>
        <w:rPr>
          <w:sz w:val="20"/>
          <w:szCs w:val="20"/>
          <w:color w:val="auto"/>
        </w:rPr>
      </w:pPr>
      <w:r>
        <w:rPr>
          <w:rFonts w:ascii="Arial" w:cs="Arial" w:eastAsia="Arial" w:hAnsi="Arial"/>
          <w:sz w:val="14"/>
          <w:szCs w:val="14"/>
          <w:color w:val="auto"/>
        </w:rPr>
        <w:t>Employees of participating companies in the UK may participate in the UK Sharesave</w:t>
      </w:r>
    </w:p>
    <w:p>
      <w:pPr>
        <w:spacing w:after="0" w:line="219" w:lineRule="auto"/>
        <w:rPr>
          <w:sz w:val="20"/>
          <w:szCs w:val="20"/>
          <w:color w:val="auto"/>
        </w:rPr>
      </w:pPr>
      <w:r>
        <w:rPr>
          <w:rFonts w:ascii="Arial" w:cs="Arial" w:eastAsia="Arial" w:hAnsi="Arial"/>
          <w:sz w:val="14"/>
          <w:szCs w:val="14"/>
          <w:color w:val="auto"/>
        </w:rPr>
        <w:t>Scheme. Options are granted over Royal Dutch Shell Class B shares at prices not less</w:t>
      </w:r>
    </w:p>
    <w:p>
      <w:pPr>
        <w:spacing w:after="0" w:line="218" w:lineRule="auto"/>
        <w:rPr>
          <w:sz w:val="20"/>
          <w:szCs w:val="20"/>
          <w:color w:val="auto"/>
        </w:rPr>
      </w:pPr>
      <w:r>
        <w:rPr>
          <w:rFonts w:ascii="Arial" w:cs="Arial" w:eastAsia="Arial" w:hAnsi="Arial"/>
          <w:sz w:val="14"/>
          <w:szCs w:val="14"/>
          <w:color w:val="auto"/>
        </w:rPr>
        <w:t>than the market value on a date not normally more than 30 days before the grant date of</w:t>
      </w:r>
    </w:p>
    <w:p>
      <w:pPr>
        <w:spacing w:after="0" w:line="218" w:lineRule="auto"/>
        <w:rPr>
          <w:sz w:val="20"/>
          <w:szCs w:val="20"/>
          <w:color w:val="auto"/>
        </w:rPr>
      </w:pPr>
      <w:r>
        <w:rPr>
          <w:rFonts w:ascii="Arial" w:cs="Arial" w:eastAsia="Arial" w:hAnsi="Arial"/>
          <w:sz w:val="14"/>
          <w:szCs w:val="14"/>
          <w:color w:val="auto"/>
        </w:rPr>
        <w:t>the option. These options are normally exercisable after completion of a three-year 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five-year contractual savings period.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At February 26, 2008, there were 2,164,761 issued and outstanding Royal Dutch Shell</w:t>
      </w:r>
    </w:p>
    <w:p>
      <w:pPr>
        <w:spacing w:after="0" w:line="218" w:lineRule="auto"/>
        <w:rPr>
          <w:sz w:val="20"/>
          <w:szCs w:val="20"/>
          <w:color w:val="auto"/>
        </w:rPr>
      </w:pPr>
      <w:r>
        <w:rPr>
          <w:rFonts w:ascii="Arial" w:cs="Arial" w:eastAsia="Arial" w:hAnsi="Arial"/>
          <w:sz w:val="14"/>
          <w:szCs w:val="14"/>
          <w:color w:val="auto"/>
        </w:rPr>
        <w:t>Class B shares under option to such employees pursuant to the rules of those schemes</w:t>
      </w:r>
    </w:p>
    <w:p>
      <w:pPr>
        <w:spacing w:after="0"/>
        <w:rPr>
          <w:sz w:val="20"/>
          <w:szCs w:val="20"/>
          <w:color w:val="auto"/>
        </w:rPr>
      </w:pPr>
      <w:r>
        <w:rPr>
          <w:rFonts w:ascii="Arial" w:cs="Arial" w:eastAsia="Arial" w:hAnsi="Arial"/>
          <w:sz w:val="14"/>
          <w:szCs w:val="14"/>
          <w:color w:val="auto"/>
        </w:rPr>
        <w:t>at prices between £12.9466 and £21.2100.</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No issue of new shares has, in the past, been involved under any of the plans or</w:t>
      </w:r>
    </w:p>
    <w:p>
      <w:pPr>
        <w:spacing w:after="0"/>
        <w:rPr>
          <w:sz w:val="20"/>
          <w:szCs w:val="20"/>
          <w:color w:val="auto"/>
        </w:rPr>
      </w:pPr>
      <w:r>
        <w:rPr>
          <w:rFonts w:ascii="Arial" w:cs="Arial" w:eastAsia="Arial" w:hAnsi="Arial"/>
          <w:sz w:val="14"/>
          <w:szCs w:val="14"/>
          <w:color w:val="auto"/>
        </w:rPr>
        <w:t>schemes mentioned above.</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GROUP SHARE PLANS</w:t>
      </w:r>
    </w:p>
    <w:p>
      <w:pPr>
        <w:spacing w:after="0" w:line="226" w:lineRule="auto"/>
        <w:rPr>
          <w:sz w:val="20"/>
          <w:szCs w:val="20"/>
          <w:color w:val="auto"/>
        </w:rPr>
      </w:pPr>
      <w:r>
        <w:rPr>
          <w:rFonts w:ascii="Arial" w:cs="Arial" w:eastAsia="Arial" w:hAnsi="Arial"/>
          <w:sz w:val="14"/>
          <w:szCs w:val="14"/>
          <w:color w:val="auto"/>
        </w:rPr>
        <w:t>Please refer to Note 27 to the Consolidated Financial Statements for a further</w:t>
      </w:r>
    </w:p>
    <w:p>
      <w:pPr>
        <w:spacing w:after="0"/>
        <w:rPr>
          <w:sz w:val="20"/>
          <w:szCs w:val="20"/>
          <w:color w:val="auto"/>
        </w:rPr>
      </w:pPr>
      <w:r>
        <w:rPr>
          <w:rFonts w:ascii="Arial" w:cs="Arial" w:eastAsia="Arial" w:hAnsi="Arial"/>
          <w:sz w:val="14"/>
          <w:szCs w:val="14"/>
          <w:color w:val="auto"/>
        </w:rPr>
        <w:t>discussion of the principal Shell group share plans.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ACCOUNTING ESTIMATES AND JUDGEMENTS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3 to the Consolidated Financial Statements for a discussion of key</w:t>
      </w:r>
    </w:p>
    <w:p>
      <w:pPr>
        <w:spacing w:after="0"/>
        <w:rPr>
          <w:sz w:val="20"/>
          <w:szCs w:val="20"/>
          <w:color w:val="auto"/>
        </w:rPr>
      </w:pPr>
      <w:r>
        <w:rPr>
          <w:rFonts w:ascii="Arial" w:cs="Arial" w:eastAsia="Arial" w:hAnsi="Arial"/>
          <w:sz w:val="14"/>
          <w:szCs w:val="14"/>
          <w:color w:val="auto"/>
        </w:rPr>
        <w:t>accounting estimates and judgements.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32 to the Consolidated Financial Statements for a discussion of</w:t>
      </w:r>
    </w:p>
    <w:p>
      <w:pPr>
        <w:spacing w:after="0"/>
        <w:rPr>
          <w:sz w:val="20"/>
          <w:szCs w:val="20"/>
          <w:color w:val="auto"/>
        </w:rPr>
      </w:pPr>
      <w:r>
        <w:rPr>
          <w:rFonts w:ascii="Arial" w:cs="Arial" w:eastAsia="Arial" w:hAnsi="Arial"/>
          <w:sz w:val="14"/>
          <w:szCs w:val="14"/>
          <w:color w:val="auto"/>
        </w:rPr>
        <w:t>legal proceedings.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31635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33 to the Consolidated Financial Statements for a discussion of</w:t>
      </w:r>
    </w:p>
    <w:p>
      <w:pPr>
        <w:spacing w:after="0"/>
        <w:rPr>
          <w:sz w:val="20"/>
          <w:szCs w:val="20"/>
          <w:color w:val="auto"/>
        </w:rPr>
      </w:pPr>
      <w:r>
        <w:rPr>
          <w:rFonts w:ascii="Arial" w:cs="Arial" w:eastAsia="Arial" w:hAnsi="Arial"/>
          <w:sz w:val="14"/>
          <w:szCs w:val="14"/>
          <w:color w:val="auto"/>
        </w:rPr>
        <w:t>auditors’ fees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936625</wp:posOffset>
            </wp:positionV>
            <wp:extent cx="725297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252970" cy="85026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2970" cy="8502650"/>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83" w:name="page84"/>
    <w:bookmarkEnd w:id="8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375285</wp:posOffset>
            </wp:positionV>
            <wp:extent cx="6343650" cy="80943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43650" cy="809434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60"/>
        <w:spacing w:after="0"/>
        <w:rPr>
          <w:sz w:val="20"/>
          <w:szCs w:val="20"/>
          <w:color w:val="auto"/>
        </w:rPr>
      </w:pPr>
      <w:r>
        <w:rPr>
          <w:rFonts w:ascii="Arial" w:cs="Arial" w:eastAsia="Arial" w:hAnsi="Arial"/>
          <w:sz w:val="15"/>
          <w:szCs w:val="15"/>
          <w:b w:val="1"/>
          <w:bCs w:val="1"/>
          <w:color w:val="auto"/>
        </w:rPr>
        <w:t>REPORT OF THE DIRECTORS</w:t>
      </w:r>
    </w:p>
    <w:p>
      <w:pPr>
        <w:spacing w:after="0" w:line="334"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CORPORATE GOVERNANCE</w:t>
      </w:r>
    </w:p>
    <w:p>
      <w:pPr>
        <w:spacing w:after="0" w:line="162"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DIRECTORS’</w:t>
      </w:r>
    </w:p>
    <w:p>
      <w:pPr>
        <w:spacing w:after="0" w:line="22"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REMUNERATION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2" w:right="3299" w:hanging="362"/>
        <w:spacing w:after="0" w:line="238" w:lineRule="auto"/>
        <w:tabs>
          <w:tab w:leader="none" w:pos="362" w:val="left"/>
        </w:tabs>
        <w:numPr>
          <w:ilvl w:val="0"/>
          <w:numId w:val="87"/>
        </w:numPr>
        <w:rPr>
          <w:rFonts w:ascii="Arial" w:cs="Arial" w:eastAsia="Arial" w:hAnsi="Arial"/>
          <w:sz w:val="14"/>
          <w:szCs w:val="14"/>
          <w:u w:val="single" w:color="auto"/>
          <w:color w:val="0000EE"/>
        </w:rPr>
      </w:pPr>
      <w:hyperlink w:anchor="page85">
        <w:r>
          <w:rPr>
            <w:rFonts w:ascii="Arial" w:cs="Arial" w:eastAsia="Arial" w:hAnsi="Arial"/>
            <w:sz w:val="14"/>
            <w:szCs w:val="14"/>
            <w:u w:val="single" w:color="auto"/>
            <w:color w:val="0000EE"/>
          </w:rPr>
          <w:t>The Board of Royal Dutch Shell</w:t>
        </w:r>
      </w:hyperlink>
      <w:r>
        <w:rPr>
          <w:rFonts w:ascii="Arial" w:cs="Arial" w:eastAsia="Arial" w:hAnsi="Arial"/>
          <w:sz w:val="14"/>
          <w:szCs w:val="14"/>
          <w:u w:val="single" w:color="auto"/>
          <w:color w:val="0000EE"/>
        </w:rPr>
        <w:t xml:space="preserve"> </w:t>
      </w:r>
      <w:hyperlink w:anchor="page85">
        <w:r>
          <w:rPr>
            <w:rFonts w:ascii="Arial" w:cs="Arial" w:eastAsia="Arial" w:hAnsi="Arial"/>
            <w:sz w:val="14"/>
            <w:szCs w:val="14"/>
            <w:u w:val="single" w:color="auto"/>
            <w:color w:val="0000EE"/>
          </w:rPr>
          <w:t>plc</w:t>
        </w:r>
      </w:hyperlink>
    </w:p>
    <w:p>
      <w:pPr>
        <w:ind w:left="362" w:hanging="362"/>
        <w:spacing w:after="0"/>
        <w:tabs>
          <w:tab w:leader="none" w:pos="362" w:val="left"/>
        </w:tabs>
        <w:numPr>
          <w:ilvl w:val="0"/>
          <w:numId w:val="88"/>
        </w:numPr>
        <w:rPr>
          <w:rFonts w:ascii="Arial" w:cs="Arial" w:eastAsia="Arial" w:hAnsi="Arial"/>
          <w:sz w:val="14"/>
          <w:szCs w:val="14"/>
          <w:u w:val="single" w:color="auto"/>
          <w:color w:val="0000EE"/>
        </w:rPr>
      </w:pPr>
      <w:hyperlink w:anchor="page88">
        <w:r>
          <w:rPr>
            <w:rFonts w:ascii="Arial" w:cs="Arial" w:eastAsia="Arial" w:hAnsi="Arial"/>
            <w:sz w:val="14"/>
            <w:szCs w:val="14"/>
            <w:u w:val="single" w:color="auto"/>
            <w:color w:val="0000EE"/>
          </w:rPr>
          <w:t>Report of the Directors</w:t>
        </w:r>
      </w:hyperlink>
    </w:p>
    <w:p>
      <w:pPr>
        <w:spacing w:after="0" w:line="159" w:lineRule="exact"/>
        <w:rPr>
          <w:rFonts w:ascii="Arial" w:cs="Arial" w:eastAsia="Arial" w:hAnsi="Arial"/>
          <w:sz w:val="14"/>
          <w:szCs w:val="14"/>
          <w:b w:val="1"/>
          <w:bCs w:val="1"/>
          <w:u w:val="single" w:color="auto"/>
          <w:color w:val="0000EE"/>
        </w:rPr>
      </w:pPr>
    </w:p>
    <w:p>
      <w:pPr>
        <w:ind w:left="362" w:hanging="362"/>
        <w:spacing w:after="0"/>
        <w:tabs>
          <w:tab w:leader="none" w:pos="362" w:val="left"/>
        </w:tabs>
        <w:numPr>
          <w:ilvl w:val="0"/>
          <w:numId w:val="89"/>
        </w:numPr>
        <w:rPr>
          <w:rFonts w:ascii="Arial" w:cs="Arial" w:eastAsia="Arial" w:hAnsi="Arial"/>
          <w:sz w:val="14"/>
          <w:szCs w:val="14"/>
          <w:u w:val="single" w:color="auto"/>
          <w:color w:val="0000EE"/>
        </w:rPr>
      </w:pPr>
      <w:hyperlink w:anchor="page92">
        <w:r>
          <w:rPr>
            <w:rFonts w:ascii="Arial" w:cs="Arial" w:eastAsia="Arial" w:hAnsi="Arial"/>
            <w:sz w:val="14"/>
            <w:szCs w:val="14"/>
            <w:u w:val="single" w:color="auto"/>
            <w:color w:val="0000EE"/>
          </w:rPr>
          <w:t>Corporate governance</w:t>
        </w:r>
      </w:hyperlink>
    </w:p>
    <w:p>
      <w:pPr>
        <w:spacing w:after="0" w:line="185" w:lineRule="exact"/>
        <w:rPr>
          <w:rFonts w:ascii="Arial" w:cs="Arial" w:eastAsia="Arial" w:hAnsi="Arial"/>
          <w:sz w:val="14"/>
          <w:szCs w:val="14"/>
          <w:b w:val="1"/>
          <w:bCs w:val="1"/>
          <w:u w:val="single" w:color="auto"/>
          <w:color w:val="0000EE"/>
        </w:rPr>
      </w:pPr>
    </w:p>
    <w:p>
      <w:pPr>
        <w:ind w:left="362" w:hanging="362"/>
        <w:spacing w:after="0"/>
        <w:tabs>
          <w:tab w:leader="none" w:pos="362" w:val="left"/>
        </w:tabs>
        <w:numPr>
          <w:ilvl w:val="0"/>
          <w:numId w:val="90"/>
        </w:numPr>
        <w:rPr>
          <w:rFonts w:ascii="Arial" w:cs="Arial" w:eastAsia="Arial" w:hAnsi="Arial"/>
          <w:sz w:val="14"/>
          <w:szCs w:val="14"/>
          <w:u w:val="single" w:color="auto"/>
          <w:color w:val="0000EE"/>
        </w:rPr>
      </w:pPr>
      <w:hyperlink w:anchor="page99">
        <w:r>
          <w:rPr>
            <w:rFonts w:ascii="Arial" w:cs="Arial" w:eastAsia="Arial" w:hAnsi="Arial"/>
            <w:sz w:val="14"/>
            <w:szCs w:val="14"/>
            <w:u w:val="single" w:color="auto"/>
            <w:color w:val="0000EE"/>
          </w:rPr>
          <w:t>Directors’ Remuneration Report</w:t>
        </w:r>
      </w:hyperlink>
    </w:p>
    <w:p>
      <w:pPr>
        <w:spacing w:after="0" w:line="20" w:lineRule="exact"/>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column">
              <wp:posOffset>-2903855</wp:posOffset>
            </wp:positionH>
            <wp:positionV relativeFrom="paragraph">
              <wp:posOffset>6438900</wp:posOffset>
            </wp:positionV>
            <wp:extent cx="725297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340" w:space="238"/>
            <w:col w:w="5642"/>
          </w:cols>
          <w:pgMar w:left="240" w:top="415" w:right="1440"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left="240"/>
        <w:spacing w:after="0"/>
        <w:rPr>
          <w:sz w:val="20"/>
          <w:szCs w:val="20"/>
          <w:color w:val="auto"/>
        </w:rPr>
      </w:pPr>
      <w:r>
        <w:rPr>
          <w:rFonts w:ascii="Arial" w:cs="Arial" w:eastAsia="Arial" w:hAnsi="Arial"/>
          <w:sz w:val="12"/>
          <w:szCs w:val="12"/>
          <w:color w:val="auto"/>
        </w:rPr>
        <w:t>REPORT OF THE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48525" cy="89738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8525" cy="8973820"/>
                    </a:xfrm>
                    <a:prstGeom prst="rect">
                      <a:avLst/>
                    </a:prstGeom>
                    <a:noFill/>
                  </pic:spPr>
                </pic:pic>
              </a:graphicData>
            </a:graphic>
          </wp:anchor>
        </w:drawing>
      </w:r>
    </w:p>
    <w:p>
      <w:pPr>
        <w:spacing w:after="0" w:line="69" w:lineRule="exact"/>
        <w:rPr>
          <w:sz w:val="20"/>
          <w:szCs w:val="20"/>
          <w:color w:val="auto"/>
        </w:rPr>
      </w:pPr>
    </w:p>
    <w:p>
      <w:pPr>
        <w:ind w:left="240"/>
        <w:spacing w:after="0"/>
        <w:rPr>
          <w:sz w:val="20"/>
          <w:szCs w:val="20"/>
          <w:color w:val="auto"/>
        </w:rPr>
      </w:pPr>
      <w:r>
        <w:rPr>
          <w:rFonts w:ascii="Arial" w:cs="Arial" w:eastAsia="Arial" w:hAnsi="Arial"/>
          <w:sz w:val="32"/>
          <w:szCs w:val="32"/>
          <w:color w:val="auto"/>
        </w:rPr>
        <w:t>The Board of Royal Dutch Shell plc</w:t>
      </w:r>
    </w:p>
    <w:p>
      <w:pPr>
        <w:sectPr>
          <w:pgSz w:w="11900" w:h="16838" w:orient="portrait"/>
          <w:cols w:equalWidth="0" w:num="1">
            <w:col w:w="11360"/>
          </w:cols>
          <w:pgMar w:left="240" w:top="41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0"/>
        <w:spacing w:after="0"/>
        <w:rPr>
          <w:sz w:val="20"/>
          <w:szCs w:val="20"/>
          <w:color w:val="auto"/>
        </w:rPr>
      </w:pPr>
      <w:r>
        <w:rPr>
          <w:rFonts w:ascii="Arial" w:cs="Arial" w:eastAsia="Arial" w:hAnsi="Arial"/>
          <w:sz w:val="14"/>
          <w:szCs w:val="14"/>
          <w:color w:val="auto"/>
        </w:rPr>
        <w:t xml:space="preserve">Jorma Ollila </w:t>
      </w:r>
      <w:r>
        <w:rPr>
          <w:rFonts w:ascii="Arial" w:cs="Arial" w:eastAsia="Arial" w:hAnsi="Arial"/>
          <w:sz w:val="14"/>
          <w:szCs w:val="14"/>
          <w:color w:val="FFFFFF"/>
          <w:shd w:val="clear" w:color="auto" w:fill="FFD204"/>
        </w:rPr>
        <w:t>R</w:t>
      </w:r>
      <w:r>
        <w:rPr>
          <w:rFonts w:ascii="Arial" w:cs="Arial" w:eastAsia="Arial" w:hAnsi="Arial"/>
          <w:sz w:val="14"/>
          <w:szCs w:val="14"/>
          <w:color w:val="auto"/>
        </w:rPr>
        <w:t xml:space="preserve"> </w:t>
      </w:r>
      <w:r>
        <w:rPr>
          <w:rFonts w:ascii="Arial" w:cs="Arial" w:eastAsia="Arial" w:hAnsi="Arial"/>
          <w:sz w:val="14"/>
          <w:szCs w:val="14"/>
          <w:color w:val="FFFFFF"/>
          <w:shd w:val="clear" w:color="auto" w:fill="009AC8"/>
        </w:rPr>
        <w:t>N</w:t>
      </w:r>
    </w:p>
    <w:p>
      <w:pPr>
        <w:ind w:left="480"/>
        <w:spacing w:after="0"/>
        <w:rPr>
          <w:sz w:val="20"/>
          <w:szCs w:val="20"/>
          <w:color w:val="auto"/>
        </w:rPr>
      </w:pPr>
      <w:r>
        <w:rPr>
          <w:rFonts w:ascii="Arial" w:cs="Arial" w:eastAsia="Arial" w:hAnsi="Arial"/>
          <w:sz w:val="14"/>
          <w:szCs w:val="14"/>
          <w:i w:val="1"/>
          <w:iCs w:val="1"/>
          <w:color w:val="auto"/>
        </w:rPr>
        <w:t>Chairman</w:t>
      </w:r>
    </w:p>
    <w:p>
      <w:pPr>
        <w:spacing w:after="0" w:line="120" w:lineRule="exact"/>
        <w:rPr>
          <w:sz w:val="20"/>
          <w:szCs w:val="20"/>
          <w:color w:val="auto"/>
        </w:rPr>
      </w:pPr>
    </w:p>
    <w:p>
      <w:pPr>
        <w:ind w:left="480"/>
        <w:spacing w:after="0" w:line="238" w:lineRule="auto"/>
        <w:rPr>
          <w:sz w:val="20"/>
          <w:szCs w:val="20"/>
          <w:color w:val="auto"/>
        </w:rPr>
      </w:pPr>
      <w:r>
        <w:rPr>
          <w:rFonts w:ascii="Arial" w:cs="Arial" w:eastAsia="Arial" w:hAnsi="Arial"/>
          <w:sz w:val="13"/>
          <w:szCs w:val="13"/>
          <w:color w:val="auto"/>
        </w:rPr>
        <w:t>Born August 15, 1950. A Finnish national, appointed Chairman of Royal Dutch Shell as from June 1, 2006. Previously he was Vice-President of International Operations of Nokia in 1985. In 1986 he was appointed Vice-President Finance of Nokia and served between 1990 and 1992 as President of Nokia Mobile Phones. Between 1992 and 1999 he was President and Chief Executive Officer of Nokia and from 1999 to June 1, 2006 he has been Chief Executive Officer of Nokia. Prior to joining Nokia, he started his career in banking at Citibank in London and Helsinki. Currently he is Chairman of the Board of Nokia, a Non-executive Director of Ford Motor Company, and Vice Chairman of UPM-Kymmene Corporation and Otava books and magazines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60"/>
        <w:spacing w:after="0" w:line="224" w:lineRule="auto"/>
        <w:rPr>
          <w:sz w:val="20"/>
          <w:szCs w:val="20"/>
          <w:color w:val="auto"/>
        </w:rPr>
      </w:pPr>
      <w:r>
        <w:rPr>
          <w:rFonts w:ascii="Arial" w:cs="Arial" w:eastAsia="Arial" w:hAnsi="Arial"/>
          <w:sz w:val="14"/>
          <w:szCs w:val="14"/>
          <w:color w:val="auto"/>
        </w:rPr>
        <w:t xml:space="preserve">Lord Kerr of Kinlochard GCMG </w:t>
      </w:r>
      <w:r>
        <w:rPr>
          <w:rFonts w:ascii="Arial" w:cs="Arial" w:eastAsia="Arial" w:hAnsi="Arial"/>
          <w:sz w:val="14"/>
          <w:szCs w:val="14"/>
          <w:color w:val="FFFFFF"/>
        </w:rPr>
        <w:t>R N</w:t>
      </w:r>
      <w:r>
        <w:rPr>
          <w:rFonts w:ascii="Arial" w:cs="Arial" w:eastAsia="Arial" w:hAnsi="Arial"/>
          <w:sz w:val="14"/>
          <w:szCs w:val="14"/>
          <w:color w:val="auto"/>
        </w:rPr>
        <w:t xml:space="preserve"> </w:t>
      </w:r>
      <w:r>
        <w:rPr>
          <w:rFonts w:ascii="Arial" w:cs="Arial" w:eastAsia="Arial" w:hAnsi="Arial"/>
          <w:sz w:val="14"/>
          <w:szCs w:val="14"/>
          <w:i w:val="1"/>
          <w:iCs w:val="1"/>
          <w:color w:val="auto"/>
        </w:rPr>
        <w:t>Deputy Chairman and Senior Independent Non-executive Director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Born February 22, 1942. A British national, appointed a Non-executive Director of Royal Dutch Shell in October 2004. He was a Non-executive Director of Shell Transport from 2002 to 2005. A member of the UK Diplomatic Service from 1966 to 2002, he was UK Permanent Representative to the EU, British Ambassador to the USA, and Foreign Office Permanent Under Secretary of State. He was Secretary-General of the European Convention (2002-2003), and in 2004 became an independent member of the House of Lords and sits on the EU Select Committee. He is a Non-executive Director of Rio Tinto plc and the Scottish American Investment Company plc, a Scottish Power Advisory Board member, Chairman of Imperial College, and a Trustee of the National Gallery and of the Rhodes, Fulbright, and Carnegie Trusts.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Jeroen van der Veer</w:t>
      </w:r>
    </w:p>
    <w:p>
      <w:pPr>
        <w:spacing w:after="0"/>
        <w:rPr>
          <w:sz w:val="20"/>
          <w:szCs w:val="20"/>
          <w:color w:val="auto"/>
        </w:rPr>
      </w:pPr>
      <w:r>
        <w:rPr>
          <w:rFonts w:ascii="Arial" w:cs="Arial" w:eastAsia="Arial" w:hAnsi="Arial"/>
          <w:sz w:val="14"/>
          <w:szCs w:val="14"/>
          <w:i w:val="1"/>
          <w:iCs w:val="1"/>
          <w:color w:val="auto"/>
        </w:rPr>
        <w:t>Chief Executive</w:t>
      </w:r>
    </w:p>
    <w:p>
      <w:pPr>
        <w:spacing w:after="0" w:line="120"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Born October 27, 1947. A Dutch national, appointed Chief Executive of Royal Dutch Shell in October 2004. He was appointed President of Royal Dutch in 2000, having been a Managing Director of Royal Dutch since 1997 and was a Board member of Royal Dutch until the merger of the company on December 21, 2005. He was a Director of Shell Canada Limited from April 24, 2003 until April 29, 2005. Joined Shell in 1971 in refinery process design and held a number of senior management positions around the world. He is a Non-executive Director of Unilever (which includes Unilever N.V., Unilever plc and Unilever Holdings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Peter Voser</w:t>
      </w:r>
    </w:p>
    <w:p>
      <w:pPr>
        <w:spacing w:after="0"/>
        <w:rPr>
          <w:sz w:val="20"/>
          <w:szCs w:val="20"/>
          <w:color w:val="auto"/>
        </w:rPr>
      </w:pPr>
      <w:r>
        <w:rPr>
          <w:rFonts w:ascii="Arial" w:cs="Arial" w:eastAsia="Arial" w:hAnsi="Arial"/>
          <w:sz w:val="14"/>
          <w:szCs w:val="14"/>
          <w:i w:val="1"/>
          <w:iCs w:val="1"/>
          <w:color w:val="auto"/>
        </w:rPr>
        <w:t>Chief Financial Officer</w:t>
      </w:r>
    </w:p>
    <w:p>
      <w:pPr>
        <w:spacing w:after="0" w:line="120" w:lineRule="exact"/>
        <w:rPr>
          <w:sz w:val="20"/>
          <w:szCs w:val="20"/>
          <w:color w:val="auto"/>
        </w:rPr>
      </w:pPr>
    </w:p>
    <w:p>
      <w:pPr>
        <w:spacing w:after="0" w:line="237" w:lineRule="auto"/>
        <w:rPr>
          <w:sz w:val="20"/>
          <w:szCs w:val="20"/>
          <w:color w:val="auto"/>
        </w:rPr>
      </w:pPr>
      <w:r>
        <w:rPr>
          <w:rFonts w:ascii="Arial" w:cs="Arial" w:eastAsia="Arial" w:hAnsi="Arial"/>
          <w:sz w:val="13"/>
          <w:szCs w:val="13"/>
          <w:color w:val="auto"/>
        </w:rPr>
        <w:t>Born August 29, 1958. A Swiss national, appointed Chief Financial Officer of Royal Dutch Shell in October 2004. He was appointed a Managing Director of Shell Transport and Chief Financial Officer in October 2004. In 2002, he joined the Asea Brown Boveri (ABB) Group of Companies, based in Switzerland as Chief Financial Officer and Member of the ABB Group Executive Committee. Originally joined the Shell group in 1982 where he held a variety of finance and business roles in Switzerland, UK, Argentina and Chile, including Chief Financial Officer of Oil Products. He was a member of the supervisory board of Aegon N.V. from 2004 until April 25, 2006. He is a member of the supervisory board of UBS AG and a member of the Swiss Federal Auditor Oversight Authority.</w:t>
      </w:r>
    </w:p>
    <w:p>
      <w:pPr>
        <w:spacing w:after="0" w:line="200" w:lineRule="exact"/>
        <w:rPr>
          <w:sz w:val="20"/>
          <w:szCs w:val="20"/>
          <w:color w:val="auto"/>
        </w:rPr>
      </w:pPr>
    </w:p>
    <w:p>
      <w:pPr>
        <w:sectPr>
          <w:pgSz w:w="11900" w:h="16838" w:orient="portrait"/>
          <w:cols w:equalWidth="0" w:num="4">
            <w:col w:w="3120" w:space="340"/>
            <w:col w:w="2660" w:space="220"/>
            <w:col w:w="2660" w:space="220"/>
            <w:col w:w="2140"/>
          </w:cols>
          <w:pgMar w:left="240" w:top="41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 xml:space="preserve">Maarten Van Den Bergh </w:t>
      </w:r>
      <w:r>
        <w:rPr>
          <w:rFonts w:ascii="Arial" w:cs="Arial" w:eastAsia="Arial" w:hAnsi="Arial"/>
          <w:sz w:val="14"/>
          <w:szCs w:val="14"/>
          <w:color w:val="FFFFFF"/>
        </w:rPr>
        <w:t>S</w:t>
      </w:r>
    </w:p>
    <w:p>
      <w:pPr>
        <w:ind w:left="480"/>
        <w:spacing w:after="0"/>
        <w:rPr>
          <w:sz w:val="20"/>
          <w:szCs w:val="20"/>
          <w:color w:val="auto"/>
        </w:rPr>
      </w:pPr>
      <w:r>
        <w:rPr>
          <w:rFonts w:ascii="Arial" w:cs="Arial" w:eastAsia="Arial" w:hAnsi="Arial"/>
          <w:sz w:val="14"/>
          <w:szCs w:val="14"/>
          <w:i w:val="1"/>
          <w:iCs w:val="1"/>
          <w:color w:val="auto"/>
        </w:rPr>
        <w:t>Non-executive Director</w:t>
      </w:r>
    </w:p>
    <w:p>
      <w:pPr>
        <w:spacing w:after="0" w:line="120" w:lineRule="exact"/>
        <w:rPr>
          <w:sz w:val="20"/>
          <w:szCs w:val="20"/>
          <w:color w:val="auto"/>
        </w:rPr>
      </w:pPr>
    </w:p>
    <w:p>
      <w:pPr>
        <w:ind w:left="480"/>
        <w:spacing w:after="0" w:line="222" w:lineRule="auto"/>
        <w:rPr>
          <w:sz w:val="20"/>
          <w:szCs w:val="20"/>
          <w:color w:val="auto"/>
        </w:rPr>
      </w:pPr>
      <w:r>
        <w:rPr>
          <w:rFonts w:ascii="Arial" w:cs="Arial" w:eastAsia="Arial" w:hAnsi="Arial"/>
          <w:sz w:val="14"/>
          <w:szCs w:val="14"/>
          <w:color w:val="auto"/>
        </w:rPr>
        <w:t>Born April 19, 1942. A Dutch national, appointed a Non-executive Director of Royal Dutch Shell in October 2004. He was a member of the Royal Dutch supervisory board from 2000 to July 4, 2005. Managing Director of Royal Dutch from 1992 to 2000 and President from 1998 to 2000. He was Chairman of the Board of Directors of Lloyds TSB from 2001 to May 11, 2006. He is a member of the Boards of Directors of BT Group plc and British Airways plc and Chairman of the supervisory board of Akzo Nobel N.V.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Nina Henderson </w:t>
      </w:r>
      <w:r>
        <w:rPr>
          <w:rFonts w:ascii="Arial" w:cs="Arial" w:eastAsia="Arial" w:hAnsi="Arial"/>
          <w:sz w:val="14"/>
          <w:szCs w:val="14"/>
          <w:color w:val="FFFFFF"/>
        </w:rPr>
        <w:t>S</w:t>
      </w:r>
    </w:p>
    <w:p>
      <w:pPr>
        <w:spacing w:after="0"/>
        <w:rPr>
          <w:sz w:val="20"/>
          <w:szCs w:val="20"/>
          <w:color w:val="auto"/>
        </w:rPr>
      </w:pPr>
      <w:r>
        <w:rPr>
          <w:rFonts w:ascii="Arial" w:cs="Arial" w:eastAsia="Arial" w:hAnsi="Arial"/>
          <w:sz w:val="14"/>
          <w:szCs w:val="14"/>
          <w:i w:val="1"/>
          <w:iCs w:val="1"/>
          <w:color w:val="auto"/>
        </w:rPr>
        <w:t>Non-executive Director</w:t>
      </w:r>
    </w:p>
    <w:p>
      <w:pPr>
        <w:spacing w:after="0" w:line="120" w:lineRule="exact"/>
        <w:rPr>
          <w:sz w:val="20"/>
          <w:szCs w:val="20"/>
          <w:color w:val="auto"/>
        </w:rPr>
      </w:pPr>
    </w:p>
    <w:p>
      <w:pPr>
        <w:ind w:right="20"/>
        <w:spacing w:after="0" w:line="260" w:lineRule="auto"/>
        <w:rPr>
          <w:sz w:val="20"/>
          <w:szCs w:val="20"/>
          <w:color w:val="auto"/>
        </w:rPr>
      </w:pPr>
      <w:r>
        <w:rPr>
          <w:rFonts w:ascii="Arial" w:cs="Arial" w:eastAsia="Arial" w:hAnsi="Arial"/>
          <w:sz w:val="12"/>
          <w:szCs w:val="12"/>
          <w:color w:val="auto"/>
        </w:rPr>
        <w:t>Born July 6, 1950. A US national, appointed a Non-executive Director of Royal Dutch Shell in October 2004. She was a Non-executive Director of Shell Transport from 2001 to</w:t>
      </w:r>
    </w:p>
    <w:p>
      <w:pPr>
        <w:spacing w:after="0" w:line="222" w:lineRule="auto"/>
        <w:rPr>
          <w:sz w:val="20"/>
          <w:szCs w:val="20"/>
          <w:color w:val="auto"/>
        </w:rPr>
      </w:pPr>
      <w:r>
        <w:rPr>
          <w:rFonts w:ascii="Arial" w:cs="Arial" w:eastAsia="Arial" w:hAnsi="Arial"/>
          <w:sz w:val="14"/>
          <w:szCs w:val="14"/>
          <w:color w:val="auto"/>
        </w:rPr>
        <w:t>2005. Previously President of a major division and Corporate Vice-President of Bestfoods, a major US foods company, responsible for worldwide core business development. Non-executive Director of Pactiv Corporation, AXA Financial Inc., Del Monte Foods Company and Visiting Nurse Service of New York.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Sir Peter Job KBE </w:t>
      </w:r>
      <w:r>
        <w:rPr>
          <w:rFonts w:ascii="Arial" w:cs="Arial" w:eastAsia="Arial" w:hAnsi="Arial"/>
          <w:sz w:val="14"/>
          <w:szCs w:val="14"/>
          <w:color w:val="FFFFFF"/>
        </w:rPr>
        <w:t>R</w:t>
      </w:r>
    </w:p>
    <w:p>
      <w:pPr>
        <w:spacing w:after="0"/>
        <w:rPr>
          <w:sz w:val="20"/>
          <w:szCs w:val="20"/>
          <w:color w:val="auto"/>
        </w:rPr>
      </w:pPr>
      <w:r>
        <w:rPr>
          <w:rFonts w:ascii="Arial" w:cs="Arial" w:eastAsia="Arial" w:hAnsi="Arial"/>
          <w:sz w:val="14"/>
          <w:szCs w:val="14"/>
          <w:i w:val="1"/>
          <w:iCs w:val="1"/>
          <w:color w:val="auto"/>
        </w:rPr>
        <w:t>Non-executive Director</w:t>
      </w:r>
    </w:p>
    <w:p>
      <w:pPr>
        <w:spacing w:after="0" w:line="120"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Born July 13, 1941. A British national, appointed a Non-executive Director of Royal Dutch Shell in October 2004. He was a Non-executive Director of Shell Transport from 2001 to 2005. Previously he was Chief Executive of Reuters Group plc. He is a Non-executive Director of Schroders plc and TIBCO Software Inc. and a member of the supervisory board of Deutsche 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800"/>
        <w:spacing w:after="0" w:line="247" w:lineRule="auto"/>
        <w:rPr>
          <w:sz w:val="20"/>
          <w:szCs w:val="20"/>
          <w:color w:val="auto"/>
        </w:rPr>
      </w:pPr>
      <w:r>
        <w:rPr>
          <w:rFonts w:ascii="Arial" w:cs="Arial" w:eastAsia="Arial" w:hAnsi="Arial"/>
          <w:sz w:val="14"/>
          <w:szCs w:val="14"/>
          <w:color w:val="auto"/>
        </w:rPr>
        <w:t xml:space="preserve">Wim Kok </w:t>
      </w:r>
      <w:r>
        <w:rPr>
          <w:rFonts w:ascii="Arial" w:cs="Arial" w:eastAsia="Arial" w:hAnsi="Arial"/>
          <w:sz w:val="14"/>
          <w:szCs w:val="14"/>
          <w:color w:val="FFFFFF"/>
        </w:rPr>
        <w:t>S N</w:t>
      </w:r>
      <w:r>
        <w:rPr>
          <w:rFonts w:ascii="Arial" w:cs="Arial" w:eastAsia="Arial" w:hAnsi="Arial"/>
          <w:sz w:val="14"/>
          <w:szCs w:val="14"/>
          <w:color w:val="auto"/>
        </w:rPr>
        <w:t xml:space="preserve"> </w:t>
      </w:r>
      <w:r>
        <w:rPr>
          <w:rFonts w:ascii="Arial" w:cs="Arial" w:eastAsia="Arial" w:hAnsi="Arial"/>
          <w:sz w:val="14"/>
          <w:szCs w:val="14"/>
          <w:i w:val="1"/>
          <w:iCs w:val="1"/>
          <w:color w:val="auto"/>
        </w:rPr>
        <w:t>Non-executive Director</w:t>
      </w:r>
    </w:p>
    <w:p>
      <w:pPr>
        <w:spacing w:after="0" w:line="108"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Born September 29, 1938. A Dutch national, appointed a Non-executive Director of Royal Dutch Shell in October 2004. He was a member of the Royal Dutch supervisory board from 2003 to July 4, 2005. Chaired the Confederation of Dutch trade unions (FNV) before becoming a member of the Lower House of Parliament and parliamentary leader of the Partij van de Arbeid (Labour Party). Appointed Minister of Finance in 1989 and Prime Minister in 1994, serving for two periods of government up to July 2002. Member of the supervisory boards of ING Groep N.V., KLM N.V. and TNT N.V.</w:t>
      </w:r>
    </w:p>
    <w:p>
      <w:pPr>
        <w:spacing w:after="0" w:line="200" w:lineRule="exact"/>
        <w:rPr>
          <w:sz w:val="20"/>
          <w:szCs w:val="20"/>
          <w:color w:val="auto"/>
        </w:rPr>
      </w:pPr>
    </w:p>
    <w:p>
      <w:pPr>
        <w:sectPr>
          <w:pgSz w:w="11900" w:h="16838" w:orient="portrait"/>
          <w:cols w:equalWidth="0" w:num="4">
            <w:col w:w="3120" w:space="340"/>
            <w:col w:w="2640" w:space="240"/>
            <w:col w:w="2580" w:space="300"/>
            <w:col w:w="2140"/>
          </w:cols>
          <w:pgMar w:left="240" w:top="41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0" w:hanging="285"/>
        <w:spacing w:after="0"/>
        <w:tabs>
          <w:tab w:leader="none" w:pos="520" w:val="left"/>
        </w:tabs>
        <w:numPr>
          <w:ilvl w:val="0"/>
          <w:numId w:val="91"/>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484505</wp:posOffset>
            </wp:positionV>
            <wp:extent cx="725297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type w:val="continuous"/>
        </w:sectPr>
      </w:pPr>
    </w:p>
    <w:bookmarkStart w:id="85" w:name="page86"/>
    <w:bookmarkEnd w:id="85"/>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358775</wp:posOffset>
            </wp:positionV>
            <wp:extent cx="7248525" cy="98729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8525" cy="9872980"/>
                    </a:xfrm>
                    <a:prstGeom prst="rect">
                      <a:avLst/>
                    </a:prstGeom>
                    <a:noFill/>
                  </pic:spPr>
                </pic:pic>
              </a:graphicData>
            </a:graphic>
          </wp:anchor>
        </w:drawing>
      </w:r>
    </w:p>
    <w:p>
      <w:pPr>
        <w:sectPr>
          <w:pgSz w:w="11900" w:h="16838" w:orient="portrait"/>
          <w:cols w:equalWidth="0" w:num="1">
            <w:col w:w="10860"/>
          </w:cols>
          <w:pgMar w:left="240" w:top="415" w:right="799" w:bottom="7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60" w:right="220"/>
        <w:spacing w:after="0" w:line="235" w:lineRule="auto"/>
        <w:rPr>
          <w:sz w:val="20"/>
          <w:szCs w:val="20"/>
          <w:color w:val="auto"/>
        </w:rPr>
      </w:pPr>
      <w:r>
        <w:rPr>
          <w:rFonts w:ascii="Arial" w:cs="Arial" w:eastAsia="Arial" w:hAnsi="Arial"/>
          <w:sz w:val="14"/>
          <w:szCs w:val="14"/>
          <w:color w:val="auto"/>
        </w:rPr>
        <w:t xml:space="preserve">Malcolm Brinded CBE FREng </w:t>
      </w:r>
      <w:r>
        <w:rPr>
          <w:rFonts w:ascii="Arial" w:cs="Arial" w:eastAsia="Arial" w:hAnsi="Arial"/>
          <w:sz w:val="14"/>
          <w:szCs w:val="14"/>
          <w:i w:val="1"/>
          <w:iCs w:val="1"/>
          <w:color w:val="auto"/>
        </w:rPr>
        <w:t>Executive Director, Exploration &amp; Production</w:t>
      </w:r>
    </w:p>
    <w:p>
      <w:pPr>
        <w:spacing w:after="0" w:line="113" w:lineRule="exact"/>
        <w:rPr>
          <w:sz w:val="20"/>
          <w:szCs w:val="20"/>
          <w:color w:val="auto"/>
        </w:rPr>
      </w:pPr>
    </w:p>
    <w:p>
      <w:pPr>
        <w:ind w:left="560"/>
        <w:spacing w:after="0" w:line="237" w:lineRule="auto"/>
        <w:rPr>
          <w:sz w:val="20"/>
          <w:szCs w:val="20"/>
          <w:color w:val="auto"/>
        </w:rPr>
      </w:pPr>
      <w:r>
        <w:rPr>
          <w:rFonts w:ascii="Arial" w:cs="Arial" w:eastAsia="Arial" w:hAnsi="Arial"/>
          <w:sz w:val="13"/>
          <w:szCs w:val="13"/>
          <w:color w:val="auto"/>
        </w:rPr>
        <w:t>Born March 18, 1953. A British national, appointed an Executive Director of Royal Dutch Shell in October 2004. He was previously a Managing Director of Shell Transport since March 2004 and prior to that a Managing Director of Royal Dutch since 2002. Joined Shell in 1974 and has held various positions around the world including in Brunei, the Netherlands and Oman. He was also Country Chair for Shell in the UK, and Director of Planning, Environment and External Affairs at Shell International Ltd. Member of the Nigerian Presidential Honorary International Investor Council, Russian Foreign Investment Advisory Council, the Foreign Investors Council of Kazakhstan, the Council of the Royal Academy of Engineering and a Trustee of The Prince of Wales International Business Leaders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Nick Land </w:t>
      </w:r>
      <w:r>
        <w:rPr>
          <w:rFonts w:ascii="Arial" w:cs="Arial" w:eastAsia="Arial" w:hAnsi="Arial"/>
          <w:sz w:val="14"/>
          <w:szCs w:val="14"/>
          <w:color w:val="FFFFFF"/>
          <w:shd w:val="clear" w:color="auto" w:fill="EE2E24"/>
        </w:rPr>
        <w:t>A</w:t>
      </w:r>
    </w:p>
    <w:p>
      <w:pPr>
        <w:ind w:left="560"/>
        <w:spacing w:after="0"/>
        <w:rPr>
          <w:sz w:val="20"/>
          <w:szCs w:val="20"/>
          <w:color w:val="auto"/>
        </w:rPr>
      </w:pPr>
      <w:r>
        <w:rPr>
          <w:rFonts w:ascii="Arial" w:cs="Arial" w:eastAsia="Arial" w:hAnsi="Arial"/>
          <w:sz w:val="14"/>
          <w:szCs w:val="14"/>
          <w:i w:val="1"/>
          <w:iCs w:val="1"/>
          <w:color w:val="auto"/>
        </w:rPr>
        <w:t>Non-executive Director</w:t>
      </w:r>
    </w:p>
    <w:p>
      <w:pPr>
        <w:spacing w:after="0" w:line="93" w:lineRule="exact"/>
        <w:rPr>
          <w:sz w:val="20"/>
          <w:szCs w:val="20"/>
          <w:color w:val="auto"/>
        </w:rPr>
      </w:pPr>
    </w:p>
    <w:p>
      <w:pPr>
        <w:ind w:left="560" w:right="20"/>
        <w:spacing w:after="0" w:line="258" w:lineRule="auto"/>
        <w:rPr>
          <w:sz w:val="20"/>
          <w:szCs w:val="20"/>
          <w:color w:val="auto"/>
        </w:rPr>
      </w:pPr>
      <w:r>
        <w:rPr>
          <w:rFonts w:ascii="Arial" w:cs="Arial" w:eastAsia="Arial" w:hAnsi="Arial"/>
          <w:sz w:val="12"/>
          <w:szCs w:val="12"/>
          <w:color w:val="auto"/>
        </w:rPr>
        <w:t>Born February 6, 1948. A British national, appointed a Non-executive Director of Royal Dutch Shell as from July 1, 2006. He qualified as an accountant in 1970 and was a partner of Ernst &amp;. Young LLP from 1978 until June 30, 2006. He was Chairman of Ernst &amp; Young LLP and a member of the Global Executive Board of Ernst &amp; Young Global LLP from 1995 until June 30, 2006. He is a Non-executive Director of BBA Aviation plc, Ashmore Group plc and Vodafone Group plc, Chairman of the Practice Advisory Board of the Institute of Chartered Accountants of England and Wales, and of the Board of Trustees of Farnham Castle, and a member of the Finance and Audit Committees of the National Gallery.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Linda Cook</w:t>
      </w:r>
    </w:p>
    <w:p>
      <w:pPr>
        <w:spacing w:after="0" w:line="218" w:lineRule="auto"/>
        <w:rPr>
          <w:sz w:val="20"/>
          <w:szCs w:val="20"/>
          <w:color w:val="auto"/>
        </w:rPr>
      </w:pPr>
      <w:r>
        <w:rPr>
          <w:rFonts w:ascii="Arial" w:cs="Arial" w:eastAsia="Arial" w:hAnsi="Arial"/>
          <w:sz w:val="14"/>
          <w:szCs w:val="14"/>
          <w:i w:val="1"/>
          <w:iCs w:val="1"/>
          <w:color w:val="auto"/>
        </w:rPr>
        <w:t>Executive Director, Gas &amp; Power,</w:t>
      </w:r>
    </w:p>
    <w:p>
      <w:pPr>
        <w:spacing w:after="0" w:line="235" w:lineRule="auto"/>
        <w:rPr>
          <w:sz w:val="20"/>
          <w:szCs w:val="20"/>
          <w:color w:val="auto"/>
        </w:rPr>
      </w:pPr>
      <w:r>
        <w:rPr>
          <w:rFonts w:ascii="Arial" w:cs="Arial" w:eastAsia="Arial" w:hAnsi="Arial"/>
          <w:sz w:val="13"/>
          <w:szCs w:val="13"/>
          <w:i w:val="1"/>
          <w:iCs w:val="1"/>
          <w:color w:val="auto"/>
        </w:rPr>
        <w:t>Shell Trading, Global Solutions and</w:t>
      </w:r>
    </w:p>
    <w:p>
      <w:pPr>
        <w:spacing w:after="0" w:line="219" w:lineRule="auto"/>
        <w:rPr>
          <w:sz w:val="20"/>
          <w:szCs w:val="20"/>
          <w:color w:val="auto"/>
        </w:rPr>
      </w:pPr>
      <w:r>
        <w:rPr>
          <w:rFonts w:ascii="Arial" w:cs="Arial" w:eastAsia="Arial" w:hAnsi="Arial"/>
          <w:sz w:val="14"/>
          <w:szCs w:val="14"/>
          <w:i w:val="1"/>
          <w:iCs w:val="1"/>
          <w:color w:val="auto"/>
        </w:rPr>
        <w:t>Technology</w:t>
      </w:r>
    </w:p>
    <w:p>
      <w:pPr>
        <w:spacing w:after="0" w:line="236" w:lineRule="auto"/>
        <w:rPr>
          <w:sz w:val="20"/>
          <w:szCs w:val="20"/>
          <w:color w:val="auto"/>
        </w:rPr>
      </w:pPr>
      <w:r>
        <w:rPr>
          <w:rFonts w:ascii="Arial" w:cs="Arial" w:eastAsia="Arial" w:hAnsi="Arial"/>
          <w:sz w:val="13"/>
          <w:szCs w:val="13"/>
          <w:color w:val="auto"/>
        </w:rPr>
        <w:t>Born June 4, 1958. A US national, appointed an Executive Director of Royal Dutch Shell in October 2004. She was appointed a Managing Director of Royal Dutch in August 2004 and was a Board member of Royal Dutch until the merger of the company on December 21, 2005. She was President and Chief Executive Officer and a member of the Board of Directors of Shell Canada Limited from August 2003 to July 2004. Joined Shell Oil Company in Houston in 1980, and worked for Shell Oil Company in Houston and California in a variety of technical and managerial positions. Member of the Society of Petroleum Engineers and a Non-executive Director of The Boeing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Christine Morin-Postel </w:t>
      </w:r>
      <w:r>
        <w:rPr>
          <w:rFonts w:ascii="Arial" w:cs="Arial" w:eastAsia="Arial" w:hAnsi="Arial"/>
          <w:sz w:val="14"/>
          <w:szCs w:val="14"/>
          <w:color w:val="FFFFFF"/>
          <w:shd w:val="clear" w:color="auto" w:fill="EE2E24"/>
        </w:rPr>
        <w:t>A</w:t>
      </w:r>
    </w:p>
    <w:p>
      <w:pPr>
        <w:spacing w:after="0"/>
        <w:rPr>
          <w:sz w:val="20"/>
          <w:szCs w:val="20"/>
          <w:color w:val="auto"/>
        </w:rPr>
      </w:pPr>
      <w:r>
        <w:rPr>
          <w:rFonts w:ascii="Arial" w:cs="Arial" w:eastAsia="Arial" w:hAnsi="Arial"/>
          <w:sz w:val="14"/>
          <w:szCs w:val="14"/>
          <w:i w:val="1"/>
          <w:iCs w:val="1"/>
          <w:color w:val="auto"/>
        </w:rPr>
        <w:t>Non-executive Director</w:t>
      </w:r>
    </w:p>
    <w:p>
      <w:pPr>
        <w:spacing w:after="0" w:line="93" w:lineRule="exact"/>
        <w:rPr>
          <w:sz w:val="20"/>
          <w:szCs w:val="20"/>
          <w:color w:val="auto"/>
        </w:rPr>
      </w:pPr>
    </w:p>
    <w:p>
      <w:pPr>
        <w:ind w:right="80"/>
        <w:spacing w:after="0" w:line="238" w:lineRule="auto"/>
        <w:rPr>
          <w:sz w:val="20"/>
          <w:szCs w:val="20"/>
          <w:color w:val="auto"/>
        </w:rPr>
      </w:pPr>
      <w:r>
        <w:rPr>
          <w:rFonts w:ascii="Arial" w:cs="Arial" w:eastAsia="Arial" w:hAnsi="Arial"/>
          <w:sz w:val="13"/>
          <w:szCs w:val="13"/>
          <w:color w:val="auto"/>
        </w:rPr>
        <w:t>Born October 6, 1946. A French national, appointed a Non-executive Director of Royal Dutch Shell in October 2004. She was a member of the Royal Dutch supervisory board from July 2004 and was a Board member of Royal Dutch until the merger of the company on December 21, 2005. Formerly she was Chief Executive of Société Générale de Belgique, Executive Vice-President and member of the Executive Committee of Suez S.A., Chairman and CEO of Credisuez plc from 1996 to 1998 and Non-executive Director of Pilkington plc and Alcan Inc. She is a Non-executive Director of 3i Group plc and British American Tobacco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Rob Routs</w:t>
      </w:r>
    </w:p>
    <w:p>
      <w:pPr>
        <w:ind w:right="200"/>
        <w:spacing w:after="0" w:line="234" w:lineRule="auto"/>
        <w:rPr>
          <w:sz w:val="20"/>
          <w:szCs w:val="20"/>
          <w:color w:val="auto"/>
        </w:rPr>
      </w:pPr>
      <w:r>
        <w:rPr>
          <w:rFonts w:ascii="Arial" w:cs="Arial" w:eastAsia="Arial" w:hAnsi="Arial"/>
          <w:sz w:val="14"/>
          <w:szCs w:val="14"/>
          <w:i w:val="1"/>
          <w:iCs w:val="1"/>
          <w:color w:val="auto"/>
        </w:rPr>
        <w:t>Executive Director, Oil Sands, Oil Products and Chemicals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3"/>
          <w:szCs w:val="13"/>
          <w:color w:val="auto"/>
        </w:rPr>
        <w:t>Born September 10, 1946. A Dutch national, appointed an Executive Director of Royal Dutch Shell in October 2004. He was a Managing Director of Royal Dutch from 2003 to July 4, 2005. Joined Shell in 1971. Held various positions in the Netherlands, Canada and the USA. Previously President and Chief Executive Officer of Shell Oil Products USA, President of Shell Oil Company and Country Chair for Shell in the USA and Chief Executive of Equilon. He is a member of the Board of Directors of Shell Canada Limited since April 29, 2005 and a Director of INSEAD.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Lawrence Ricciardi </w:t>
      </w:r>
      <w:r>
        <w:rPr>
          <w:rFonts w:ascii="Arial" w:cs="Arial" w:eastAsia="Arial" w:hAnsi="Arial"/>
          <w:sz w:val="14"/>
          <w:szCs w:val="14"/>
          <w:color w:val="FFFFFF"/>
          <w:shd w:val="clear" w:color="auto" w:fill="EE2E24"/>
        </w:rPr>
        <w:t>A</w:t>
      </w:r>
    </w:p>
    <w:p>
      <w:pPr>
        <w:spacing w:after="0"/>
        <w:rPr>
          <w:sz w:val="20"/>
          <w:szCs w:val="20"/>
          <w:color w:val="auto"/>
        </w:rPr>
      </w:pPr>
      <w:r>
        <w:rPr>
          <w:rFonts w:ascii="Arial" w:cs="Arial" w:eastAsia="Arial" w:hAnsi="Arial"/>
          <w:sz w:val="14"/>
          <w:szCs w:val="14"/>
          <w:i w:val="1"/>
          <w:iCs w:val="1"/>
          <w:color w:val="auto"/>
        </w:rPr>
        <w:t>Non-executive Director</w:t>
      </w:r>
    </w:p>
    <w:p>
      <w:pPr>
        <w:spacing w:after="0" w:line="93"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Born August 14, 1940. A US national, appointed a Non-executive Director of Royal Dutch Shell in October 2004. He was appointed a member of the Royal Dutch supervisory board in 2001 and was a Board member of Royal Dutch until the merger of the company on December 21, 2005. Previously he was President of RJR Nabisco, Inc. and subsequently Senior Vice-President and General Counsel of IBM. He is Senior Advisor to the IBM Corporation as well as to Jones Day and to Lazard Frères &amp; Co and Trustee of the Andrew W. Mellon Foundation and the Pierpoint Morgan Library.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39" w:lineRule="auto"/>
        <w:rPr>
          <w:sz w:val="20"/>
          <w:szCs w:val="20"/>
          <w:color w:val="auto"/>
        </w:rPr>
      </w:pPr>
      <w:r>
        <w:rPr>
          <w:rFonts w:ascii="Arial" w:cs="Arial" w:eastAsia="Arial" w:hAnsi="Arial"/>
          <w:sz w:val="13"/>
          <w:szCs w:val="13"/>
          <w:color w:val="auto"/>
        </w:rPr>
        <w:t>On March 12, 2008 the Nomination and Succession Committee recommended the appointment of Dr Josef Ackermann as a Director of the Company. The Board adopted this recommendation and a resolution will be submitted to the 2008 Annual General Meeting proposing the election of Dr Ackermann as a Director of the Company with effect from May 21, 2008. Dr Ackermann’s biographical details will be given in the 2008 Notice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Company Secretary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Michiel Brandjes</w:t>
      </w:r>
    </w:p>
    <w:p>
      <w:pPr>
        <w:spacing w:after="0" w:line="120" w:lineRule="exact"/>
        <w:rPr>
          <w:sz w:val="20"/>
          <w:szCs w:val="20"/>
          <w:color w:val="auto"/>
        </w:rPr>
      </w:pPr>
    </w:p>
    <w:p>
      <w:pPr>
        <w:ind w:right="160"/>
        <w:spacing w:after="0" w:line="267" w:lineRule="auto"/>
        <w:rPr>
          <w:sz w:val="20"/>
          <w:szCs w:val="20"/>
          <w:color w:val="auto"/>
        </w:rPr>
      </w:pPr>
      <w:r>
        <w:rPr>
          <w:rFonts w:ascii="Arial" w:cs="Arial" w:eastAsia="Arial" w:hAnsi="Arial"/>
          <w:sz w:val="12"/>
          <w:szCs w:val="12"/>
          <w:color w:val="auto"/>
        </w:rPr>
        <w:t>Born December 14, 1954. A Dutch national, appointed as Company Secretary of Royal Dutch Shell in February 2005. Previously Company Secretary of Royal Dutch and Group general counsel corporate. Joined the Shell group in 1980 as a Legal Adviser.</w:t>
      </w:r>
    </w:p>
    <w:p>
      <w:pPr>
        <w:spacing w:after="0" w:line="28" w:lineRule="exact"/>
        <w:rPr>
          <w:sz w:val="20"/>
          <w:szCs w:val="20"/>
          <w:color w:val="auto"/>
        </w:rPr>
      </w:pPr>
    </w:p>
    <w:p>
      <w:pPr>
        <w:ind w:left="320" w:hanging="287"/>
        <w:spacing w:after="0"/>
        <w:tabs>
          <w:tab w:leader="none" w:pos="320" w:val="left"/>
        </w:tabs>
        <w:numPr>
          <w:ilvl w:val="0"/>
          <w:numId w:val="92"/>
        </w:numPr>
        <w:rPr>
          <w:rFonts w:ascii="Arial" w:cs="Arial" w:eastAsia="Arial" w:hAnsi="Arial"/>
          <w:sz w:val="14"/>
          <w:szCs w:val="14"/>
          <w:color w:val="FFFFFF"/>
        </w:rPr>
      </w:pPr>
      <w:r>
        <w:rPr>
          <w:rFonts w:ascii="Arial" w:cs="Arial" w:eastAsia="Arial" w:hAnsi="Arial"/>
          <w:sz w:val="14"/>
          <w:szCs w:val="14"/>
          <w:color w:val="auto"/>
        </w:rPr>
        <w:t>Audit Committee</w:t>
      </w:r>
    </w:p>
    <w:p>
      <w:pPr>
        <w:ind w:left="320" w:hanging="287"/>
        <w:spacing w:after="0" w:line="238" w:lineRule="auto"/>
        <w:tabs>
          <w:tab w:leader="none" w:pos="320" w:val="left"/>
        </w:tabs>
        <w:numPr>
          <w:ilvl w:val="0"/>
          <w:numId w:val="93"/>
        </w:numPr>
        <w:rPr>
          <w:rFonts w:ascii="Arial" w:cs="Arial" w:eastAsia="Arial" w:hAnsi="Arial"/>
          <w:sz w:val="14"/>
          <w:szCs w:val="14"/>
          <w:color w:val="FFFFFF"/>
        </w:rPr>
      </w:pPr>
      <w:r>
        <w:rPr>
          <w:rFonts w:ascii="Arial" w:cs="Arial" w:eastAsia="Arial" w:hAnsi="Arial"/>
          <w:sz w:val="14"/>
          <w:szCs w:val="14"/>
          <w:color w:val="auto"/>
        </w:rPr>
        <w:t>Remuneration Committee</w:t>
      </w:r>
    </w:p>
    <w:p>
      <w:pPr>
        <w:spacing w:after="0" w:line="12" w:lineRule="exact"/>
        <w:rPr>
          <w:sz w:val="20"/>
          <w:szCs w:val="20"/>
          <w:color w:val="auto"/>
        </w:rPr>
      </w:pPr>
    </w:p>
    <w:p>
      <w:pPr>
        <w:ind w:left="40" w:right="40" w:firstLine="6"/>
        <w:spacing w:after="0" w:line="238" w:lineRule="auto"/>
        <w:tabs>
          <w:tab w:leader="none" w:pos="333" w:val="left"/>
        </w:tabs>
        <w:numPr>
          <w:ilvl w:val="0"/>
          <w:numId w:val="94"/>
        </w:numPr>
        <w:rPr>
          <w:rFonts w:ascii="Arial" w:cs="Arial" w:eastAsia="Arial" w:hAnsi="Arial"/>
          <w:sz w:val="14"/>
          <w:szCs w:val="14"/>
          <w:color w:val="FFFFFF"/>
        </w:rPr>
      </w:pPr>
      <w:r>
        <w:rPr>
          <w:rFonts w:ascii="Arial" w:cs="Arial" w:eastAsia="Arial" w:hAnsi="Arial"/>
          <w:sz w:val="14"/>
          <w:szCs w:val="14"/>
          <w:color w:val="auto"/>
        </w:rPr>
        <w:t xml:space="preserve">Social Responsibility Committee </w:t>
      </w:r>
      <w:r>
        <w:rPr>
          <w:rFonts w:ascii="Arial" w:cs="Arial" w:eastAsia="Arial" w:hAnsi="Arial"/>
          <w:sz w:val="14"/>
          <w:szCs w:val="14"/>
          <w:color w:val="FFFFFF"/>
        </w:rPr>
        <w:t xml:space="preserve">N </w:t>
      </w:r>
      <w:r>
        <w:rPr>
          <w:rFonts w:ascii="Arial" w:cs="Arial" w:eastAsia="Arial" w:hAnsi="Arial"/>
          <w:sz w:val="14"/>
          <w:szCs w:val="14"/>
          <w:color w:val="000000"/>
        </w:rPr>
        <w:t>Nomination and Succession</w:t>
      </w:r>
    </w:p>
    <w:p>
      <w:pPr>
        <w:ind w:left="320"/>
        <w:spacing w:after="0"/>
        <w:rPr>
          <w:rFonts w:ascii="Arial" w:cs="Arial" w:eastAsia="Arial" w:hAnsi="Arial"/>
          <w:sz w:val="14"/>
          <w:szCs w:val="14"/>
          <w:color w:val="FFFFFF"/>
        </w:rPr>
      </w:pPr>
      <w:r>
        <w:rPr>
          <w:rFonts w:ascii="Arial" w:cs="Arial" w:eastAsia="Arial" w:hAnsi="Arial"/>
          <w:sz w:val="14"/>
          <w:szCs w:val="14"/>
          <w:color w:val="auto"/>
        </w:rPr>
        <w:t>Committee</w:t>
      </w:r>
    </w:p>
    <w:p>
      <w:pPr>
        <w:spacing w:after="0" w:line="1224" w:lineRule="exact"/>
        <w:rPr>
          <w:sz w:val="20"/>
          <w:szCs w:val="20"/>
          <w:color w:val="auto"/>
        </w:rPr>
      </w:pPr>
    </w:p>
    <w:p>
      <w:pPr>
        <w:sectPr>
          <w:pgSz w:w="11900" w:h="16838" w:orient="portrait"/>
          <w:cols w:equalWidth="0" w:num="4">
            <w:col w:w="2720" w:space="560"/>
            <w:col w:w="2160" w:space="540"/>
            <w:col w:w="2140" w:space="340"/>
            <w:col w:w="2400"/>
          </w:cols>
          <w:pgMar w:left="240" w:top="415" w:right="799" w:bottom="73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80"/>
        <w:spacing w:after="0"/>
        <w:tabs>
          <w:tab w:leader="none" w:pos="107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81</w:t>
      </w:r>
    </w:p>
    <w:p>
      <w:pPr>
        <w:sectPr>
          <w:pgSz w:w="11900" w:h="16838" w:orient="portrait"/>
          <w:cols w:equalWidth="0" w:num="1">
            <w:col w:w="10860"/>
          </w:cols>
          <w:pgMar w:left="240" w:top="415" w:right="799" w:bottom="737" w:gutter="0" w:footer="0" w:header="0"/>
          <w:type w:val="continuous"/>
        </w:sectPr>
      </w:pPr>
    </w:p>
    <w:bookmarkStart w:id="86" w:name="page87"/>
    <w:bookmarkEnd w:id="86"/>
    <w:p>
      <w:pPr>
        <w:spacing w:after="0"/>
        <w:tabs>
          <w:tab w:leader="none" w:pos="107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535305</wp:posOffset>
            </wp:positionV>
            <wp:extent cx="725297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drawing>
          <wp:anchor simplePos="0" relativeHeight="251657728" behindDoc="1" locked="0" layoutInCell="0" allowOverlap="1">
            <wp:simplePos x="0" y="0"/>
            <wp:positionH relativeFrom="page">
              <wp:posOffset>7227570</wp:posOffset>
            </wp:positionH>
            <wp:positionV relativeFrom="page">
              <wp:posOffset>88900</wp:posOffset>
            </wp:positionV>
            <wp:extent cx="177800" cy="1606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7800" cy="160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Report of the Directors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PRINCIPAL ACTIVITIES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Royal Dutch Shell is a holding company which owns, directly or indirectly, investments in the numerous companies constituting the group. Shell is engaged worldwide in the principal aspects of the oil and natural gas industry. Shell also has interests in chemicals as well as interests in power generation and renewable energy.</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Details of Royal Dutch Shell’s subsidiaries can be found in Exhibit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REVIEW</w:t>
      </w:r>
    </w:p>
    <w:p>
      <w:pPr>
        <w:spacing w:after="0" w:line="6"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The information that fulfils the requirements of the Business Review can be found in the Chairman’s message on page 6, the Chief Executive’s review on page 7 and also in the Operating and Financial Review on pages 10 to 77, all of which are incorporated in this report by way of reference.</w:t>
      </w:r>
    </w:p>
    <w:p>
      <w:pPr>
        <w:spacing w:after="0" w:line="181" w:lineRule="exact"/>
        <w:rPr>
          <w:sz w:val="20"/>
          <w:szCs w:val="20"/>
          <w:color w:val="auto"/>
        </w:rPr>
      </w:pPr>
    </w:p>
    <w:p>
      <w:pPr>
        <w:jc w:val="both"/>
        <w:ind w:right="100"/>
        <w:spacing w:after="0" w:line="235" w:lineRule="auto"/>
        <w:rPr>
          <w:sz w:val="20"/>
          <w:szCs w:val="20"/>
          <w:color w:val="auto"/>
        </w:rPr>
      </w:pPr>
      <w:r>
        <w:rPr>
          <w:rFonts w:ascii="Arial" w:cs="Arial" w:eastAsia="Arial" w:hAnsi="Arial"/>
          <w:sz w:val="14"/>
          <w:szCs w:val="14"/>
          <w:color w:val="auto"/>
        </w:rPr>
        <w:t>Throughout this report the Board aims to present a balanced and understandable assessment of Royal Dutch Shell’s position and prospects in its financial reporting to shareholders and other interested parties.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6"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Shell research and development is carried out in a worldwide network of laboratories, with the main technology centres in the Netherlands and the USA. Other technology centres include Belgium, Canada, France, Germany, India, Norway, Oman, Qatar, Singapore and the UK. Further details of research and development, including expenditure, can be found on page 59 of the Operating and Financial Review as well as Note 7 to the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DEVELOPMENTS AND POST BALANCE SHEET EVENTS</w:t>
      </w:r>
    </w:p>
    <w:p>
      <w:pPr>
        <w:spacing w:after="0" w:line="6" w:lineRule="exact"/>
        <w:rPr>
          <w:sz w:val="20"/>
          <w:szCs w:val="20"/>
          <w:color w:val="auto"/>
        </w:rPr>
      </w:pPr>
    </w:p>
    <w:p>
      <w:pPr>
        <w:ind w:right="120"/>
        <w:spacing w:after="0" w:line="268" w:lineRule="auto"/>
        <w:rPr>
          <w:sz w:val="20"/>
          <w:szCs w:val="20"/>
          <w:color w:val="auto"/>
        </w:rPr>
      </w:pPr>
      <w:r>
        <w:rPr>
          <w:rFonts w:ascii="Arial" w:cs="Arial" w:eastAsia="Arial" w:hAnsi="Arial"/>
          <w:sz w:val="12"/>
          <w:szCs w:val="12"/>
          <w:color w:val="auto"/>
        </w:rPr>
        <w:t>Since December 31, 2007, additional purchases of shares have been made under the buyback programme. As at February 26, 2008, an additional 21,280,000 Class A shares (representing 0.3% of Royal Dutch Shell’s entire issued share capital at December 31, 2007) had been purchased for cancellation at a total cost of $796 million including expenses. In addition, Note 36 to the Consolidated Financial Statements discloses post balance sheet events.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STATEMENTS AND DIVIDENDS</w:t>
      </w:r>
    </w:p>
    <w:p>
      <w:pPr>
        <w:spacing w:after="0" w:line="6" w:lineRule="exact"/>
        <w:rPr>
          <w:sz w:val="20"/>
          <w:szCs w:val="20"/>
          <w:color w:val="auto"/>
        </w:rPr>
      </w:pPr>
    </w:p>
    <w:p>
      <w:pPr>
        <w:ind w:right="80"/>
        <w:spacing w:after="0" w:line="234" w:lineRule="auto"/>
        <w:rPr>
          <w:sz w:val="20"/>
          <w:szCs w:val="20"/>
          <w:color w:val="auto"/>
        </w:rPr>
      </w:pPr>
      <w:r>
        <w:rPr>
          <w:rFonts w:ascii="Arial" w:cs="Arial" w:eastAsia="Arial" w:hAnsi="Arial"/>
          <w:sz w:val="14"/>
          <w:szCs w:val="14"/>
          <w:color w:val="auto"/>
        </w:rPr>
        <w:t>The Consolidated Statement of Income and Consolidated Balance Sheet are available on pages 113 and 114 of this Report.</w:t>
      </w:r>
    </w:p>
    <w:p>
      <w:pPr>
        <w:spacing w:after="0" w:line="180" w:lineRule="exact"/>
        <w:rPr>
          <w:sz w:val="20"/>
          <w:szCs w:val="20"/>
          <w:color w:val="auto"/>
        </w:rPr>
      </w:pPr>
    </w:p>
    <w:p>
      <w:pPr>
        <w:ind w:right="80"/>
        <w:spacing w:after="0" w:line="228" w:lineRule="auto"/>
        <w:rPr>
          <w:sz w:val="20"/>
          <w:szCs w:val="20"/>
          <w:color w:val="auto"/>
        </w:rPr>
      </w:pPr>
      <w:r>
        <w:rPr>
          <w:rFonts w:ascii="Arial" w:cs="Arial" w:eastAsia="Arial" w:hAnsi="Arial"/>
          <w:sz w:val="14"/>
          <w:szCs w:val="14"/>
          <w:color w:val="auto"/>
        </w:rPr>
        <w:t>The Board announced on February 1, 2007, that with effect from the first quarter 2007 dividends would be declared in US dollars. The table below sets out the dividends declared by Royal Dutch Shell on each class of share. The Directors have proposed a fourth quarter interim dividend as set out below, payable on March 12, 2008, to shareholders on the register of members at close of business on February 8, 2008.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4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DIVIDEND PER SHARE</w:t>
            </w:r>
          </w:p>
        </w:tc>
        <w:tc>
          <w:tcPr>
            <w:tcW w:w="1060" w:type="dxa"/>
            <w:vAlign w:val="bottom"/>
            <w:shd w:val="clear" w:color="auto" w:fill="C1D72E"/>
          </w:tcPr>
          <w:p>
            <w:pPr>
              <w:jc w:val="right"/>
              <w:ind w:right="158"/>
              <w:spacing w:after="0"/>
              <w:rPr>
                <w:sz w:val="20"/>
                <w:szCs w:val="20"/>
                <w:color w:val="auto"/>
              </w:rPr>
            </w:pPr>
            <w:r>
              <w:rPr>
                <w:rFonts w:ascii="Arial" w:cs="Arial" w:eastAsia="Arial" w:hAnsi="Arial"/>
                <w:sz w:val="12"/>
                <w:szCs w:val="12"/>
                <w:b w:val="1"/>
                <w:bCs w:val="1"/>
                <w:color w:val="auto"/>
              </w:rPr>
              <w:t>Q1</w:t>
            </w:r>
          </w:p>
        </w:tc>
        <w:tc>
          <w:tcPr>
            <w:tcW w:w="660" w:type="dxa"/>
            <w:vAlign w:val="bottom"/>
            <w:shd w:val="clear" w:color="auto" w:fill="C1D72E"/>
          </w:tcPr>
          <w:p>
            <w:pPr>
              <w:jc w:val="right"/>
              <w:ind w:right="138"/>
              <w:spacing w:after="0"/>
              <w:rPr>
                <w:sz w:val="20"/>
                <w:szCs w:val="20"/>
                <w:color w:val="auto"/>
              </w:rPr>
            </w:pPr>
            <w:r>
              <w:rPr>
                <w:rFonts w:ascii="Arial" w:cs="Arial" w:eastAsia="Arial" w:hAnsi="Arial"/>
                <w:sz w:val="12"/>
                <w:szCs w:val="12"/>
                <w:b w:val="1"/>
                <w:bCs w:val="1"/>
                <w:color w:val="auto"/>
              </w:rPr>
              <w:t>Q2</w:t>
            </w:r>
          </w:p>
        </w:tc>
        <w:tc>
          <w:tcPr>
            <w:tcW w:w="620" w:type="dxa"/>
            <w:vAlign w:val="bottom"/>
            <w:shd w:val="clear" w:color="auto" w:fill="C1D72E"/>
          </w:tcPr>
          <w:p>
            <w:pPr>
              <w:jc w:val="right"/>
              <w:ind w:right="118"/>
              <w:spacing w:after="0"/>
              <w:rPr>
                <w:sz w:val="20"/>
                <w:szCs w:val="20"/>
                <w:color w:val="auto"/>
              </w:rPr>
            </w:pPr>
            <w:r>
              <w:rPr>
                <w:rFonts w:ascii="Arial" w:cs="Arial" w:eastAsia="Arial" w:hAnsi="Arial"/>
                <w:sz w:val="12"/>
                <w:szCs w:val="12"/>
                <w:b w:val="1"/>
                <w:bCs w:val="1"/>
                <w:color w:val="auto"/>
              </w:rPr>
              <w:t>Q3</w:t>
            </w:r>
          </w:p>
        </w:tc>
        <w:tc>
          <w:tcPr>
            <w:tcW w:w="500" w:type="dxa"/>
            <w:vAlign w:val="bottom"/>
            <w:shd w:val="clear" w:color="auto" w:fill="C1D72E"/>
          </w:tcPr>
          <w:p>
            <w:pPr>
              <w:jc w:val="right"/>
              <w:spacing w:after="0"/>
              <w:rPr>
                <w:sz w:val="20"/>
                <w:szCs w:val="20"/>
                <w:color w:val="auto"/>
              </w:rPr>
            </w:pPr>
            <w:r>
              <w:rPr>
                <w:rFonts w:ascii="Arial" w:cs="Arial" w:eastAsia="Arial" w:hAnsi="Arial"/>
                <w:sz w:val="12"/>
                <w:szCs w:val="12"/>
                <w:b w:val="1"/>
                <w:bCs w:val="1"/>
                <w:color w:val="auto"/>
              </w:rPr>
              <w:t>Q4</w:t>
            </w:r>
          </w:p>
        </w:tc>
      </w:tr>
      <w:tr>
        <w:trPr>
          <w:trHeight w:val="127"/>
        </w:trPr>
        <w:tc>
          <w:tcPr>
            <w:tcW w:w="2640" w:type="dxa"/>
            <w:vAlign w:val="bottom"/>
          </w:tcPr>
          <w:p>
            <w:pPr>
              <w:spacing w:after="0" w:line="128" w:lineRule="exact"/>
              <w:rPr>
                <w:sz w:val="20"/>
                <w:szCs w:val="20"/>
                <w:color w:val="auto"/>
              </w:rPr>
            </w:pPr>
            <w:r>
              <w:rPr>
                <w:rFonts w:ascii="Arial" w:cs="Arial" w:eastAsia="Arial" w:hAnsi="Arial"/>
                <w:sz w:val="12"/>
                <w:szCs w:val="12"/>
                <w:color w:val="auto"/>
              </w:rPr>
              <w:t>Royal Dutch Shell Class A shares ($)</w:t>
            </w:r>
          </w:p>
        </w:tc>
        <w:tc>
          <w:tcPr>
            <w:tcW w:w="10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0.36</w:t>
            </w:r>
          </w:p>
        </w:tc>
        <w:tc>
          <w:tcPr>
            <w:tcW w:w="66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0.36</w:t>
            </w:r>
          </w:p>
        </w:tc>
        <w:tc>
          <w:tcPr>
            <w:tcW w:w="6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0.36</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0.36</w:t>
            </w:r>
          </w:p>
        </w:tc>
      </w:tr>
      <w:tr>
        <w:trPr>
          <w:trHeight w:val="139"/>
        </w:trPr>
        <w:tc>
          <w:tcPr>
            <w:tcW w:w="2640" w:type="dxa"/>
            <w:vAlign w:val="bottom"/>
          </w:tcPr>
          <w:p>
            <w:pPr>
              <w:spacing w:after="0"/>
              <w:rPr>
                <w:sz w:val="20"/>
                <w:szCs w:val="20"/>
                <w:color w:val="auto"/>
              </w:rPr>
            </w:pPr>
            <w:r>
              <w:rPr>
                <w:rFonts w:ascii="Arial" w:cs="Arial" w:eastAsia="Arial" w:hAnsi="Arial"/>
                <w:sz w:val="12"/>
                <w:szCs w:val="12"/>
                <w:color w:val="auto"/>
              </w:rPr>
              <w:t>Royal Dutch Shell Class B shares ($)</w:t>
            </w:r>
          </w:p>
        </w:tc>
        <w:tc>
          <w:tcPr>
            <w:tcW w:w="1060" w:type="dxa"/>
            <w:vAlign w:val="bottom"/>
          </w:tcPr>
          <w:p>
            <w:pPr>
              <w:jc w:val="right"/>
              <w:ind w:right="158"/>
              <w:spacing w:after="0"/>
              <w:rPr>
                <w:sz w:val="20"/>
                <w:szCs w:val="20"/>
                <w:color w:val="auto"/>
              </w:rPr>
            </w:pPr>
            <w:r>
              <w:rPr>
                <w:rFonts w:ascii="Arial" w:cs="Arial" w:eastAsia="Arial" w:hAnsi="Arial"/>
                <w:sz w:val="12"/>
                <w:szCs w:val="12"/>
                <w:color w:val="auto"/>
              </w:rPr>
              <w:t>0.36</w:t>
            </w:r>
          </w:p>
        </w:tc>
        <w:tc>
          <w:tcPr>
            <w:tcW w:w="660" w:type="dxa"/>
            <w:vAlign w:val="bottom"/>
          </w:tcPr>
          <w:p>
            <w:pPr>
              <w:jc w:val="right"/>
              <w:ind w:right="138"/>
              <w:spacing w:after="0"/>
              <w:rPr>
                <w:sz w:val="20"/>
                <w:szCs w:val="20"/>
                <w:color w:val="auto"/>
              </w:rPr>
            </w:pPr>
            <w:r>
              <w:rPr>
                <w:rFonts w:ascii="Arial" w:cs="Arial" w:eastAsia="Arial" w:hAnsi="Arial"/>
                <w:sz w:val="12"/>
                <w:szCs w:val="12"/>
                <w:color w:val="auto"/>
              </w:rPr>
              <w:t>0.36</w:t>
            </w:r>
          </w:p>
        </w:tc>
        <w:tc>
          <w:tcPr>
            <w:tcW w:w="620" w:type="dxa"/>
            <w:vAlign w:val="bottom"/>
          </w:tcPr>
          <w:p>
            <w:pPr>
              <w:jc w:val="right"/>
              <w:ind w:right="118"/>
              <w:spacing w:after="0"/>
              <w:rPr>
                <w:sz w:val="20"/>
                <w:szCs w:val="20"/>
                <w:color w:val="auto"/>
              </w:rPr>
            </w:pPr>
            <w:r>
              <w:rPr>
                <w:rFonts w:ascii="Arial" w:cs="Arial" w:eastAsia="Arial" w:hAnsi="Arial"/>
                <w:sz w:val="12"/>
                <w:szCs w:val="12"/>
                <w:color w:val="auto"/>
              </w:rPr>
              <w:t>0.36</w:t>
            </w:r>
          </w:p>
        </w:tc>
        <w:tc>
          <w:tcPr>
            <w:tcW w:w="500" w:type="dxa"/>
            <w:vAlign w:val="bottom"/>
          </w:tcPr>
          <w:p>
            <w:pPr>
              <w:jc w:val="right"/>
              <w:spacing w:after="0"/>
              <w:rPr>
                <w:sz w:val="20"/>
                <w:szCs w:val="20"/>
                <w:color w:val="auto"/>
              </w:rPr>
            </w:pPr>
            <w:r>
              <w:rPr>
                <w:rFonts w:ascii="Arial" w:cs="Arial" w:eastAsia="Arial" w:hAnsi="Arial"/>
                <w:sz w:val="12"/>
                <w:szCs w:val="12"/>
                <w:color w:val="auto"/>
              </w:rPr>
              <w:t>0.36</w:t>
            </w:r>
          </w:p>
        </w:tc>
      </w:tr>
      <w:tr>
        <w:trPr>
          <w:trHeight w:val="133"/>
        </w:trPr>
        <w:tc>
          <w:tcPr>
            <w:tcW w:w="2640" w:type="dxa"/>
            <w:vAlign w:val="bottom"/>
            <w:shd w:val="clear" w:color="auto" w:fill="C1D72E"/>
          </w:tcPr>
          <w:p>
            <w:pPr>
              <w:spacing w:after="0" w:line="133" w:lineRule="exact"/>
              <w:rPr>
                <w:sz w:val="20"/>
                <w:szCs w:val="20"/>
                <w:color w:val="auto"/>
              </w:rPr>
            </w:pPr>
            <w:r>
              <w:rPr>
                <w:rFonts w:ascii="Arial" w:cs="Arial" w:eastAsia="Arial" w:hAnsi="Arial"/>
                <w:sz w:val="12"/>
                <w:szCs w:val="12"/>
                <w:b w:val="1"/>
                <w:bCs w:val="1"/>
                <w:color w:val="auto"/>
              </w:rPr>
              <w:t>DIVIDEND PER ADR</w:t>
            </w:r>
          </w:p>
        </w:tc>
        <w:tc>
          <w:tcPr>
            <w:tcW w:w="1060" w:type="dxa"/>
            <w:vAlign w:val="bottom"/>
            <w:shd w:val="clear" w:color="auto" w:fill="C1D72E"/>
          </w:tcPr>
          <w:p>
            <w:pPr>
              <w:jc w:val="right"/>
              <w:ind w:right="158"/>
              <w:spacing w:after="0" w:line="133" w:lineRule="exact"/>
              <w:rPr>
                <w:sz w:val="20"/>
                <w:szCs w:val="20"/>
                <w:color w:val="auto"/>
              </w:rPr>
            </w:pPr>
            <w:r>
              <w:rPr>
                <w:rFonts w:ascii="Arial" w:cs="Arial" w:eastAsia="Arial" w:hAnsi="Arial"/>
                <w:sz w:val="12"/>
                <w:szCs w:val="12"/>
                <w:b w:val="1"/>
                <w:bCs w:val="1"/>
                <w:color w:val="auto"/>
              </w:rPr>
              <w:t>Q1</w:t>
            </w:r>
          </w:p>
        </w:tc>
        <w:tc>
          <w:tcPr>
            <w:tcW w:w="660" w:type="dxa"/>
            <w:vAlign w:val="bottom"/>
            <w:shd w:val="clear" w:color="auto" w:fill="C1D72E"/>
          </w:tcPr>
          <w:p>
            <w:pPr>
              <w:jc w:val="right"/>
              <w:ind w:right="138"/>
              <w:spacing w:after="0" w:line="133" w:lineRule="exact"/>
              <w:rPr>
                <w:sz w:val="20"/>
                <w:szCs w:val="20"/>
                <w:color w:val="auto"/>
              </w:rPr>
            </w:pPr>
            <w:r>
              <w:rPr>
                <w:rFonts w:ascii="Arial" w:cs="Arial" w:eastAsia="Arial" w:hAnsi="Arial"/>
                <w:sz w:val="12"/>
                <w:szCs w:val="12"/>
                <w:b w:val="1"/>
                <w:bCs w:val="1"/>
                <w:color w:val="auto"/>
              </w:rPr>
              <w:t>Q2</w:t>
            </w:r>
          </w:p>
        </w:tc>
        <w:tc>
          <w:tcPr>
            <w:tcW w:w="620" w:type="dxa"/>
            <w:vAlign w:val="bottom"/>
            <w:shd w:val="clear" w:color="auto" w:fill="C1D72E"/>
          </w:tcPr>
          <w:p>
            <w:pPr>
              <w:jc w:val="right"/>
              <w:ind w:right="118"/>
              <w:spacing w:after="0" w:line="133" w:lineRule="exact"/>
              <w:rPr>
                <w:sz w:val="20"/>
                <w:szCs w:val="20"/>
                <w:color w:val="auto"/>
              </w:rPr>
            </w:pPr>
            <w:r>
              <w:rPr>
                <w:rFonts w:ascii="Arial" w:cs="Arial" w:eastAsia="Arial" w:hAnsi="Arial"/>
                <w:sz w:val="12"/>
                <w:szCs w:val="12"/>
                <w:b w:val="1"/>
                <w:bCs w:val="1"/>
                <w:color w:val="auto"/>
              </w:rPr>
              <w:t>Q3</w:t>
            </w:r>
          </w:p>
        </w:tc>
        <w:tc>
          <w:tcPr>
            <w:tcW w:w="500" w:type="dxa"/>
            <w:vAlign w:val="bottom"/>
            <w:shd w:val="clear" w:color="auto" w:fill="C1D72E"/>
          </w:tcPr>
          <w:p>
            <w:pPr>
              <w:jc w:val="right"/>
              <w:spacing w:after="0" w:line="133" w:lineRule="exact"/>
              <w:rPr>
                <w:sz w:val="20"/>
                <w:szCs w:val="20"/>
                <w:color w:val="auto"/>
              </w:rPr>
            </w:pPr>
            <w:r>
              <w:rPr>
                <w:rFonts w:ascii="Arial" w:cs="Arial" w:eastAsia="Arial" w:hAnsi="Arial"/>
                <w:sz w:val="12"/>
                <w:szCs w:val="12"/>
                <w:b w:val="1"/>
                <w:bCs w:val="1"/>
                <w:color w:val="auto"/>
              </w:rPr>
              <w:t>Q4</w:t>
            </w:r>
          </w:p>
        </w:tc>
      </w:tr>
      <w:tr>
        <w:trPr>
          <w:trHeight w:val="127"/>
        </w:trPr>
        <w:tc>
          <w:tcPr>
            <w:tcW w:w="2640" w:type="dxa"/>
            <w:vAlign w:val="bottom"/>
          </w:tcPr>
          <w:p>
            <w:pPr>
              <w:spacing w:after="0" w:line="128" w:lineRule="exact"/>
              <w:rPr>
                <w:sz w:val="20"/>
                <w:szCs w:val="20"/>
                <w:color w:val="auto"/>
              </w:rPr>
            </w:pPr>
            <w:r>
              <w:rPr>
                <w:rFonts w:ascii="Arial" w:cs="Arial" w:eastAsia="Arial" w:hAnsi="Arial"/>
                <w:sz w:val="12"/>
                <w:szCs w:val="12"/>
                <w:color w:val="auto"/>
              </w:rPr>
              <w:t>Royal Dutch Shell Class A ADRs ($)</w:t>
            </w:r>
          </w:p>
        </w:tc>
        <w:tc>
          <w:tcPr>
            <w:tcW w:w="10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0.72</w:t>
            </w:r>
          </w:p>
        </w:tc>
        <w:tc>
          <w:tcPr>
            <w:tcW w:w="66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0.72</w:t>
            </w:r>
          </w:p>
        </w:tc>
        <w:tc>
          <w:tcPr>
            <w:tcW w:w="6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0.72</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0.72</w:t>
            </w:r>
          </w:p>
        </w:tc>
      </w:tr>
      <w:tr>
        <w:trPr>
          <w:trHeight w:val="139"/>
        </w:trPr>
        <w:tc>
          <w:tcPr>
            <w:tcW w:w="2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Royal Dutch Shell Class B ADRs ($)</w:t>
            </w: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0.72</w:t>
            </w: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0.72</w:t>
            </w: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0.72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0.72</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80" w:hanging="273"/>
        <w:spacing w:after="0"/>
        <w:tabs>
          <w:tab w:leader="none" w:pos="280" w:val="left"/>
        </w:tabs>
        <w:numPr>
          <w:ilvl w:val="0"/>
          <w:numId w:val="9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The Company will continue to announce the euro and pounds sterling equivalent amounts at the same time as the US dollar declaration, using an exchange rate from the day before the declaration date: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60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DIVIDEND PER SHARE</w:t>
            </w:r>
          </w:p>
        </w:tc>
        <w:tc>
          <w:tcPr>
            <w:tcW w:w="780" w:type="dxa"/>
            <w:vAlign w:val="bottom"/>
            <w:shd w:val="clear" w:color="auto" w:fill="C1D72E"/>
          </w:tcPr>
          <w:p>
            <w:pPr>
              <w:jc w:val="right"/>
              <w:ind w:right="138"/>
              <w:spacing w:after="0"/>
              <w:rPr>
                <w:sz w:val="20"/>
                <w:szCs w:val="20"/>
                <w:color w:val="auto"/>
              </w:rPr>
            </w:pPr>
            <w:r>
              <w:rPr>
                <w:rFonts w:ascii="Arial" w:cs="Arial" w:eastAsia="Arial" w:hAnsi="Arial"/>
                <w:sz w:val="12"/>
                <w:szCs w:val="12"/>
                <w:b w:val="1"/>
                <w:bCs w:val="1"/>
                <w:color w:val="auto"/>
              </w:rPr>
              <w:t>Q1</w:t>
            </w:r>
          </w:p>
        </w:tc>
        <w:tc>
          <w:tcPr>
            <w:tcW w:w="720" w:type="dxa"/>
            <w:vAlign w:val="bottom"/>
            <w:shd w:val="clear" w:color="auto" w:fill="C1D72E"/>
          </w:tcPr>
          <w:p>
            <w:pPr>
              <w:jc w:val="right"/>
              <w:ind w:right="138"/>
              <w:spacing w:after="0"/>
              <w:rPr>
                <w:sz w:val="20"/>
                <w:szCs w:val="20"/>
                <w:color w:val="auto"/>
              </w:rPr>
            </w:pPr>
            <w:r>
              <w:rPr>
                <w:rFonts w:ascii="Arial" w:cs="Arial" w:eastAsia="Arial" w:hAnsi="Arial"/>
                <w:sz w:val="12"/>
                <w:szCs w:val="12"/>
                <w:b w:val="1"/>
                <w:bCs w:val="1"/>
                <w:color w:val="auto"/>
              </w:rPr>
              <w:t>Q2</w:t>
            </w:r>
          </w:p>
        </w:tc>
        <w:tc>
          <w:tcPr>
            <w:tcW w:w="740" w:type="dxa"/>
            <w:vAlign w:val="bottom"/>
            <w:shd w:val="clear" w:color="auto" w:fill="C1D72E"/>
          </w:tcPr>
          <w:p>
            <w:pPr>
              <w:jc w:val="right"/>
              <w:ind w:right="158"/>
              <w:spacing w:after="0"/>
              <w:rPr>
                <w:sz w:val="20"/>
                <w:szCs w:val="20"/>
                <w:color w:val="auto"/>
              </w:rPr>
            </w:pPr>
            <w:r>
              <w:rPr>
                <w:rFonts w:ascii="Arial" w:cs="Arial" w:eastAsia="Arial" w:hAnsi="Arial"/>
                <w:sz w:val="12"/>
                <w:szCs w:val="12"/>
                <w:b w:val="1"/>
                <w:bCs w:val="1"/>
                <w:color w:val="auto"/>
              </w:rPr>
              <w:t>Q3</w:t>
            </w:r>
          </w:p>
        </w:tc>
        <w:tc>
          <w:tcPr>
            <w:tcW w:w="640" w:type="dxa"/>
            <w:vAlign w:val="bottom"/>
            <w:shd w:val="clear" w:color="auto" w:fill="C1D72E"/>
          </w:tcPr>
          <w:p>
            <w:pPr>
              <w:jc w:val="right"/>
              <w:ind w:right="58"/>
              <w:spacing w:after="0"/>
              <w:rPr>
                <w:sz w:val="20"/>
                <w:szCs w:val="20"/>
                <w:color w:val="auto"/>
              </w:rPr>
            </w:pPr>
            <w:r>
              <w:rPr>
                <w:rFonts w:ascii="Arial" w:cs="Arial" w:eastAsia="Arial" w:hAnsi="Arial"/>
                <w:sz w:val="12"/>
                <w:szCs w:val="12"/>
                <w:b w:val="1"/>
                <w:bCs w:val="1"/>
                <w:color w:val="auto"/>
              </w:rPr>
              <w:t>Q4</w:t>
            </w:r>
          </w:p>
        </w:tc>
      </w:tr>
      <w:tr>
        <w:trPr>
          <w:trHeight w:val="127"/>
        </w:trPr>
        <w:tc>
          <w:tcPr>
            <w:tcW w:w="2600" w:type="dxa"/>
            <w:vAlign w:val="bottom"/>
          </w:tcPr>
          <w:p>
            <w:pPr>
              <w:spacing w:after="0" w:line="128" w:lineRule="exact"/>
              <w:rPr>
                <w:sz w:val="20"/>
                <w:szCs w:val="20"/>
                <w:color w:val="auto"/>
              </w:rPr>
            </w:pPr>
            <w:r>
              <w:rPr>
                <w:rFonts w:ascii="Arial" w:cs="Arial" w:eastAsia="Arial" w:hAnsi="Arial"/>
                <w:sz w:val="12"/>
                <w:szCs w:val="12"/>
                <w:color w:val="auto"/>
              </w:rPr>
              <w:t>Royal Dutch Shell Class A shares (euro)</w:t>
            </w:r>
          </w:p>
        </w:tc>
        <w:tc>
          <w:tcPr>
            <w:tcW w:w="78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0.26</w:t>
            </w:r>
          </w:p>
        </w:tc>
        <w:tc>
          <w:tcPr>
            <w:tcW w:w="72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0.26</w:t>
            </w:r>
          </w:p>
        </w:tc>
        <w:tc>
          <w:tcPr>
            <w:tcW w:w="74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0.25</w:t>
            </w:r>
          </w:p>
        </w:tc>
        <w:tc>
          <w:tcPr>
            <w:tcW w:w="640" w:type="dxa"/>
            <w:vAlign w:val="bottom"/>
          </w:tcPr>
          <w:p>
            <w:pPr>
              <w:jc w:val="right"/>
              <w:ind w:right="58"/>
              <w:spacing w:after="0" w:line="128" w:lineRule="exact"/>
              <w:rPr>
                <w:sz w:val="20"/>
                <w:szCs w:val="20"/>
                <w:color w:val="auto"/>
              </w:rPr>
            </w:pPr>
            <w:r>
              <w:rPr>
                <w:rFonts w:ascii="Arial" w:cs="Arial" w:eastAsia="Arial" w:hAnsi="Arial"/>
                <w:sz w:val="12"/>
                <w:szCs w:val="12"/>
                <w:color w:val="auto"/>
              </w:rPr>
              <w:t>0.24</w:t>
            </w:r>
          </w:p>
        </w:tc>
      </w:tr>
      <w:tr>
        <w:trPr>
          <w:trHeight w:val="148"/>
        </w:trPr>
        <w:tc>
          <w:tcPr>
            <w:tcW w:w="2600" w:type="dxa"/>
            <w:vAlign w:val="bottom"/>
          </w:tcPr>
          <w:p>
            <w:pPr>
              <w:spacing w:after="0"/>
              <w:rPr>
                <w:sz w:val="20"/>
                <w:szCs w:val="20"/>
                <w:color w:val="auto"/>
              </w:rPr>
            </w:pPr>
            <w:r>
              <w:rPr>
                <w:rFonts w:ascii="Arial" w:cs="Arial" w:eastAsia="Arial" w:hAnsi="Arial"/>
                <w:sz w:val="12"/>
                <w:szCs w:val="12"/>
                <w:color w:val="auto"/>
              </w:rPr>
              <w:t>Royal Dutch Shell Class A shares (pence)</w:t>
            </w:r>
          </w:p>
        </w:tc>
        <w:tc>
          <w:tcPr>
            <w:tcW w:w="780" w:type="dxa"/>
            <w:vAlign w:val="bottom"/>
          </w:tcPr>
          <w:p>
            <w:pPr>
              <w:jc w:val="right"/>
              <w:ind w:right="138"/>
              <w:spacing w:after="0"/>
              <w:rPr>
                <w:sz w:val="20"/>
                <w:szCs w:val="20"/>
                <w:color w:val="auto"/>
              </w:rPr>
            </w:pPr>
            <w:r>
              <w:rPr>
                <w:rFonts w:ascii="Arial" w:cs="Arial" w:eastAsia="Arial" w:hAnsi="Arial"/>
                <w:sz w:val="12"/>
                <w:szCs w:val="12"/>
                <w:color w:val="auto"/>
              </w:rPr>
              <w:t>18.09</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17.56</w:t>
            </w:r>
          </w:p>
        </w:tc>
        <w:tc>
          <w:tcPr>
            <w:tcW w:w="740" w:type="dxa"/>
            <w:vAlign w:val="bottom"/>
          </w:tcPr>
          <w:p>
            <w:pPr>
              <w:jc w:val="right"/>
              <w:ind w:right="158"/>
              <w:spacing w:after="0"/>
              <w:rPr>
                <w:sz w:val="20"/>
                <w:szCs w:val="20"/>
                <w:color w:val="auto"/>
              </w:rPr>
            </w:pPr>
            <w:r>
              <w:rPr>
                <w:rFonts w:ascii="Arial" w:cs="Arial" w:eastAsia="Arial" w:hAnsi="Arial"/>
                <w:sz w:val="12"/>
                <w:szCs w:val="12"/>
                <w:color w:val="auto"/>
              </w:rPr>
              <w:t>17.59</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18.11</w:t>
            </w:r>
          </w:p>
        </w:tc>
      </w:tr>
      <w:tr>
        <w:trPr>
          <w:trHeight w:val="251"/>
        </w:trPr>
        <w:tc>
          <w:tcPr>
            <w:tcW w:w="2600" w:type="dxa"/>
            <w:vAlign w:val="bottom"/>
          </w:tcPr>
          <w:p>
            <w:pPr>
              <w:spacing w:after="0"/>
              <w:rPr>
                <w:sz w:val="20"/>
                <w:szCs w:val="20"/>
                <w:color w:val="auto"/>
              </w:rPr>
            </w:pPr>
            <w:r>
              <w:rPr>
                <w:rFonts w:ascii="Arial" w:cs="Arial" w:eastAsia="Arial" w:hAnsi="Arial"/>
                <w:sz w:val="12"/>
                <w:szCs w:val="12"/>
                <w:color w:val="auto"/>
              </w:rPr>
              <w:t>Royal Dutch Shell Class B shares (euro)</w:t>
            </w:r>
          </w:p>
        </w:tc>
        <w:tc>
          <w:tcPr>
            <w:tcW w:w="780" w:type="dxa"/>
            <w:vAlign w:val="bottom"/>
          </w:tcPr>
          <w:p>
            <w:pPr>
              <w:jc w:val="right"/>
              <w:ind w:right="138"/>
              <w:spacing w:after="0"/>
              <w:rPr>
                <w:sz w:val="20"/>
                <w:szCs w:val="20"/>
                <w:color w:val="auto"/>
              </w:rPr>
            </w:pPr>
            <w:r>
              <w:rPr>
                <w:rFonts w:ascii="Arial" w:cs="Arial" w:eastAsia="Arial" w:hAnsi="Arial"/>
                <w:sz w:val="12"/>
                <w:szCs w:val="12"/>
                <w:color w:val="auto"/>
              </w:rPr>
              <w:t>0.26</w:t>
            </w:r>
          </w:p>
        </w:tc>
        <w:tc>
          <w:tcPr>
            <w:tcW w:w="720" w:type="dxa"/>
            <w:vAlign w:val="bottom"/>
          </w:tcPr>
          <w:p>
            <w:pPr>
              <w:jc w:val="right"/>
              <w:ind w:right="138"/>
              <w:spacing w:after="0"/>
              <w:rPr>
                <w:sz w:val="20"/>
                <w:szCs w:val="20"/>
                <w:color w:val="auto"/>
              </w:rPr>
            </w:pPr>
            <w:r>
              <w:rPr>
                <w:rFonts w:ascii="Arial" w:cs="Arial" w:eastAsia="Arial" w:hAnsi="Arial"/>
                <w:sz w:val="12"/>
                <w:szCs w:val="12"/>
                <w:color w:val="auto"/>
              </w:rPr>
              <w:t>0.26</w:t>
            </w:r>
          </w:p>
        </w:tc>
        <w:tc>
          <w:tcPr>
            <w:tcW w:w="740" w:type="dxa"/>
            <w:vAlign w:val="bottom"/>
          </w:tcPr>
          <w:p>
            <w:pPr>
              <w:jc w:val="right"/>
              <w:ind w:right="158"/>
              <w:spacing w:after="0"/>
              <w:rPr>
                <w:sz w:val="20"/>
                <w:szCs w:val="20"/>
                <w:color w:val="auto"/>
              </w:rPr>
            </w:pPr>
            <w:r>
              <w:rPr>
                <w:rFonts w:ascii="Arial" w:cs="Arial" w:eastAsia="Arial" w:hAnsi="Arial"/>
                <w:sz w:val="12"/>
                <w:szCs w:val="12"/>
                <w:color w:val="auto"/>
              </w:rPr>
              <w:t>0.25</w:t>
            </w:r>
          </w:p>
        </w:tc>
        <w:tc>
          <w:tcPr>
            <w:tcW w:w="640" w:type="dxa"/>
            <w:vAlign w:val="bottom"/>
          </w:tcPr>
          <w:p>
            <w:pPr>
              <w:jc w:val="right"/>
              <w:ind w:right="58"/>
              <w:spacing w:after="0"/>
              <w:rPr>
                <w:sz w:val="20"/>
                <w:szCs w:val="20"/>
                <w:color w:val="auto"/>
              </w:rPr>
            </w:pPr>
            <w:r>
              <w:rPr>
                <w:rFonts w:ascii="Arial" w:cs="Arial" w:eastAsia="Arial" w:hAnsi="Arial"/>
                <w:sz w:val="12"/>
                <w:szCs w:val="12"/>
                <w:color w:val="auto"/>
              </w:rPr>
              <w:t>0.24</w:t>
            </w:r>
          </w:p>
        </w:tc>
      </w:tr>
      <w:tr>
        <w:trPr>
          <w:trHeight w:val="139"/>
        </w:trPr>
        <w:tc>
          <w:tcPr>
            <w:tcW w:w="2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Royal Dutch Shell Class B shares (pence)</w:t>
            </w:r>
          </w:p>
        </w:tc>
        <w:tc>
          <w:tcPr>
            <w:tcW w:w="7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18.09</w:t>
            </w: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17.56</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17.59</w:t>
            </w:r>
          </w:p>
        </w:tc>
        <w:tc>
          <w:tcPr>
            <w:tcW w:w="6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18.11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CREDITOR PAYMENT POLICY AND PRACTICE</w:t>
      </w:r>
    </w:p>
    <w:p>
      <w:pPr>
        <w:spacing w:after="0" w:line="6"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Statutory Regulations issued under the UK Companies Act 1985 require a public company to make a statement of its policy and practice on the payment of trade creditors. As a holding company whose principal business is to hold shares in Shell companies, Royal Dutch Shell has no trade creditors. Given the international nature of Shell’s operations there is no specific company-wide creditor payment policy. Relationships with suppliers are governed by Shell’s commitment to long-term relations, based on trust and mutually beneficial arrangements.</w:t>
      </w:r>
    </w:p>
    <w:p>
      <w:pPr>
        <w:spacing w:after="0" w:line="180"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Shell U.K. Limited, the most significant UK operating company in the group, complies with the Better Payment Practice Code and had approximately 35 days’ purchases outstanding at December 31, 2007, (2006: 32 days) based on the average daily amount invoiced by suppliers during the year.</w:t>
      </w:r>
    </w:p>
    <w:p>
      <w:pPr>
        <w:spacing w:after="0" w:line="18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b w:val="1"/>
          <w:bCs w:val="1"/>
          <w:color w:val="auto"/>
        </w:rPr>
        <w:t>DIRECTORS’ RESPONSIBILITIES IN RESPECT OF THE PREPARATION OF THE FINANCIAL STATEMENTS</w:t>
      </w:r>
    </w:p>
    <w:p>
      <w:pPr>
        <w:ind w:right="260"/>
        <w:spacing w:after="0" w:line="307" w:lineRule="auto"/>
        <w:rPr>
          <w:sz w:val="20"/>
          <w:szCs w:val="20"/>
          <w:color w:val="auto"/>
        </w:rPr>
      </w:pPr>
      <w:r>
        <w:rPr>
          <w:rFonts w:ascii="Arial" w:cs="Arial" w:eastAsia="Arial" w:hAnsi="Arial"/>
          <w:sz w:val="12"/>
          <w:szCs w:val="12"/>
          <w:color w:val="auto"/>
        </w:rPr>
        <w:t>The Directors are responsible for preparing the Annual Report, the Directors’ Remuneration Report and the financial statements in accordance with applicable law and regulations.</w:t>
      </w:r>
    </w:p>
    <w:p>
      <w:pPr>
        <w:spacing w:after="0" w:line="141"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UK Company law requires the Directors to prepare financial statements for each financial year. Under that law the Directors have prepared the Shell group and Parent Company Financial Statements in accordance with International Financial Reporting Standards (IFRS) as adopted by the European Union. The financial statements also comply with IFRS as issued by the International Accounting Standards Board (IASB). The financial statements are required by law to give a true and fair view of the state of affairs of the Shell group and the parent company and of the profit or loss of the Shell group and parent company for that period.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 preparing these financial statements, the Directors are required to:</w:t>
      </w:r>
    </w:p>
    <w:p>
      <w:pPr>
        <w:spacing w:after="0" w:line="20" w:lineRule="exact"/>
        <w:rPr>
          <w:sz w:val="20"/>
          <w:szCs w:val="20"/>
          <w:color w:val="auto"/>
        </w:rPr>
      </w:pPr>
    </w:p>
    <w:p>
      <w:pPr>
        <w:ind w:left="220" w:hanging="218"/>
        <w:spacing w:after="0"/>
        <w:tabs>
          <w:tab w:leader="none" w:pos="220"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select suitable accounting policies and then apply them consistently;</w:t>
      </w:r>
    </w:p>
    <w:p>
      <w:pPr>
        <w:spacing w:after="0" w:line="16" w:lineRule="exact"/>
        <w:rPr>
          <w:rFonts w:ascii="Arial" w:cs="Arial" w:eastAsia="Arial" w:hAnsi="Arial"/>
          <w:sz w:val="14"/>
          <w:szCs w:val="14"/>
          <w:b w:val="1"/>
          <w:bCs w:val="1"/>
          <w:color w:val="auto"/>
        </w:rPr>
      </w:pPr>
    </w:p>
    <w:p>
      <w:pPr>
        <w:ind w:left="220" w:hanging="218"/>
        <w:spacing w:after="0"/>
        <w:tabs>
          <w:tab w:leader="none" w:pos="220"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make judgements and estimates that are reasonable and prudent;</w:t>
      </w:r>
    </w:p>
    <w:p>
      <w:pPr>
        <w:spacing w:after="0" w:line="12" w:lineRule="exact"/>
        <w:rPr>
          <w:rFonts w:ascii="Arial" w:cs="Arial" w:eastAsia="Arial" w:hAnsi="Arial"/>
          <w:sz w:val="14"/>
          <w:szCs w:val="14"/>
          <w:b w:val="1"/>
          <w:bCs w:val="1"/>
          <w:color w:val="auto"/>
        </w:rPr>
      </w:pPr>
    </w:p>
    <w:p>
      <w:pPr>
        <w:ind w:left="220" w:right="60" w:hanging="218"/>
        <w:spacing w:after="0" w:line="228" w:lineRule="auto"/>
        <w:tabs>
          <w:tab w:leader="none" w:pos="220" w:val="left"/>
        </w:tabs>
        <w:numPr>
          <w:ilvl w:val="0"/>
          <w:numId w:val="96"/>
        </w:numPr>
        <w:rPr>
          <w:rFonts w:ascii="Arial" w:cs="Arial" w:eastAsia="Arial" w:hAnsi="Arial"/>
          <w:sz w:val="14"/>
          <w:szCs w:val="14"/>
          <w:b w:val="1"/>
          <w:bCs w:val="1"/>
          <w:color w:val="auto"/>
        </w:rPr>
      </w:pPr>
      <w:r>
        <w:rPr>
          <w:rFonts w:ascii="Arial" w:cs="Arial" w:eastAsia="Arial" w:hAnsi="Arial"/>
          <w:sz w:val="14"/>
          <w:szCs w:val="14"/>
          <w:color w:val="auto"/>
        </w:rPr>
        <w:t>state that the financial statements comply with IFRS as adopted by the European Union and IFRS as issued by the IASB; and</w:t>
      </w:r>
    </w:p>
    <w:p>
      <w:pPr>
        <w:ind w:left="220" w:right="300" w:hanging="218"/>
        <w:spacing w:after="0" w:line="265" w:lineRule="auto"/>
        <w:tabs>
          <w:tab w:leader="none" w:pos="220" w:val="left"/>
        </w:tabs>
        <w:numPr>
          <w:ilvl w:val="0"/>
          <w:numId w:val="96"/>
        </w:numPr>
        <w:rPr>
          <w:rFonts w:ascii="Arial" w:cs="Arial" w:eastAsia="Arial" w:hAnsi="Arial"/>
          <w:sz w:val="13"/>
          <w:szCs w:val="13"/>
          <w:b w:val="1"/>
          <w:bCs w:val="1"/>
          <w:color w:val="auto"/>
        </w:rPr>
      </w:pPr>
      <w:r>
        <w:rPr>
          <w:rFonts w:ascii="Arial" w:cs="Arial" w:eastAsia="Arial" w:hAnsi="Arial"/>
          <w:sz w:val="13"/>
          <w:szCs w:val="13"/>
          <w:color w:val="auto"/>
        </w:rPr>
        <w:t>prepare the financial statements on the going concern basis, unless it is inappropriate to assume that Royal Dutch Shell or the Shell group will continue in business.</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 Directors confirm that they have complied with the above requirements when preparing the financial statements. In addition, as far as each of the Directors are aware, there is no relevant audit information of which the auditors are unaware and each Director has taken all the steps a Director ought to have taken in order to make themselves aware of any relevant audit information and to establish that the auditors are aware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654685</wp:posOffset>
            </wp:positionV>
            <wp:extent cx="725297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358775</wp:posOffset>
            </wp:positionV>
            <wp:extent cx="177800" cy="64535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77800" cy="645350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
        <w:spacing w:after="0" w:line="242" w:lineRule="auto"/>
        <w:rPr>
          <w:sz w:val="20"/>
          <w:szCs w:val="20"/>
          <w:color w:val="auto"/>
        </w:rPr>
      </w:pPr>
      <w:r>
        <w:rPr>
          <w:rFonts w:ascii="Arial" w:cs="Arial" w:eastAsia="Arial" w:hAnsi="Arial"/>
          <w:sz w:val="13"/>
          <w:szCs w:val="13"/>
          <w:color w:val="auto"/>
        </w:rPr>
        <w:t>The Directors are responsible for keeping proper accounting records, that disclose with reasonable accuracy at any time the financial position of Royal Dutch Shell and the Shell group and to enable them to ensure that the Financial Statements and the Directors’ Remuneration Report comply with the Companies Act 1985 and, as regards the Consolidated Financial Statements, Article 4 of the IAS Regulation. They are also responsible for safeguarding the assets of Royal Dutch Shell and the Shell group and hence for taking reasonable steps for the prevention and detection of fraud and other irregularities.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6"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The Directors during the year were Maarten van den Bergh, Malcolm Brinded, Linda Cook, Nina Henderson, Sir Peter Job, Lord Kerr of Kinlochard, Wim Kok, Nick Land, Aarnout Loudon (retired May 15, 2007), Christine Morin-Postel, Jorma Ollila, Lawrence Ricciardi, Rob Routs, Jeroen van der Veer and Peter Voser.</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Since the year end to March 12, 2008, there have been no changes in the membership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ELECTION AND RE-ELECTION OF DIRECTORS</w:t>
      </w:r>
    </w:p>
    <w:p>
      <w:pPr>
        <w:spacing w:after="0" w:line="6"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The Directors seeking re-election at the 2008 Annual General Meeting (AGM) are Peter Voser, Sir Peter Job and Lawrence Ricciardi. Shareholders will also be asked to vote on the election of Dr Josef Ackermann as a Director of the Company.</w:t>
      </w:r>
    </w:p>
    <w:p>
      <w:pPr>
        <w:spacing w:after="0" w:line="173"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The biographies of all Directors are on pages 80 and 81 of this Report and, for those seeking election or re-election, also in the Notice of the AGM. Details of the Executive Directors’ service contracts can be found on page 105 and copies are available for inspection from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Secretary. Furthermore, a copy of the form of these contracts has been filed with the US Securities and Exchange Commission as an exhibit.</w:t>
      </w:r>
    </w:p>
    <w:p>
      <w:pPr>
        <w:spacing w:after="0" w:line="175"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terms and conditions of appointment of Non-executive Directors are set out in their letters of appointment with Royal Dutch Shell which, in accordance with the Combined Code, are available for inspection from the Company Secretary. No Director is, or was, materially interested in any contract subsisting during or at the end of the year that was significant in relation to Royal Dutch Shell’s business. See also Related Party Transactions on page 181.</w:t>
      </w:r>
    </w:p>
    <w:p>
      <w:pPr>
        <w:spacing w:after="0" w:line="188"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b w:val="1"/>
          <w:bCs w:val="1"/>
          <w:color w:val="auto"/>
        </w:rPr>
        <w:t xml:space="preserve">FINANCIAL RISK MANAGEMENT, OBJECTIVES AND POLICIES </w:t>
      </w:r>
      <w:r>
        <w:rPr>
          <w:rFonts w:ascii="Arial" w:cs="Arial" w:eastAsia="Arial" w:hAnsi="Arial"/>
          <w:sz w:val="13"/>
          <w:szCs w:val="13"/>
          <w:color w:val="auto"/>
        </w:rPr>
        <w:t>Descriptions of the use of financial instruments and the Shell group financial risk management objectives and policies are set out in the “Operating and Financial Review</w:t>
      </w:r>
    </w:p>
    <w:p>
      <w:pPr>
        <w:spacing w:after="0" w:line="2" w:lineRule="exact"/>
        <w:rPr>
          <w:sz w:val="20"/>
          <w:szCs w:val="20"/>
          <w:color w:val="auto"/>
        </w:rPr>
      </w:pPr>
    </w:p>
    <w:p>
      <w:pPr>
        <w:ind w:right="460"/>
        <w:spacing w:after="0" w:line="234" w:lineRule="auto"/>
        <w:rPr>
          <w:sz w:val="20"/>
          <w:szCs w:val="20"/>
          <w:color w:val="auto"/>
        </w:rPr>
      </w:pPr>
      <w:r>
        <w:rPr>
          <w:rFonts w:ascii="Arial" w:cs="Arial" w:eastAsia="Arial" w:hAnsi="Arial"/>
          <w:sz w:val="14"/>
          <w:szCs w:val="14"/>
          <w:color w:val="auto"/>
        </w:rPr>
        <w:t>– Risk factors” and on pages 90 and 91, and also in Note 26 to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QUALIFYING THIRD-PARTY INDEMNITIES</w:t>
      </w:r>
    </w:p>
    <w:p>
      <w:pPr>
        <w:spacing w:after="0" w:line="6" w:lineRule="exact"/>
        <w:rPr>
          <w:sz w:val="20"/>
          <w:szCs w:val="20"/>
          <w:color w:val="auto"/>
        </w:rPr>
      </w:pPr>
    </w:p>
    <w:p>
      <w:pPr>
        <w:spacing w:after="0" w:line="239" w:lineRule="auto"/>
        <w:rPr>
          <w:sz w:val="20"/>
          <w:szCs w:val="20"/>
          <w:color w:val="auto"/>
        </w:rPr>
      </w:pPr>
      <w:r>
        <w:rPr>
          <w:rFonts w:ascii="Arial" w:cs="Arial" w:eastAsia="Arial" w:hAnsi="Arial"/>
          <w:sz w:val="13"/>
          <w:szCs w:val="13"/>
          <w:color w:val="auto"/>
        </w:rPr>
        <w:t>Royal Dutch Shell has entered into a deed of indemnity with each of the Directors. The terms of these deeds are identical and reflect the statutory provisions on indemnities introduced by the Companies (Audit, Investigations and Community Enterprise) Act 2004. Under the terms of each of these deeds, Royal Dutch Shell has indemnified each of the Directors, to the widest extent permitted by the applicable laws of England and Wales, against any and all liability, howsoever caused (including by that Director’s own negligence), suffered or incurred by that Director in the course of that Director acting as a Director or employee of Royal Dutch Shell, any Shell group member and/or certain other entities.</w:t>
      </w:r>
    </w:p>
    <w:p>
      <w:pPr>
        <w:spacing w:after="0" w:line="413" w:lineRule="exact"/>
        <w:rPr>
          <w:sz w:val="20"/>
          <w:szCs w:val="20"/>
          <w:color w:val="auto"/>
        </w:rPr>
      </w:pPr>
    </w:p>
    <w:p>
      <w:pPr>
        <w:sectPr>
          <w:pgSz w:w="11900" w:h="16838" w:orient="portrait"/>
          <w:cols w:equalWidth="0" w:num="2">
            <w:col w:w="4960" w:space="440"/>
            <w:col w:w="5000"/>
          </w:cols>
          <w:pgMar w:left="240" w:top="415" w:right="125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INTERESTS</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interests (in shares or calculated equivalents) of the Directors in office at the end of the financial year, including any interests of a “connected person” (as defined in the</w:t>
      </w:r>
    </w:p>
    <w:p>
      <w:pPr>
        <w:spacing w:after="0"/>
        <w:rPr>
          <w:sz w:val="20"/>
          <w:szCs w:val="20"/>
          <w:color w:val="auto"/>
        </w:rPr>
      </w:pPr>
      <w:r>
        <w:rPr>
          <w:rFonts w:ascii="Arial" w:cs="Arial" w:eastAsia="Arial" w:hAnsi="Arial"/>
          <w:sz w:val="14"/>
          <w:szCs w:val="14"/>
          <w:color w:val="auto"/>
        </w:rPr>
        <w:t>Disclosure and Transparency Rules) of the Directors, are set out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780" w:type="dxa"/>
            <w:vAlign w:val="bottom"/>
            <w:shd w:val="clear" w:color="auto" w:fill="C1D72E"/>
          </w:tcPr>
          <w:p>
            <w:pPr>
              <w:ind w:left="20"/>
              <w:spacing w:after="0"/>
              <w:rPr>
                <w:sz w:val="20"/>
                <w:szCs w:val="20"/>
                <w:color w:val="auto"/>
              </w:rPr>
            </w:pPr>
            <w:r>
              <w:rPr>
                <w:rFonts w:ascii="Arial" w:cs="Arial" w:eastAsia="Arial" w:hAnsi="Arial"/>
                <w:sz w:val="12"/>
                <w:szCs w:val="12"/>
                <w:b w:val="1"/>
                <w:bCs w:val="1"/>
                <w:color w:val="auto"/>
              </w:rPr>
              <w:t>DIRECTORS’ INTERESTS</w:t>
            </w:r>
          </w:p>
        </w:tc>
        <w:tc>
          <w:tcPr>
            <w:tcW w:w="860" w:type="dxa"/>
            <w:vAlign w:val="bottom"/>
            <w:shd w:val="clear" w:color="auto" w:fill="C1D72E"/>
          </w:tcPr>
          <w:p>
            <w:pPr>
              <w:spacing w:after="0"/>
              <w:rPr>
                <w:sz w:val="13"/>
                <w:szCs w:val="13"/>
                <w:color w:val="auto"/>
              </w:rPr>
            </w:pPr>
          </w:p>
        </w:tc>
        <w:tc>
          <w:tcPr>
            <w:tcW w:w="1700" w:type="dxa"/>
            <w:vAlign w:val="bottom"/>
            <w:shd w:val="clear" w:color="auto" w:fill="C1D72E"/>
          </w:tcPr>
          <w:p>
            <w:pPr>
              <w:jc w:val="right"/>
              <w:ind w:right="438"/>
              <w:spacing w:after="0"/>
              <w:rPr>
                <w:sz w:val="20"/>
                <w:szCs w:val="20"/>
                <w:color w:val="auto"/>
              </w:rPr>
            </w:pPr>
            <w:r>
              <w:rPr>
                <w:rFonts w:ascii="Arial" w:cs="Arial" w:eastAsia="Arial" w:hAnsi="Arial"/>
                <w:sz w:val="12"/>
                <w:szCs w:val="12"/>
                <w:b w:val="1"/>
                <w:bCs w:val="1"/>
                <w:color w:val="auto"/>
              </w:rPr>
              <w:t>January 1, 2007[A]</w:t>
            </w:r>
          </w:p>
        </w:tc>
        <w:tc>
          <w:tcPr>
            <w:tcW w:w="2040" w:type="dxa"/>
            <w:vAlign w:val="bottom"/>
            <w:gridSpan w:val="2"/>
            <w:shd w:val="clear" w:color="auto" w:fill="C1D72E"/>
          </w:tcPr>
          <w:p>
            <w:pPr>
              <w:jc w:val="right"/>
              <w:spacing w:after="0"/>
              <w:rPr>
                <w:sz w:val="20"/>
                <w:szCs w:val="20"/>
                <w:color w:val="auto"/>
              </w:rPr>
            </w:pPr>
            <w:r>
              <w:rPr>
                <w:rFonts w:ascii="Arial" w:cs="Arial" w:eastAsia="Arial" w:hAnsi="Arial"/>
                <w:sz w:val="12"/>
                <w:szCs w:val="12"/>
                <w:b w:val="1"/>
                <w:bCs w:val="1"/>
                <w:color w:val="auto"/>
              </w:rPr>
              <w:t>December 31, 2007[B]</w:t>
            </w:r>
          </w:p>
        </w:tc>
      </w:tr>
      <w:tr>
        <w:trPr>
          <w:trHeight w:val="133"/>
        </w:trPr>
        <w:tc>
          <w:tcPr>
            <w:tcW w:w="578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Class A</w:t>
            </w:r>
          </w:p>
        </w:tc>
        <w:tc>
          <w:tcPr>
            <w:tcW w:w="1700" w:type="dxa"/>
            <w:vAlign w:val="bottom"/>
            <w:shd w:val="clear" w:color="auto" w:fill="CECAC6"/>
          </w:tcPr>
          <w:p>
            <w:pPr>
              <w:jc w:val="right"/>
              <w:ind w:right="618"/>
              <w:spacing w:after="0" w:line="133" w:lineRule="exact"/>
              <w:rPr>
                <w:sz w:val="20"/>
                <w:szCs w:val="20"/>
                <w:color w:val="auto"/>
              </w:rPr>
            </w:pPr>
            <w:r>
              <w:rPr>
                <w:rFonts w:ascii="Arial" w:cs="Arial" w:eastAsia="Arial" w:hAnsi="Arial"/>
                <w:sz w:val="12"/>
                <w:szCs w:val="12"/>
                <w:color w:val="auto"/>
              </w:rPr>
              <w:t>Class B</w:t>
            </w:r>
          </w:p>
        </w:tc>
        <w:tc>
          <w:tcPr>
            <w:tcW w:w="110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Class A</w:t>
            </w:r>
          </w:p>
        </w:tc>
        <w:tc>
          <w:tcPr>
            <w:tcW w:w="9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Class B</w:t>
            </w:r>
          </w:p>
        </w:tc>
      </w:tr>
      <w:tr>
        <w:trPr>
          <w:trHeight w:val="127"/>
        </w:trPr>
        <w:tc>
          <w:tcPr>
            <w:tcW w:w="5780" w:type="dxa"/>
            <w:vAlign w:val="bottom"/>
          </w:tcPr>
          <w:p>
            <w:pPr>
              <w:ind w:left="20"/>
              <w:spacing w:after="0" w:line="128" w:lineRule="exact"/>
              <w:rPr>
                <w:sz w:val="20"/>
                <w:szCs w:val="20"/>
                <w:color w:val="auto"/>
              </w:rPr>
            </w:pPr>
            <w:r>
              <w:rPr>
                <w:rFonts w:ascii="Arial" w:cs="Arial" w:eastAsia="Arial" w:hAnsi="Arial"/>
                <w:sz w:val="12"/>
                <w:szCs w:val="12"/>
                <w:color w:val="auto"/>
              </w:rPr>
              <w:t>Maarten van den Bergh</w:t>
            </w:r>
          </w:p>
        </w:tc>
        <w:tc>
          <w:tcPr>
            <w:tcW w:w="8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8,000</w:t>
            </w:r>
          </w:p>
        </w:tc>
        <w:tc>
          <w:tcPr>
            <w:tcW w:w="1700" w:type="dxa"/>
            <w:vAlign w:val="bottom"/>
          </w:tcPr>
          <w:p>
            <w:pPr>
              <w:jc w:val="right"/>
              <w:ind w:right="618"/>
              <w:spacing w:after="0" w:line="128"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8,000</w:t>
            </w:r>
          </w:p>
        </w:tc>
        <w:tc>
          <w:tcPr>
            <w:tcW w:w="940" w:type="dxa"/>
            <w:vAlign w:val="bottom"/>
          </w:tcPr>
          <w:p>
            <w:pPr>
              <w:jc w:val="right"/>
              <w:ind w:right="98"/>
              <w:spacing w:after="0" w:line="128" w:lineRule="exact"/>
              <w:rPr>
                <w:sz w:val="20"/>
                <w:szCs w:val="20"/>
                <w:color w:val="auto"/>
              </w:rPr>
            </w:pPr>
            <w:r>
              <w:rPr>
                <w:rFonts w:ascii="Arial" w:cs="Arial" w:eastAsia="Arial" w:hAnsi="Arial"/>
                <w:sz w:val="12"/>
                <w:szCs w:val="12"/>
                <w:color w:val="auto"/>
              </w:rPr>
              <w:t>–</w:t>
            </w:r>
          </w:p>
        </w:tc>
      </w:tr>
      <w:tr>
        <w:trPr>
          <w:trHeight w:val="119"/>
        </w:trPr>
        <w:tc>
          <w:tcPr>
            <w:tcW w:w="5780" w:type="dxa"/>
            <w:vAlign w:val="bottom"/>
          </w:tcPr>
          <w:p>
            <w:pPr>
              <w:ind w:left="20"/>
              <w:spacing w:after="0" w:line="120" w:lineRule="exact"/>
              <w:rPr>
                <w:sz w:val="20"/>
                <w:szCs w:val="20"/>
                <w:color w:val="auto"/>
              </w:rPr>
            </w:pPr>
            <w:r>
              <w:rPr>
                <w:rFonts w:ascii="Arial" w:cs="Arial" w:eastAsia="Arial" w:hAnsi="Arial"/>
                <w:sz w:val="12"/>
                <w:szCs w:val="12"/>
                <w:color w:val="auto"/>
              </w:rPr>
              <w:t>Malcolm Brinded</w:t>
            </w:r>
          </w:p>
        </w:tc>
        <w:tc>
          <w:tcPr>
            <w:tcW w:w="860" w:type="dxa"/>
            <w:vAlign w:val="bottom"/>
          </w:tcPr>
          <w:p>
            <w:pPr>
              <w:jc w:val="right"/>
              <w:ind w:right="198"/>
              <w:spacing w:after="0" w:line="120" w:lineRule="exact"/>
              <w:rPr>
                <w:sz w:val="20"/>
                <w:szCs w:val="20"/>
                <w:color w:val="auto"/>
              </w:rPr>
            </w:pPr>
            <w:r>
              <w:rPr>
                <w:rFonts w:ascii="Arial" w:cs="Arial" w:eastAsia="Arial" w:hAnsi="Arial"/>
                <w:sz w:val="12"/>
                <w:szCs w:val="12"/>
                <w:color w:val="auto"/>
              </w:rPr>
              <w:t>14,432</w:t>
            </w:r>
          </w:p>
        </w:tc>
        <w:tc>
          <w:tcPr>
            <w:tcW w:w="1700" w:type="dxa"/>
            <w:vAlign w:val="bottom"/>
          </w:tcPr>
          <w:p>
            <w:pPr>
              <w:jc w:val="right"/>
              <w:ind w:right="618"/>
              <w:spacing w:after="0" w:line="120" w:lineRule="exact"/>
              <w:rPr>
                <w:sz w:val="20"/>
                <w:szCs w:val="20"/>
                <w:color w:val="auto"/>
              </w:rPr>
            </w:pPr>
            <w:r>
              <w:rPr>
                <w:rFonts w:ascii="Arial" w:cs="Arial" w:eastAsia="Arial" w:hAnsi="Arial"/>
                <w:sz w:val="12"/>
                <w:szCs w:val="12"/>
                <w:color w:val="auto"/>
              </w:rPr>
              <w:t>22,885</w:t>
            </w:r>
          </w:p>
        </w:tc>
        <w:tc>
          <w:tcPr>
            <w:tcW w:w="1100" w:type="dxa"/>
            <w:vAlign w:val="bottom"/>
          </w:tcPr>
          <w:p>
            <w:pPr>
              <w:jc w:val="right"/>
              <w:ind w:right="438"/>
              <w:spacing w:after="0" w:line="120" w:lineRule="exact"/>
              <w:rPr>
                <w:sz w:val="20"/>
                <w:szCs w:val="20"/>
                <w:color w:val="auto"/>
              </w:rPr>
            </w:pPr>
            <w:r>
              <w:rPr>
                <w:rFonts w:ascii="Arial" w:cs="Arial" w:eastAsia="Arial" w:hAnsi="Arial"/>
                <w:sz w:val="12"/>
                <w:szCs w:val="12"/>
                <w:color w:val="auto"/>
              </w:rPr>
              <w:t>14,432</w:t>
            </w:r>
          </w:p>
        </w:tc>
        <w:tc>
          <w:tcPr>
            <w:tcW w:w="940" w:type="dxa"/>
            <w:vAlign w:val="bottom"/>
          </w:tcPr>
          <w:p>
            <w:pPr>
              <w:jc w:val="right"/>
              <w:ind w:right="98"/>
              <w:spacing w:after="0" w:line="120" w:lineRule="exact"/>
              <w:rPr>
                <w:sz w:val="20"/>
                <w:szCs w:val="20"/>
                <w:color w:val="auto"/>
              </w:rPr>
            </w:pPr>
            <w:r>
              <w:rPr>
                <w:rFonts w:ascii="Arial" w:cs="Arial" w:eastAsia="Arial" w:hAnsi="Arial"/>
                <w:sz w:val="12"/>
                <w:szCs w:val="12"/>
                <w:color w:val="auto"/>
              </w:rPr>
              <w:t>28,472</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Linda Cook</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27,484</w:t>
            </w:r>
            <w:r>
              <w:rPr>
                <w:rFonts w:ascii="Arial" w:cs="Arial" w:eastAsia="Arial" w:hAnsi="Arial"/>
                <w:sz w:val="12"/>
                <w:szCs w:val="12"/>
                <w:b w:val="1"/>
                <w:bCs w:val="1"/>
                <w:color w:val="auto"/>
              </w:rPr>
              <w:t>[C]</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27,484</w:t>
            </w:r>
            <w:r>
              <w:rPr>
                <w:rFonts w:ascii="Arial" w:cs="Arial" w:eastAsia="Arial" w:hAnsi="Arial"/>
                <w:sz w:val="12"/>
                <w:szCs w:val="12"/>
                <w:b w:val="1"/>
                <w:bCs w:val="1"/>
                <w:color w:val="auto"/>
              </w:rPr>
              <w:t>[C]</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r>
      <w:tr>
        <w:trPr>
          <w:trHeight w:val="147"/>
        </w:trPr>
        <w:tc>
          <w:tcPr>
            <w:tcW w:w="5780" w:type="dxa"/>
            <w:vAlign w:val="bottom"/>
          </w:tcPr>
          <w:p>
            <w:pPr>
              <w:ind w:left="20"/>
              <w:spacing w:after="0"/>
              <w:rPr>
                <w:sz w:val="20"/>
                <w:szCs w:val="20"/>
                <w:color w:val="auto"/>
              </w:rPr>
            </w:pPr>
            <w:r>
              <w:rPr>
                <w:rFonts w:ascii="Arial" w:cs="Arial" w:eastAsia="Arial" w:hAnsi="Arial"/>
                <w:sz w:val="12"/>
                <w:szCs w:val="12"/>
                <w:color w:val="auto"/>
              </w:rPr>
              <w:t>Nina Henderson</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700" w:type="dxa"/>
            <w:vAlign w:val="bottom"/>
          </w:tcPr>
          <w:p>
            <w:pPr>
              <w:jc w:val="right"/>
              <w:ind w:right="438"/>
              <w:spacing w:after="0"/>
              <w:rPr>
                <w:sz w:val="20"/>
                <w:szCs w:val="20"/>
                <w:color w:val="auto"/>
              </w:rPr>
            </w:pPr>
            <w:r>
              <w:rPr>
                <w:rFonts w:ascii="Arial" w:cs="Arial" w:eastAsia="Arial" w:hAnsi="Arial"/>
                <w:sz w:val="12"/>
                <w:szCs w:val="12"/>
                <w:color w:val="auto"/>
              </w:rPr>
              <w:t>4,584</w:t>
            </w:r>
            <w:r>
              <w:rPr>
                <w:rFonts w:ascii="Arial" w:cs="Arial" w:eastAsia="Arial" w:hAnsi="Arial"/>
                <w:sz w:val="12"/>
                <w:szCs w:val="12"/>
                <w:b w:val="1"/>
                <w:bCs w:val="1"/>
                <w:color w:val="auto"/>
              </w:rPr>
              <w:t>[D]</w:t>
            </w:r>
          </w:p>
        </w:tc>
        <w:tc>
          <w:tcPr>
            <w:tcW w:w="110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4,584</w:t>
            </w:r>
            <w:r>
              <w:rPr>
                <w:rFonts w:ascii="Arial" w:cs="Arial" w:eastAsia="Arial" w:hAnsi="Arial"/>
                <w:sz w:val="12"/>
                <w:szCs w:val="12"/>
                <w:b w:val="1"/>
                <w:bCs w:val="1"/>
                <w:color w:val="auto"/>
              </w:rPr>
              <w:t>[D]</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Sir Peter Job</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1,492</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3,077</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Lord Kerr of Kinlochard</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4,000</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7,500</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Wim Kok</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500</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1,750</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Nick Land</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3,074</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3,074</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Christine Morin-Postel</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1,960</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8,485</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r>
      <w:tr>
        <w:trPr>
          <w:trHeight w:val="119"/>
        </w:trPr>
        <w:tc>
          <w:tcPr>
            <w:tcW w:w="5780" w:type="dxa"/>
            <w:vAlign w:val="bottom"/>
          </w:tcPr>
          <w:p>
            <w:pPr>
              <w:ind w:left="20"/>
              <w:spacing w:after="0" w:line="120" w:lineRule="exact"/>
              <w:rPr>
                <w:sz w:val="20"/>
                <w:szCs w:val="20"/>
                <w:color w:val="auto"/>
              </w:rPr>
            </w:pPr>
            <w:r>
              <w:rPr>
                <w:rFonts w:ascii="Arial" w:cs="Arial" w:eastAsia="Arial" w:hAnsi="Arial"/>
                <w:sz w:val="12"/>
                <w:szCs w:val="12"/>
                <w:color w:val="auto"/>
              </w:rPr>
              <w:t>Jorma Ollila</w:t>
            </w:r>
          </w:p>
        </w:tc>
        <w:tc>
          <w:tcPr>
            <w:tcW w:w="860" w:type="dxa"/>
            <w:vAlign w:val="bottom"/>
          </w:tcPr>
          <w:p>
            <w:pPr>
              <w:jc w:val="right"/>
              <w:ind w:right="198"/>
              <w:spacing w:after="0" w:line="120" w:lineRule="exact"/>
              <w:rPr>
                <w:sz w:val="20"/>
                <w:szCs w:val="20"/>
                <w:color w:val="auto"/>
              </w:rPr>
            </w:pPr>
            <w:r>
              <w:rPr>
                <w:rFonts w:ascii="Arial" w:cs="Arial" w:eastAsia="Arial" w:hAnsi="Arial"/>
                <w:sz w:val="12"/>
                <w:szCs w:val="12"/>
                <w:color w:val="auto"/>
              </w:rPr>
              <w:t>4,000</w:t>
            </w:r>
          </w:p>
        </w:tc>
        <w:tc>
          <w:tcPr>
            <w:tcW w:w="1700" w:type="dxa"/>
            <w:vAlign w:val="bottom"/>
          </w:tcPr>
          <w:p>
            <w:pPr>
              <w:jc w:val="right"/>
              <w:ind w:right="618"/>
              <w:spacing w:after="0" w:line="120"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20" w:lineRule="exact"/>
              <w:rPr>
                <w:sz w:val="20"/>
                <w:szCs w:val="20"/>
                <w:color w:val="auto"/>
              </w:rPr>
            </w:pPr>
            <w:r>
              <w:rPr>
                <w:rFonts w:ascii="Arial" w:cs="Arial" w:eastAsia="Arial" w:hAnsi="Arial"/>
                <w:sz w:val="12"/>
                <w:szCs w:val="12"/>
                <w:color w:val="auto"/>
              </w:rPr>
              <w:t>21,000</w:t>
            </w:r>
          </w:p>
        </w:tc>
        <w:tc>
          <w:tcPr>
            <w:tcW w:w="940" w:type="dxa"/>
            <w:vAlign w:val="bottom"/>
          </w:tcPr>
          <w:p>
            <w:pPr>
              <w:jc w:val="right"/>
              <w:ind w:right="98"/>
              <w:spacing w:after="0" w:line="120" w:lineRule="exact"/>
              <w:rPr>
                <w:sz w:val="20"/>
                <w:szCs w:val="20"/>
                <w:color w:val="auto"/>
              </w:rPr>
            </w:pPr>
            <w:r>
              <w:rPr>
                <w:rFonts w:ascii="Arial" w:cs="Arial" w:eastAsia="Arial" w:hAnsi="Arial"/>
                <w:sz w:val="12"/>
                <w:szCs w:val="12"/>
                <w:color w:val="auto"/>
              </w:rPr>
              <w:t>–</w:t>
            </w:r>
          </w:p>
        </w:tc>
      </w:tr>
      <w:tr>
        <w:trPr>
          <w:trHeight w:val="147"/>
        </w:trPr>
        <w:tc>
          <w:tcPr>
            <w:tcW w:w="5780" w:type="dxa"/>
            <w:vAlign w:val="bottom"/>
          </w:tcPr>
          <w:p>
            <w:pPr>
              <w:ind w:left="20"/>
              <w:spacing w:after="0"/>
              <w:rPr>
                <w:sz w:val="20"/>
                <w:szCs w:val="20"/>
                <w:color w:val="auto"/>
              </w:rPr>
            </w:pPr>
            <w:r>
              <w:rPr>
                <w:rFonts w:ascii="Arial" w:cs="Arial" w:eastAsia="Arial" w:hAnsi="Arial"/>
                <w:sz w:val="12"/>
                <w:szCs w:val="12"/>
                <w:color w:val="auto"/>
              </w:rPr>
              <w:t>Lawrence Ricciardi</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20,000</w:t>
            </w:r>
            <w:r>
              <w:rPr>
                <w:rFonts w:ascii="Arial" w:cs="Arial" w:eastAsia="Arial" w:hAnsi="Arial"/>
                <w:sz w:val="12"/>
                <w:szCs w:val="12"/>
                <w:b w:val="1"/>
                <w:bCs w:val="1"/>
                <w:color w:val="auto"/>
              </w:rPr>
              <w:t>[E]</w:t>
            </w:r>
          </w:p>
        </w:tc>
        <w:tc>
          <w:tcPr>
            <w:tcW w:w="1700" w:type="dxa"/>
            <w:vAlign w:val="bottom"/>
          </w:tcPr>
          <w:p>
            <w:pPr>
              <w:jc w:val="right"/>
              <w:ind w:right="6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278"/>
              <w:spacing w:after="0"/>
              <w:rPr>
                <w:sz w:val="20"/>
                <w:szCs w:val="20"/>
                <w:color w:val="auto"/>
              </w:rPr>
            </w:pPr>
            <w:r>
              <w:rPr>
                <w:rFonts w:ascii="Arial" w:cs="Arial" w:eastAsia="Arial" w:hAnsi="Arial"/>
                <w:sz w:val="12"/>
                <w:szCs w:val="12"/>
                <w:color w:val="auto"/>
              </w:rPr>
              <w:t>20,000</w:t>
            </w:r>
            <w:r>
              <w:rPr>
                <w:rFonts w:ascii="Arial" w:cs="Arial" w:eastAsia="Arial" w:hAnsi="Arial"/>
                <w:sz w:val="12"/>
                <w:szCs w:val="12"/>
                <w:b w:val="1"/>
                <w:bCs w:val="1"/>
                <w:color w:val="auto"/>
              </w:rPr>
              <w:t>[E]</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Rob Routs</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1,023</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1,023</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r>
      <w:tr>
        <w:trPr>
          <w:trHeight w:val="133"/>
        </w:trPr>
        <w:tc>
          <w:tcPr>
            <w:tcW w:w="5780" w:type="dxa"/>
            <w:vAlign w:val="bottom"/>
          </w:tcPr>
          <w:p>
            <w:pPr>
              <w:ind w:left="20"/>
              <w:spacing w:after="0" w:line="133" w:lineRule="exact"/>
              <w:rPr>
                <w:sz w:val="20"/>
                <w:szCs w:val="20"/>
                <w:color w:val="auto"/>
              </w:rPr>
            </w:pPr>
            <w:r>
              <w:rPr>
                <w:rFonts w:ascii="Arial" w:cs="Arial" w:eastAsia="Arial" w:hAnsi="Arial"/>
                <w:sz w:val="12"/>
                <w:szCs w:val="12"/>
                <w:color w:val="auto"/>
              </w:rPr>
              <w:t>Jeroen van der Veer</w:t>
            </w:r>
          </w:p>
        </w:tc>
        <w:tc>
          <w:tcPr>
            <w:tcW w:w="8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46,175</w:t>
            </w:r>
          </w:p>
        </w:tc>
        <w:tc>
          <w:tcPr>
            <w:tcW w:w="1700" w:type="dxa"/>
            <w:vAlign w:val="bottom"/>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50,000</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r>
      <w:tr>
        <w:trPr>
          <w:trHeight w:val="148"/>
        </w:trPr>
        <w:tc>
          <w:tcPr>
            <w:tcW w:w="5780" w:type="dxa"/>
            <w:vAlign w:val="bottom"/>
          </w:tcPr>
          <w:p>
            <w:pPr>
              <w:ind w:left="20"/>
              <w:spacing w:after="0"/>
              <w:rPr>
                <w:sz w:val="20"/>
                <w:szCs w:val="20"/>
                <w:color w:val="auto"/>
              </w:rPr>
            </w:pPr>
            <w:r>
              <w:rPr>
                <w:rFonts w:ascii="Arial" w:cs="Arial" w:eastAsia="Arial" w:hAnsi="Arial"/>
                <w:sz w:val="12"/>
                <w:szCs w:val="12"/>
                <w:color w:val="auto"/>
              </w:rPr>
              <w:t>Peter Voser</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2,000</w:t>
            </w:r>
          </w:p>
        </w:tc>
        <w:tc>
          <w:tcPr>
            <w:tcW w:w="1700" w:type="dxa"/>
            <w:vAlign w:val="bottom"/>
          </w:tcPr>
          <w:p>
            <w:pPr>
              <w:jc w:val="right"/>
              <w:ind w:right="61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438"/>
              <w:spacing w:after="0"/>
              <w:rPr>
                <w:sz w:val="20"/>
                <w:szCs w:val="20"/>
                <w:color w:val="auto"/>
              </w:rPr>
            </w:pPr>
            <w:r>
              <w:rPr>
                <w:rFonts w:ascii="Arial" w:cs="Arial" w:eastAsia="Arial" w:hAnsi="Arial"/>
                <w:sz w:val="12"/>
                <w:szCs w:val="12"/>
                <w:color w:val="auto"/>
              </w:rPr>
              <w:t>2,000</w:t>
            </w:r>
          </w:p>
        </w:tc>
        <w:tc>
          <w:tcPr>
            <w:tcW w:w="940" w:type="dxa"/>
            <w:vAlign w:val="bottom"/>
          </w:tcPr>
          <w:p>
            <w:pPr>
              <w:jc w:val="right"/>
              <w:ind w:right="98"/>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65887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88760" cy="8255"/>
                    </a:xfrm>
                    <a:prstGeom prst="rect">
                      <a:avLst/>
                    </a:prstGeom>
                    <a:noFill/>
                  </pic:spPr>
                </pic:pic>
              </a:graphicData>
            </a:graphic>
          </wp:anchor>
        </w:drawing>
      </w:r>
    </w:p>
    <w:p>
      <w:pPr>
        <w:ind w:left="300" w:right="80" w:hanging="293"/>
        <w:spacing w:after="0" w:line="231" w:lineRule="auto"/>
        <w:tabs>
          <w:tab w:leader="none" w:pos="3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Excludes interests in shares or options awarded under the Long-term Incentive Plan, the Deferred Bonus Plan and the Share option plans as at January 1, 2007. Interests under these plans as at January 1, 2007 are set out on pages 99 to 101.</w:t>
      </w:r>
    </w:p>
    <w:p>
      <w:pPr>
        <w:ind w:left="300" w:right="200" w:hanging="293"/>
        <w:spacing w:after="0" w:line="231" w:lineRule="auto"/>
        <w:tabs>
          <w:tab w:leader="none" w:pos="3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Excludes interests in shares or options awarded under the Long-term Incentive Plan, the Deferred Bonus Plan and the Share option plans as at December 31, 2007. Interests under these plans as at December 31, 2007 are set out on pages 99 to 101.</w:t>
      </w:r>
    </w:p>
    <w:p>
      <w:pPr>
        <w:ind w:left="300" w:hanging="293"/>
        <w:spacing w:after="0" w:line="231" w:lineRule="auto"/>
        <w:tabs>
          <w:tab w:leader="none" w:pos="3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Held as 13,742 ADRs (RDS.A ADR). One RDS.A ADR represents two RDS A ordinary shares.</w:t>
      </w:r>
    </w:p>
    <w:p>
      <w:pPr>
        <w:ind w:left="300" w:hanging="293"/>
        <w:spacing w:after="0" w:line="231" w:lineRule="auto"/>
        <w:tabs>
          <w:tab w:leader="none" w:pos="3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Held as 2,292 ADRs (RDS.B ADR). One RDS.B ADR represents two RDS B ordinary shares.</w:t>
      </w:r>
    </w:p>
    <w:p>
      <w:pPr>
        <w:ind w:left="300" w:hanging="293"/>
        <w:spacing w:after="0"/>
        <w:tabs>
          <w:tab w:leader="none" w:pos="300" w:val="left"/>
        </w:tabs>
        <w:numPr>
          <w:ilvl w:val="0"/>
          <w:numId w:val="98"/>
        </w:numPr>
        <w:rPr>
          <w:rFonts w:ascii="Arial" w:cs="Arial" w:eastAsia="Arial" w:hAnsi="Arial"/>
          <w:sz w:val="12"/>
          <w:szCs w:val="12"/>
          <w:color w:val="auto"/>
        </w:rPr>
      </w:pPr>
      <w:r>
        <w:rPr>
          <w:rFonts w:ascii="Arial" w:cs="Arial" w:eastAsia="Arial" w:hAnsi="Arial"/>
          <w:sz w:val="12"/>
          <w:szCs w:val="12"/>
          <w:color w:val="auto"/>
        </w:rPr>
        <w:t>Held as 10,000 ADRs (RDS.A ADR). One RDS.A ADR represents two RDS A ordinary shares.</w:t>
      </w:r>
    </w:p>
    <w:p>
      <w:pPr>
        <w:spacing w:after="0" w:line="1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1224280</wp:posOffset>
            </wp:positionV>
            <wp:extent cx="725297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REPORT OF THE DIRECTORS</w:t>
      </w:r>
    </w:p>
    <w:p>
      <w:pPr>
        <w:spacing w:after="0" w:line="200" w:lineRule="exact"/>
        <w:rPr>
          <w:sz w:val="20"/>
          <w:szCs w:val="20"/>
          <w:color w:val="auto"/>
        </w:rPr>
      </w:pPr>
    </w:p>
    <w:p>
      <w:pPr>
        <w:spacing w:after="0" w:line="217"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There were no changes in Directors’ share interests during the period from December 31, 2007, to March 12, 2008, except that Wim Kok purchased 2,250 Royal Dutch Shell Class A shares on February 1, 2008.</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CAPITAL STRUCTURE</w:t>
      </w:r>
    </w:p>
    <w:p>
      <w:pPr>
        <w:spacing w:after="0" w:line="6" w:lineRule="exact"/>
        <w:rPr>
          <w:sz w:val="20"/>
          <w:szCs w:val="20"/>
          <w:color w:val="auto"/>
        </w:rPr>
      </w:pPr>
    </w:p>
    <w:p>
      <w:pPr>
        <w:ind w:right="40"/>
        <w:spacing w:after="0" w:line="250" w:lineRule="auto"/>
        <w:rPr>
          <w:sz w:val="20"/>
          <w:szCs w:val="20"/>
          <w:color w:val="auto"/>
        </w:rPr>
      </w:pPr>
      <w:r>
        <w:rPr>
          <w:rFonts w:ascii="Arial" w:cs="Arial" w:eastAsia="Arial" w:hAnsi="Arial"/>
          <w:sz w:val="13"/>
          <w:szCs w:val="13"/>
          <w:color w:val="auto"/>
        </w:rPr>
        <w:t>The Company’s authorised and issued share capital as at December 31, 2007, is set out in Note 11 to the Parent Company Financial Statements. Disclosure requirements pursuant to The Takeover Directive can be found on this page and on pages 173-181.</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PURCHASES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On May 15, 2007, shareholders approved an authority, expiring at the end of the next AGM, for Royal Dutch Shell to purchase its own shares up to a maximum of 10% of the issued share capital (excluding share purchases for employee share benefit plans). During 2007, 112,275,000 Class A shares with a nominal value of €7.9 million (representing 1.8% of Royal Dutch Shell’s entire issued share capital at December 31, 2007) had been purchased for cancellation for a total cost of $4,413 million, including expenses, at an average price of $39.31 per Class A share. Since the year end additional purchases have been made (see “Recent developments and post balance sheet events”). At February 26, 2008 a further 21,280,000 Class A shares (representing 0.3% of Royal Dutch Shell’s entire issued share capital at December 31, 2007) had been purchased for cancellation for a total cost of $796 million, including expenses, at an average price of $37.38 per Class A share.</w:t>
      </w:r>
    </w:p>
    <w:p>
      <w:pPr>
        <w:spacing w:after="0" w:line="180" w:lineRule="exact"/>
        <w:rPr>
          <w:sz w:val="20"/>
          <w:szCs w:val="20"/>
          <w:color w:val="auto"/>
        </w:rPr>
      </w:pPr>
    </w:p>
    <w:p>
      <w:pPr>
        <w:ind w:right="80"/>
        <w:spacing w:after="0" w:line="247" w:lineRule="auto"/>
        <w:rPr>
          <w:sz w:val="20"/>
          <w:szCs w:val="20"/>
          <w:color w:val="auto"/>
        </w:rPr>
      </w:pPr>
      <w:r>
        <w:rPr>
          <w:rFonts w:ascii="Arial" w:cs="Arial" w:eastAsia="Arial" w:hAnsi="Arial"/>
          <w:sz w:val="13"/>
          <w:szCs w:val="13"/>
          <w:color w:val="auto"/>
        </w:rPr>
        <w:t>The Board continues to regard the ability to repurchase issued shares in suitable circumstances as an important part of the financial management of Royal Dutch Shell. A resolution will be proposed to the forthcoming AGM to renew the authority for Royal Dutch Shell to purchase its own share capital up to specified limits for another year. More detail of this proposal is given in the Notice of the AGM.</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POLITICAL AND CHARITABLE CONTRIBUTIONS</w:t>
      </w:r>
    </w:p>
    <w:p>
      <w:pPr>
        <w:spacing w:after="0" w:line="6" w:lineRule="exact"/>
        <w:rPr>
          <w:sz w:val="20"/>
          <w:szCs w:val="20"/>
          <w:color w:val="auto"/>
        </w:rPr>
      </w:pPr>
    </w:p>
    <w:p>
      <w:pPr>
        <w:ind w:right="180"/>
        <w:spacing w:after="0" w:line="242" w:lineRule="auto"/>
        <w:rPr>
          <w:sz w:val="20"/>
          <w:szCs w:val="20"/>
          <w:color w:val="auto"/>
        </w:rPr>
      </w:pPr>
      <w:r>
        <w:rPr>
          <w:rFonts w:ascii="Arial" w:cs="Arial" w:eastAsia="Arial" w:hAnsi="Arial"/>
          <w:sz w:val="13"/>
          <w:szCs w:val="13"/>
          <w:color w:val="auto"/>
        </w:rPr>
        <w:t>No political donations were made by any member of Shell companies to political parties or organisations during the year. Shell Oil Company administers the non-partisan Shell Oil Company Employees’ Political Awareness Committee (SEPAC), a political action committee registered with the US Federal Election Commission. Eligible employees may make voluntary personal contributions to SEPAC.</w:t>
      </w:r>
    </w:p>
    <w:p>
      <w:pPr>
        <w:spacing w:after="0" w:line="180" w:lineRule="exact"/>
        <w:rPr>
          <w:sz w:val="20"/>
          <w:szCs w:val="20"/>
          <w:color w:val="auto"/>
        </w:rPr>
      </w:pPr>
    </w:p>
    <w:p>
      <w:pPr>
        <w:jc w:val="both"/>
        <w:ind w:right="80"/>
        <w:spacing w:after="0" w:line="235" w:lineRule="auto"/>
        <w:rPr>
          <w:sz w:val="20"/>
          <w:szCs w:val="20"/>
          <w:color w:val="auto"/>
        </w:rPr>
      </w:pPr>
      <w:r>
        <w:rPr>
          <w:rFonts w:ascii="Arial" w:cs="Arial" w:eastAsia="Arial" w:hAnsi="Arial"/>
          <w:sz w:val="14"/>
          <w:szCs w:val="14"/>
          <w:color w:val="auto"/>
        </w:rPr>
        <w:t>Shell, through individual Shell companies, sponsors social investment programmes in many countries throughout the world. In the UK, Shell donated $26 million in 2007 to charitable causes.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 AND INCLUSION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Detailed information can be found in the Operating and Financial Review on page 66.</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 AND INVOLVEMENT</w:t>
      </w:r>
    </w:p>
    <w:p>
      <w:pPr>
        <w:spacing w:after="0" w:line="16"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Detailed information can be found in the Operating and Financial Review on page 66.</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SOCIAL RESPONSIBILITY</w:t>
      </w:r>
    </w:p>
    <w:p>
      <w:pPr>
        <w:spacing w:after="0" w:line="6"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A summary of Royal Dutch Shell’s approach to corporate social responsibility is contained in pages 68 to 71 of the Operating and Financial Review. Further details will be available in the Shell Sustainability Report 2007.</w:t>
      </w:r>
    </w:p>
    <w:p>
      <w:pPr>
        <w:spacing w:after="0" w:line="200" w:lineRule="exact"/>
        <w:rPr>
          <w:sz w:val="20"/>
          <w:szCs w:val="20"/>
          <w:color w:val="auto"/>
        </w:rPr>
      </w:pPr>
    </w:p>
    <w:p>
      <w:pPr>
        <w:spacing w:after="0" w:line="224" w:lineRule="exact"/>
        <w:rPr>
          <w:sz w:val="20"/>
          <w:szCs w:val="20"/>
          <w:color w:val="auto"/>
        </w:rPr>
      </w:pPr>
    </w:p>
    <w:p>
      <w:pPr>
        <w:ind w:left="280" w:hanging="273"/>
        <w:spacing w:after="0"/>
        <w:tabs>
          <w:tab w:leader="none" w:pos="280" w:val="left"/>
        </w:tabs>
        <w:numPr>
          <w:ilvl w:val="0"/>
          <w:numId w:val="9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
        <w:spacing w:after="0" w:line="243" w:lineRule="auto"/>
        <w:rPr>
          <w:sz w:val="20"/>
          <w:szCs w:val="20"/>
          <w:color w:val="auto"/>
        </w:rPr>
      </w:pPr>
      <w:r>
        <w:rPr>
          <w:rFonts w:ascii="Arial" w:cs="Arial" w:eastAsia="Arial" w:hAnsi="Arial"/>
          <w:sz w:val="13"/>
          <w:szCs w:val="13"/>
          <w:b w:val="1"/>
          <w:bCs w:val="1"/>
          <w:color w:val="auto"/>
        </w:rPr>
        <w:t xml:space="preserve">SIGNIFICANT CONTRACTS AND TAKEOVER DIRECTIVE INFORMATION </w:t>
      </w:r>
      <w:r>
        <w:rPr>
          <w:rFonts w:ascii="Arial" w:cs="Arial" w:eastAsia="Arial" w:hAnsi="Arial"/>
          <w:sz w:val="13"/>
          <w:szCs w:val="13"/>
          <w:color w:val="auto"/>
        </w:rPr>
        <w:t>Shell does not have contracts or other arrangements which individually are essential to the business nor does it have any significant agreements that would take effect, alter or terminate upon a change of control of the company following a takeover bid. There are no significant restrictions on the transfer of securities. Shell operates two primary employee share ownership trusts, a Dutch Stichting and an American Rabbi Trust. The shares in the Stichting are voted by the Stichting Board, and the shares in the Rabbi Trust are voted by the Voting Trustee, U.S. Trust Company, N.A. Both the Stichting Board and the Voting Trustee are independent of Royal Dutch Shell.</w:t>
      </w:r>
    </w:p>
    <w:p>
      <w:pPr>
        <w:spacing w:after="0" w:line="177" w:lineRule="exact"/>
        <w:rPr>
          <w:sz w:val="20"/>
          <w:szCs w:val="20"/>
          <w:color w:val="auto"/>
        </w:rPr>
      </w:pPr>
    </w:p>
    <w:p>
      <w:pPr>
        <w:ind w:right="100"/>
        <w:spacing w:after="0" w:line="273" w:lineRule="auto"/>
        <w:rPr>
          <w:sz w:val="20"/>
          <w:szCs w:val="20"/>
          <w:color w:val="auto"/>
        </w:rPr>
      </w:pPr>
      <w:r>
        <w:rPr>
          <w:rFonts w:ascii="Arial" w:cs="Arial" w:eastAsia="Arial" w:hAnsi="Arial"/>
          <w:sz w:val="12"/>
          <w:szCs w:val="12"/>
          <w:color w:val="auto"/>
        </w:rPr>
        <w:t>In addition, the following plans have separate related share ownership trusts, namely The Shell All Employee Share Ownership Plan (“SAESOP”) and the Global All Employee Share Purchase Plan (“GESPP”). Shares held for the SAESOP are voted by its trustee, Halifax Corporate Trustees Limited, as directed by the participants. Shares held for the GESPP may be voted by its trustee, Halifax EES International Limited.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260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INFORMATION</w:t>
            </w:r>
          </w:p>
        </w:tc>
        <w:tc>
          <w:tcPr>
            <w:tcW w:w="2380" w:type="dxa"/>
            <w:vAlign w:val="bottom"/>
            <w:shd w:val="clear" w:color="auto" w:fill="C1D72E"/>
          </w:tcPr>
          <w:p>
            <w:pPr>
              <w:jc w:val="right"/>
              <w:spacing w:after="0"/>
              <w:rPr>
                <w:sz w:val="20"/>
                <w:szCs w:val="20"/>
                <w:color w:val="auto"/>
              </w:rPr>
            </w:pPr>
            <w:r>
              <w:rPr>
                <w:rFonts w:ascii="Arial" w:cs="Arial" w:eastAsia="Arial" w:hAnsi="Arial"/>
                <w:sz w:val="12"/>
                <w:szCs w:val="12"/>
                <w:b w:val="1"/>
                <w:bCs w:val="1"/>
                <w:color w:val="auto"/>
              </w:rPr>
              <w:t>LOCATION IN ANNUAL REPORT</w:t>
            </w:r>
          </w:p>
        </w:tc>
      </w:tr>
      <w:tr>
        <w:trPr>
          <w:trHeight w:val="127"/>
        </w:trPr>
        <w:tc>
          <w:tcPr>
            <w:tcW w:w="2600" w:type="dxa"/>
            <w:vAlign w:val="bottom"/>
          </w:tcPr>
          <w:p>
            <w:pPr>
              <w:spacing w:after="0" w:line="128" w:lineRule="exact"/>
              <w:rPr>
                <w:sz w:val="20"/>
                <w:szCs w:val="20"/>
                <w:color w:val="auto"/>
              </w:rPr>
            </w:pPr>
            <w:r>
              <w:rPr>
                <w:rFonts w:ascii="Arial" w:cs="Arial" w:eastAsia="Arial" w:hAnsi="Arial"/>
                <w:sz w:val="12"/>
                <w:szCs w:val="12"/>
                <w:color w:val="auto"/>
              </w:rPr>
              <w:t>Share capital – structure, voting</w:t>
            </w:r>
          </w:p>
        </w:tc>
        <w:tc>
          <w:tcPr>
            <w:tcW w:w="2380" w:type="dxa"/>
            <w:vAlign w:val="bottom"/>
          </w:tcPr>
          <w:p>
            <w:pPr>
              <w:jc w:val="right"/>
              <w:spacing w:after="0" w:line="128" w:lineRule="exact"/>
              <w:rPr>
                <w:sz w:val="20"/>
                <w:szCs w:val="20"/>
                <w:color w:val="auto"/>
              </w:rPr>
            </w:pPr>
            <w:r>
              <w:rPr>
                <w:rFonts w:ascii="Arial" w:cs="Arial" w:eastAsia="Arial" w:hAnsi="Arial"/>
                <w:sz w:val="12"/>
                <w:szCs w:val="12"/>
                <w:color w:val="auto"/>
              </w:rPr>
              <w:t>See Note 11 to Parent Company</w:t>
            </w:r>
          </w:p>
        </w:tc>
      </w:tr>
      <w:tr>
        <w:trPr>
          <w:trHeight w:val="133"/>
        </w:trPr>
        <w:tc>
          <w:tcPr>
            <w:tcW w:w="2600" w:type="dxa"/>
            <w:vAlign w:val="bottom"/>
          </w:tcPr>
          <w:p>
            <w:pPr>
              <w:spacing w:after="0" w:line="133" w:lineRule="exact"/>
              <w:rPr>
                <w:sz w:val="20"/>
                <w:szCs w:val="20"/>
                <w:color w:val="auto"/>
              </w:rPr>
            </w:pPr>
            <w:r>
              <w:rPr>
                <w:rFonts w:ascii="Arial" w:cs="Arial" w:eastAsia="Arial" w:hAnsi="Arial"/>
                <w:sz w:val="12"/>
                <w:szCs w:val="12"/>
                <w:color w:val="auto"/>
              </w:rPr>
              <w:t>and other rights</w:t>
            </w:r>
          </w:p>
        </w:tc>
        <w:tc>
          <w:tcPr>
            <w:tcW w:w="2380" w:type="dxa"/>
            <w:vAlign w:val="bottom"/>
          </w:tcPr>
          <w:p>
            <w:pPr>
              <w:jc w:val="right"/>
              <w:spacing w:after="0" w:line="133" w:lineRule="exact"/>
              <w:rPr>
                <w:sz w:val="20"/>
                <w:szCs w:val="20"/>
                <w:color w:val="auto"/>
              </w:rPr>
            </w:pPr>
            <w:r>
              <w:rPr>
                <w:rFonts w:ascii="Arial" w:cs="Arial" w:eastAsia="Arial" w:hAnsi="Arial"/>
                <w:sz w:val="12"/>
                <w:szCs w:val="12"/>
                <w:color w:val="auto"/>
              </w:rPr>
              <w:t>Financial Statements, and Control</w:t>
            </w:r>
          </w:p>
        </w:tc>
      </w:tr>
      <w:tr>
        <w:trPr>
          <w:trHeight w:val="148"/>
        </w:trPr>
        <w:tc>
          <w:tcPr>
            <w:tcW w:w="2600" w:type="dxa"/>
            <w:vAlign w:val="bottom"/>
          </w:tcPr>
          <w:p>
            <w:pPr>
              <w:spacing w:after="0"/>
              <w:rPr>
                <w:sz w:val="12"/>
                <w:szCs w:val="12"/>
                <w:color w:val="auto"/>
              </w:rPr>
            </w:pPr>
          </w:p>
        </w:tc>
        <w:tc>
          <w:tcPr>
            <w:tcW w:w="2380" w:type="dxa"/>
            <w:vAlign w:val="bottom"/>
          </w:tcPr>
          <w:p>
            <w:pPr>
              <w:jc w:val="right"/>
              <w:spacing w:after="0"/>
              <w:rPr>
                <w:sz w:val="20"/>
                <w:szCs w:val="20"/>
                <w:color w:val="auto"/>
              </w:rPr>
            </w:pPr>
            <w:r>
              <w:rPr>
                <w:rFonts w:ascii="Arial" w:cs="Arial" w:eastAsia="Arial" w:hAnsi="Arial"/>
                <w:sz w:val="12"/>
                <w:szCs w:val="12"/>
                <w:color w:val="auto"/>
              </w:rPr>
              <w:t>of Registrant (pages 173 to 181).</w:t>
            </w:r>
          </w:p>
        </w:tc>
      </w:tr>
      <w:tr>
        <w:trPr>
          <w:trHeight w:val="251"/>
        </w:trPr>
        <w:tc>
          <w:tcPr>
            <w:tcW w:w="2600" w:type="dxa"/>
            <w:vAlign w:val="bottom"/>
          </w:tcPr>
          <w:p>
            <w:pPr>
              <w:spacing w:after="0"/>
              <w:rPr>
                <w:sz w:val="20"/>
                <w:szCs w:val="20"/>
                <w:color w:val="auto"/>
              </w:rPr>
            </w:pPr>
            <w:r>
              <w:rPr>
                <w:rFonts w:ascii="Arial" w:cs="Arial" w:eastAsia="Arial" w:hAnsi="Arial"/>
                <w:sz w:val="12"/>
                <w:szCs w:val="12"/>
                <w:color w:val="auto"/>
              </w:rPr>
              <w:t>Significant direct and indirect holding of</w:t>
            </w:r>
          </w:p>
        </w:tc>
        <w:tc>
          <w:tcPr>
            <w:tcW w:w="2380" w:type="dxa"/>
            <w:vAlign w:val="bottom"/>
          </w:tcPr>
          <w:p>
            <w:pPr>
              <w:jc w:val="right"/>
              <w:spacing w:after="0"/>
              <w:rPr>
                <w:sz w:val="20"/>
                <w:szCs w:val="20"/>
                <w:color w:val="auto"/>
              </w:rPr>
            </w:pPr>
            <w:r>
              <w:rPr>
                <w:rFonts w:ascii="Arial" w:cs="Arial" w:eastAsia="Arial" w:hAnsi="Arial"/>
                <w:sz w:val="12"/>
                <w:szCs w:val="12"/>
                <w:color w:val="auto"/>
              </w:rPr>
              <w:t>See Substantial shareholdings</w:t>
            </w:r>
          </w:p>
        </w:tc>
      </w:tr>
      <w:tr>
        <w:trPr>
          <w:trHeight w:val="139"/>
        </w:trPr>
        <w:tc>
          <w:tcPr>
            <w:tcW w:w="2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Royal Dutch Shell securities</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table below.</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CAPITAL PERCENTAGE</w:t>
      </w:r>
    </w:p>
    <w:p>
      <w:pPr>
        <w:spacing w:after="0" w:line="8" w:lineRule="exact"/>
        <w:rPr>
          <w:sz w:val="20"/>
          <w:szCs w:val="20"/>
          <w:color w:val="auto"/>
        </w:rPr>
      </w:pPr>
    </w:p>
    <w:p>
      <w:pPr>
        <w:jc w:val="both"/>
        <w:ind w:right="40"/>
        <w:spacing w:after="0" w:line="230" w:lineRule="auto"/>
        <w:rPr>
          <w:sz w:val="20"/>
          <w:szCs w:val="20"/>
          <w:color w:val="auto"/>
        </w:rPr>
      </w:pPr>
      <w:r>
        <w:rPr>
          <w:rFonts w:ascii="Arial" w:cs="Arial" w:eastAsia="Arial" w:hAnsi="Arial"/>
          <w:sz w:val="12"/>
          <w:szCs w:val="12"/>
          <w:color w:val="auto"/>
        </w:rPr>
        <w:t>Pursuant to The Takeover Directive, below is a table with the percent of total issued share capital as at December 31, 2007.</w:t>
      </w:r>
    </w:p>
    <w:tbl>
      <w:tblPr>
        <w:tblLayout w:type="fixed"/>
        <w:tblInd w:w="20" w:type="dxa"/>
        <w:tblCellMar>
          <w:top w:w="0" w:type="dxa"/>
          <w:left w:w="0" w:type="dxa"/>
          <w:bottom w:w="0" w:type="dxa"/>
          <w:right w:w="0" w:type="dxa"/>
        </w:tblCellMar>
      </w:tblPr>
      <w:tr>
        <w:trPr>
          <w:trHeight w:val="139"/>
        </w:trPr>
        <w:tc>
          <w:tcPr>
            <w:tcW w:w="284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SHARE CLASS</w:t>
            </w:r>
          </w:p>
        </w:tc>
        <w:tc>
          <w:tcPr>
            <w:tcW w:w="2140" w:type="dxa"/>
            <w:vAlign w:val="bottom"/>
            <w:shd w:val="clear" w:color="auto" w:fill="C1D72E"/>
          </w:tcPr>
          <w:p>
            <w:pPr>
              <w:jc w:val="right"/>
              <w:spacing w:after="0"/>
              <w:rPr>
                <w:sz w:val="20"/>
                <w:szCs w:val="20"/>
                <w:color w:val="auto"/>
              </w:rPr>
            </w:pPr>
            <w:r>
              <w:rPr>
                <w:rFonts w:ascii="Arial" w:cs="Arial" w:eastAsia="Arial" w:hAnsi="Arial"/>
                <w:sz w:val="12"/>
                <w:szCs w:val="12"/>
                <w:b w:val="1"/>
                <w:bCs w:val="1"/>
                <w:color w:val="auto"/>
              </w:rPr>
              <w:t>PERCENT</w:t>
            </w:r>
          </w:p>
        </w:tc>
      </w:tr>
      <w:tr>
        <w:trPr>
          <w:trHeight w:val="127"/>
        </w:trPr>
        <w:tc>
          <w:tcPr>
            <w:tcW w:w="2840" w:type="dxa"/>
            <w:vAlign w:val="bottom"/>
          </w:tcPr>
          <w:p>
            <w:pPr>
              <w:spacing w:after="0" w:line="128" w:lineRule="exact"/>
              <w:rPr>
                <w:sz w:val="20"/>
                <w:szCs w:val="20"/>
                <w:color w:val="auto"/>
              </w:rPr>
            </w:pPr>
            <w:r>
              <w:rPr>
                <w:rFonts w:ascii="Arial" w:cs="Arial" w:eastAsia="Arial" w:hAnsi="Arial"/>
                <w:sz w:val="12"/>
                <w:szCs w:val="12"/>
                <w:color w:val="auto"/>
              </w:rPr>
              <w:t>Class A</w:t>
            </w:r>
          </w:p>
        </w:tc>
        <w:tc>
          <w:tcPr>
            <w:tcW w:w="2140" w:type="dxa"/>
            <w:vAlign w:val="bottom"/>
          </w:tcPr>
          <w:p>
            <w:pPr>
              <w:jc w:val="right"/>
              <w:spacing w:after="0" w:line="128" w:lineRule="exact"/>
              <w:rPr>
                <w:sz w:val="20"/>
                <w:szCs w:val="20"/>
                <w:color w:val="auto"/>
              </w:rPr>
            </w:pPr>
            <w:r>
              <w:rPr>
                <w:rFonts w:ascii="Arial" w:cs="Arial" w:eastAsia="Arial" w:hAnsi="Arial"/>
                <w:sz w:val="12"/>
                <w:szCs w:val="12"/>
                <w:color w:val="auto"/>
              </w:rPr>
              <w:t>56.50</w:t>
            </w:r>
          </w:p>
        </w:tc>
      </w:tr>
      <w:tr>
        <w:trPr>
          <w:trHeight w:val="133"/>
        </w:trPr>
        <w:tc>
          <w:tcPr>
            <w:tcW w:w="2840" w:type="dxa"/>
            <w:vAlign w:val="bottom"/>
          </w:tcPr>
          <w:p>
            <w:pPr>
              <w:spacing w:after="0" w:line="133" w:lineRule="exact"/>
              <w:rPr>
                <w:sz w:val="20"/>
                <w:szCs w:val="20"/>
                <w:color w:val="auto"/>
              </w:rPr>
            </w:pPr>
            <w:r>
              <w:rPr>
                <w:rFonts w:ascii="Arial" w:cs="Arial" w:eastAsia="Arial" w:hAnsi="Arial"/>
                <w:sz w:val="12"/>
                <w:szCs w:val="12"/>
                <w:color w:val="auto"/>
              </w:rPr>
              <w:t>Class B</w:t>
            </w:r>
          </w:p>
        </w:tc>
        <w:tc>
          <w:tcPr>
            <w:tcW w:w="2140" w:type="dxa"/>
            <w:vAlign w:val="bottom"/>
          </w:tcPr>
          <w:p>
            <w:pPr>
              <w:jc w:val="right"/>
              <w:spacing w:after="0" w:line="133" w:lineRule="exact"/>
              <w:rPr>
                <w:sz w:val="20"/>
                <w:szCs w:val="20"/>
                <w:color w:val="auto"/>
              </w:rPr>
            </w:pPr>
            <w:r>
              <w:rPr>
                <w:rFonts w:ascii="Arial" w:cs="Arial" w:eastAsia="Arial" w:hAnsi="Arial"/>
                <w:sz w:val="12"/>
                <w:szCs w:val="12"/>
                <w:color w:val="auto"/>
              </w:rPr>
              <w:t>43.50</w:t>
            </w:r>
          </w:p>
        </w:tc>
      </w:tr>
      <w:tr>
        <w:trPr>
          <w:trHeight w:val="139"/>
        </w:trPr>
        <w:tc>
          <w:tcPr>
            <w:tcW w:w="2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Sterling deferred shares</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de minimis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SUBSTANTIAL SHAREHOLDINGS</w:t>
      </w:r>
    </w:p>
    <w:p>
      <w:pPr>
        <w:spacing w:after="0" w:line="6"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As at February 26, 2008, Royal Dutch Shell had been notified by the following investors of their interests in 3% or more of the Company’s shares. These interests are notified to the Company pursuant to Disclosure and Transparency Rule 5.</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214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INVESTOR</w:t>
            </w:r>
          </w:p>
        </w:tc>
        <w:tc>
          <w:tcPr>
            <w:tcW w:w="1540" w:type="dxa"/>
            <w:vAlign w:val="bottom"/>
            <w:shd w:val="clear" w:color="auto" w:fill="C1D72E"/>
          </w:tcPr>
          <w:p>
            <w:pPr>
              <w:jc w:val="right"/>
              <w:ind w:right="118"/>
              <w:spacing w:after="0"/>
              <w:rPr>
                <w:sz w:val="20"/>
                <w:szCs w:val="20"/>
                <w:color w:val="auto"/>
              </w:rPr>
            </w:pPr>
            <w:r>
              <w:rPr>
                <w:rFonts w:ascii="Arial" w:cs="Arial" w:eastAsia="Arial" w:hAnsi="Arial"/>
                <w:sz w:val="12"/>
                <w:szCs w:val="12"/>
                <w:b w:val="1"/>
                <w:bCs w:val="1"/>
                <w:color w:val="auto"/>
              </w:rPr>
              <w:t>CLASS A SHARES</w:t>
            </w:r>
          </w:p>
        </w:tc>
        <w:tc>
          <w:tcPr>
            <w:tcW w:w="1300" w:type="dxa"/>
            <w:vAlign w:val="bottom"/>
            <w:shd w:val="clear" w:color="auto" w:fill="C1D72E"/>
          </w:tcPr>
          <w:p>
            <w:pPr>
              <w:jc w:val="right"/>
              <w:ind w:right="58"/>
              <w:spacing w:after="0"/>
              <w:rPr>
                <w:sz w:val="20"/>
                <w:szCs w:val="20"/>
                <w:color w:val="auto"/>
              </w:rPr>
            </w:pPr>
            <w:r>
              <w:rPr>
                <w:rFonts w:ascii="Arial" w:cs="Arial" w:eastAsia="Arial" w:hAnsi="Arial"/>
                <w:sz w:val="12"/>
                <w:szCs w:val="12"/>
                <w:b w:val="1"/>
                <w:bCs w:val="1"/>
                <w:color w:val="auto"/>
              </w:rPr>
              <w:t>CLASS B SHARES</w:t>
            </w:r>
          </w:p>
        </w:tc>
      </w:tr>
      <w:tr>
        <w:trPr>
          <w:trHeight w:val="127"/>
        </w:trPr>
        <w:tc>
          <w:tcPr>
            <w:tcW w:w="2140" w:type="dxa"/>
            <w:vAlign w:val="bottom"/>
          </w:tcPr>
          <w:p>
            <w:pPr>
              <w:spacing w:after="0" w:line="128" w:lineRule="exact"/>
              <w:rPr>
                <w:sz w:val="20"/>
                <w:szCs w:val="20"/>
                <w:color w:val="auto"/>
              </w:rPr>
            </w:pPr>
            <w:r>
              <w:rPr>
                <w:rFonts w:ascii="Arial" w:cs="Arial" w:eastAsia="Arial" w:hAnsi="Arial"/>
                <w:sz w:val="12"/>
                <w:szCs w:val="12"/>
                <w:color w:val="auto"/>
              </w:rPr>
              <w:t>Barclays PLC</w:t>
            </w:r>
          </w:p>
        </w:tc>
        <w:tc>
          <w:tcPr>
            <w:tcW w:w="15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1.83%</w:t>
            </w:r>
          </w:p>
        </w:tc>
        <w:tc>
          <w:tcPr>
            <w:tcW w:w="1300" w:type="dxa"/>
            <w:vAlign w:val="bottom"/>
          </w:tcPr>
          <w:p>
            <w:pPr>
              <w:jc w:val="right"/>
              <w:spacing w:after="0" w:line="128" w:lineRule="exact"/>
              <w:rPr>
                <w:sz w:val="20"/>
                <w:szCs w:val="20"/>
                <w:color w:val="auto"/>
              </w:rPr>
            </w:pPr>
            <w:r>
              <w:rPr>
                <w:rFonts w:ascii="Arial" w:cs="Arial" w:eastAsia="Arial" w:hAnsi="Arial"/>
                <w:sz w:val="12"/>
                <w:szCs w:val="12"/>
                <w:color w:val="auto"/>
              </w:rPr>
              <w:t>2.39%</w:t>
            </w:r>
          </w:p>
        </w:tc>
      </w:tr>
      <w:tr>
        <w:trPr>
          <w:trHeight w:val="133"/>
        </w:trPr>
        <w:tc>
          <w:tcPr>
            <w:tcW w:w="2140" w:type="dxa"/>
            <w:vAlign w:val="bottom"/>
          </w:tcPr>
          <w:p>
            <w:pPr>
              <w:spacing w:after="0" w:line="133" w:lineRule="exact"/>
              <w:rPr>
                <w:sz w:val="20"/>
                <w:szCs w:val="20"/>
                <w:color w:val="auto"/>
              </w:rPr>
            </w:pPr>
            <w:r>
              <w:rPr>
                <w:rFonts w:ascii="Arial" w:cs="Arial" w:eastAsia="Arial" w:hAnsi="Arial"/>
                <w:sz w:val="12"/>
                <w:szCs w:val="12"/>
                <w:color w:val="auto"/>
              </w:rPr>
              <w:t>Legal &amp; General Group Plc</w:t>
            </w:r>
          </w:p>
        </w:tc>
        <w:tc>
          <w:tcPr>
            <w:tcW w:w="15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4.38%</w:t>
            </w:r>
          </w:p>
        </w:tc>
        <w:tc>
          <w:tcPr>
            <w:tcW w:w="1300" w:type="dxa"/>
            <w:vAlign w:val="bottom"/>
          </w:tcPr>
          <w:p>
            <w:pPr>
              <w:jc w:val="right"/>
              <w:spacing w:after="0" w:line="133" w:lineRule="exact"/>
              <w:rPr>
                <w:sz w:val="20"/>
                <w:szCs w:val="20"/>
                <w:color w:val="auto"/>
              </w:rPr>
            </w:pPr>
            <w:r>
              <w:rPr>
                <w:rFonts w:ascii="Arial" w:cs="Arial" w:eastAsia="Arial" w:hAnsi="Arial"/>
                <w:sz w:val="12"/>
                <w:szCs w:val="12"/>
                <w:color w:val="auto"/>
              </w:rPr>
              <w:t>5.04%</w:t>
            </w:r>
          </w:p>
        </w:tc>
      </w:tr>
      <w:tr>
        <w:trPr>
          <w:trHeight w:val="139"/>
        </w:trPr>
        <w:tc>
          <w:tcPr>
            <w:tcW w:w="2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 Capital Group Companies Inc</w:t>
            </w:r>
          </w:p>
        </w:tc>
        <w:tc>
          <w:tcPr>
            <w:tcW w:w="15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4.52%</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AUDITORS</w:t>
      </w:r>
    </w:p>
    <w:p>
      <w:pPr>
        <w:spacing w:after="0" w:line="8" w:lineRule="exact"/>
        <w:rPr>
          <w:sz w:val="20"/>
          <w:szCs w:val="20"/>
          <w:color w:val="auto"/>
        </w:rPr>
      </w:pPr>
    </w:p>
    <w:p>
      <w:pPr>
        <w:jc w:val="both"/>
        <w:ind w:right="20"/>
        <w:spacing w:after="0" w:line="246" w:lineRule="auto"/>
        <w:rPr>
          <w:sz w:val="20"/>
          <w:szCs w:val="20"/>
          <w:color w:val="auto"/>
        </w:rPr>
      </w:pPr>
      <w:r>
        <w:rPr>
          <w:rFonts w:ascii="Arial" w:cs="Arial" w:eastAsia="Arial" w:hAnsi="Arial"/>
          <w:sz w:val="12"/>
          <w:szCs w:val="12"/>
          <w:color w:val="auto"/>
        </w:rPr>
        <w:t>PricewaterhouseCoopers LLP have signified their willingness to continue in office, and a resolution for their re-appointment will be submitted to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1563370</wp:posOffset>
            </wp:positionV>
            <wp:extent cx="725297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7075170</wp:posOffset>
            </wp:positionH>
            <wp:positionV relativeFrom="paragraph">
              <wp:posOffset>336550</wp:posOffset>
            </wp:positionV>
            <wp:extent cx="177800" cy="24866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7800" cy="2486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GENERAL MEETING</w:t>
      </w:r>
    </w:p>
    <w:p>
      <w:pPr>
        <w:spacing w:after="0" w:line="226" w:lineRule="auto"/>
        <w:rPr>
          <w:sz w:val="20"/>
          <w:szCs w:val="20"/>
          <w:color w:val="auto"/>
        </w:rPr>
      </w:pPr>
      <w:r>
        <w:rPr>
          <w:rFonts w:ascii="Arial" w:cs="Arial" w:eastAsia="Arial" w:hAnsi="Arial"/>
          <w:sz w:val="14"/>
          <w:szCs w:val="14"/>
          <w:color w:val="auto"/>
        </w:rPr>
        <w:t>The Annual General Meeting will take place on May 20, 2008, and will be held in the</w:t>
      </w:r>
    </w:p>
    <w:p>
      <w:pPr>
        <w:spacing w:after="0" w:line="219" w:lineRule="auto"/>
        <w:rPr>
          <w:sz w:val="20"/>
          <w:szCs w:val="20"/>
          <w:color w:val="auto"/>
        </w:rPr>
      </w:pPr>
      <w:r>
        <w:rPr>
          <w:rFonts w:ascii="Arial" w:cs="Arial" w:eastAsia="Arial" w:hAnsi="Arial"/>
          <w:sz w:val="14"/>
          <w:szCs w:val="14"/>
          <w:color w:val="auto"/>
        </w:rPr>
        <w:t>Circustheater, Circusstraat 4, The Hague, The Netherlands with a satellite link to The</w:t>
      </w:r>
    </w:p>
    <w:p>
      <w:pPr>
        <w:spacing w:after="0" w:line="218" w:lineRule="auto"/>
        <w:rPr>
          <w:sz w:val="20"/>
          <w:szCs w:val="20"/>
          <w:color w:val="auto"/>
        </w:rPr>
      </w:pPr>
      <w:r>
        <w:rPr>
          <w:rFonts w:ascii="Arial" w:cs="Arial" w:eastAsia="Arial" w:hAnsi="Arial"/>
          <w:sz w:val="14"/>
          <w:szCs w:val="14"/>
          <w:color w:val="auto"/>
        </w:rPr>
        <w:t>Barbican Centre, London, UK. An audio-visual link will permit active two-way</w:t>
      </w:r>
    </w:p>
    <w:p>
      <w:pPr>
        <w:spacing w:after="0" w:line="218" w:lineRule="auto"/>
        <w:rPr>
          <w:sz w:val="20"/>
          <w:szCs w:val="20"/>
          <w:color w:val="auto"/>
        </w:rPr>
      </w:pPr>
      <w:r>
        <w:rPr>
          <w:rFonts w:ascii="Arial" w:cs="Arial" w:eastAsia="Arial" w:hAnsi="Arial"/>
          <w:sz w:val="14"/>
          <w:szCs w:val="14"/>
          <w:color w:val="auto"/>
        </w:rPr>
        <w:t>participation by persons physically present in the UK and the Netherlands. Details of</w:t>
      </w:r>
    </w:p>
    <w:p>
      <w:pPr>
        <w:spacing w:after="0" w:line="219" w:lineRule="auto"/>
        <w:rPr>
          <w:sz w:val="20"/>
          <w:szCs w:val="20"/>
          <w:color w:val="auto"/>
        </w:rPr>
      </w:pPr>
      <w:r>
        <w:rPr>
          <w:rFonts w:ascii="Arial" w:cs="Arial" w:eastAsia="Arial" w:hAnsi="Arial"/>
          <w:sz w:val="14"/>
          <w:szCs w:val="14"/>
          <w:color w:val="auto"/>
        </w:rPr>
        <w:t>the business to be put to shareholders at the Annual General Meeting can be found in</w:t>
      </w:r>
    </w:p>
    <w:p>
      <w:pPr>
        <w:spacing w:after="0"/>
        <w:rPr>
          <w:sz w:val="20"/>
          <w:szCs w:val="20"/>
          <w:color w:val="auto"/>
        </w:rPr>
      </w:pPr>
      <w:r>
        <w:rPr>
          <w:rFonts w:ascii="Arial" w:cs="Arial" w:eastAsia="Arial" w:hAnsi="Arial"/>
          <w:sz w:val="14"/>
          <w:szCs w:val="14"/>
          <w:color w:val="auto"/>
        </w:rPr>
        <w:t>the Notice of the Annual General Meeting.</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Michiel Brandjes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666115</wp:posOffset>
            </wp:positionV>
            <wp:extent cx="725297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6"/>
          <w:szCs w:val="36"/>
          <w:color w:val="auto"/>
        </w:rPr>
        <w:t>Corporate governance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GOVERNANCE</w:t>
      </w:r>
    </w:p>
    <w:p>
      <w:pPr>
        <w:spacing w:after="0" w:line="6"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Royal Dutch Shell is committed to the highest standards of corporate governance. We believe that such standards are essential to business integrity and performance. This report sets out the policies and practices of the Company that have been applied during the year.</w:t>
      </w:r>
    </w:p>
    <w:p>
      <w:pPr>
        <w:spacing w:after="0" w:line="181"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The Board confirms that during the year the Company complied with the principles and provisions set out in Section 1 of the 2006 Combined Code save that for part of the year only two of the three members of the Remuneration Committee were deemed to be wholly independent (the third member being the Chairman of the Board who was deemed wholly independent upon appointment to the Board, however such a test thereafter is not appropriate in relation to the Chairman). In March 2008, Dr Josef Ackermann, a wholly independent Non-executive Director, was appointed a member of the Committee with effect from the close of business of the 2008 Annual General Meeting (AGM), subject to his election as a Director of the Company at the AGM.</w:t>
      </w:r>
    </w:p>
    <w:p>
      <w:pPr>
        <w:spacing w:after="0" w:line="181" w:lineRule="exact"/>
        <w:rPr>
          <w:sz w:val="20"/>
          <w:szCs w:val="20"/>
          <w:color w:val="auto"/>
        </w:rPr>
      </w:pPr>
    </w:p>
    <w:p>
      <w:pPr>
        <w:ind w:right="200"/>
        <w:spacing w:after="0" w:line="247" w:lineRule="auto"/>
        <w:rPr>
          <w:sz w:val="20"/>
          <w:szCs w:val="20"/>
          <w:color w:val="auto"/>
        </w:rPr>
      </w:pPr>
      <w:r>
        <w:rPr>
          <w:rFonts w:ascii="Arial" w:cs="Arial" w:eastAsia="Arial" w:hAnsi="Arial"/>
          <w:sz w:val="13"/>
          <w:szCs w:val="13"/>
          <w:color w:val="auto"/>
        </w:rPr>
        <w:t>In addition to complying with the corporate governance requirements in the UK, the Company must follow the rules of the Euronext Stock Exchange as well as Dutch securities laws due to its listing on this exchange. It must also follow US securities laws and the New York Stock Exchange (NYSE) rules and regulations due to registration of its securities in the USA and the listing of its securities on the NYSE.</w:t>
      </w:r>
    </w:p>
    <w:p>
      <w:pPr>
        <w:spacing w:after="0" w:line="176"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In accordance with the NYSE rules for foreign private issuers the Company follows home country practice in relation to corporate governance. However, foreign private issuers are required to have an audit committee that satisfies the requirements of US Securities and Exchange Act Rule 10A-3 and our Audit Committee satisfies such requirements. The NYSE also requires a foreign private issuer to provide certain written affirmations and notices to the NYSE as well as a summary of the ways in which their corporate governance practices significantly differ from those followed by domestic US companies under NYSE listing standards. Our summary is available at www.shell.com/investor.</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GENERAL BUSINESS PRINCIPLES</w:t>
      </w:r>
    </w:p>
    <w:p>
      <w:pPr>
        <w:spacing w:after="0" w:line="6"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Shell General Business Principles define how Shell companies are expected to conduct their affairs. These principles include, among other things, the commitment of Shell to support fundamental human rights and to contribute to sustainable development and can be found on www.shell.com/sgbp.</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CODE OF CONDUCT</w:t>
      </w:r>
    </w:p>
    <w:p>
      <w:pPr>
        <w:spacing w:after="0" w:line="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Employees are required to comply with the Shell Code of Conduct which is intended to help individual employees put our business principles into practice through the basic rules and standards we expect them to follow and the behaviour we expect of them. The Shell Code of Conduct is available online at www.shell.com/codeofconduct. The Compliance Programme supports the embedding of the Code of Conduct through values and knowledge-based training.</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Executive Directors and Senior Financial Officers of the Shell group must also comply with a Code of Ethics. The Code of Ethics is specifically intended to meet the requirements of Section 406 of the Sarbanes-Oxley Act and the listing requirements of the NYSE. The Code of Ethics can be found on the website www.shell.com/codeofethics.</w:t>
      </w:r>
    </w:p>
    <w:p>
      <w:pPr>
        <w:spacing w:after="0" w:line="200" w:lineRule="exact"/>
        <w:rPr>
          <w:sz w:val="20"/>
          <w:szCs w:val="20"/>
          <w:color w:val="auto"/>
        </w:rPr>
      </w:pPr>
    </w:p>
    <w:p>
      <w:pPr>
        <w:spacing w:after="0" w:line="369" w:lineRule="exact"/>
        <w:rPr>
          <w:sz w:val="20"/>
          <w:szCs w:val="20"/>
          <w:color w:val="auto"/>
        </w:rPr>
      </w:pPr>
    </w:p>
    <w:p>
      <w:pPr>
        <w:ind w:left="320" w:hanging="313"/>
        <w:spacing w:after="0"/>
        <w:tabs>
          <w:tab w:leader="none" w:pos="320" w:val="left"/>
        </w:tabs>
        <w:numPr>
          <w:ilvl w:val="0"/>
          <w:numId w:val="100"/>
        </w:numPr>
        <w:rPr>
          <w:rFonts w:ascii="Arial" w:cs="Arial" w:eastAsia="Arial" w:hAnsi="Arial"/>
          <w:sz w:val="14"/>
          <w:szCs w:val="14"/>
          <w:b w:val="1"/>
          <w:bCs w:val="1"/>
          <w:color w:val="auto"/>
        </w:rPr>
      </w:pPr>
      <w:r>
        <w:rPr>
          <w:rFonts w:ascii="Arial" w:cs="Arial" w:eastAsia="Arial" w:hAnsi="Arial"/>
          <w:sz w:val="14"/>
          <w:szCs w:val="14"/>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WHISTLE-BLOWING</w:t>
      </w:r>
    </w:p>
    <w:p>
      <w:pPr>
        <w:spacing w:after="0" w:line="6"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Shell employees may raise ethics and compliance concerns through the Shell Global Helpline. The Shell Global Helpline is a worldwide reporting mechanism, operated by a third party, which is open 24 hours a day, seven days a week through local telephone numbers and through the internet at www.shell.com or www.compliance-helpline.com/shell.</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STRUCTURE AND COMPOSITION</w:t>
      </w:r>
    </w:p>
    <w:p>
      <w:pPr>
        <w:spacing w:after="0" w:line="6" w:lineRule="exact"/>
        <w:rPr>
          <w:sz w:val="20"/>
          <w:szCs w:val="20"/>
          <w:color w:val="auto"/>
        </w:rPr>
      </w:pPr>
    </w:p>
    <w:p>
      <w:pPr>
        <w:ind w:right="60"/>
        <w:spacing w:after="0" w:line="223" w:lineRule="auto"/>
        <w:rPr>
          <w:sz w:val="20"/>
          <w:szCs w:val="20"/>
          <w:color w:val="auto"/>
        </w:rPr>
      </w:pPr>
      <w:r>
        <w:rPr>
          <w:rFonts w:ascii="Arial" w:cs="Arial" w:eastAsia="Arial" w:hAnsi="Arial"/>
          <w:sz w:val="14"/>
          <w:szCs w:val="14"/>
          <w:color w:val="auto"/>
        </w:rPr>
        <w:t>For the period up to May 2007, the Board comprised the Chairman, Jorma Ollila, five Executive Directors including the Chief Executive, Jeroen van der Veer, and nine Non-executive Directors, including the Deputy Chairman and Senior Independent Non-executive Director, Lord Kerr of Kinlochard. Aarnout Loudon, a Non-executive Director, stood down at the 2007 AGM. A list of current Directors, with their biographies, is on pages 80 and 81 of this Report.</w:t>
      </w:r>
    </w:p>
    <w:p>
      <w:pPr>
        <w:spacing w:after="0" w:line="18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Board meets eight times a year and has a formal schedule of matters reserved to it. This includes overall strategy and management, corporate structure and capital structure, financial reporting and controls, internal controls, approval of the Annual Report and Form 20-F, approval of interim dividends, significant contracts, succession planning and new Board appointments. The full list of matters reserved to the Board for decision is available at www.shell.com/investor.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ROLE OF DIRECTORS</w:t>
      </w:r>
    </w:p>
    <w:p>
      <w:pPr>
        <w:spacing w:after="0" w:line="6" w:lineRule="exact"/>
        <w:rPr>
          <w:sz w:val="20"/>
          <w:szCs w:val="20"/>
          <w:color w:val="auto"/>
        </w:rPr>
      </w:pPr>
    </w:p>
    <w:p>
      <w:pPr>
        <w:ind w:right="120"/>
        <w:spacing w:after="0" w:line="234" w:lineRule="auto"/>
        <w:rPr>
          <w:sz w:val="20"/>
          <w:szCs w:val="20"/>
          <w:color w:val="auto"/>
        </w:rPr>
      </w:pPr>
      <w:r>
        <w:rPr>
          <w:rFonts w:ascii="Arial" w:cs="Arial" w:eastAsia="Arial" w:hAnsi="Arial"/>
          <w:sz w:val="14"/>
          <w:szCs w:val="14"/>
          <w:color w:val="auto"/>
        </w:rPr>
        <w:t>The roles of the Chairman, a non-executive role, and the Chief Executive are separate and the Board has agreed their respective responsibilities.</w:t>
      </w:r>
    </w:p>
    <w:p>
      <w:pPr>
        <w:spacing w:after="0" w:line="180"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The Chairman, Jorma Ollila, is responsible for the leadership and management of the Board and for ensuring that the Board and its committees function effectively.</w:t>
      </w:r>
    </w:p>
    <w:p>
      <w:pPr>
        <w:spacing w:after="0" w:line="151" w:lineRule="exact"/>
        <w:rPr>
          <w:sz w:val="20"/>
          <w:szCs w:val="20"/>
          <w:color w:val="auto"/>
        </w:rPr>
      </w:pPr>
    </w:p>
    <w:p>
      <w:pPr>
        <w:ind w:right="200"/>
        <w:spacing w:after="0" w:line="251" w:lineRule="auto"/>
        <w:rPr>
          <w:sz w:val="20"/>
          <w:szCs w:val="20"/>
          <w:color w:val="auto"/>
        </w:rPr>
      </w:pPr>
      <w:r>
        <w:rPr>
          <w:rFonts w:ascii="Arial" w:cs="Arial" w:eastAsia="Arial" w:hAnsi="Arial"/>
          <w:sz w:val="13"/>
          <w:szCs w:val="13"/>
          <w:color w:val="auto"/>
        </w:rPr>
        <w:t>The Chief Executive, Jeroen van der Veer, bears overall responsibility for the implementation of the strategy agreed by the Board, the operational management of Royal Dutch Shell and the business enterprises connected with it. He is supported in this by the Executive Committee, which he chairs (see page 87).</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NON-EXECUTIVE DIRECTORS</w:t>
      </w:r>
    </w:p>
    <w:p>
      <w:pPr>
        <w:spacing w:after="0" w:line="6" w:lineRule="exact"/>
        <w:rPr>
          <w:sz w:val="20"/>
          <w:szCs w:val="20"/>
          <w:color w:val="auto"/>
        </w:rPr>
      </w:pPr>
    </w:p>
    <w:p>
      <w:pPr>
        <w:ind w:right="140"/>
        <w:spacing w:after="0" w:line="223" w:lineRule="auto"/>
        <w:rPr>
          <w:sz w:val="20"/>
          <w:szCs w:val="20"/>
          <w:color w:val="auto"/>
        </w:rPr>
      </w:pPr>
      <w:r>
        <w:rPr>
          <w:rFonts w:ascii="Arial" w:cs="Arial" w:eastAsia="Arial" w:hAnsi="Arial"/>
          <w:sz w:val="14"/>
          <w:szCs w:val="14"/>
          <w:color w:val="auto"/>
        </w:rPr>
        <w:t>The Non-executive Directors bring a wide range of skills and international business experience to Shell. They also bring independent judgement on issues of strategy, performance and risk through their contribution to Board meetings and to the Board’s committee meetings. The Chairman and the Non-executive Directors meet routinely without the Executive Directors to discuss, among other things, the performance of individual Directors.</w:t>
      </w:r>
    </w:p>
    <w:p>
      <w:pPr>
        <w:spacing w:after="0" w:line="183"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All the Non-executive Directors as at the end of 2007 are considered by the Board to be wholly independent of any personal business connection with the Company or Shell companies, with the exception of Maarten van den Bergh who receives pensions from Shell pension funds. The standard by which Directors’ independence is determined can be found online at www.shell.com/investor within the terms of reference of the Nomination and Succession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SIGNIFICANT COMMITMENTS OF THE CHAIRMAN</w:t>
      </w:r>
    </w:p>
    <w:p>
      <w:pPr>
        <w:spacing w:after="0" w:line="6" w:lineRule="exact"/>
        <w:rPr>
          <w:sz w:val="20"/>
          <w:szCs w:val="20"/>
          <w:color w:val="auto"/>
        </w:rPr>
      </w:pPr>
    </w:p>
    <w:p>
      <w:pPr>
        <w:ind w:right="40"/>
        <w:spacing w:after="0" w:line="234" w:lineRule="auto"/>
        <w:rPr>
          <w:sz w:val="20"/>
          <w:szCs w:val="20"/>
          <w:color w:val="auto"/>
        </w:rPr>
      </w:pPr>
      <w:r>
        <w:rPr>
          <w:rFonts w:ascii="Arial" w:cs="Arial" w:eastAsia="Arial" w:hAnsi="Arial"/>
          <w:sz w:val="14"/>
          <w:szCs w:val="14"/>
          <w:color w:val="auto"/>
        </w:rPr>
        <w:t>The other significant commitments of the Chairman are given in his biography on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640080</wp:posOffset>
            </wp:positionV>
            <wp:extent cx="725297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92" w:name="page93"/>
    <w:bookmarkEnd w:id="9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6863715</wp:posOffset>
            </wp:positionH>
            <wp:positionV relativeFrom="paragraph">
              <wp:posOffset>222885</wp:posOffset>
            </wp:positionV>
            <wp:extent cx="389255" cy="73501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9255" cy="735012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INDEPENDENT PROFESSIONAL ADVICE</w:t>
      </w:r>
    </w:p>
    <w:p>
      <w:pPr>
        <w:spacing w:after="0" w:line="6" w:lineRule="exact"/>
        <w:rPr>
          <w:sz w:val="20"/>
          <w:szCs w:val="20"/>
          <w:color w:val="auto"/>
        </w:rPr>
      </w:pPr>
    </w:p>
    <w:p>
      <w:pPr>
        <w:ind w:right="80"/>
        <w:spacing w:after="0"/>
        <w:rPr>
          <w:sz w:val="20"/>
          <w:szCs w:val="20"/>
          <w:color w:val="auto"/>
        </w:rPr>
      </w:pPr>
      <w:r>
        <w:rPr>
          <w:rFonts w:ascii="Arial" w:cs="Arial" w:eastAsia="Arial" w:hAnsi="Arial"/>
          <w:sz w:val="13"/>
          <w:szCs w:val="13"/>
          <w:color w:val="auto"/>
        </w:rPr>
        <w:t>All Directors may seek independent professional advice in connection with their role as a Director. All Directors have access to the advice and services of the Company Secretary. Royal Dutch Shell has provided to the Directors indemnities and directors’ and officers’ insurance in connection with the performance of their responsibilities. Copies of these indemnities and the directors’ and officers’ insurance policies are open to inspection. Copies of these indemnities have been previously filed with the US Securities and Exchange Commission and are incorporated by reference as an exhibit to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ACTIVITIES DURING THE YEAR</w:t>
      </w:r>
    </w:p>
    <w:p>
      <w:pPr>
        <w:spacing w:after="0" w:line="6" w:lineRule="exact"/>
        <w:rPr>
          <w:sz w:val="20"/>
          <w:szCs w:val="20"/>
          <w:color w:val="auto"/>
        </w:rPr>
      </w:pPr>
    </w:p>
    <w:p>
      <w:pPr>
        <w:ind w:right="40"/>
        <w:spacing w:after="0" w:line="238" w:lineRule="auto"/>
        <w:rPr>
          <w:sz w:val="20"/>
          <w:szCs w:val="20"/>
          <w:color w:val="auto"/>
        </w:rPr>
      </w:pPr>
      <w:r>
        <w:rPr>
          <w:rFonts w:ascii="Arial" w:cs="Arial" w:eastAsia="Arial" w:hAnsi="Arial"/>
          <w:sz w:val="13"/>
          <w:szCs w:val="13"/>
          <w:color w:val="auto"/>
        </w:rPr>
        <w:t>The Board met eight times during the year and all but one meeting were held in The Hague, the Netherlands. The agenda for each meeting comprises a number of regular items, including reports from each of the Board Committees, reports from both the Chief Executive and the Chief Financial Officer and business reports from each of the other Executive Directors. At most meetings the Board also considered a number of investment proposals. In accordance with matters specifically reserved for the Board, during the year the Board considered numerous strategic issues and approved each of the quarterly financial results and dividend announcements. The Board received regular reports from the various functions, including Corporate Affairs (which includes Health, Safety and Environment), Human Resources, Legal and Finance (which includes Investor Relations).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INDUCTION AND TRAINING</w:t>
      </w:r>
    </w:p>
    <w:p>
      <w:pPr>
        <w:spacing w:after="0" w:line="6"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Following appointment to the Board, Directors receive a comprehensive induction tailored to their individual needs. This includes meetings with senior management to enable them to build up a detailed understanding of Shell’s business and strategy, and the key risks and issues that we face. During the year however there were no new appointments to the Board.</w:t>
      </w:r>
    </w:p>
    <w:p>
      <w:pPr>
        <w:spacing w:after="0" w:line="177"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Throughout the year, regular updates on developments in legal matters, governance and accounting are provided to Directors. The Board regards site visits as an integral part of ongoing Director training. Additional training is available so that Directors can suitably update their skills and knowledge as appropriate.</w:t>
      </w:r>
    </w:p>
    <w:p>
      <w:pPr>
        <w:spacing w:after="0" w:line="185"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b w:val="1"/>
          <w:bCs w:val="1"/>
          <w:color w:val="auto"/>
        </w:rPr>
        <w:t>ATTENDANCE AT BOARD, EXECUTIVE COMMITTEE AND BOARD COMMITTEE MEETINGS</w:t>
      </w:r>
    </w:p>
    <w:p>
      <w:pPr>
        <w:ind w:right="40"/>
        <w:spacing w:after="0" w:line="234" w:lineRule="auto"/>
        <w:rPr>
          <w:sz w:val="20"/>
          <w:szCs w:val="20"/>
          <w:color w:val="auto"/>
        </w:rPr>
      </w:pPr>
      <w:r>
        <w:rPr>
          <w:rFonts w:ascii="Arial" w:cs="Arial" w:eastAsia="Arial" w:hAnsi="Arial"/>
          <w:sz w:val="14"/>
          <w:szCs w:val="14"/>
          <w:color w:val="auto"/>
        </w:rPr>
        <w:t>Attendance during the year for all Board, Executive Committee and Board Committee meetings are given in the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600" w:type="dxa"/>
            <w:vAlign w:val="bottom"/>
            <w:gridSpan w:val="6"/>
            <w:shd w:val="clear" w:color="auto" w:fill="C1D72E"/>
          </w:tcPr>
          <w:p>
            <w:pPr>
              <w:spacing w:after="0"/>
              <w:rPr>
                <w:sz w:val="20"/>
                <w:szCs w:val="20"/>
                <w:color w:val="auto"/>
              </w:rPr>
            </w:pPr>
            <w:r>
              <w:rPr>
                <w:rFonts w:ascii="Arial" w:cs="Arial" w:eastAsia="Arial" w:hAnsi="Arial"/>
                <w:sz w:val="12"/>
                <w:szCs w:val="12"/>
                <w:b w:val="1"/>
                <w:bCs w:val="1"/>
                <w:color w:val="auto"/>
              </w:rPr>
              <w:t>Attendance at Board, Executive Committee and Board Committee Meetings[A]</w:t>
            </w:r>
          </w:p>
        </w:tc>
        <w:tc>
          <w:tcPr>
            <w:tcW w:w="880" w:type="dxa"/>
            <w:vAlign w:val="bottom"/>
            <w:shd w:val="clear" w:color="auto" w:fill="C1D72E"/>
          </w:tcPr>
          <w:p>
            <w:pPr>
              <w:spacing w:after="0"/>
              <w:rPr>
                <w:sz w:val="12"/>
                <w:szCs w:val="12"/>
                <w:color w:val="auto"/>
              </w:rPr>
            </w:pPr>
          </w:p>
        </w:tc>
      </w:tr>
      <w:tr>
        <w:trPr>
          <w:trHeight w:val="127"/>
        </w:trPr>
        <w:tc>
          <w:tcPr>
            <w:tcW w:w="900" w:type="dxa"/>
            <w:vAlign w:val="bottom"/>
            <w:shd w:val="clear" w:color="auto" w:fill="EBE6E2"/>
          </w:tcPr>
          <w:p>
            <w:pPr>
              <w:spacing w:after="0"/>
              <w:rPr>
                <w:sz w:val="11"/>
                <w:szCs w:val="11"/>
                <w:color w:val="auto"/>
              </w:rPr>
            </w:pPr>
          </w:p>
        </w:tc>
        <w:tc>
          <w:tcPr>
            <w:tcW w:w="440" w:type="dxa"/>
            <w:vAlign w:val="bottom"/>
            <w:shd w:val="clear" w:color="auto" w:fill="EBE6E2"/>
          </w:tcPr>
          <w:p>
            <w:pPr>
              <w:spacing w:after="0"/>
              <w:rPr>
                <w:sz w:val="11"/>
                <w:szCs w:val="11"/>
                <w:color w:val="auto"/>
              </w:rPr>
            </w:pPr>
          </w:p>
        </w:tc>
        <w:tc>
          <w:tcPr>
            <w:tcW w:w="740" w:type="dxa"/>
            <w:vAlign w:val="bottom"/>
            <w:shd w:val="clear" w:color="auto" w:fill="EBE6E2"/>
          </w:tcPr>
          <w:p>
            <w:pPr>
              <w:spacing w:after="0"/>
              <w:rPr>
                <w:sz w:val="11"/>
                <w:szCs w:val="11"/>
                <w:color w:val="auto"/>
              </w:rPr>
            </w:pPr>
          </w:p>
        </w:tc>
        <w:tc>
          <w:tcPr>
            <w:tcW w:w="720" w:type="dxa"/>
            <w:vAlign w:val="bottom"/>
            <w:shd w:val="clear" w:color="auto" w:fill="EBE6E2"/>
          </w:tcPr>
          <w:p>
            <w:pPr>
              <w:spacing w:after="0"/>
              <w:rPr>
                <w:sz w:val="11"/>
                <w:szCs w:val="11"/>
                <w:color w:val="auto"/>
              </w:rPr>
            </w:pPr>
          </w:p>
        </w:tc>
        <w:tc>
          <w:tcPr>
            <w:tcW w:w="880" w:type="dxa"/>
            <w:vAlign w:val="bottom"/>
            <w:shd w:val="clear" w:color="auto" w:fill="EBE6E2"/>
          </w:tcPr>
          <w:p>
            <w:pPr>
              <w:jc w:val="right"/>
              <w:spacing w:after="0" w:line="128" w:lineRule="exact"/>
              <w:rPr>
                <w:sz w:val="20"/>
                <w:szCs w:val="20"/>
                <w:color w:val="auto"/>
              </w:rPr>
            </w:pPr>
            <w:r>
              <w:rPr>
                <w:rFonts w:ascii="Arial" w:cs="Arial" w:eastAsia="Arial" w:hAnsi="Arial"/>
                <w:sz w:val="12"/>
                <w:szCs w:val="12"/>
                <w:color w:val="auto"/>
              </w:rPr>
              <w:t>Nomination &amp;</w:t>
            </w:r>
          </w:p>
        </w:tc>
        <w:tc>
          <w:tcPr>
            <w:tcW w:w="920" w:type="dxa"/>
            <w:vAlign w:val="bottom"/>
            <w:shd w:val="clear" w:color="auto" w:fill="EBE6E2"/>
          </w:tcPr>
          <w:p>
            <w:pPr>
              <w:spacing w:after="0"/>
              <w:rPr>
                <w:sz w:val="11"/>
                <w:szCs w:val="11"/>
                <w:color w:val="auto"/>
              </w:rPr>
            </w:pPr>
          </w:p>
        </w:tc>
        <w:tc>
          <w:tcPr>
            <w:tcW w:w="880" w:type="dxa"/>
            <w:vAlign w:val="bottom"/>
            <w:shd w:val="clear" w:color="auto" w:fill="EBE6E2"/>
          </w:tcPr>
          <w:p>
            <w:pPr>
              <w:jc w:val="right"/>
              <w:spacing w:after="0" w:line="128" w:lineRule="exact"/>
              <w:rPr>
                <w:sz w:val="20"/>
                <w:szCs w:val="20"/>
                <w:color w:val="auto"/>
              </w:rPr>
            </w:pPr>
            <w:r>
              <w:rPr>
                <w:rFonts w:ascii="Arial" w:cs="Arial" w:eastAsia="Arial" w:hAnsi="Arial"/>
                <w:sz w:val="12"/>
                <w:szCs w:val="12"/>
                <w:color w:val="auto"/>
              </w:rPr>
              <w:t>Social</w:t>
            </w:r>
          </w:p>
        </w:tc>
      </w:tr>
      <w:tr>
        <w:trPr>
          <w:trHeight w:val="133"/>
        </w:trPr>
        <w:tc>
          <w:tcPr>
            <w:tcW w:w="900" w:type="dxa"/>
            <w:vAlign w:val="bottom"/>
            <w:shd w:val="clear" w:color="auto" w:fill="EBE6E2"/>
          </w:tcPr>
          <w:p>
            <w:pPr>
              <w:spacing w:after="0"/>
              <w:rPr>
                <w:sz w:val="11"/>
                <w:szCs w:val="11"/>
                <w:color w:val="auto"/>
              </w:rPr>
            </w:pPr>
          </w:p>
        </w:tc>
        <w:tc>
          <w:tcPr>
            <w:tcW w:w="440" w:type="dxa"/>
            <w:vAlign w:val="bottom"/>
            <w:shd w:val="clear" w:color="auto" w:fill="EBE6E2"/>
          </w:tcPr>
          <w:p>
            <w:pPr>
              <w:spacing w:after="0"/>
              <w:rPr>
                <w:sz w:val="11"/>
                <w:szCs w:val="11"/>
                <w:color w:val="auto"/>
              </w:rPr>
            </w:pPr>
          </w:p>
        </w:tc>
        <w:tc>
          <w:tcPr>
            <w:tcW w:w="740" w:type="dxa"/>
            <w:vAlign w:val="bottom"/>
            <w:shd w:val="clear" w:color="auto" w:fill="EBE6E2"/>
          </w:tcPr>
          <w:p>
            <w:pPr>
              <w:jc w:val="right"/>
              <w:ind w:right="21"/>
              <w:spacing w:after="0" w:line="133" w:lineRule="exact"/>
              <w:rPr>
                <w:sz w:val="20"/>
                <w:szCs w:val="20"/>
                <w:color w:val="auto"/>
              </w:rPr>
            </w:pPr>
            <w:r>
              <w:rPr>
                <w:rFonts w:ascii="Arial" w:cs="Arial" w:eastAsia="Arial" w:hAnsi="Arial"/>
                <w:sz w:val="12"/>
                <w:szCs w:val="12"/>
                <w:color w:val="auto"/>
              </w:rPr>
              <w:t>Executive</w:t>
            </w:r>
          </w:p>
        </w:tc>
        <w:tc>
          <w:tcPr>
            <w:tcW w:w="720" w:type="dxa"/>
            <w:vAlign w:val="bottom"/>
            <w:shd w:val="clear" w:color="auto" w:fill="EBE6E2"/>
          </w:tcPr>
          <w:p>
            <w:pPr>
              <w:jc w:val="right"/>
              <w:ind w:right="1"/>
              <w:spacing w:after="0" w:line="133" w:lineRule="exact"/>
              <w:rPr>
                <w:sz w:val="20"/>
                <w:szCs w:val="20"/>
                <w:color w:val="auto"/>
              </w:rPr>
            </w:pPr>
            <w:r>
              <w:rPr>
                <w:rFonts w:ascii="Arial" w:cs="Arial" w:eastAsia="Arial" w:hAnsi="Arial"/>
                <w:sz w:val="12"/>
                <w:szCs w:val="12"/>
                <w:color w:val="auto"/>
              </w:rPr>
              <w:t>Audit</w:t>
            </w:r>
          </w:p>
        </w:tc>
        <w:tc>
          <w:tcPr>
            <w:tcW w:w="880" w:type="dxa"/>
            <w:vAlign w:val="bottom"/>
            <w:shd w:val="clear" w:color="auto" w:fill="EBE6E2"/>
          </w:tcPr>
          <w:p>
            <w:pPr>
              <w:jc w:val="right"/>
              <w:ind w:right="20"/>
              <w:spacing w:after="0" w:line="133" w:lineRule="exact"/>
              <w:rPr>
                <w:sz w:val="20"/>
                <w:szCs w:val="20"/>
                <w:color w:val="auto"/>
              </w:rPr>
            </w:pPr>
            <w:r>
              <w:rPr>
                <w:rFonts w:ascii="Arial" w:cs="Arial" w:eastAsia="Arial" w:hAnsi="Arial"/>
                <w:sz w:val="12"/>
                <w:szCs w:val="12"/>
                <w:color w:val="auto"/>
              </w:rPr>
              <w:t>Succession</w:t>
            </w:r>
          </w:p>
        </w:tc>
        <w:tc>
          <w:tcPr>
            <w:tcW w:w="920" w:type="dxa"/>
            <w:vAlign w:val="bottom"/>
            <w:shd w:val="clear" w:color="auto" w:fill="EBE6E2"/>
          </w:tcPr>
          <w:p>
            <w:pPr>
              <w:jc w:val="right"/>
              <w:ind w:right="1"/>
              <w:spacing w:after="0" w:line="133" w:lineRule="exact"/>
              <w:rPr>
                <w:sz w:val="20"/>
                <w:szCs w:val="20"/>
                <w:color w:val="auto"/>
              </w:rPr>
            </w:pPr>
            <w:r>
              <w:rPr>
                <w:rFonts w:ascii="Arial" w:cs="Arial" w:eastAsia="Arial" w:hAnsi="Arial"/>
                <w:sz w:val="12"/>
                <w:szCs w:val="12"/>
                <w:color w:val="auto"/>
              </w:rPr>
              <w:t>Remuneration</w:t>
            </w:r>
          </w:p>
        </w:tc>
        <w:tc>
          <w:tcPr>
            <w:tcW w:w="880" w:type="dxa"/>
            <w:vAlign w:val="bottom"/>
            <w:shd w:val="clear" w:color="auto" w:fill="EBE6E2"/>
          </w:tcPr>
          <w:p>
            <w:pPr>
              <w:jc w:val="right"/>
              <w:spacing w:after="0" w:line="133" w:lineRule="exact"/>
              <w:rPr>
                <w:sz w:val="20"/>
                <w:szCs w:val="20"/>
                <w:color w:val="auto"/>
              </w:rPr>
            </w:pPr>
            <w:r>
              <w:rPr>
                <w:rFonts w:ascii="Arial" w:cs="Arial" w:eastAsia="Arial" w:hAnsi="Arial"/>
                <w:sz w:val="12"/>
                <w:szCs w:val="12"/>
                <w:color w:val="auto"/>
              </w:rPr>
              <w:t>Responsibility</w:t>
            </w:r>
          </w:p>
        </w:tc>
      </w:tr>
      <w:tr>
        <w:trPr>
          <w:trHeight w:val="139"/>
        </w:trPr>
        <w:tc>
          <w:tcPr>
            <w:tcW w:w="900" w:type="dxa"/>
            <w:vAlign w:val="bottom"/>
            <w:shd w:val="clear" w:color="auto" w:fill="EBE6E2"/>
          </w:tcPr>
          <w:p>
            <w:pPr>
              <w:spacing w:after="0"/>
              <w:rPr>
                <w:sz w:val="12"/>
                <w:szCs w:val="12"/>
                <w:color w:val="auto"/>
              </w:rPr>
            </w:pPr>
          </w:p>
        </w:tc>
        <w:tc>
          <w:tcPr>
            <w:tcW w:w="440" w:type="dxa"/>
            <w:vAlign w:val="bottom"/>
            <w:shd w:val="clear" w:color="auto" w:fill="EBE6E2"/>
          </w:tcPr>
          <w:p>
            <w:pPr>
              <w:jc w:val="right"/>
              <w:ind w:right="2"/>
              <w:spacing w:after="0"/>
              <w:rPr>
                <w:sz w:val="20"/>
                <w:szCs w:val="20"/>
                <w:color w:val="auto"/>
              </w:rPr>
            </w:pPr>
            <w:r>
              <w:rPr>
                <w:rFonts w:ascii="Arial" w:cs="Arial" w:eastAsia="Arial" w:hAnsi="Arial"/>
                <w:sz w:val="12"/>
                <w:szCs w:val="12"/>
                <w:color w:val="auto"/>
              </w:rPr>
              <w:t>Board</w:t>
            </w:r>
          </w:p>
        </w:tc>
        <w:tc>
          <w:tcPr>
            <w:tcW w:w="740" w:type="dxa"/>
            <w:vAlign w:val="bottom"/>
            <w:shd w:val="clear" w:color="auto" w:fill="EBE6E2"/>
          </w:tcPr>
          <w:p>
            <w:pPr>
              <w:jc w:val="right"/>
              <w:ind w:right="21"/>
              <w:spacing w:after="0"/>
              <w:rPr>
                <w:sz w:val="20"/>
                <w:szCs w:val="20"/>
                <w:color w:val="auto"/>
              </w:rPr>
            </w:pPr>
            <w:r>
              <w:rPr>
                <w:rFonts w:ascii="Arial" w:cs="Arial" w:eastAsia="Arial" w:hAnsi="Arial"/>
                <w:sz w:val="12"/>
                <w:szCs w:val="12"/>
                <w:color w:val="auto"/>
              </w:rPr>
              <w:t>Committee</w:t>
            </w:r>
          </w:p>
        </w:tc>
        <w:tc>
          <w:tcPr>
            <w:tcW w:w="720" w:type="dxa"/>
            <w:vAlign w:val="bottom"/>
            <w:shd w:val="clear" w:color="auto" w:fill="EBE6E2"/>
          </w:tcPr>
          <w:p>
            <w:pPr>
              <w:jc w:val="right"/>
              <w:ind w:right="1"/>
              <w:spacing w:after="0"/>
              <w:rPr>
                <w:sz w:val="20"/>
                <w:szCs w:val="20"/>
                <w:color w:val="auto"/>
              </w:rPr>
            </w:pPr>
            <w:r>
              <w:rPr>
                <w:rFonts w:ascii="Arial" w:cs="Arial" w:eastAsia="Arial" w:hAnsi="Arial"/>
                <w:sz w:val="12"/>
                <w:szCs w:val="12"/>
                <w:color w:val="auto"/>
              </w:rPr>
              <w:t>Committee</w:t>
            </w:r>
          </w:p>
        </w:tc>
        <w:tc>
          <w:tcPr>
            <w:tcW w:w="880" w:type="dxa"/>
            <w:vAlign w:val="bottom"/>
            <w:shd w:val="clear" w:color="auto" w:fill="EBE6E2"/>
          </w:tcPr>
          <w:p>
            <w:pPr>
              <w:jc w:val="right"/>
              <w:ind w:right="20"/>
              <w:spacing w:after="0"/>
              <w:rPr>
                <w:sz w:val="20"/>
                <w:szCs w:val="20"/>
                <w:color w:val="auto"/>
              </w:rPr>
            </w:pPr>
            <w:r>
              <w:rPr>
                <w:rFonts w:ascii="Arial" w:cs="Arial" w:eastAsia="Arial" w:hAnsi="Arial"/>
                <w:sz w:val="12"/>
                <w:szCs w:val="12"/>
                <w:color w:val="auto"/>
              </w:rPr>
              <w:t>Committee</w:t>
            </w:r>
          </w:p>
        </w:tc>
        <w:tc>
          <w:tcPr>
            <w:tcW w:w="920" w:type="dxa"/>
            <w:vAlign w:val="bottom"/>
            <w:shd w:val="clear" w:color="auto" w:fill="EBE6E2"/>
          </w:tcPr>
          <w:p>
            <w:pPr>
              <w:jc w:val="right"/>
              <w:ind w:right="21"/>
              <w:spacing w:after="0"/>
              <w:rPr>
                <w:sz w:val="20"/>
                <w:szCs w:val="20"/>
                <w:color w:val="auto"/>
              </w:rPr>
            </w:pPr>
            <w:r>
              <w:rPr>
                <w:rFonts w:ascii="Arial" w:cs="Arial" w:eastAsia="Arial" w:hAnsi="Arial"/>
                <w:sz w:val="12"/>
                <w:szCs w:val="12"/>
                <w:color w:val="auto"/>
              </w:rPr>
              <w:t>Committee</w:t>
            </w:r>
          </w:p>
        </w:tc>
        <w:tc>
          <w:tcPr>
            <w:tcW w:w="880" w:type="dxa"/>
            <w:vAlign w:val="bottom"/>
            <w:shd w:val="clear" w:color="auto" w:fill="EBE6E2"/>
          </w:tcPr>
          <w:p>
            <w:pPr>
              <w:jc w:val="right"/>
              <w:spacing w:after="0"/>
              <w:rPr>
                <w:sz w:val="20"/>
                <w:szCs w:val="20"/>
                <w:color w:val="auto"/>
              </w:rPr>
            </w:pPr>
            <w:r>
              <w:rPr>
                <w:rFonts w:ascii="Arial" w:cs="Arial" w:eastAsia="Arial" w:hAnsi="Arial"/>
                <w:sz w:val="12"/>
                <w:szCs w:val="12"/>
                <w:color w:val="auto"/>
              </w:rPr>
              <w:t>Committee</w:t>
            </w:r>
          </w:p>
        </w:tc>
      </w:tr>
      <w:tr>
        <w:trPr>
          <w:trHeight w:val="135"/>
        </w:trPr>
        <w:tc>
          <w:tcPr>
            <w:tcW w:w="900" w:type="dxa"/>
            <w:vAlign w:val="bottom"/>
          </w:tcPr>
          <w:p>
            <w:pPr>
              <w:spacing w:after="0" w:line="136" w:lineRule="exact"/>
              <w:rPr>
                <w:sz w:val="20"/>
                <w:szCs w:val="20"/>
                <w:color w:val="auto"/>
              </w:rPr>
            </w:pPr>
            <w:r>
              <w:rPr>
                <w:rFonts w:ascii="Arial" w:cs="Arial" w:eastAsia="Arial" w:hAnsi="Arial"/>
                <w:sz w:val="12"/>
                <w:szCs w:val="12"/>
                <w:color w:val="auto"/>
                <w:w w:val="97"/>
              </w:rPr>
              <w:t>Maarten van den</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Bergh</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4/4</w:t>
            </w: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w w:val="98"/>
              </w:rPr>
              <w:t>Malcolm Brinded</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30/31</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Linda Cook</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31/31</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Nina Henderson</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4/4</w:t>
            </w: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Sir Peter Job</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7/8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jc w:val="right"/>
              <w:ind w:right="21"/>
              <w:spacing w:after="0" w:line="133" w:lineRule="exact"/>
              <w:rPr>
                <w:sz w:val="20"/>
                <w:szCs w:val="20"/>
                <w:color w:val="auto"/>
              </w:rPr>
            </w:pPr>
            <w:r>
              <w:rPr>
                <w:rFonts w:ascii="Arial" w:cs="Arial" w:eastAsia="Arial" w:hAnsi="Arial"/>
                <w:sz w:val="12"/>
                <w:szCs w:val="12"/>
                <w:color w:val="auto"/>
              </w:rPr>
              <w:t>6/6</w:t>
            </w: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Lord Kerr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Kinlochard</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7/7</w:t>
            </w:r>
          </w:p>
        </w:tc>
        <w:tc>
          <w:tcPr>
            <w:tcW w:w="920" w:type="dxa"/>
            <w:vAlign w:val="bottom"/>
          </w:tcPr>
          <w:p>
            <w:pPr>
              <w:jc w:val="right"/>
              <w:ind w:right="21"/>
              <w:spacing w:after="0" w:line="133" w:lineRule="exact"/>
              <w:rPr>
                <w:sz w:val="20"/>
                <w:szCs w:val="20"/>
                <w:color w:val="auto"/>
              </w:rPr>
            </w:pPr>
            <w:r>
              <w:rPr>
                <w:rFonts w:ascii="Arial" w:cs="Arial" w:eastAsia="Arial" w:hAnsi="Arial"/>
                <w:sz w:val="12"/>
                <w:szCs w:val="12"/>
                <w:color w:val="auto"/>
              </w:rPr>
              <w:t>6/6</w:t>
            </w: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Wim Kok</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4/4</w:t>
            </w:r>
          </w:p>
        </w:tc>
        <w:tc>
          <w:tcPr>
            <w:tcW w:w="920" w:type="dxa"/>
            <w:vAlign w:val="bottom"/>
          </w:tcPr>
          <w:p>
            <w:pPr>
              <w:spacing w:after="0"/>
              <w:rPr>
                <w:sz w:val="11"/>
                <w:szCs w:val="11"/>
                <w:color w:val="auto"/>
              </w:rPr>
            </w:pP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4/4</w:t>
            </w: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Nick Land</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jc w:val="right"/>
              <w:ind w:right="1"/>
              <w:spacing w:after="0" w:line="133" w:lineRule="exact"/>
              <w:rPr>
                <w:sz w:val="20"/>
                <w:szCs w:val="20"/>
                <w:color w:val="auto"/>
              </w:rPr>
            </w:pPr>
            <w:r>
              <w:rPr>
                <w:rFonts w:ascii="Arial" w:cs="Arial" w:eastAsia="Arial" w:hAnsi="Arial"/>
                <w:sz w:val="12"/>
                <w:szCs w:val="12"/>
                <w:color w:val="auto"/>
              </w:rPr>
              <w:t>5/5</w:t>
            </w: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Aarnout Loudon</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5/5</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3/3</w:t>
            </w:r>
          </w:p>
        </w:tc>
        <w:tc>
          <w:tcPr>
            <w:tcW w:w="920" w:type="dxa"/>
            <w:vAlign w:val="bottom"/>
          </w:tcPr>
          <w:p>
            <w:pPr>
              <w:jc w:val="right"/>
              <w:ind w:right="21"/>
              <w:spacing w:after="0" w:line="133" w:lineRule="exact"/>
              <w:rPr>
                <w:sz w:val="20"/>
                <w:szCs w:val="20"/>
                <w:color w:val="auto"/>
              </w:rPr>
            </w:pPr>
            <w:r>
              <w:rPr>
                <w:rFonts w:ascii="Arial" w:cs="Arial" w:eastAsia="Arial" w:hAnsi="Arial"/>
                <w:sz w:val="12"/>
                <w:szCs w:val="12"/>
                <w:color w:val="auto"/>
              </w:rPr>
              <w:t>2/2</w:t>
            </w: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Christine Morin-</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ind w:left="200"/>
              <w:spacing w:after="0" w:line="133" w:lineRule="exact"/>
              <w:rPr>
                <w:sz w:val="20"/>
                <w:szCs w:val="20"/>
                <w:color w:val="auto"/>
              </w:rPr>
            </w:pPr>
            <w:r>
              <w:rPr>
                <w:rFonts w:ascii="Arial" w:cs="Arial" w:eastAsia="Arial" w:hAnsi="Arial"/>
                <w:sz w:val="12"/>
                <w:szCs w:val="12"/>
                <w:color w:val="auto"/>
              </w:rPr>
              <w:t>Postel</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7/8</w:t>
            </w:r>
          </w:p>
        </w:tc>
        <w:tc>
          <w:tcPr>
            <w:tcW w:w="740" w:type="dxa"/>
            <w:vAlign w:val="bottom"/>
          </w:tcPr>
          <w:p>
            <w:pPr>
              <w:spacing w:after="0"/>
              <w:rPr>
                <w:sz w:val="11"/>
                <w:szCs w:val="11"/>
                <w:color w:val="auto"/>
              </w:rPr>
            </w:pPr>
          </w:p>
        </w:tc>
        <w:tc>
          <w:tcPr>
            <w:tcW w:w="720" w:type="dxa"/>
            <w:vAlign w:val="bottom"/>
          </w:tcPr>
          <w:p>
            <w:pPr>
              <w:jc w:val="right"/>
              <w:ind w:right="1"/>
              <w:spacing w:after="0" w:line="133" w:lineRule="exact"/>
              <w:rPr>
                <w:sz w:val="20"/>
                <w:szCs w:val="20"/>
                <w:color w:val="auto"/>
              </w:rPr>
            </w:pPr>
            <w:r>
              <w:rPr>
                <w:rFonts w:ascii="Arial" w:cs="Arial" w:eastAsia="Arial" w:hAnsi="Arial"/>
                <w:sz w:val="12"/>
                <w:szCs w:val="12"/>
                <w:color w:val="auto"/>
              </w:rPr>
              <w:t>5/5</w:t>
            </w: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Jorma Ollila</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jc w:val="right"/>
              <w:ind w:right="20"/>
              <w:spacing w:after="0" w:line="133" w:lineRule="exact"/>
              <w:rPr>
                <w:sz w:val="20"/>
                <w:szCs w:val="20"/>
                <w:color w:val="auto"/>
              </w:rPr>
            </w:pPr>
            <w:r>
              <w:rPr>
                <w:rFonts w:ascii="Arial" w:cs="Arial" w:eastAsia="Arial" w:hAnsi="Arial"/>
                <w:sz w:val="12"/>
                <w:szCs w:val="12"/>
                <w:color w:val="auto"/>
              </w:rPr>
              <w:t>7/7</w:t>
            </w:r>
          </w:p>
        </w:tc>
        <w:tc>
          <w:tcPr>
            <w:tcW w:w="920" w:type="dxa"/>
            <w:vAlign w:val="bottom"/>
          </w:tcPr>
          <w:p>
            <w:pPr>
              <w:jc w:val="right"/>
              <w:ind w:right="21"/>
              <w:spacing w:after="0" w:line="133" w:lineRule="exact"/>
              <w:rPr>
                <w:sz w:val="20"/>
                <w:szCs w:val="20"/>
                <w:color w:val="auto"/>
              </w:rPr>
            </w:pPr>
            <w:r>
              <w:rPr>
                <w:rFonts w:ascii="Arial" w:cs="Arial" w:eastAsia="Arial" w:hAnsi="Arial"/>
                <w:sz w:val="12"/>
                <w:szCs w:val="12"/>
                <w:color w:val="auto"/>
              </w:rPr>
              <w:t>4/4</w:t>
            </w: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Lawrence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ind w:left="200"/>
              <w:spacing w:after="0" w:line="133" w:lineRule="exact"/>
              <w:rPr>
                <w:sz w:val="20"/>
                <w:szCs w:val="20"/>
                <w:color w:val="auto"/>
              </w:rPr>
            </w:pPr>
            <w:r>
              <w:rPr>
                <w:rFonts w:ascii="Arial" w:cs="Arial" w:eastAsia="Arial" w:hAnsi="Arial"/>
                <w:sz w:val="12"/>
                <w:szCs w:val="12"/>
                <w:color w:val="auto"/>
              </w:rPr>
              <w:t>Ricciardi</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spacing w:after="0"/>
              <w:rPr>
                <w:sz w:val="11"/>
                <w:szCs w:val="11"/>
                <w:color w:val="auto"/>
              </w:rPr>
            </w:pPr>
          </w:p>
        </w:tc>
        <w:tc>
          <w:tcPr>
            <w:tcW w:w="720" w:type="dxa"/>
            <w:vAlign w:val="bottom"/>
          </w:tcPr>
          <w:p>
            <w:pPr>
              <w:jc w:val="right"/>
              <w:ind w:right="1"/>
              <w:spacing w:after="0" w:line="133" w:lineRule="exact"/>
              <w:rPr>
                <w:sz w:val="20"/>
                <w:szCs w:val="20"/>
                <w:color w:val="auto"/>
              </w:rPr>
            </w:pPr>
            <w:r>
              <w:rPr>
                <w:rFonts w:ascii="Arial" w:cs="Arial" w:eastAsia="Arial" w:hAnsi="Arial"/>
                <w:sz w:val="12"/>
                <w:szCs w:val="12"/>
                <w:color w:val="auto"/>
              </w:rPr>
              <w:t>5/5</w:t>
            </w: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Rob Routs</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31/31</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spacing w:after="0" w:line="133" w:lineRule="exact"/>
              <w:rPr>
                <w:sz w:val="20"/>
                <w:szCs w:val="20"/>
                <w:color w:val="auto"/>
              </w:rPr>
            </w:pPr>
            <w:r>
              <w:rPr>
                <w:rFonts w:ascii="Arial" w:cs="Arial" w:eastAsia="Arial" w:hAnsi="Arial"/>
                <w:sz w:val="12"/>
                <w:szCs w:val="12"/>
                <w:color w:val="auto"/>
              </w:rPr>
              <w:t>Jeroen van der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3"/>
        </w:trPr>
        <w:tc>
          <w:tcPr>
            <w:tcW w:w="900" w:type="dxa"/>
            <w:vAlign w:val="bottom"/>
          </w:tcPr>
          <w:p>
            <w:pPr>
              <w:ind w:left="200"/>
              <w:spacing w:after="0" w:line="133" w:lineRule="exact"/>
              <w:rPr>
                <w:sz w:val="20"/>
                <w:szCs w:val="20"/>
                <w:color w:val="auto"/>
              </w:rPr>
            </w:pPr>
            <w:r>
              <w:rPr>
                <w:rFonts w:ascii="Arial" w:cs="Arial" w:eastAsia="Arial" w:hAnsi="Arial"/>
                <w:sz w:val="12"/>
                <w:szCs w:val="12"/>
                <w:color w:val="auto"/>
              </w:rPr>
              <w:t>Veer</w:t>
            </w:r>
          </w:p>
        </w:tc>
        <w:tc>
          <w:tcPr>
            <w:tcW w:w="440" w:type="dxa"/>
            <w:vAlign w:val="bottom"/>
          </w:tcPr>
          <w:p>
            <w:pPr>
              <w:jc w:val="right"/>
              <w:ind w:right="2"/>
              <w:spacing w:after="0" w:line="133" w:lineRule="exact"/>
              <w:rPr>
                <w:sz w:val="20"/>
                <w:szCs w:val="20"/>
                <w:color w:val="auto"/>
              </w:rPr>
            </w:pPr>
            <w:r>
              <w:rPr>
                <w:rFonts w:ascii="Arial" w:cs="Arial" w:eastAsia="Arial" w:hAnsi="Arial"/>
                <w:sz w:val="12"/>
                <w:szCs w:val="12"/>
                <w:color w:val="auto"/>
              </w:rPr>
              <w:t>8/8</w:t>
            </w:r>
          </w:p>
        </w:tc>
        <w:tc>
          <w:tcPr>
            <w:tcW w:w="740" w:type="dxa"/>
            <w:vAlign w:val="bottom"/>
          </w:tcPr>
          <w:p>
            <w:pPr>
              <w:jc w:val="right"/>
              <w:ind w:right="21"/>
              <w:spacing w:after="0" w:line="133" w:lineRule="exact"/>
              <w:rPr>
                <w:sz w:val="20"/>
                <w:szCs w:val="20"/>
                <w:color w:val="auto"/>
              </w:rPr>
            </w:pPr>
            <w:r>
              <w:rPr>
                <w:rFonts w:ascii="Arial" w:cs="Arial" w:eastAsia="Arial" w:hAnsi="Arial"/>
                <w:sz w:val="12"/>
                <w:szCs w:val="12"/>
                <w:color w:val="auto"/>
              </w:rPr>
              <w:t>31/31</w:t>
            </w: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8"/>
        </w:trPr>
        <w:tc>
          <w:tcPr>
            <w:tcW w:w="900" w:type="dxa"/>
            <w:vAlign w:val="bottom"/>
          </w:tcPr>
          <w:p>
            <w:pPr>
              <w:spacing w:after="0"/>
              <w:rPr>
                <w:sz w:val="20"/>
                <w:szCs w:val="20"/>
                <w:color w:val="auto"/>
              </w:rPr>
            </w:pPr>
            <w:r>
              <w:rPr>
                <w:rFonts w:ascii="Arial" w:cs="Arial" w:eastAsia="Arial" w:hAnsi="Arial"/>
                <w:sz w:val="12"/>
                <w:szCs w:val="12"/>
                <w:color w:val="auto"/>
              </w:rPr>
              <w:t>Peter Voser</w:t>
            </w:r>
          </w:p>
        </w:tc>
        <w:tc>
          <w:tcPr>
            <w:tcW w:w="440" w:type="dxa"/>
            <w:vAlign w:val="bottom"/>
          </w:tcPr>
          <w:p>
            <w:pPr>
              <w:jc w:val="right"/>
              <w:ind w:right="2"/>
              <w:spacing w:after="0"/>
              <w:rPr>
                <w:sz w:val="20"/>
                <w:szCs w:val="20"/>
                <w:color w:val="auto"/>
              </w:rPr>
            </w:pPr>
            <w:r>
              <w:rPr>
                <w:rFonts w:ascii="Arial" w:cs="Arial" w:eastAsia="Arial" w:hAnsi="Arial"/>
                <w:sz w:val="12"/>
                <w:szCs w:val="12"/>
                <w:color w:val="auto"/>
              </w:rPr>
              <w:t>8/8</w:t>
            </w:r>
          </w:p>
        </w:tc>
        <w:tc>
          <w:tcPr>
            <w:tcW w:w="740" w:type="dxa"/>
            <w:vAlign w:val="bottom"/>
          </w:tcPr>
          <w:p>
            <w:pPr>
              <w:jc w:val="right"/>
              <w:ind w:right="21"/>
              <w:spacing w:after="0"/>
              <w:rPr>
                <w:sz w:val="20"/>
                <w:szCs w:val="20"/>
                <w:color w:val="auto"/>
              </w:rPr>
            </w:pPr>
            <w:r>
              <w:rPr>
                <w:rFonts w:ascii="Arial" w:cs="Arial" w:eastAsia="Arial" w:hAnsi="Arial"/>
                <w:sz w:val="12"/>
                <w:szCs w:val="12"/>
                <w:color w:val="auto"/>
              </w:rPr>
              <w:t>31/31</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34759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ind w:left="220" w:hanging="211"/>
        <w:spacing w:after="0" w:line="238" w:lineRule="auto"/>
        <w:tabs>
          <w:tab w:leader="none" w:pos="220"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 first figure represents attendance and the second figure the possible number of meetings. For example 6/8 signifies attendance at six out of a possible eight meetings. Where a director retired or was appointed to a Board Committee during the year, only meetings before retirement or after the date of appointment are shown.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EXECUTIVE COMMITTEE</w:t>
      </w:r>
    </w:p>
    <w:p>
      <w:pPr>
        <w:spacing w:after="0" w:line="6" w:lineRule="exact"/>
        <w:rPr>
          <w:sz w:val="20"/>
          <w:szCs w:val="20"/>
          <w:color w:val="auto"/>
        </w:rPr>
      </w:pPr>
    </w:p>
    <w:p>
      <w:pPr>
        <w:ind w:left="5"/>
        <w:spacing w:after="0"/>
        <w:rPr>
          <w:sz w:val="20"/>
          <w:szCs w:val="20"/>
          <w:color w:val="auto"/>
        </w:rPr>
      </w:pPr>
      <w:r>
        <w:rPr>
          <w:rFonts w:ascii="Arial" w:cs="Arial" w:eastAsia="Arial" w:hAnsi="Arial"/>
          <w:sz w:val="14"/>
          <w:szCs w:val="14"/>
          <w:color w:val="auto"/>
        </w:rPr>
        <w:t>The Executive Committee comprises:</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Executive Directors</w:t>
      </w:r>
    </w:p>
    <w:p>
      <w:pPr>
        <w:ind w:left="245" w:hanging="245"/>
        <w:spacing w:after="0" w:line="220" w:lineRule="auto"/>
        <w:tabs>
          <w:tab w:leader="none" w:pos="245"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Chief Executive – Jeroen van der Veer;</w:t>
      </w:r>
    </w:p>
    <w:p>
      <w:pPr>
        <w:ind w:left="245" w:hanging="245"/>
        <w:spacing w:after="0" w:line="218" w:lineRule="auto"/>
        <w:tabs>
          <w:tab w:leader="none" w:pos="245"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Exploration &amp; Production – Malcolm Brinded;</w:t>
      </w:r>
    </w:p>
    <w:p>
      <w:pPr>
        <w:ind w:left="245" w:hanging="245"/>
        <w:spacing w:after="0" w:line="218" w:lineRule="auto"/>
        <w:tabs>
          <w:tab w:leader="none" w:pos="245"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Gas &amp; Power, Shell Trading, Global Solutions and Technology – Linda Cook;</w:t>
      </w:r>
    </w:p>
    <w:p>
      <w:pPr>
        <w:ind w:left="245" w:hanging="245"/>
        <w:spacing w:after="0" w:line="218" w:lineRule="auto"/>
        <w:tabs>
          <w:tab w:leader="none" w:pos="245"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Oil Sands, Oil Products and Chemicals – Rob Routs; and</w:t>
      </w:r>
    </w:p>
    <w:p>
      <w:pPr>
        <w:ind w:left="245" w:hanging="245"/>
        <w:spacing w:after="0"/>
        <w:tabs>
          <w:tab w:leader="none" w:pos="245" w:val="left"/>
        </w:tabs>
        <w:numPr>
          <w:ilvl w:val="0"/>
          <w:numId w:val="102"/>
        </w:numPr>
        <w:rPr>
          <w:rFonts w:ascii="Arial" w:cs="Arial" w:eastAsia="Arial" w:hAnsi="Arial"/>
          <w:sz w:val="14"/>
          <w:szCs w:val="14"/>
          <w:b w:val="1"/>
          <w:bCs w:val="1"/>
          <w:color w:val="auto"/>
        </w:rPr>
      </w:pPr>
      <w:r>
        <w:rPr>
          <w:rFonts w:ascii="Arial" w:cs="Arial" w:eastAsia="Arial" w:hAnsi="Arial"/>
          <w:sz w:val="14"/>
          <w:szCs w:val="14"/>
          <w:color w:val="auto"/>
        </w:rPr>
        <w:t>Chief Financial Officer – Peter Voser.</w:t>
      </w:r>
    </w:p>
    <w:p>
      <w:pPr>
        <w:spacing w:after="0" w:line="183"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Directors of Functions</w:t>
      </w:r>
    </w:p>
    <w:p>
      <w:pPr>
        <w:ind w:left="5"/>
        <w:spacing w:after="0" w:line="237" w:lineRule="auto"/>
        <w:rPr>
          <w:sz w:val="20"/>
          <w:szCs w:val="20"/>
          <w:color w:val="auto"/>
        </w:rPr>
      </w:pPr>
      <w:r>
        <w:rPr>
          <w:rFonts w:ascii="Arial" w:cs="Arial" w:eastAsia="Arial" w:hAnsi="Arial"/>
          <w:sz w:val="13"/>
          <w:szCs w:val="13"/>
          <w:color w:val="auto"/>
        </w:rPr>
        <w:t>During the year, the following were appointed as members of the Executive Committee:</w:t>
      </w:r>
    </w:p>
    <w:p>
      <w:pPr>
        <w:ind w:left="245" w:hanging="245"/>
        <w:spacing w:after="0" w:line="219" w:lineRule="auto"/>
        <w:tabs>
          <w:tab w:leader="none" w:pos="245"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Corporate Affairs Director – Roxanne Decyk;</w:t>
      </w:r>
    </w:p>
    <w:p>
      <w:pPr>
        <w:ind w:left="245" w:hanging="245"/>
        <w:spacing w:after="0" w:line="218" w:lineRule="auto"/>
        <w:tabs>
          <w:tab w:leader="none" w:pos="245"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Legal Director – Beat Hess; and</w:t>
      </w:r>
    </w:p>
    <w:p>
      <w:pPr>
        <w:ind w:left="245" w:hanging="245"/>
        <w:spacing w:after="0"/>
        <w:tabs>
          <w:tab w:leader="none" w:pos="245" w:val="left"/>
        </w:tabs>
        <w:numPr>
          <w:ilvl w:val="0"/>
          <w:numId w:val="103"/>
        </w:numPr>
        <w:rPr>
          <w:rFonts w:ascii="Arial" w:cs="Arial" w:eastAsia="Arial" w:hAnsi="Arial"/>
          <w:sz w:val="14"/>
          <w:szCs w:val="14"/>
          <w:b w:val="1"/>
          <w:bCs w:val="1"/>
          <w:color w:val="auto"/>
        </w:rPr>
      </w:pPr>
      <w:r>
        <w:rPr>
          <w:rFonts w:ascii="Arial" w:cs="Arial" w:eastAsia="Arial" w:hAnsi="Arial"/>
          <w:sz w:val="14"/>
          <w:szCs w:val="14"/>
          <w:color w:val="auto"/>
        </w:rPr>
        <w:t>Human Resources Director – Hugh Mitchell.</w:t>
      </w:r>
    </w:p>
    <w:p>
      <w:pPr>
        <w:spacing w:after="0" w:line="187" w:lineRule="exact"/>
        <w:rPr>
          <w:sz w:val="20"/>
          <w:szCs w:val="20"/>
          <w:color w:val="auto"/>
        </w:rPr>
      </w:pPr>
    </w:p>
    <w:p>
      <w:pPr>
        <w:ind w:left="5" w:right="60"/>
        <w:spacing w:after="0" w:line="226" w:lineRule="auto"/>
        <w:rPr>
          <w:sz w:val="20"/>
          <w:szCs w:val="20"/>
          <w:color w:val="auto"/>
        </w:rPr>
      </w:pPr>
      <w:r>
        <w:rPr>
          <w:rFonts w:ascii="Arial" w:cs="Arial" w:eastAsia="Arial" w:hAnsi="Arial"/>
          <w:sz w:val="14"/>
          <w:szCs w:val="14"/>
          <w:color w:val="auto"/>
        </w:rPr>
        <w:t>The Executive Committee operates under the direction of the Chief Executive and is responsible for Royal Dutch Shell’s overall business and affairs. The Chief Executive has final authority in all matters of management that are not within the duties and authorities of the Board or of the AGM. The Executive Committee supports the Chief Executive and implements all Board resolutions and supervises all management levels in Royal Dutch Shell.</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BOARD COMMITTEES</w:t>
      </w:r>
    </w:p>
    <w:p>
      <w:pPr>
        <w:spacing w:after="0" w:line="6" w:lineRule="exact"/>
        <w:rPr>
          <w:sz w:val="20"/>
          <w:szCs w:val="20"/>
          <w:color w:val="auto"/>
        </w:rPr>
      </w:pPr>
    </w:p>
    <w:p>
      <w:pPr>
        <w:ind w:left="5"/>
        <w:spacing w:after="0"/>
        <w:rPr>
          <w:sz w:val="20"/>
          <w:szCs w:val="20"/>
          <w:color w:val="auto"/>
        </w:rPr>
      </w:pPr>
      <w:r>
        <w:rPr>
          <w:rFonts w:ascii="Arial" w:cs="Arial" w:eastAsia="Arial" w:hAnsi="Arial"/>
          <w:sz w:val="13"/>
          <w:szCs w:val="13"/>
          <w:color w:val="auto"/>
        </w:rPr>
        <w:t>There are four Board committees made up of Non-executive Directors. These are the:</w:t>
      </w:r>
    </w:p>
    <w:p>
      <w:pPr>
        <w:spacing w:after="0" w:line="8" w:lineRule="exact"/>
        <w:rPr>
          <w:sz w:val="20"/>
          <w:szCs w:val="20"/>
          <w:color w:val="auto"/>
        </w:rPr>
      </w:pPr>
    </w:p>
    <w:p>
      <w:pPr>
        <w:ind w:left="245" w:hanging="245"/>
        <w:spacing w:after="0"/>
        <w:tabs>
          <w:tab w:leader="none" w:pos="245"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Audit Committee;</w:t>
      </w:r>
    </w:p>
    <w:p>
      <w:pPr>
        <w:spacing w:after="0" w:line="6" w:lineRule="exact"/>
        <w:rPr>
          <w:rFonts w:ascii="Arial" w:cs="Arial" w:eastAsia="Arial" w:hAnsi="Arial"/>
          <w:sz w:val="16"/>
          <w:szCs w:val="16"/>
          <w:b w:val="1"/>
          <w:bCs w:val="1"/>
          <w:color w:val="auto"/>
        </w:rPr>
      </w:pPr>
    </w:p>
    <w:p>
      <w:pPr>
        <w:ind w:left="245" w:hanging="245"/>
        <w:spacing w:after="0"/>
        <w:tabs>
          <w:tab w:leader="none" w:pos="245"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Nomination and Succession Committee;</w:t>
      </w:r>
    </w:p>
    <w:p>
      <w:pPr>
        <w:spacing w:after="0" w:line="15" w:lineRule="exact"/>
        <w:rPr>
          <w:rFonts w:ascii="Arial" w:cs="Arial" w:eastAsia="Arial" w:hAnsi="Arial"/>
          <w:sz w:val="16"/>
          <w:szCs w:val="16"/>
          <w:b w:val="1"/>
          <w:bCs w:val="1"/>
          <w:color w:val="auto"/>
        </w:rPr>
      </w:pPr>
    </w:p>
    <w:p>
      <w:pPr>
        <w:ind w:left="245" w:hanging="245"/>
        <w:spacing w:after="0"/>
        <w:tabs>
          <w:tab w:leader="none" w:pos="245"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Remuneration Committee; and</w:t>
      </w:r>
    </w:p>
    <w:p>
      <w:pPr>
        <w:spacing w:after="0" w:line="15" w:lineRule="exact"/>
        <w:rPr>
          <w:rFonts w:ascii="Arial" w:cs="Arial" w:eastAsia="Arial" w:hAnsi="Arial"/>
          <w:sz w:val="16"/>
          <w:szCs w:val="16"/>
          <w:b w:val="1"/>
          <w:bCs w:val="1"/>
          <w:color w:val="auto"/>
        </w:rPr>
      </w:pPr>
    </w:p>
    <w:p>
      <w:pPr>
        <w:ind w:left="245" w:hanging="245"/>
        <w:spacing w:after="0"/>
        <w:tabs>
          <w:tab w:leader="none" w:pos="245"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Social Responsibility Committee.</w:t>
      </w:r>
    </w:p>
    <w:p>
      <w:pPr>
        <w:spacing w:after="0" w:line="216" w:lineRule="exact"/>
        <w:rPr>
          <w:sz w:val="20"/>
          <w:szCs w:val="20"/>
          <w:color w:val="auto"/>
        </w:rPr>
      </w:pPr>
    </w:p>
    <w:p>
      <w:pPr>
        <w:ind w:left="5" w:right="120"/>
        <w:spacing w:after="0" w:line="247" w:lineRule="auto"/>
        <w:rPr>
          <w:sz w:val="20"/>
          <w:szCs w:val="20"/>
          <w:color w:val="auto"/>
        </w:rPr>
      </w:pPr>
      <w:r>
        <w:rPr>
          <w:rFonts w:ascii="Arial" w:cs="Arial" w:eastAsia="Arial" w:hAnsi="Arial"/>
          <w:sz w:val="14"/>
          <w:szCs w:val="14"/>
          <w:color w:val="auto"/>
        </w:rPr>
        <w:t>A copy of each committee’s terms of reference is available from the Company Secretary and can be found online www.shell.com/investor.</w:t>
      </w:r>
    </w:p>
    <w:p>
      <w:pPr>
        <w:spacing w:after="0" w:line="171" w:lineRule="exact"/>
        <w:rPr>
          <w:sz w:val="20"/>
          <w:szCs w:val="20"/>
          <w:color w:val="auto"/>
        </w:rPr>
      </w:pPr>
    </w:p>
    <w:p>
      <w:pPr>
        <w:ind w:left="5"/>
        <w:spacing w:after="0"/>
        <w:rPr>
          <w:sz w:val="20"/>
          <w:szCs w:val="20"/>
          <w:color w:val="auto"/>
        </w:rPr>
      </w:pPr>
      <w:r>
        <w:rPr>
          <w:rFonts w:ascii="Arial" w:cs="Arial" w:eastAsia="Arial" w:hAnsi="Arial"/>
          <w:sz w:val="14"/>
          <w:szCs w:val="14"/>
          <w:b w:val="1"/>
          <w:bCs w:val="1"/>
          <w:color w:val="auto"/>
        </w:rPr>
        <w:t>Audit Committee</w:t>
      </w:r>
    </w:p>
    <w:p>
      <w:pPr>
        <w:spacing w:after="0" w:line="2" w:lineRule="exact"/>
        <w:rPr>
          <w:sz w:val="20"/>
          <w:szCs w:val="20"/>
          <w:color w:val="auto"/>
        </w:rPr>
      </w:pPr>
    </w:p>
    <w:p>
      <w:pPr>
        <w:ind w:left="5" w:right="40"/>
        <w:spacing w:after="0" w:line="238" w:lineRule="auto"/>
        <w:rPr>
          <w:sz w:val="20"/>
          <w:szCs w:val="20"/>
          <w:color w:val="auto"/>
        </w:rPr>
      </w:pPr>
      <w:r>
        <w:rPr>
          <w:rFonts w:ascii="Arial" w:cs="Arial" w:eastAsia="Arial" w:hAnsi="Arial"/>
          <w:sz w:val="13"/>
          <w:szCs w:val="13"/>
          <w:color w:val="auto"/>
        </w:rPr>
        <w:t>The members of the Audit Committee are Lawrence Ricciardi (chairman of the Committee), Nick Land and Christine Morin-Postel, all of whom are financially literate, independent, Non-executive Directors. For the purposes of the 2006 Combined Code, Christine Morin-Postel qualifies as a person with “recent and relevant financial experience” and for the purposes of US securities laws is an “audit committee financial expert”. In March 2008, it was agreed that Lawrence Ricciardi, having served a three year period as Chairman of the Committee, would step down as Chairman with effect from the close of business of the 2008 Annual General Meeting and would be succeeded by Christine Morin-Postel. It was agreed that Lawrence Ricciardi would continue to serve as a member of the Committee.</w:t>
      </w:r>
    </w:p>
    <w:p>
      <w:pPr>
        <w:spacing w:after="0" w:line="184" w:lineRule="exact"/>
        <w:rPr>
          <w:sz w:val="20"/>
          <w:szCs w:val="20"/>
          <w:color w:val="auto"/>
        </w:rPr>
      </w:pPr>
    </w:p>
    <w:p>
      <w:pPr>
        <w:ind w:left="5" w:right="80"/>
        <w:spacing w:after="0" w:line="247" w:lineRule="auto"/>
        <w:rPr>
          <w:sz w:val="20"/>
          <w:szCs w:val="20"/>
          <w:color w:val="auto"/>
        </w:rPr>
      </w:pPr>
      <w:r>
        <w:rPr>
          <w:rFonts w:ascii="Arial" w:cs="Arial" w:eastAsia="Arial" w:hAnsi="Arial"/>
          <w:sz w:val="14"/>
          <w:szCs w:val="14"/>
          <w:color w:val="auto"/>
        </w:rPr>
        <w:t>The Committee met five times during the year and Committee Members’ attendances are shown on this page.</w:t>
      </w:r>
    </w:p>
    <w:p>
      <w:pPr>
        <w:spacing w:after="0" w:line="175" w:lineRule="exact"/>
        <w:rPr>
          <w:sz w:val="20"/>
          <w:szCs w:val="20"/>
          <w:color w:val="auto"/>
        </w:rPr>
      </w:pPr>
    </w:p>
    <w:p>
      <w:pPr>
        <w:ind w:left="5" w:right="140"/>
        <w:spacing w:after="0" w:line="247" w:lineRule="auto"/>
        <w:rPr>
          <w:sz w:val="20"/>
          <w:szCs w:val="20"/>
          <w:color w:val="auto"/>
        </w:rPr>
      </w:pPr>
      <w:r>
        <w:rPr>
          <w:rFonts w:ascii="Arial" w:cs="Arial" w:eastAsia="Arial" w:hAnsi="Arial"/>
          <w:sz w:val="13"/>
          <w:szCs w:val="13"/>
          <w:color w:val="auto"/>
        </w:rPr>
        <w:t>The key responsibilities of the Audit Committee are to assist the Board in fulfilling its responsibilities in relation to internal control and financial reporting, to carry out certain oversight functions on behalf of the Board and to monitor compliance with applicable external legal and regulatory requirements, the Shell General Business Principles, the Shell Code of Conduct, and the Code of Ethics for Executive Directors and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-3689350</wp:posOffset>
            </wp:positionH>
            <wp:positionV relativeFrom="paragraph">
              <wp:posOffset>1376680</wp:posOffset>
            </wp:positionV>
            <wp:extent cx="725297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335"/>
            <w:col w:w="5145"/>
          </w:cols>
          <w:pgMar w:left="240" w:top="415" w:right="699" w:bottom="1440" w:gutter="0" w:footer="0" w:header="0"/>
          <w:type w:val="continuous"/>
        </w:sectPr>
      </w:pPr>
    </w:p>
    <w:bookmarkStart w:id="93" w:name="page94"/>
    <w:bookmarkEnd w:id="9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200" w:lineRule="exact"/>
        <w:rPr>
          <w:sz w:val="20"/>
          <w:szCs w:val="20"/>
          <w:color w:val="auto"/>
        </w:rPr>
      </w:pPr>
    </w:p>
    <w:p>
      <w:pPr>
        <w:spacing w:after="0" w:line="217"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Financial Officers. The Audit Committee reviews and assesses the remit of the internal audit function. It monitors and discusses whether our risk management and internal control system is effective, including any significant matters arising from the audits which are discussed with, as appropriate, the Chief Internal Auditor, management or the external auditors, PricewaterhouseCoopers LLP. The Audit Committee monitors the qualifications, expertise, resources and independence of both the internal and external auditors and assesses each year the auditors’ performance and effectiveness. The Audit Committee also has established and monitors policies related to pre-approval of all services the external auditors provide. The Committee has established and monitors the implementation of procedures for the receipt, retention and treatment of complaints regarding accounting, internal accounting controls, auditing or other matters, including mechanisms for the confidential or anonymous submission of related concerns by employees. These include facilities to enable employees to submit concerns confidentially or anonymously, and to ensure independent investigation with follow-up action where suitable.</w:t>
      </w:r>
    </w:p>
    <w:p>
      <w:pPr>
        <w:spacing w:after="0" w:line="187" w:lineRule="exact"/>
        <w:rPr>
          <w:sz w:val="20"/>
          <w:szCs w:val="20"/>
          <w:color w:val="auto"/>
        </w:rPr>
      </w:pPr>
    </w:p>
    <w:p>
      <w:pPr>
        <w:ind w:right="60"/>
        <w:spacing w:after="0" w:line="228" w:lineRule="auto"/>
        <w:rPr>
          <w:sz w:val="20"/>
          <w:szCs w:val="20"/>
          <w:color w:val="auto"/>
        </w:rPr>
      </w:pPr>
      <w:r>
        <w:rPr>
          <w:rFonts w:ascii="Arial" w:cs="Arial" w:eastAsia="Arial" w:hAnsi="Arial"/>
          <w:sz w:val="14"/>
          <w:szCs w:val="14"/>
          <w:color w:val="auto"/>
        </w:rPr>
        <w:t>The Audit Committee updates the Board quarterly and annually on its activities and recommendations. Where the Committee is not satisfied with or wherever it considers action or improvement is required concerning any aspect of risk management and internal control, financial reporting or audit-related activities, it promptly reports these concerns to the Board.</w:t>
      </w:r>
    </w:p>
    <w:p>
      <w:pPr>
        <w:spacing w:after="0" w:line="181"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At each meeting the Audit Committee received comprehensive reports from management and the internal and external auditors as appropriate to enable it to discharge its responsibilities. During the year the Committee discussed with the Chief Financial Officer, the Controller and the external auditors, as appropriate, issues that arose on accounting policies, practices and reporting. The Committee reviewed and discussed the integrity of Royal Dutch Shell’s annual and quarterly unaudited financial statements with management and the external auditors. During the year the Committee also monitored the effectiveness of the procedures for internal control over financial reporting including Section 404 of the Sarbanes-Oxley Act.</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The Committee also received reports regarding the receipt, retention, investigation and treatment of complaints regarding accounting, internal accounting controls and auditing or other matters. The Chief Compliance Officer reported to the Committee on Shell’s compliance programme activities, operations and results.</w:t>
      </w:r>
    </w:p>
    <w:p>
      <w:pPr>
        <w:spacing w:after="0" w:line="174"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The Committee has adopted guidelines allowing audit, audit-related and non-audit services to be contracted with the external auditors without pre-approval so long as the fee value for each contract does not exceed $500,000. During the year the scope of the permitted non-audit services contracted with the external auditors consisted of tax compliance work, tax advice on proposed transactions and regulatory compliance work.</w:t>
      </w:r>
    </w:p>
    <w:p>
      <w:pPr>
        <w:spacing w:after="0" w:line="183"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Any other services must be specifically pre-approved. Under the guidelines, permitted services must not present a conflict of interest nor compromise the independence of the external auditor. The Committee has reviewed quarterly all engagements with the external auditors.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80" w:hanging="273"/>
        <w:spacing w:after="0"/>
        <w:tabs>
          <w:tab w:leader="none" w:pos="280" w:val="left"/>
        </w:tabs>
        <w:numPr>
          <w:ilvl w:val="0"/>
          <w:numId w:val="105"/>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out the fees paid by Royal Dutch Shell to the external auditors: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254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SHELL GROUP AUDIT FEE[A]</w:t>
            </w:r>
          </w:p>
        </w:tc>
        <w:tc>
          <w:tcPr>
            <w:tcW w:w="780" w:type="dxa"/>
            <w:vAlign w:val="bottom"/>
            <w:shd w:val="clear" w:color="auto" w:fill="C1D72E"/>
          </w:tcPr>
          <w:p>
            <w:pPr>
              <w:spacing w:after="0"/>
              <w:rPr>
                <w:sz w:val="12"/>
                <w:szCs w:val="12"/>
                <w:color w:val="auto"/>
              </w:rPr>
            </w:pPr>
          </w:p>
        </w:tc>
        <w:tc>
          <w:tcPr>
            <w:tcW w:w="320" w:type="dxa"/>
            <w:vAlign w:val="bottom"/>
            <w:shd w:val="clear" w:color="auto" w:fill="C1D72E"/>
          </w:tcPr>
          <w:p>
            <w:pPr>
              <w:spacing w:after="0"/>
              <w:rPr>
                <w:sz w:val="12"/>
                <w:szCs w:val="12"/>
                <w:color w:val="auto"/>
              </w:rPr>
            </w:pPr>
          </w:p>
        </w:tc>
        <w:tc>
          <w:tcPr>
            <w:tcW w:w="660" w:type="dxa"/>
            <w:vAlign w:val="bottom"/>
            <w:shd w:val="clear" w:color="auto" w:fill="C1D72E"/>
          </w:tcPr>
          <w:p>
            <w:pPr>
              <w:spacing w:after="0"/>
              <w:rPr>
                <w:sz w:val="12"/>
                <w:szCs w:val="12"/>
                <w:color w:val="auto"/>
              </w:rPr>
            </w:pPr>
          </w:p>
        </w:tc>
        <w:tc>
          <w:tcPr>
            <w:tcW w:w="680" w:type="dxa"/>
            <w:vAlign w:val="bottom"/>
            <w:shd w:val="clear" w:color="auto" w:fill="C1D72E"/>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540" w:type="dxa"/>
            <w:vAlign w:val="bottom"/>
            <w:shd w:val="clear" w:color="auto" w:fill="EBE6E2"/>
          </w:tcPr>
          <w:p>
            <w:pPr>
              <w:spacing w:after="0"/>
              <w:rPr>
                <w:sz w:val="11"/>
                <w:szCs w:val="11"/>
                <w:color w:val="auto"/>
              </w:rPr>
            </w:pPr>
          </w:p>
        </w:tc>
        <w:tc>
          <w:tcPr>
            <w:tcW w:w="1100" w:type="dxa"/>
            <w:vAlign w:val="bottom"/>
            <w:gridSpan w:val="2"/>
            <w:shd w:val="clear" w:color="auto" w:fill="EBE6E2"/>
          </w:tcPr>
          <w:p>
            <w:pPr>
              <w:jc w:val="right"/>
              <w:spacing w:after="0" w:line="128" w:lineRule="exact"/>
              <w:rPr>
                <w:sz w:val="20"/>
                <w:szCs w:val="20"/>
                <w:color w:val="auto"/>
              </w:rPr>
            </w:pPr>
            <w:r>
              <w:rPr>
                <w:rFonts w:ascii="Arial" w:cs="Arial" w:eastAsia="Arial" w:hAnsi="Arial"/>
                <w:sz w:val="12"/>
                <w:szCs w:val="12"/>
                <w:color w:val="auto"/>
              </w:rPr>
              <w:t>2007</w:t>
            </w:r>
          </w:p>
        </w:tc>
        <w:tc>
          <w:tcPr>
            <w:tcW w:w="660" w:type="dxa"/>
            <w:vAlign w:val="bottom"/>
            <w:shd w:val="clear" w:color="auto" w:fill="EBE6E2"/>
          </w:tcPr>
          <w:p>
            <w:pPr>
              <w:jc w:val="right"/>
              <w:ind w:right="78"/>
              <w:spacing w:after="0" w:line="128" w:lineRule="exact"/>
              <w:rPr>
                <w:sz w:val="20"/>
                <w:szCs w:val="20"/>
                <w:color w:val="auto"/>
              </w:rPr>
            </w:pPr>
            <w:r>
              <w:rPr>
                <w:rFonts w:ascii="Arial" w:cs="Arial" w:eastAsia="Arial" w:hAnsi="Arial"/>
                <w:sz w:val="12"/>
                <w:szCs w:val="12"/>
                <w:color w:val="auto"/>
              </w:rPr>
              <w:t>2006</w:t>
            </w:r>
          </w:p>
        </w:tc>
        <w:tc>
          <w:tcPr>
            <w:tcW w:w="680" w:type="dxa"/>
            <w:vAlign w:val="bottom"/>
            <w:shd w:val="clear" w:color="auto" w:fill="EBE6E2"/>
          </w:tcPr>
          <w:p>
            <w:pPr>
              <w:jc w:val="right"/>
              <w:spacing w:after="0" w:line="128" w:lineRule="exact"/>
              <w:rPr>
                <w:sz w:val="20"/>
                <w:szCs w:val="20"/>
                <w:color w:val="auto"/>
              </w:rPr>
            </w:pPr>
            <w:r>
              <w:rPr>
                <w:rFonts w:ascii="Arial" w:cs="Arial" w:eastAsia="Arial" w:hAnsi="Arial"/>
                <w:sz w:val="12"/>
                <w:szCs w:val="12"/>
                <w:color w:val="auto"/>
              </w:rPr>
              <w:t>2005</w:t>
            </w:r>
          </w:p>
        </w:tc>
      </w:tr>
      <w:tr>
        <w:trPr>
          <w:trHeight w:val="113"/>
        </w:trPr>
        <w:tc>
          <w:tcPr>
            <w:tcW w:w="2540" w:type="dxa"/>
            <w:vAlign w:val="bottom"/>
          </w:tcPr>
          <w:p>
            <w:pPr>
              <w:spacing w:after="0" w:line="114" w:lineRule="exact"/>
              <w:rPr>
                <w:sz w:val="20"/>
                <w:szCs w:val="20"/>
                <w:color w:val="auto"/>
              </w:rPr>
            </w:pPr>
            <w:r>
              <w:rPr>
                <w:rFonts w:ascii="Arial" w:cs="Arial" w:eastAsia="Arial" w:hAnsi="Arial"/>
                <w:sz w:val="12"/>
                <w:szCs w:val="12"/>
                <w:color w:val="auto"/>
              </w:rPr>
              <w:t>Audit fees</w:t>
            </w:r>
          </w:p>
        </w:tc>
        <w:tc>
          <w:tcPr>
            <w:tcW w:w="780" w:type="dxa"/>
            <w:vAlign w:val="bottom"/>
          </w:tcPr>
          <w:p>
            <w:pPr>
              <w:spacing w:after="0"/>
              <w:rPr>
                <w:sz w:val="9"/>
                <w:szCs w:val="9"/>
                <w:color w:val="auto"/>
              </w:rPr>
            </w:pPr>
          </w:p>
        </w:tc>
        <w:tc>
          <w:tcPr>
            <w:tcW w:w="320" w:type="dxa"/>
            <w:vAlign w:val="bottom"/>
            <w:shd w:val="clear" w:color="auto" w:fill="EBE6E2"/>
          </w:tcPr>
          <w:p>
            <w:pPr>
              <w:jc w:val="right"/>
              <w:spacing w:after="0" w:line="114" w:lineRule="exact"/>
              <w:rPr>
                <w:sz w:val="20"/>
                <w:szCs w:val="20"/>
                <w:color w:val="auto"/>
              </w:rPr>
            </w:pPr>
            <w:r>
              <w:rPr>
                <w:rFonts w:ascii="Arial" w:cs="Arial" w:eastAsia="Arial" w:hAnsi="Arial"/>
                <w:sz w:val="12"/>
                <w:szCs w:val="12"/>
                <w:color w:val="auto"/>
              </w:rPr>
              <w:t>48</w:t>
            </w:r>
          </w:p>
        </w:tc>
        <w:tc>
          <w:tcPr>
            <w:tcW w:w="660" w:type="dxa"/>
            <w:vAlign w:val="bottom"/>
          </w:tcPr>
          <w:p>
            <w:pPr>
              <w:jc w:val="right"/>
              <w:ind w:right="78"/>
              <w:spacing w:after="0" w:line="114" w:lineRule="exact"/>
              <w:rPr>
                <w:sz w:val="20"/>
                <w:szCs w:val="20"/>
                <w:color w:val="auto"/>
              </w:rPr>
            </w:pPr>
            <w:r>
              <w:rPr>
                <w:rFonts w:ascii="Arial" w:cs="Arial" w:eastAsia="Arial" w:hAnsi="Arial"/>
                <w:sz w:val="12"/>
                <w:szCs w:val="12"/>
                <w:color w:val="auto"/>
              </w:rPr>
              <w:t>52</w:t>
            </w:r>
          </w:p>
        </w:tc>
        <w:tc>
          <w:tcPr>
            <w:tcW w:w="680" w:type="dxa"/>
            <w:vAlign w:val="bottom"/>
          </w:tcPr>
          <w:p>
            <w:pPr>
              <w:jc w:val="right"/>
              <w:spacing w:after="0" w:line="114" w:lineRule="exact"/>
              <w:rPr>
                <w:sz w:val="20"/>
                <w:szCs w:val="20"/>
                <w:color w:val="auto"/>
              </w:rPr>
            </w:pPr>
            <w:r>
              <w:rPr>
                <w:rFonts w:ascii="Arial" w:cs="Arial" w:eastAsia="Arial" w:hAnsi="Arial"/>
                <w:sz w:val="12"/>
                <w:szCs w:val="12"/>
                <w:color w:val="auto"/>
              </w:rPr>
              <w:t>47</w:t>
            </w:r>
          </w:p>
        </w:tc>
      </w:tr>
      <w:tr>
        <w:trPr>
          <w:trHeight w:val="133"/>
        </w:trPr>
        <w:tc>
          <w:tcPr>
            <w:tcW w:w="2540" w:type="dxa"/>
            <w:vAlign w:val="bottom"/>
          </w:tcPr>
          <w:p>
            <w:pPr>
              <w:spacing w:after="0" w:line="133" w:lineRule="exact"/>
              <w:rPr>
                <w:sz w:val="20"/>
                <w:szCs w:val="20"/>
                <w:color w:val="auto"/>
              </w:rPr>
            </w:pPr>
            <w:r>
              <w:rPr>
                <w:rFonts w:ascii="Arial" w:cs="Arial" w:eastAsia="Arial" w:hAnsi="Arial"/>
                <w:sz w:val="12"/>
                <w:szCs w:val="12"/>
                <w:color w:val="auto"/>
              </w:rPr>
              <w:t>Audit-related services</w:t>
            </w:r>
            <w:r>
              <w:rPr>
                <w:rFonts w:ascii="Arial" w:cs="Arial" w:eastAsia="Arial" w:hAnsi="Arial"/>
                <w:sz w:val="12"/>
                <w:szCs w:val="12"/>
                <w:b w:val="1"/>
                <w:bCs w:val="1"/>
                <w:color w:val="auto"/>
              </w:rPr>
              <w:t>[B]</w:t>
            </w:r>
          </w:p>
        </w:tc>
        <w:tc>
          <w:tcPr>
            <w:tcW w:w="780" w:type="dxa"/>
            <w:vAlign w:val="bottom"/>
          </w:tcPr>
          <w:p>
            <w:pPr>
              <w:spacing w:after="0"/>
              <w:rPr>
                <w:sz w:val="11"/>
                <w:szCs w:val="11"/>
                <w:color w:val="auto"/>
              </w:rPr>
            </w:pPr>
          </w:p>
        </w:tc>
        <w:tc>
          <w:tcPr>
            <w:tcW w:w="320" w:type="dxa"/>
            <w:vAlign w:val="bottom"/>
            <w:shd w:val="clear" w:color="auto" w:fill="EBE6E2"/>
          </w:tcPr>
          <w:p>
            <w:pPr>
              <w:jc w:val="right"/>
              <w:spacing w:after="0" w:line="133" w:lineRule="exact"/>
              <w:rPr>
                <w:sz w:val="20"/>
                <w:szCs w:val="20"/>
                <w:color w:val="auto"/>
              </w:rPr>
            </w:pPr>
            <w:r>
              <w:rPr>
                <w:rFonts w:ascii="Arial" w:cs="Arial" w:eastAsia="Arial" w:hAnsi="Arial"/>
                <w:sz w:val="12"/>
                <w:szCs w:val="12"/>
                <w:color w:val="auto"/>
              </w:rPr>
              <w:t>3</w:t>
            </w:r>
          </w:p>
        </w:tc>
        <w:tc>
          <w:tcPr>
            <w:tcW w:w="6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5</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r>
      <w:tr>
        <w:trPr>
          <w:trHeight w:val="147"/>
        </w:trPr>
        <w:tc>
          <w:tcPr>
            <w:tcW w:w="2540" w:type="dxa"/>
            <w:vAlign w:val="bottom"/>
          </w:tcPr>
          <w:p>
            <w:pPr>
              <w:spacing w:after="0"/>
              <w:rPr>
                <w:sz w:val="20"/>
                <w:szCs w:val="20"/>
                <w:color w:val="auto"/>
              </w:rPr>
            </w:pPr>
            <w:r>
              <w:rPr>
                <w:rFonts w:ascii="Arial" w:cs="Arial" w:eastAsia="Arial" w:hAnsi="Arial"/>
                <w:sz w:val="12"/>
                <w:szCs w:val="12"/>
                <w:color w:val="auto"/>
              </w:rPr>
              <w:t>Taxation services</w:t>
            </w:r>
            <w:r>
              <w:rPr>
                <w:rFonts w:ascii="Arial" w:cs="Arial" w:eastAsia="Arial" w:hAnsi="Arial"/>
                <w:sz w:val="12"/>
                <w:szCs w:val="12"/>
                <w:b w:val="1"/>
                <w:bCs w:val="1"/>
                <w:color w:val="auto"/>
              </w:rPr>
              <w:t>[C]</w:t>
            </w:r>
          </w:p>
        </w:tc>
        <w:tc>
          <w:tcPr>
            <w:tcW w:w="780" w:type="dxa"/>
            <w:vAlign w:val="bottom"/>
          </w:tcPr>
          <w:p>
            <w:pPr>
              <w:spacing w:after="0"/>
              <w:rPr>
                <w:sz w:val="12"/>
                <w:szCs w:val="12"/>
                <w:color w:val="auto"/>
              </w:rPr>
            </w:pPr>
          </w:p>
        </w:tc>
        <w:tc>
          <w:tcPr>
            <w:tcW w:w="320" w:type="dxa"/>
            <w:vAlign w:val="bottom"/>
            <w:shd w:val="clear" w:color="auto" w:fill="EBE6E2"/>
          </w:tcPr>
          <w:p>
            <w:pPr>
              <w:jc w:val="right"/>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jc w:val="right"/>
              <w:ind w:right="78"/>
              <w:spacing w:after="0"/>
              <w:rPr>
                <w:sz w:val="20"/>
                <w:szCs w:val="20"/>
                <w:color w:val="auto"/>
              </w:rPr>
            </w:pPr>
            <w:r>
              <w:rPr>
                <w:rFonts w:ascii="Arial" w:cs="Arial" w:eastAsia="Arial" w:hAnsi="Arial"/>
                <w:sz w:val="12"/>
                <w:szCs w:val="12"/>
                <w:color w:val="auto"/>
              </w:rPr>
              <w:t>1</w:t>
            </w:r>
          </w:p>
        </w:tc>
        <w:tc>
          <w:tcPr>
            <w:tcW w:w="6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39"/>
        </w:trPr>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services</w:t>
            </w: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shd w:val="clear" w:color="auto" w:fill="EBE6E2"/>
          </w:tcPr>
          <w:p>
            <w:pPr>
              <w:jc w:val="right"/>
              <w:spacing w:after="0"/>
              <w:rPr>
                <w:sz w:val="20"/>
                <w:szCs w:val="20"/>
                <w:color w:val="auto"/>
              </w:rPr>
            </w:pPr>
            <w:r>
              <w:rPr>
                <w:rFonts w:ascii="Arial" w:cs="Arial" w:eastAsia="Arial" w:hAnsi="Arial"/>
                <w:sz w:val="12"/>
                <w:szCs w:val="12"/>
                <w:color w:val="auto"/>
              </w:rPr>
              <w:t>1</w:t>
            </w: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r>
      <w:tr>
        <w:trPr>
          <w:trHeight w:val="146"/>
        </w:trPr>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7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shd w:val="clear" w:color="auto" w:fill="EBE6E2"/>
          </w:tcPr>
          <w:p>
            <w:pPr>
              <w:jc w:val="right"/>
              <w:spacing w:after="0"/>
              <w:rPr>
                <w:sz w:val="20"/>
                <w:szCs w:val="20"/>
                <w:color w:val="auto"/>
              </w:rPr>
            </w:pPr>
            <w:r>
              <w:rPr>
                <w:rFonts w:ascii="Arial" w:cs="Arial" w:eastAsia="Arial" w:hAnsi="Arial"/>
                <w:sz w:val="12"/>
                <w:szCs w:val="12"/>
                <w:color w:val="auto"/>
              </w:rPr>
              <w:t>52</w:t>
            </w: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w:t>
            </w:r>
          </w:p>
        </w:tc>
      </w:tr>
    </w:tbl>
    <w:p>
      <w:pPr>
        <w:spacing w:after="0" w:line="7" w:lineRule="exact"/>
        <w:rPr>
          <w:sz w:val="20"/>
          <w:szCs w:val="20"/>
          <w:color w:val="auto"/>
        </w:rPr>
      </w:pPr>
    </w:p>
    <w:p>
      <w:pPr>
        <w:ind w:left="200" w:right="260" w:hanging="192"/>
        <w:spacing w:after="0" w:line="231" w:lineRule="auto"/>
        <w:tabs>
          <w:tab w:leader="none" w:pos="2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Note 33 to the Consolidated Financial Statements on page 158 provides additional detail on the Shell group audit fee.</w:t>
      </w:r>
    </w:p>
    <w:p>
      <w:pPr>
        <w:ind w:left="200" w:right="580" w:hanging="192"/>
        <w:spacing w:after="0" w:line="231" w:lineRule="auto"/>
        <w:tabs>
          <w:tab w:leader="none" w:pos="2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Fees for other audit-related services and other services provided pursuant to legislation.</w:t>
      </w:r>
    </w:p>
    <w:p>
      <w:pPr>
        <w:ind w:left="200" w:hanging="192"/>
        <w:spacing w:after="0" w:line="231" w:lineRule="auto"/>
        <w:tabs>
          <w:tab w:leader="none" w:pos="2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Fees primarily for tax compliance.</w:t>
      </w:r>
    </w:p>
    <w:p>
      <w:pPr>
        <w:ind w:left="200" w:hanging="192"/>
        <w:spacing w:after="0"/>
        <w:tabs>
          <w:tab w:leader="none" w:pos="20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Less than $1 million.</w:t>
      </w:r>
    </w:p>
    <w:p>
      <w:pPr>
        <w:spacing w:after="0" w:line="196"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In 2007 the Audit Committee approved all of the aggregate fees set out in the table above.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Nomination and Succession Committee</w:t>
      </w:r>
    </w:p>
    <w:p>
      <w:pPr>
        <w:spacing w:after="0" w:line="2"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The members of the Nomination and Succession Committee are Jorma Ollila (chairman of the Committee), Lord Kerr of Kinlochard and Wim Kok (with effect from May 16, 2007). During the year Aarnout Loudon retired as a committee member and as a Director of the Company at the AGM. The Committee met seven times during the year and Committee Members’ attendances are shown on page 87.</w:t>
      </w:r>
    </w:p>
    <w:p>
      <w:pPr>
        <w:spacing w:after="0" w:line="180" w:lineRule="exact"/>
        <w:rPr>
          <w:sz w:val="20"/>
          <w:szCs w:val="20"/>
          <w:color w:val="auto"/>
        </w:rPr>
      </w:pPr>
    </w:p>
    <w:p>
      <w:pPr>
        <w:ind w:right="120"/>
        <w:spacing w:after="0" w:line="264" w:lineRule="auto"/>
        <w:rPr>
          <w:sz w:val="20"/>
          <w:szCs w:val="20"/>
          <w:color w:val="auto"/>
        </w:rPr>
      </w:pPr>
      <w:r>
        <w:rPr>
          <w:rFonts w:ascii="Arial" w:cs="Arial" w:eastAsia="Arial" w:hAnsi="Arial"/>
          <w:sz w:val="12"/>
          <w:szCs w:val="12"/>
          <w:color w:val="auto"/>
        </w:rPr>
        <w:t>The Committee keeps under review the leadership needs of Royal Dutch Shell. It identifies and nominates suitable candidates for the Board’s approval to fill vacancies as and when they arise. The Committee also makes recommendations on who should be appointed chairman of the Audit Committee, the Remuneration Committee and the Social Responsibility Committee and, in consultation with the relevant chairman, on the appointment of committee members. It makes recommendations on corporate governance guidelines for Royal Dutch Shell, monitors compliance with corporate governance requirements and makes recommendations on disclosures connected to corporate governance and its appointment processes.</w:t>
      </w:r>
    </w:p>
    <w:p>
      <w:pPr>
        <w:spacing w:after="0" w:line="166" w:lineRule="exact"/>
        <w:rPr>
          <w:sz w:val="20"/>
          <w:szCs w:val="20"/>
          <w:color w:val="auto"/>
        </w:rPr>
      </w:pPr>
    </w:p>
    <w:p>
      <w:pPr>
        <w:ind w:right="180"/>
        <w:spacing w:after="0" w:line="228" w:lineRule="auto"/>
        <w:rPr>
          <w:sz w:val="20"/>
          <w:szCs w:val="20"/>
          <w:color w:val="auto"/>
        </w:rPr>
      </w:pPr>
      <w:r>
        <w:rPr>
          <w:rFonts w:ascii="Arial" w:cs="Arial" w:eastAsia="Arial" w:hAnsi="Arial"/>
          <w:sz w:val="14"/>
          <w:szCs w:val="14"/>
          <w:color w:val="auto"/>
        </w:rPr>
        <w:t>During the year, the Committee handled a number of matters, including general succession planning in respect of the Board and its Committees. The Committee also discussed the Board evaluation process, reviewed the independence of the Non-executive Directors and recommended to the Board a revised policy in respect of external directorships by Executive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Remuneration Committee</w:t>
      </w:r>
    </w:p>
    <w:p>
      <w:pPr>
        <w:spacing w:after="0" w:line="237" w:lineRule="auto"/>
        <w:rPr>
          <w:sz w:val="20"/>
          <w:szCs w:val="20"/>
          <w:color w:val="auto"/>
        </w:rPr>
      </w:pPr>
      <w:r>
        <w:rPr>
          <w:rFonts w:ascii="Arial" w:cs="Arial" w:eastAsia="Arial" w:hAnsi="Arial"/>
          <w:sz w:val="13"/>
          <w:szCs w:val="13"/>
          <w:color w:val="auto"/>
        </w:rPr>
        <w:t>The members of the Remuneration Committee are Sir Peter Job (chairman of the</w:t>
      </w:r>
    </w:p>
    <w:p>
      <w:pPr>
        <w:spacing w:after="0" w:line="219" w:lineRule="auto"/>
        <w:rPr>
          <w:sz w:val="20"/>
          <w:szCs w:val="20"/>
          <w:color w:val="auto"/>
        </w:rPr>
      </w:pPr>
      <w:r>
        <w:rPr>
          <w:rFonts w:ascii="Arial" w:cs="Arial" w:eastAsia="Arial" w:hAnsi="Arial"/>
          <w:sz w:val="14"/>
          <w:szCs w:val="14"/>
          <w:color w:val="auto"/>
        </w:rPr>
        <w:t>Committee – with effect from May 16, 2007), Lord Kerr of Kinlochard and Jorma</w:t>
      </w:r>
    </w:p>
    <w:p>
      <w:pPr>
        <w:spacing w:after="0" w:line="235" w:lineRule="auto"/>
        <w:rPr>
          <w:sz w:val="20"/>
          <w:szCs w:val="20"/>
          <w:color w:val="auto"/>
        </w:rPr>
      </w:pPr>
      <w:r>
        <w:rPr>
          <w:rFonts w:ascii="Arial" w:cs="Arial" w:eastAsia="Arial" w:hAnsi="Arial"/>
          <w:sz w:val="13"/>
          <w:szCs w:val="13"/>
          <w:color w:val="auto"/>
        </w:rPr>
        <w:t>Ollila (with effect from June 20, 2007). During the year Aarnout Loudon retired as</w:t>
      </w:r>
    </w:p>
    <w:p>
      <w:pPr>
        <w:spacing w:after="0" w:line="218" w:lineRule="auto"/>
        <w:rPr>
          <w:sz w:val="20"/>
          <w:szCs w:val="20"/>
          <w:color w:val="auto"/>
        </w:rPr>
      </w:pPr>
      <w:r>
        <w:rPr>
          <w:rFonts w:ascii="Arial" w:cs="Arial" w:eastAsia="Arial" w:hAnsi="Arial"/>
          <w:sz w:val="14"/>
          <w:szCs w:val="14"/>
          <w:color w:val="auto"/>
        </w:rPr>
        <w:t>chairman of the Committee and as a Director of the Company at the AGM. In</w:t>
      </w:r>
    </w:p>
    <w:p>
      <w:pPr>
        <w:spacing w:after="0"/>
        <w:rPr>
          <w:sz w:val="20"/>
          <w:szCs w:val="20"/>
          <w:color w:val="auto"/>
        </w:rPr>
      </w:pPr>
      <w:r>
        <w:rPr>
          <w:rFonts w:ascii="Arial" w:cs="Arial" w:eastAsia="Arial" w:hAnsi="Arial"/>
          <w:sz w:val="12"/>
          <w:szCs w:val="12"/>
          <w:color w:val="auto"/>
        </w:rPr>
        <w:t>March 2008, it was agreed to appoint Dr Josef Ackermann a member of the Committee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with effect from the close of business of the 2008 AGM, subject to his election as a</w:t>
      </w:r>
    </w:p>
    <w:p>
      <w:pPr>
        <w:spacing w:after="0" w:line="235" w:lineRule="auto"/>
        <w:rPr>
          <w:sz w:val="20"/>
          <w:szCs w:val="20"/>
          <w:color w:val="auto"/>
        </w:rPr>
      </w:pPr>
      <w:r>
        <w:rPr>
          <w:rFonts w:ascii="Arial" w:cs="Arial" w:eastAsia="Arial" w:hAnsi="Arial"/>
          <w:sz w:val="13"/>
          <w:szCs w:val="13"/>
          <w:color w:val="auto"/>
        </w:rPr>
        <w:t>Director of the Company at the AGM. The Committee met six times during the year.</w:t>
      </w:r>
    </w:p>
    <w:p>
      <w:pPr>
        <w:spacing w:after="0"/>
        <w:rPr>
          <w:sz w:val="20"/>
          <w:szCs w:val="20"/>
          <w:color w:val="auto"/>
        </w:rPr>
      </w:pPr>
      <w:r>
        <w:rPr>
          <w:rFonts w:ascii="Arial" w:cs="Arial" w:eastAsia="Arial" w:hAnsi="Arial"/>
          <w:sz w:val="14"/>
          <w:szCs w:val="14"/>
          <w:color w:val="auto"/>
        </w:rPr>
        <w:t>Committee Members’ attendances are shown on pages 87 and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635635</wp:posOffset>
            </wp:positionV>
            <wp:extent cx="725297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type w:val="continuous"/>
        </w:sectPr>
      </w:pPr>
    </w:p>
    <w:bookmarkStart w:id="94" w:name="page95"/>
    <w:bookmarkEnd w:id="9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0"/>
        <w:spacing w:after="0" w:line="245" w:lineRule="auto"/>
        <w:rPr>
          <w:sz w:val="20"/>
          <w:szCs w:val="20"/>
          <w:color w:val="auto"/>
        </w:rPr>
      </w:pPr>
      <w:r>
        <w:rPr>
          <w:rFonts w:ascii="Arial" w:cs="Arial" w:eastAsia="Arial" w:hAnsi="Arial"/>
          <w:sz w:val="13"/>
          <w:szCs w:val="13"/>
          <w:color w:val="auto"/>
        </w:rPr>
        <w:t>The Committee determines and agrees with the Board the remuneration policy for the Chairman, the Chief Executive and Executive Directors and within the terms of this policy, determines the individual remuneration package for the Chairman, the Chief Executive and the Executive Directors. The Committee also considers and advises on the terms of any contract to be offered to a Director. It monitors the remuneration for other senior executives and makes recommendations.</w:t>
      </w:r>
    </w:p>
    <w:p>
      <w:pPr>
        <w:spacing w:after="0" w:line="177"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During the year, the Committee recommended individual remuneration packages for the Chief Executive, and, in consultation with the Chairman and the Chief Executive, other Executive Directors. The Board also agreed with the Committee performance targets for the remuneration of the Chief Executive and other Executive Directors.</w:t>
      </w:r>
    </w:p>
    <w:p>
      <w:pPr>
        <w:spacing w:after="0" w:line="174" w:lineRule="exact"/>
        <w:rPr>
          <w:sz w:val="20"/>
          <w:szCs w:val="20"/>
          <w:color w:val="auto"/>
        </w:rPr>
      </w:pPr>
    </w:p>
    <w:p>
      <w:pPr>
        <w:jc w:val="both"/>
        <w:ind w:right="140"/>
        <w:spacing w:after="0" w:line="235" w:lineRule="auto"/>
        <w:rPr>
          <w:sz w:val="20"/>
          <w:szCs w:val="20"/>
          <w:color w:val="auto"/>
        </w:rPr>
      </w:pPr>
      <w:r>
        <w:rPr>
          <w:rFonts w:ascii="Arial" w:cs="Arial" w:eastAsia="Arial" w:hAnsi="Arial"/>
          <w:sz w:val="14"/>
          <w:szCs w:val="14"/>
          <w:color w:val="auto"/>
        </w:rPr>
        <w:t>Further information on the work of the Committee and details of the remuneration of all the Directors for the year ended December 31, 2007, are set out in the Directors’ Remuneration Report.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Social Responsibility Committee</w:t>
      </w:r>
    </w:p>
    <w:p>
      <w:pPr>
        <w:spacing w:after="0" w:line="2" w:lineRule="exact"/>
        <w:rPr>
          <w:sz w:val="20"/>
          <w:szCs w:val="20"/>
          <w:color w:val="auto"/>
        </w:rPr>
      </w:pPr>
    </w:p>
    <w:p>
      <w:pPr>
        <w:jc w:val="both"/>
        <w:ind w:right="120"/>
        <w:spacing w:after="0" w:line="250" w:lineRule="auto"/>
        <w:rPr>
          <w:sz w:val="20"/>
          <w:szCs w:val="20"/>
          <w:color w:val="auto"/>
        </w:rPr>
      </w:pPr>
      <w:r>
        <w:rPr>
          <w:rFonts w:ascii="Arial" w:cs="Arial" w:eastAsia="Arial" w:hAnsi="Arial"/>
          <w:sz w:val="13"/>
          <w:szCs w:val="13"/>
          <w:color w:val="auto"/>
        </w:rPr>
        <w:t>The members of the Social Responsibility Committee are Wim Kok (chairman of the Committee), Maarten van den Bergh and Nina Henderson. The Committee met four times during the year, and Committee Members’ attendance is shown on page 87.</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13"/>
          <w:szCs w:val="13"/>
          <w:color w:val="auto"/>
        </w:rPr>
        <w:t>The main role of the Committee is to review on behalf of the Board the policies and conduct of Shell companies with respect to the Shell General Business Principles, the Shell Code of Conduct, the Health, Safety and Environment Policy, the principles relating to Sustainable Development and other major issues of public concern. The Committee does this by receiving reports and reviewing with management Shell’s overall HSE and social performance, on Shell’s annual performance against the Code of Conduct, on the management of social and environmental impacts at major projects and operations and on emerging social and environmental issues. It also provides input on and reviews the Shell Sustainability Report, including meeting face-to-face with the report’s External Review Committee.</w:t>
      </w:r>
    </w:p>
    <w:p>
      <w:pPr>
        <w:spacing w:after="0" w:line="183"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In addition to regular meetings, the Committee also visits Shell locations, meeting with local staff and external stakeholders to understand firsthand the community, with interested NGOs and with governments at the local and national levels, as relevant to the project. In particular, the Committee observes how Shell’s standards are being implemented in practice and where in its judgement there might be areas for increased focus. In 2007, it visited the Athabasca Oil Sands Project in Alberta, Canada and the Sakhalin II project in Russia. The Committee chairman also visited Nigeria. After each visit, the Committee reports its observations to the Executive Director responsible for that project or site and to the full Board.</w:t>
      </w:r>
    </w:p>
    <w:p>
      <w:pPr>
        <w:spacing w:after="0" w:line="181" w:lineRule="exact"/>
        <w:rPr>
          <w:sz w:val="20"/>
          <w:szCs w:val="20"/>
          <w:color w:val="auto"/>
        </w:rPr>
      </w:pPr>
    </w:p>
    <w:p>
      <w:pPr>
        <w:ind w:right="940"/>
        <w:spacing w:after="0" w:line="285" w:lineRule="auto"/>
        <w:rPr>
          <w:sz w:val="20"/>
          <w:szCs w:val="20"/>
          <w:color w:val="auto"/>
        </w:rPr>
      </w:pPr>
      <w:r>
        <w:rPr>
          <w:rFonts w:ascii="Arial" w:cs="Arial" w:eastAsia="Arial" w:hAnsi="Arial"/>
          <w:sz w:val="13"/>
          <w:szCs w:val="13"/>
          <w:color w:val="auto"/>
        </w:rPr>
        <w:t>The Committee reports on these topics and on its own conclusions and recommendations to executive management and the full Board.</w:t>
      </w:r>
    </w:p>
    <w:p>
      <w:pPr>
        <w:spacing w:after="0" w:line="151" w:lineRule="exact"/>
        <w:rPr>
          <w:sz w:val="20"/>
          <w:szCs w:val="20"/>
          <w:color w:val="auto"/>
        </w:rPr>
      </w:pPr>
    </w:p>
    <w:p>
      <w:pPr>
        <w:spacing w:after="0" w:line="247" w:lineRule="auto"/>
        <w:rPr>
          <w:sz w:val="20"/>
          <w:szCs w:val="20"/>
          <w:color w:val="auto"/>
        </w:rPr>
      </w:pPr>
      <w:r>
        <w:rPr>
          <w:rFonts w:ascii="Arial" w:cs="Arial" w:eastAsia="Arial" w:hAnsi="Arial"/>
          <w:sz w:val="13"/>
          <w:szCs w:val="13"/>
          <w:color w:val="auto"/>
        </w:rPr>
        <w:t>The Committee meets four times a year in order to enable it to have a thorough review of the broad scope and variety of topics that fall within its remit. In 2007, in addition to its standard schedule, the Committee dedicated an additional full day meeting to deepen its knowledge and understanding of the developing debate around climate change and its implications for Shell operations and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-93345</wp:posOffset>
            </wp:positionV>
            <wp:extent cx="177800" cy="67322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77800" cy="6732270"/>
                    </a:xfrm>
                    <a:prstGeom prst="rect">
                      <a:avLst/>
                    </a:prstGeom>
                    <a:noFill/>
                  </pic:spPr>
                </pic:pic>
              </a:graphicData>
            </a:graphic>
          </wp:anchor>
        </w:drawing>
      </w:r>
    </w:p>
    <w:p>
      <w:pPr>
        <w:ind w:right="140"/>
        <w:spacing w:after="0" w:line="250" w:lineRule="auto"/>
        <w:rPr>
          <w:sz w:val="20"/>
          <w:szCs w:val="20"/>
          <w:color w:val="auto"/>
        </w:rPr>
      </w:pPr>
      <w:r>
        <w:rPr>
          <w:rFonts w:ascii="Arial" w:cs="Arial" w:eastAsia="Arial" w:hAnsi="Arial"/>
          <w:sz w:val="13"/>
          <w:szCs w:val="13"/>
          <w:color w:val="auto"/>
        </w:rPr>
        <w:t>During the year, the Board carried out a performance evaluation of the Board, the Board committees, the Chairman and each of the Directors. As in previous years, this was an internal exercise led by the Nomination and Succession Committee.</w:t>
      </w:r>
    </w:p>
    <w:p>
      <w:pPr>
        <w:spacing w:after="0" w:line="173"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Previously the Board has conducted a detailed and comprehensive evaluation process by a combination of written survey questionnaires and one-to-one interviews, followed by a series of discussions. The outcome of these evaluations showed that Directors were in general positive about the performance and processes of the Board and the Board Committees, however they also indicated that Directors would like to see a greater involvement by the Board in both group strategy and succession matters. Both these issues were subsequently followed up with action plans and included the introduction of a Group Strategy Day and regular update reports from the Nomination and Succession Committee.</w:t>
      </w:r>
    </w:p>
    <w:p>
      <w:pPr>
        <w:spacing w:after="0" w:line="181" w:lineRule="exact"/>
        <w:rPr>
          <w:sz w:val="20"/>
          <w:szCs w:val="20"/>
          <w:color w:val="auto"/>
        </w:rPr>
      </w:pPr>
    </w:p>
    <w:p>
      <w:pPr>
        <w:ind w:right="360"/>
        <w:spacing w:after="0" w:line="231" w:lineRule="auto"/>
        <w:rPr>
          <w:sz w:val="20"/>
          <w:szCs w:val="20"/>
          <w:color w:val="auto"/>
        </w:rPr>
      </w:pPr>
      <w:r>
        <w:rPr>
          <w:rFonts w:ascii="Arial" w:cs="Arial" w:eastAsia="Arial" w:hAnsi="Arial"/>
          <w:sz w:val="14"/>
          <w:szCs w:val="14"/>
          <w:color w:val="auto"/>
        </w:rPr>
        <w:t>In view of the detailed and comprehensive evaluation conducted in 2006 and the relatively recent implementation of the action plans, the Board considered it unnecessary to conduct such an extensive process in 2007 and therefore agreed to conduct the process in 2007 by interview only.</w:t>
      </w:r>
    </w:p>
    <w:p>
      <w:pPr>
        <w:spacing w:after="0" w:line="179"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These interviews were structured and conducted on a one-to-one basis in accordance with the table below. This was followed by a discussion by the full Board of the results of the evaluation of the Board and Board Committees, whilst the results of the evaluation of the Chairman, the Chief Executive and Executive Directors were discussed by the Non-executive Directors. The outcome of this evaluation process showed that Directors were generally positive about the performance and processes of the Board and the Board committees and there was agreement that the action plans introduced after previous evaluation processes had brought about the desired changes in relation to group strategy and succession matters.</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166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Body to be evaluated</w:t>
            </w:r>
          </w:p>
        </w:tc>
        <w:tc>
          <w:tcPr>
            <w:tcW w:w="3320" w:type="dxa"/>
            <w:vAlign w:val="bottom"/>
            <w:shd w:val="clear" w:color="auto" w:fill="C1D72E"/>
          </w:tcPr>
          <w:p>
            <w:pPr>
              <w:ind w:left="320"/>
              <w:spacing w:after="0"/>
              <w:rPr>
                <w:sz w:val="20"/>
                <w:szCs w:val="20"/>
                <w:color w:val="auto"/>
              </w:rPr>
            </w:pPr>
            <w:r>
              <w:rPr>
                <w:rFonts w:ascii="Arial" w:cs="Arial" w:eastAsia="Arial" w:hAnsi="Arial"/>
                <w:sz w:val="12"/>
                <w:szCs w:val="12"/>
                <w:b w:val="1"/>
                <w:bCs w:val="1"/>
                <w:color w:val="auto"/>
              </w:rPr>
              <w:t>Interview arrangement</w:t>
            </w:r>
          </w:p>
        </w:tc>
      </w:tr>
      <w:tr>
        <w:trPr>
          <w:trHeight w:val="127"/>
        </w:trPr>
        <w:tc>
          <w:tcPr>
            <w:tcW w:w="1660" w:type="dxa"/>
            <w:vAlign w:val="bottom"/>
          </w:tcPr>
          <w:p>
            <w:pPr>
              <w:spacing w:after="0" w:line="128" w:lineRule="exact"/>
              <w:rPr>
                <w:sz w:val="20"/>
                <w:szCs w:val="20"/>
                <w:color w:val="auto"/>
              </w:rPr>
            </w:pPr>
            <w:r>
              <w:rPr>
                <w:rFonts w:ascii="Arial" w:cs="Arial" w:eastAsia="Arial" w:hAnsi="Arial"/>
                <w:sz w:val="12"/>
                <w:szCs w:val="12"/>
                <w:color w:val="auto"/>
              </w:rPr>
              <w:t>Board</w:t>
            </w:r>
          </w:p>
        </w:tc>
        <w:tc>
          <w:tcPr>
            <w:tcW w:w="3320" w:type="dxa"/>
            <w:vAlign w:val="bottom"/>
          </w:tcPr>
          <w:p>
            <w:pPr>
              <w:ind w:left="320"/>
              <w:spacing w:after="0" w:line="128" w:lineRule="exact"/>
              <w:rPr>
                <w:sz w:val="20"/>
                <w:szCs w:val="20"/>
                <w:color w:val="auto"/>
              </w:rPr>
            </w:pPr>
            <w:r>
              <w:rPr>
                <w:rFonts w:ascii="Arial" w:cs="Arial" w:eastAsia="Arial" w:hAnsi="Arial"/>
                <w:sz w:val="12"/>
                <w:szCs w:val="12"/>
                <w:color w:val="auto"/>
              </w:rPr>
              <w:t>Chairman to interview Non-executive Directors</w:t>
            </w:r>
          </w:p>
        </w:tc>
      </w:tr>
      <w:tr>
        <w:trPr>
          <w:trHeight w:val="139"/>
        </w:trPr>
        <w:tc>
          <w:tcPr>
            <w:tcW w:w="16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Chief Executive to interview Executive Directors</w:t>
            </w: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2"/>
                <w:szCs w:val="12"/>
                <w:color w:val="auto"/>
              </w:rPr>
              <w:t>Chairman</w:t>
            </w:r>
          </w:p>
        </w:tc>
        <w:tc>
          <w:tcPr>
            <w:tcW w:w="3320" w:type="dxa"/>
            <w:vAlign w:val="bottom"/>
          </w:tcPr>
          <w:p>
            <w:pPr>
              <w:ind w:left="320"/>
              <w:spacing w:after="0" w:line="134" w:lineRule="exact"/>
              <w:rPr>
                <w:sz w:val="20"/>
                <w:szCs w:val="20"/>
                <w:color w:val="auto"/>
              </w:rPr>
            </w:pPr>
            <w:r>
              <w:rPr>
                <w:rFonts w:ascii="Arial" w:cs="Arial" w:eastAsia="Arial" w:hAnsi="Arial"/>
                <w:sz w:val="12"/>
                <w:szCs w:val="12"/>
                <w:color w:val="auto"/>
              </w:rPr>
              <w:t>Deputy Chairman to consult all other</w:t>
            </w:r>
          </w:p>
        </w:tc>
      </w:tr>
      <w:tr>
        <w:trPr>
          <w:trHeight w:val="139"/>
        </w:trPr>
        <w:tc>
          <w:tcPr>
            <w:tcW w:w="16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Directors and to interview Chairman</w:t>
            </w:r>
          </w:p>
        </w:tc>
      </w:tr>
      <w:tr>
        <w:trPr>
          <w:trHeight w:val="140"/>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Non-executive Directors</w:t>
            </w:r>
          </w:p>
        </w:tc>
        <w:tc>
          <w:tcPr>
            <w:tcW w:w="33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Chairman to interview Non-executive Directors</w:t>
            </w:r>
          </w:p>
        </w:tc>
      </w:tr>
      <w:tr>
        <w:trPr>
          <w:trHeight w:val="140"/>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Executive Directors</w:t>
            </w:r>
          </w:p>
        </w:tc>
        <w:tc>
          <w:tcPr>
            <w:tcW w:w="33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Chief Executive to interview Executive Directors</w:t>
            </w:r>
          </w:p>
        </w:tc>
      </w:tr>
      <w:tr>
        <w:trPr>
          <w:trHeight w:val="134"/>
        </w:trPr>
        <w:tc>
          <w:tcPr>
            <w:tcW w:w="1660" w:type="dxa"/>
            <w:vAlign w:val="bottom"/>
          </w:tcPr>
          <w:p>
            <w:pPr>
              <w:spacing w:after="0" w:line="134" w:lineRule="exact"/>
              <w:rPr>
                <w:sz w:val="20"/>
                <w:szCs w:val="20"/>
                <w:color w:val="auto"/>
              </w:rPr>
            </w:pPr>
            <w:r>
              <w:rPr>
                <w:rFonts w:ascii="Arial" w:cs="Arial" w:eastAsia="Arial" w:hAnsi="Arial"/>
                <w:sz w:val="12"/>
                <w:szCs w:val="12"/>
                <w:color w:val="auto"/>
              </w:rPr>
              <w:t>Board Committees</w:t>
            </w:r>
          </w:p>
        </w:tc>
        <w:tc>
          <w:tcPr>
            <w:tcW w:w="3320" w:type="dxa"/>
            <w:vAlign w:val="bottom"/>
          </w:tcPr>
          <w:p>
            <w:pPr>
              <w:ind w:left="320"/>
              <w:spacing w:after="0" w:line="134" w:lineRule="exact"/>
              <w:rPr>
                <w:sz w:val="20"/>
                <w:szCs w:val="20"/>
                <w:color w:val="auto"/>
              </w:rPr>
            </w:pPr>
            <w:r>
              <w:rPr>
                <w:rFonts w:ascii="Arial" w:cs="Arial" w:eastAsia="Arial" w:hAnsi="Arial"/>
                <w:sz w:val="12"/>
                <w:szCs w:val="12"/>
                <w:color w:val="auto"/>
              </w:rPr>
              <w:t>Committee Chairman to interview Committee</w:t>
            </w:r>
          </w:p>
        </w:tc>
      </w:tr>
      <w:tr>
        <w:trPr>
          <w:trHeight w:val="146"/>
        </w:trPr>
        <w:tc>
          <w:tcPr>
            <w:tcW w:w="166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Members</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SHAREHOLDER COMMUNICATIONS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The Board recognises the importance of two-way communication with its shareholders and, as well as giving a balanced report of results and progress at each AGM, the Company meets with, and responds to questions and issues raised by institutional and retail shareholders. Shell’s corporate website, www.shell.com/investor has information for institutional and retail shareholders alike. Shareholders seeking information may contact the Company directly throughout the year. They also have an opportunity to ask questions in person at the AGM.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1799590</wp:posOffset>
            </wp:positionV>
            <wp:extent cx="725297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60" w:space="440"/>
            <w:col w:w="5000"/>
          </w:cols>
          <w:pgMar w:left="240" w:top="415" w:right="1259" w:bottom="1440" w:gutter="0" w:footer="0" w:header="0"/>
          <w:type w:val="continuous"/>
        </w:sectPr>
      </w:pPr>
    </w:p>
    <w:bookmarkStart w:id="95" w:name="page96"/>
    <w:bookmarkEnd w:id="95"/>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200" w:lineRule="exact"/>
        <w:rPr>
          <w:sz w:val="20"/>
          <w:szCs w:val="20"/>
          <w:color w:val="auto"/>
        </w:rPr>
      </w:pPr>
    </w:p>
    <w:p>
      <w:pPr>
        <w:spacing w:after="0" w:line="217"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Shareholders can contact Shell directly via dedicated shareholder email addresses or via dedicated shareholder telephone numbers as given on the inside back cover of this Annual Report.</w:t>
      </w:r>
    </w:p>
    <w:p>
      <w:pPr>
        <w:spacing w:after="0" w:line="180" w:lineRule="exact"/>
        <w:rPr>
          <w:sz w:val="20"/>
          <w:szCs w:val="20"/>
          <w:color w:val="auto"/>
        </w:rPr>
      </w:pPr>
    </w:p>
    <w:p>
      <w:pPr>
        <w:jc w:val="both"/>
        <w:ind w:right="260"/>
        <w:spacing w:after="0" w:line="247" w:lineRule="auto"/>
        <w:rPr>
          <w:sz w:val="20"/>
          <w:szCs w:val="20"/>
          <w:color w:val="auto"/>
        </w:rPr>
      </w:pPr>
      <w:r>
        <w:rPr>
          <w:rFonts w:ascii="Arial" w:cs="Arial" w:eastAsia="Arial" w:hAnsi="Arial"/>
          <w:sz w:val="13"/>
          <w:szCs w:val="13"/>
          <w:color w:val="auto"/>
        </w:rPr>
        <w:t>The Company’s Registrar, Equiniti (formerly Lloyds TSB Registrars), operates an internet access facility for shareholders, providing details of their shareholdings at www.shareview.co.uk. Facilities are also provided for shareholders to lodge proxy appointments electronically. The Royal Dutch Shell Corporate Nominee provides a facility for investors to hold their shares in Royal Dutch Shell in paperless form.</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3"/>
          <w:szCs w:val="13"/>
          <w:color w:val="auto"/>
        </w:rPr>
        <w:t>During the year, the Company Secretary wrote to shareholders to ask whether in the future they wish to receive shareholder communications, such as the Annual Review or Annual Report and Accounts, in electronic or paper form. In accordance with new provisions of the Companies Act 2006, if a shareholder chose not to respond to the Company Secretary’s letter they were deemed to have opted to no longer receive shareholder communications in paper form. In such circumstances however, shareholders are entitled to ask for a paper copy free of charge at any time.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PRESENTATIONS AND ANALYSTS MEETINGS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3"/>
          <w:szCs w:val="13"/>
          <w:color w:val="auto"/>
        </w:rPr>
        <w:t>The quarterly and annual results presentations and all major analysts meetings are announced in advance on the Shell website and through a regulatory release. These presentations can be followed live via webcasting or tele-conference. Other meetings with analysts or investors are not normally announced in advance, nor can they be followed by webcast or any other means. Discussions in such meetings are always limited to information already in the public domain. This is in line with the requirement to ensure that all shareholders and other parties in the financial market have equal and simultaneous access to information that may influence the share price of Royal Dutch Shell. The Chairman, the Deputy Chairman, the Chief Executive, the Chief Financial Officer and the Executive Vice-President Investor Relations of Royal Dutch Shell report regularly to the Directors on the views of major shareholders.</w:t>
      </w:r>
    </w:p>
    <w:p>
      <w:pPr>
        <w:spacing w:after="0" w:line="187" w:lineRule="exact"/>
        <w:rPr>
          <w:sz w:val="20"/>
          <w:szCs w:val="20"/>
          <w:color w:val="auto"/>
        </w:rPr>
      </w:pPr>
    </w:p>
    <w:p>
      <w:pPr>
        <w:ind w:right="1740"/>
        <w:spacing w:after="0" w:line="259" w:lineRule="auto"/>
        <w:rPr>
          <w:sz w:val="20"/>
          <w:szCs w:val="20"/>
          <w:color w:val="auto"/>
        </w:rPr>
      </w:pPr>
      <w:r>
        <w:rPr>
          <w:rFonts w:ascii="Arial" w:cs="Arial" w:eastAsia="Arial" w:hAnsi="Arial"/>
          <w:sz w:val="14"/>
          <w:szCs w:val="14"/>
          <w:b w:val="1"/>
          <w:bCs w:val="1"/>
          <w:color w:val="auto"/>
        </w:rPr>
        <w:t xml:space="preserve">RESPONSIBILITY FOR PREPARING ACCOUNTS </w:t>
      </w:r>
      <w:r>
        <w:rPr>
          <w:rFonts w:ascii="Arial" w:cs="Arial" w:eastAsia="Arial" w:hAnsi="Arial"/>
          <w:sz w:val="14"/>
          <w:szCs w:val="14"/>
          <w:color w:val="auto"/>
        </w:rPr>
        <w:t>See the Report of the Directors in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GOING CONCERN</w:t>
      </w:r>
    </w:p>
    <w:p>
      <w:pPr>
        <w:spacing w:after="0" w:line="6"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The Directors consider that, taking into account the assets and income of Shell, Royal Dutch Shell has adequate resources to continue in operational existence for the foreseeable future. For this reason the Directors adopt the going concern basis for the Financial Statements contained in this Report.</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CONTROLS AND PROCEDURES</w:t>
      </w:r>
    </w:p>
    <w:p>
      <w:pPr>
        <w:spacing w:after="0" w:line="6" w:lineRule="exact"/>
        <w:rPr>
          <w:sz w:val="20"/>
          <w:szCs w:val="20"/>
          <w:color w:val="auto"/>
        </w:rPr>
      </w:pPr>
    </w:p>
    <w:p>
      <w:pPr>
        <w:ind w:right="240"/>
        <w:spacing w:after="0" w:line="250" w:lineRule="auto"/>
        <w:rPr>
          <w:sz w:val="20"/>
          <w:szCs w:val="20"/>
          <w:color w:val="auto"/>
        </w:rPr>
      </w:pPr>
      <w:r>
        <w:rPr>
          <w:rFonts w:ascii="Arial" w:cs="Arial" w:eastAsia="Arial" w:hAnsi="Arial"/>
          <w:sz w:val="13"/>
          <w:szCs w:val="13"/>
          <w:color w:val="auto"/>
        </w:rPr>
        <w:t>The Board is responsible for Shell’s system of internal control and for reviewing its effectiveness and has delegated authority to the Audit Committee to assist it in fulfilling its responsibilities in relation to internal control and financial reporting.</w:t>
      </w:r>
    </w:p>
    <w:p>
      <w:pPr>
        <w:spacing w:after="0" w:line="173"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A single overall control framework is in place which is designed to manage rather than eliminate the risk of failure to achieve business objectives, and only provides reasonable and not absolute assurance against material misstatement or loss. The Shell Control Framework applies to all wholly owned Shell companies and to those ventures and other companies where Royal Dutch Shell, directly or indirectly, has a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80" w:hanging="273"/>
        <w:spacing w:after="0"/>
        <w:tabs>
          <w:tab w:leader="none" w:pos="280" w:val="left"/>
        </w:tabs>
        <w:numPr>
          <w:ilvl w:val="0"/>
          <w:numId w:val="107"/>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The following diagram, which has been updated during the year, illustrates the Control Framework’s key components, Foundations, Organisation and Processes. In “Foundations” we state the objectives, principles and rules that underpin and establish boundaries for Shell’s activities. “Organisation” sets out how the various legal entities involved relate to each other and how their business activities are organised and managed. “Processes” concerns the more material processes, including how authority is delegated, how strategy is set and plans are made and how performance and compliance are monitored, appraised and assured. All control activities relate to one or more of these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58420</wp:posOffset>
            </wp:positionV>
            <wp:extent cx="2774315" cy="15474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774315" cy="154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40"/>
        <w:spacing w:after="0" w:line="251" w:lineRule="auto"/>
        <w:rPr>
          <w:sz w:val="20"/>
          <w:szCs w:val="20"/>
          <w:color w:val="auto"/>
        </w:rPr>
      </w:pPr>
      <w:r>
        <w:rPr>
          <w:rFonts w:ascii="Arial" w:cs="Arial" w:eastAsia="Arial" w:hAnsi="Arial"/>
          <w:sz w:val="13"/>
          <w:szCs w:val="13"/>
          <w:color w:val="auto"/>
        </w:rPr>
        <w:t>The Board confirms that there is an ongoing process for identifying, evaluating and managing the significant risks faced by Shell, which has been in place throughout the year and up to the date of this report, is regularly reviewed by the Board and accords with the guidance for directors, known as the Turnbull Guidance.</w:t>
      </w:r>
    </w:p>
    <w:p>
      <w:pPr>
        <w:spacing w:after="0" w:line="174"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Shell has a variety of processes for obtaining assurance on the adequacy of risk management and internal control. It has a structured process to identify and review risks to the achievement of Shell’s objectives. The Executive Committee and the Audit Committee regularly consider group-level risks and associated control mechanisms. The Board has conducted its annual review of the effectiveness of Shell’s system of risk management and internal controls which cover financial, operational and compliance controls.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Funds</w:t>
      </w:r>
    </w:p>
    <w:p>
      <w:pPr>
        <w:spacing w:after="0" w:line="2" w:lineRule="exact"/>
        <w:rPr>
          <w:sz w:val="20"/>
          <w:szCs w:val="20"/>
          <w:color w:val="auto"/>
        </w:rPr>
      </w:pPr>
    </w:p>
    <w:p>
      <w:pPr>
        <w:ind w:right="80"/>
        <w:spacing w:after="0"/>
        <w:rPr>
          <w:sz w:val="20"/>
          <w:szCs w:val="20"/>
          <w:color w:val="auto"/>
        </w:rPr>
      </w:pPr>
      <w:r>
        <w:rPr>
          <w:rFonts w:ascii="Arial" w:cs="Arial" w:eastAsia="Arial" w:hAnsi="Arial"/>
          <w:sz w:val="13"/>
          <w:szCs w:val="13"/>
          <w:color w:val="auto"/>
        </w:rPr>
        <w:t>Local trustees manage the pension funds and set the required contributions from subsidiaries based on independent actuarial valuation rather than the IFRS measures. The actuarial valuations are sensitive to changes in the assumptions made regarding future outcomes, the principal ones being in respect of increases in remuneration and pension benefits, demography (including mortality), the discount rate used to convert future cash flows to current values and the long-term return on plan assets. Substantial judgement is required in determining the assumptions.</w:t>
      </w:r>
    </w:p>
    <w:p>
      <w:pPr>
        <w:spacing w:after="0" w:line="180" w:lineRule="exact"/>
        <w:rPr>
          <w:sz w:val="20"/>
          <w:szCs w:val="20"/>
          <w:color w:val="auto"/>
        </w:rPr>
      </w:pPr>
    </w:p>
    <w:p>
      <w:pPr>
        <w:jc w:val="both"/>
        <w:ind w:right="140"/>
        <w:spacing w:after="0" w:line="235" w:lineRule="auto"/>
        <w:rPr>
          <w:sz w:val="20"/>
          <w:szCs w:val="20"/>
          <w:color w:val="auto"/>
        </w:rPr>
      </w:pPr>
      <w:r>
        <w:rPr>
          <w:rFonts w:ascii="Arial" w:cs="Arial" w:eastAsia="Arial" w:hAnsi="Arial"/>
          <w:sz w:val="14"/>
          <w:szCs w:val="14"/>
          <w:color w:val="auto"/>
        </w:rPr>
        <w:t>For further information regarding the judgement applied in these assumptions and the relation to the financial position and performance of the company, see Notes 3 and 21 to the Consolidated Financial Statements.</w:t>
      </w:r>
    </w:p>
    <w:p>
      <w:pPr>
        <w:spacing w:after="0" w:line="180"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Shell has established a number of responses to address the key pension risks. These include the establishment of a joint Human Resources and Finance Pensions Forum that is responsible for the retirement strategy and risk responses. In addition, specific controls have been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631190</wp:posOffset>
            </wp:positionV>
            <wp:extent cx="725297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type w:val="continuous"/>
        </w:sectPr>
      </w:pPr>
    </w:p>
    <w:bookmarkStart w:id="96" w:name="page97"/>
    <w:bookmarkEnd w:id="96"/>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with respect to: retirement benefit and plan design; pension plan investments, liabilities and funding; and pension reporting.</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Treasury and Trading</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Shell companies, in the normal course of their business, use financial instruments of various kinds for the purposes of managing exposure to currency, commodity price and interest rate movements.</w:t>
      </w:r>
    </w:p>
    <w:p>
      <w:pPr>
        <w:spacing w:after="0" w:line="180" w:lineRule="exact"/>
        <w:rPr>
          <w:sz w:val="20"/>
          <w:szCs w:val="20"/>
          <w:color w:val="auto"/>
        </w:rPr>
      </w:pPr>
    </w:p>
    <w:p>
      <w:pPr>
        <w:ind w:right="60"/>
        <w:spacing w:after="0" w:line="224" w:lineRule="auto"/>
        <w:rPr>
          <w:sz w:val="20"/>
          <w:szCs w:val="20"/>
          <w:color w:val="auto"/>
        </w:rPr>
      </w:pPr>
      <w:r>
        <w:rPr>
          <w:rFonts w:ascii="Arial" w:cs="Arial" w:eastAsia="Arial" w:hAnsi="Arial"/>
          <w:sz w:val="14"/>
          <w:szCs w:val="14"/>
          <w:color w:val="auto"/>
        </w:rPr>
        <w:t>Shell has treasury standards applicable to all Shell companies and each Shell company is required to adopt a treasury policy consistent with these standards. These policies cover financing structure, foreign exchange and interest rate risk management, insurance, counterparty risk management and derivative instruments, as well as the treasury control framework. Wherever possible, treasury operations are operated through group-level specialist regional organisations, but without removing from each Shell company the responsibility to formulate and implement appropriate treasury policies.</w:t>
      </w:r>
    </w:p>
    <w:p>
      <w:pPr>
        <w:spacing w:after="0" w:line="183"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Debt financing is generally structured centrally on a floating rate basis and, except in special cases, further interest rate management is discouraged.</w:t>
      </w:r>
    </w:p>
    <w:p>
      <w:pPr>
        <w:spacing w:after="0" w:line="175" w:lineRule="exact"/>
        <w:rPr>
          <w:sz w:val="20"/>
          <w:szCs w:val="20"/>
          <w:color w:val="auto"/>
        </w:rPr>
      </w:pPr>
    </w:p>
    <w:p>
      <w:pPr>
        <w:ind w:right="160"/>
        <w:spacing w:after="0" w:line="243" w:lineRule="auto"/>
        <w:rPr>
          <w:sz w:val="20"/>
          <w:szCs w:val="20"/>
          <w:color w:val="auto"/>
        </w:rPr>
      </w:pPr>
      <w:r>
        <w:rPr>
          <w:rFonts w:ascii="Arial" w:cs="Arial" w:eastAsia="Arial" w:hAnsi="Arial"/>
          <w:sz w:val="13"/>
          <w:szCs w:val="13"/>
          <w:color w:val="auto"/>
        </w:rPr>
        <w:t>Each Shell company measures its foreign currency exposures against the underlying currency of its business (its functional currency), reports foreign exchange gains and losses against its functional currency and has hedging and treasury policies in place which are designed to manage foreign exchange exposure so defined. The functional currency for most upstream companies and for other companies with significant international business is the US dollar, but other companies usually have their local currency as their functional currency.</w:t>
      </w:r>
    </w:p>
    <w:p>
      <w:pPr>
        <w:spacing w:after="0" w:line="179" w:lineRule="exact"/>
        <w:rPr>
          <w:sz w:val="20"/>
          <w:szCs w:val="20"/>
          <w:color w:val="auto"/>
        </w:rPr>
      </w:pPr>
    </w:p>
    <w:p>
      <w:pPr>
        <w:jc w:val="both"/>
        <w:ind w:right="140"/>
        <w:spacing w:after="0" w:line="235" w:lineRule="auto"/>
        <w:rPr>
          <w:sz w:val="20"/>
          <w:szCs w:val="20"/>
          <w:color w:val="auto"/>
        </w:rPr>
      </w:pPr>
      <w:r>
        <w:rPr>
          <w:rFonts w:ascii="Arial" w:cs="Arial" w:eastAsia="Arial" w:hAnsi="Arial"/>
          <w:sz w:val="14"/>
          <w:szCs w:val="14"/>
          <w:color w:val="auto"/>
        </w:rPr>
        <w:t>Apart from forward foreign exchange contracts to meet known commitments, the use of derivative financial instruments by most Shell companies is not permitted by their treasury policy.</w:t>
      </w:r>
    </w:p>
    <w:p>
      <w:pPr>
        <w:spacing w:after="0" w:line="180"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Certain Shell companies have a mandate to trade natural gas, electrical power, crude oil, refined products, chemical feedstocks and environmental products, and to use commodity swaps, options and futures as a means of managing price and timing risks arising from this trading. In effecting these transactions, the companies concerned operate within procedures and policies designed to ensure that risks, including those relating to the default of counterparties, are minimised.</w:t>
      </w:r>
    </w:p>
    <w:p>
      <w:pPr>
        <w:spacing w:after="0" w:line="177" w:lineRule="exact"/>
        <w:rPr>
          <w:sz w:val="20"/>
          <w:szCs w:val="20"/>
          <w:color w:val="auto"/>
        </w:rPr>
      </w:pPr>
    </w:p>
    <w:p>
      <w:pPr>
        <w:ind w:right="80"/>
        <w:spacing w:after="0" w:line="225" w:lineRule="auto"/>
        <w:rPr>
          <w:sz w:val="20"/>
          <w:szCs w:val="20"/>
          <w:color w:val="auto"/>
        </w:rPr>
      </w:pPr>
      <w:r>
        <w:rPr>
          <w:rFonts w:ascii="Arial" w:cs="Arial" w:eastAsia="Arial" w:hAnsi="Arial"/>
          <w:sz w:val="14"/>
          <w:szCs w:val="14"/>
          <w:color w:val="auto"/>
        </w:rPr>
        <w:t>Shell uses risk management systems for recording and valuing instruments. There is regular review of mandated trading limits by senior management, daily monitoring of market risk exposure using value-at-risk (VAR) techniques (see below), daily monitoring of trading positions against limits and marking-to-market of trading exposures with a department independent of traders reviewing the market values applied to trading exposures. Shell’s exposure to substantial trading losses is therefore considered limited.</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Shell utilises VAR techniques based on variance/covariance or Monte Carlo simulation models and make a statistical assessment of the market risk arising from possible future changes in market values over a 24-hour period and within a 95% confidence level.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The calculation of the range of potential changes in fair value takes into account positions, the history of price movements and the correlation of these price movements. Each of the models is regularly back tested against actual fair value movements to ensure model integrity is maintained.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60"/>
        <w:spacing w:after="0" w:line="260" w:lineRule="auto"/>
        <w:rPr>
          <w:sz w:val="20"/>
          <w:szCs w:val="20"/>
          <w:color w:val="auto"/>
        </w:rPr>
      </w:pPr>
      <w:r>
        <w:rPr>
          <w:rFonts w:ascii="Arial" w:cs="Arial" w:eastAsia="Arial" w:hAnsi="Arial"/>
          <w:sz w:val="13"/>
          <w:szCs w:val="13"/>
          <w:color w:val="auto"/>
        </w:rPr>
        <w:t>Other than in exceptional cases, the use of external derivative instruments is generally confined to specialist oil and gas trading and central treasury organisations which have appropriate skills, experience, supervision, control and reporting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-160655</wp:posOffset>
            </wp:positionV>
            <wp:extent cx="177800" cy="70116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77800" cy="7011670"/>
                    </a:xfrm>
                    <a:prstGeom prst="rect">
                      <a:avLst/>
                    </a:prstGeom>
                    <a:noFill/>
                  </pic:spPr>
                </pic:pic>
              </a:graphicData>
            </a:graphic>
          </wp:anchor>
        </w:drawing>
      </w:r>
    </w:p>
    <w:p>
      <w:pPr>
        <w:spacing w:after="0" w:line="40"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Information on derivatives and other financial instruments and derivative commodity instruments is provided in Note 26 of the Consolidated Financial Statements and on pages 171 to 172 of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Evaluation of Disclosure Controls and Procedures of Shell</w:t>
      </w:r>
    </w:p>
    <w:p>
      <w:pPr>
        <w:spacing w:after="0" w:line="2"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As indicated in the certifications in Exhibits 12.1 and 12.2 of this report, Shell’s Chief Executive Officer and Chief Financial Officer have evaluated the effectiveness of Shell’s disclosure controls and procedures as at December 31, 2007. Based on that evaluation, these officers have concluded that Shell’s disclosure controls and procedures are effective.</w:t>
      </w:r>
    </w:p>
    <w:p>
      <w:pPr>
        <w:spacing w:after="0" w:line="178" w:lineRule="exact"/>
        <w:rPr>
          <w:sz w:val="20"/>
          <w:szCs w:val="20"/>
          <w:color w:val="auto"/>
        </w:rPr>
      </w:pPr>
    </w:p>
    <w:p>
      <w:pPr>
        <w:ind w:right="40"/>
        <w:spacing w:after="0" w:line="242" w:lineRule="auto"/>
        <w:rPr>
          <w:sz w:val="20"/>
          <w:szCs w:val="20"/>
          <w:color w:val="auto"/>
        </w:rPr>
      </w:pPr>
      <w:r>
        <w:rPr>
          <w:rFonts w:ascii="Arial" w:cs="Arial" w:eastAsia="Arial" w:hAnsi="Arial"/>
          <w:sz w:val="13"/>
          <w:szCs w:val="13"/>
          <w:b w:val="1"/>
          <w:bCs w:val="1"/>
          <w:color w:val="auto"/>
        </w:rPr>
        <w:t xml:space="preserve">Management’s Report on Internal Control over Financial Reporting of Shell </w:t>
      </w:r>
      <w:r>
        <w:rPr>
          <w:rFonts w:ascii="Arial" w:cs="Arial" w:eastAsia="Arial" w:hAnsi="Arial"/>
          <w:sz w:val="13"/>
          <w:szCs w:val="13"/>
          <w:color w:val="auto"/>
        </w:rPr>
        <w:t>Management, including the Chief Executive Officer and Chief Financial Officer, is responsible for establishing and maintaining adequate internal control over Shell’s financial reporting. Management conducted an evaluation of the effectiveness of internal control over financial reporting with respect to Shell based on the Internal Control – Integrated Framework issued by the Committee of Sponsoring Organizations of the Treadway Commission. Based on this evaluation, management concluded that Royal Dutch Shell’s internal control over financial reporting with respect to Shell was effective as at December 31, 2007.</w:t>
      </w:r>
    </w:p>
    <w:p>
      <w:pPr>
        <w:spacing w:after="0" w:line="17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PricewaterhouseCoopers LLP, the independent registered public accounting firm that audited the financial statements in this annual report, has issued an attestation report on Royal Dutch Shell’s internal control over financial reporting, as stated in their report beginning on page 111 of this report.</w:t>
      </w:r>
    </w:p>
    <w:p>
      <w:pPr>
        <w:spacing w:after="0" w:line="175" w:lineRule="exact"/>
        <w:rPr>
          <w:sz w:val="20"/>
          <w:szCs w:val="20"/>
          <w:color w:val="auto"/>
        </w:rPr>
      </w:pPr>
    </w:p>
    <w:p>
      <w:pPr>
        <w:ind w:right="380"/>
        <w:spacing w:after="0" w:line="230" w:lineRule="auto"/>
        <w:rPr>
          <w:sz w:val="20"/>
          <w:szCs w:val="20"/>
          <w:color w:val="auto"/>
        </w:rPr>
      </w:pPr>
      <w:r>
        <w:rPr>
          <w:rFonts w:ascii="Arial" w:cs="Arial" w:eastAsia="Arial" w:hAnsi="Arial"/>
          <w:sz w:val="14"/>
          <w:szCs w:val="14"/>
          <w:b w:val="1"/>
          <w:bCs w:val="1"/>
          <w:color w:val="auto"/>
        </w:rPr>
        <w:t>The Trustee’s and Management’s Report on Internal Control over Financial Reporting of the Royal Dutch Shell Dividend Access Trust</w:t>
      </w:r>
    </w:p>
    <w:p>
      <w:pPr>
        <w:ind w:right="20"/>
        <w:spacing w:after="0" w:line="222" w:lineRule="auto"/>
        <w:rPr>
          <w:sz w:val="20"/>
          <w:szCs w:val="20"/>
          <w:color w:val="auto"/>
        </w:rPr>
      </w:pPr>
      <w:r>
        <w:rPr>
          <w:rFonts w:ascii="Arial" w:cs="Arial" w:eastAsia="Arial" w:hAnsi="Arial"/>
          <w:sz w:val="14"/>
          <w:szCs w:val="14"/>
          <w:color w:val="auto"/>
        </w:rPr>
        <w:t>The Trustee of the Royal Dutch Shell Dividend Access Trust is responsible for establishing and maintaining adequate internal control over the Trust’s financial reporting. The Trustee and the Company’s management conducted an evaluation of the effectiveness of internal control over financial reporting based on the Internal Control – Integrated Framework issued by the Committee of Sponsoring Organizations of the Treadway Commission. Based on this evaluation, the Trustee and management concluded that the Trust’s internal control over financial reporting was effective as at December 31, 2007.</w:t>
      </w:r>
    </w:p>
    <w:p>
      <w:pPr>
        <w:spacing w:after="0" w:line="182"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PricewaterhouseCoopers LLP, the independent registered public accounting firm that audited the financial statements in this annual report, has issued an attestation report on the Trustee’s and management’s internal control over financial reporting, as stated in their report beginning on page 196 of this report.</w:t>
      </w:r>
    </w:p>
    <w:p>
      <w:pPr>
        <w:spacing w:after="0" w:line="175" w:lineRule="exact"/>
        <w:rPr>
          <w:sz w:val="20"/>
          <w:szCs w:val="20"/>
          <w:color w:val="auto"/>
        </w:rPr>
      </w:pPr>
    </w:p>
    <w:p>
      <w:pPr>
        <w:ind w:right="640"/>
        <w:spacing w:after="0" w:line="248" w:lineRule="auto"/>
        <w:rPr>
          <w:sz w:val="20"/>
          <w:szCs w:val="20"/>
          <w:color w:val="auto"/>
        </w:rPr>
      </w:pPr>
      <w:r>
        <w:rPr>
          <w:rFonts w:ascii="Arial" w:cs="Arial" w:eastAsia="Arial" w:hAnsi="Arial"/>
          <w:sz w:val="13"/>
          <w:szCs w:val="13"/>
          <w:b w:val="1"/>
          <w:bCs w:val="1"/>
          <w:color w:val="auto"/>
        </w:rPr>
        <w:t>The Trustee’s and Management’s Evaluation of Disclosure Controls and Procedures for the Royal Dutch Shell Dividend Access Trust</w:t>
      </w:r>
    </w:p>
    <w:p>
      <w:pPr>
        <w:ind w:right="160"/>
        <w:spacing w:after="0" w:line="224" w:lineRule="auto"/>
        <w:rPr>
          <w:sz w:val="20"/>
          <w:szCs w:val="20"/>
          <w:color w:val="auto"/>
        </w:rPr>
      </w:pPr>
      <w:r>
        <w:rPr>
          <w:rFonts w:ascii="Arial" w:cs="Arial" w:eastAsia="Arial" w:hAnsi="Arial"/>
          <w:sz w:val="14"/>
          <w:szCs w:val="14"/>
          <w:color w:val="auto"/>
        </w:rPr>
        <w:t>The Trustee and Shell’s Chief Executive Officer and Chief Financial Officer have evaluated the effectiveness of the disclosure controls and procedures in respect of the Dividend Access Trust as at December 31, 2007. Based on that evaluation, these officers have concluded that the disclosure controls and procedures of the Trust are effective.</w:t>
      </w:r>
    </w:p>
    <w:p>
      <w:pPr>
        <w:spacing w:after="0" w:line="3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2222500</wp:posOffset>
            </wp:positionV>
            <wp:extent cx="725297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CORPORATE GOVERNANCE</w:t>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237" w:lineRule="auto"/>
        <w:rPr>
          <w:sz w:val="20"/>
          <w:szCs w:val="20"/>
          <w:color w:val="auto"/>
        </w:rPr>
      </w:pPr>
      <w:r>
        <w:rPr>
          <w:rFonts w:ascii="Arial" w:cs="Arial" w:eastAsia="Arial" w:hAnsi="Arial"/>
          <w:sz w:val="13"/>
          <w:szCs w:val="13"/>
          <w:color w:val="auto"/>
        </w:rPr>
        <w:t>There has not been any change in the internal controls over financial reporting of Shell</w:t>
      </w:r>
    </w:p>
    <w:p>
      <w:pPr>
        <w:spacing w:after="0"/>
        <w:rPr>
          <w:sz w:val="20"/>
          <w:szCs w:val="20"/>
          <w:color w:val="auto"/>
        </w:rPr>
      </w:pPr>
      <w:r>
        <w:rPr>
          <w:rFonts w:ascii="Arial" w:cs="Arial" w:eastAsia="Arial" w:hAnsi="Arial"/>
          <w:sz w:val="12"/>
          <w:szCs w:val="12"/>
          <w:color w:val="auto"/>
        </w:rPr>
        <w:t>or the Dividend Access Trust that occurred during the period covered by this report that</w:t>
      </w:r>
    </w:p>
    <w:p>
      <w:pPr>
        <w:spacing w:after="0" w:line="231" w:lineRule="auto"/>
        <w:rPr>
          <w:sz w:val="20"/>
          <w:szCs w:val="20"/>
          <w:color w:val="auto"/>
        </w:rPr>
      </w:pPr>
      <w:r>
        <w:rPr>
          <w:rFonts w:ascii="Arial" w:cs="Arial" w:eastAsia="Arial" w:hAnsi="Arial"/>
          <w:sz w:val="14"/>
          <w:szCs w:val="14"/>
          <w:color w:val="auto"/>
        </w:rPr>
        <w:t>has materially affected, or is reasonably likely to materially affect, such internal</w:t>
      </w:r>
    </w:p>
    <w:p>
      <w:pPr>
        <w:spacing w:after="0" w:line="235" w:lineRule="auto"/>
        <w:rPr>
          <w:sz w:val="20"/>
          <w:szCs w:val="20"/>
          <w:color w:val="auto"/>
        </w:rPr>
      </w:pPr>
      <w:r>
        <w:rPr>
          <w:rFonts w:ascii="Arial" w:cs="Arial" w:eastAsia="Arial" w:hAnsi="Arial"/>
          <w:sz w:val="13"/>
          <w:szCs w:val="13"/>
          <w:color w:val="auto"/>
        </w:rPr>
        <w:t>controls over financial reporting. The daily operations of the Dividend Access Trust are</w:t>
      </w:r>
    </w:p>
    <w:p>
      <w:pPr>
        <w:spacing w:after="0" w:line="235" w:lineRule="auto"/>
        <w:rPr>
          <w:sz w:val="20"/>
          <w:szCs w:val="20"/>
          <w:color w:val="auto"/>
        </w:rPr>
      </w:pPr>
      <w:r>
        <w:rPr>
          <w:rFonts w:ascii="Arial" w:cs="Arial" w:eastAsia="Arial" w:hAnsi="Arial"/>
          <w:sz w:val="13"/>
          <w:szCs w:val="13"/>
          <w:color w:val="auto"/>
        </w:rPr>
        <w:t>administered on behalf of Shell by Lloyds TSB Offshore Trust Company Limited, an</w:t>
      </w:r>
    </w:p>
    <w:p>
      <w:pPr>
        <w:spacing w:after="0" w:line="235" w:lineRule="auto"/>
        <w:rPr>
          <w:sz w:val="20"/>
          <w:szCs w:val="20"/>
          <w:color w:val="auto"/>
        </w:rPr>
      </w:pPr>
      <w:r>
        <w:rPr>
          <w:rFonts w:ascii="Arial" w:cs="Arial" w:eastAsia="Arial" w:hAnsi="Arial"/>
          <w:sz w:val="13"/>
          <w:szCs w:val="13"/>
          <w:color w:val="auto"/>
        </w:rPr>
        <w:t>established trustee services company. Material financial information of the Dividend</w:t>
      </w:r>
    </w:p>
    <w:p>
      <w:pPr>
        <w:spacing w:after="0" w:line="236" w:lineRule="auto"/>
        <w:rPr>
          <w:sz w:val="20"/>
          <w:szCs w:val="20"/>
          <w:color w:val="auto"/>
        </w:rPr>
      </w:pPr>
      <w:r>
        <w:rPr>
          <w:rFonts w:ascii="Arial" w:cs="Arial" w:eastAsia="Arial" w:hAnsi="Arial"/>
          <w:sz w:val="13"/>
          <w:szCs w:val="13"/>
          <w:color w:val="auto"/>
        </w:rPr>
        <w:t>Access Trust is included in the Consolidated Financial Statements of Shell and is</w:t>
      </w:r>
    </w:p>
    <w:p>
      <w:pPr>
        <w:spacing w:after="0" w:line="218" w:lineRule="auto"/>
        <w:rPr>
          <w:sz w:val="20"/>
          <w:szCs w:val="20"/>
          <w:color w:val="auto"/>
        </w:rPr>
      </w:pPr>
      <w:r>
        <w:rPr>
          <w:rFonts w:ascii="Arial" w:cs="Arial" w:eastAsia="Arial" w:hAnsi="Arial"/>
          <w:sz w:val="14"/>
          <w:szCs w:val="14"/>
          <w:color w:val="auto"/>
        </w:rPr>
        <w:t>therefore, subject to the same disclosure controls and procedures of Shell. See</w:t>
      </w:r>
    </w:p>
    <w:p>
      <w:pPr>
        <w:spacing w:after="0" w:line="235" w:lineRule="auto"/>
        <w:rPr>
          <w:sz w:val="20"/>
          <w:szCs w:val="20"/>
          <w:color w:val="auto"/>
        </w:rPr>
      </w:pPr>
      <w:r>
        <w:rPr>
          <w:rFonts w:ascii="Arial" w:cs="Arial" w:eastAsia="Arial" w:hAnsi="Arial"/>
          <w:sz w:val="13"/>
          <w:szCs w:val="13"/>
          <w:color w:val="auto"/>
        </w:rPr>
        <w:t>“Supplementary Information – Control of registrant (unaudited)” and the Royal Dutch</w:t>
      </w:r>
    </w:p>
    <w:p>
      <w:pPr>
        <w:spacing w:after="0"/>
        <w:rPr>
          <w:sz w:val="20"/>
          <w:szCs w:val="20"/>
          <w:color w:val="auto"/>
        </w:rPr>
      </w:pPr>
      <w:r>
        <w:rPr>
          <w:rFonts w:ascii="Arial" w:cs="Arial" w:eastAsia="Arial" w:hAnsi="Arial"/>
          <w:sz w:val="14"/>
          <w:szCs w:val="14"/>
          <w:color w:val="auto"/>
        </w:rPr>
        <w:t>Shell Dividend Access Trust Financial Statements for additional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FURTHER INFORMATION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information is available on the Shell website www.shell.com/investor:</w:t>
      </w:r>
    </w:p>
    <w:p>
      <w:pPr>
        <w:jc w:val="both"/>
        <w:ind w:left="200" w:right="5679" w:hanging="193"/>
        <w:spacing w:after="0" w:line="235" w:lineRule="auto"/>
        <w:tabs>
          <w:tab w:leader="none" w:pos="200" w:val="left"/>
        </w:tabs>
        <w:numPr>
          <w:ilvl w:val="0"/>
          <w:numId w:val="108"/>
        </w:numPr>
        <w:rPr>
          <w:rFonts w:ascii="Arial" w:cs="Arial" w:eastAsia="Arial" w:hAnsi="Arial"/>
          <w:sz w:val="13"/>
          <w:szCs w:val="13"/>
          <w:b w:val="1"/>
          <w:bCs w:val="1"/>
          <w:color w:val="auto"/>
        </w:rPr>
      </w:pPr>
      <w:r>
        <w:rPr>
          <w:rFonts w:ascii="Arial" w:cs="Arial" w:eastAsia="Arial" w:hAnsi="Arial"/>
          <w:sz w:val="13"/>
          <w:szCs w:val="13"/>
          <w:color w:val="auto"/>
        </w:rPr>
        <w:t>the terms of reference of the Audit Committee, Nomination and Succession Committee, Remuneration Committee and Social Responsibility Committee explaining their roles and the authority the Board delegates to them;</w:t>
      </w:r>
    </w:p>
    <w:p>
      <w:pPr>
        <w:ind w:left="200" w:hanging="193"/>
        <w:spacing w:after="0" w:line="218" w:lineRule="auto"/>
        <w:tabs>
          <w:tab w:leader="none" w:pos="20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the full list of matters reserved to the Board for decision;</w:t>
      </w:r>
    </w:p>
    <w:p>
      <w:pPr>
        <w:ind w:left="200" w:hanging="193"/>
        <w:spacing w:after="0" w:line="218" w:lineRule="auto"/>
        <w:tabs>
          <w:tab w:leader="none" w:pos="20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Shell General Business Principles;</w:t>
      </w:r>
    </w:p>
    <w:p>
      <w:pPr>
        <w:ind w:left="200" w:hanging="193"/>
        <w:spacing w:after="0" w:line="218" w:lineRule="auto"/>
        <w:tabs>
          <w:tab w:leader="none" w:pos="20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Shell Code of Conduct;</w:t>
      </w:r>
    </w:p>
    <w:p>
      <w:pPr>
        <w:ind w:left="200" w:hanging="193"/>
        <w:spacing w:after="0" w:line="218" w:lineRule="auto"/>
        <w:tabs>
          <w:tab w:leader="none" w:pos="20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Code of Ethics for Executive Directors and Senior Financial Officers; and</w:t>
      </w:r>
    </w:p>
    <w:p>
      <w:pPr>
        <w:ind w:left="200" w:hanging="193"/>
        <w:spacing w:after="0"/>
        <w:tabs>
          <w:tab w:leader="none" w:pos="200" w:val="left"/>
        </w:tabs>
        <w:numPr>
          <w:ilvl w:val="0"/>
          <w:numId w:val="108"/>
        </w:numPr>
        <w:rPr>
          <w:rFonts w:ascii="Arial" w:cs="Arial" w:eastAsia="Arial" w:hAnsi="Arial"/>
          <w:sz w:val="14"/>
          <w:szCs w:val="14"/>
          <w:b w:val="1"/>
          <w:bCs w:val="1"/>
          <w:color w:val="auto"/>
        </w:rPr>
      </w:pPr>
      <w:r>
        <w:rPr>
          <w:rFonts w:ascii="Arial" w:cs="Arial" w:eastAsia="Arial" w:hAnsi="Arial"/>
          <w:sz w:val="14"/>
          <w:szCs w:val="14"/>
          <w:color w:val="auto"/>
        </w:rPr>
        <w:t>Memorandum and Articles of Association.</w:t>
      </w:r>
    </w:p>
    <w:p>
      <w:pPr>
        <w:spacing w:after="0" w:line="191" w:lineRule="exact"/>
        <w:rPr>
          <w:sz w:val="20"/>
          <w:szCs w:val="20"/>
          <w:color w:val="auto"/>
        </w:rPr>
      </w:pPr>
    </w:p>
    <w:p>
      <w:pPr>
        <w:ind w:left="280" w:hanging="273"/>
        <w:spacing w:after="0"/>
        <w:tabs>
          <w:tab w:leader="none" w:pos="280" w:val="left"/>
        </w:tabs>
        <w:numPr>
          <w:ilvl w:val="0"/>
          <w:numId w:val="10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697230</wp:posOffset>
            </wp:positionV>
            <wp:extent cx="725297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4"/>
          <w:szCs w:val="34"/>
          <w:color w:val="auto"/>
        </w:rPr>
        <w:t>Directors’ Remuneration Report</w:t>
      </w:r>
    </w:p>
    <w:p>
      <w:pPr>
        <w:spacing w:after="0" w:line="200" w:lineRule="exact"/>
        <w:rPr>
          <w:sz w:val="20"/>
          <w:szCs w:val="20"/>
          <w:color w:val="auto"/>
        </w:rPr>
      </w:pPr>
    </w:p>
    <w:p>
      <w:pPr>
        <w:spacing w:after="0" w:line="256" w:lineRule="exact"/>
        <w:rPr>
          <w:sz w:val="20"/>
          <w:szCs w:val="20"/>
          <w:color w:val="auto"/>
        </w:rPr>
      </w:pPr>
    </w:p>
    <w:p>
      <w:pPr>
        <w:ind w:right="300"/>
        <w:spacing w:after="0" w:line="231" w:lineRule="auto"/>
        <w:rPr>
          <w:sz w:val="20"/>
          <w:szCs w:val="20"/>
          <w:color w:val="auto"/>
        </w:rPr>
      </w:pPr>
      <w:r>
        <w:rPr>
          <w:rFonts w:ascii="Arial" w:cs="Arial" w:eastAsia="Arial" w:hAnsi="Arial"/>
          <w:sz w:val="14"/>
          <w:szCs w:val="14"/>
          <w:color w:val="auto"/>
        </w:rPr>
        <w:t>This report outlines the remuneration policies for the Chief Executive, the Chief Financial Officer, and Executive Directors (collectively referred to as “Executive Directors”), and for the Non-executive Directors of Royal Dutch Shell (referred to otherwise as “the Company”).</w:t>
      </w:r>
    </w:p>
    <w:p>
      <w:pPr>
        <w:spacing w:after="0" w:line="179"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It also details the individual remuneration of the Directors of Royal Dutch Shell for the year ended December 31, 2007.</w:t>
      </w:r>
    </w:p>
    <w:p>
      <w:pPr>
        <w:spacing w:after="0" w:line="175"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The report follows Schedule 7A of the Companies Act 1985, the UK Combined Code corporate governance requirements on Directors’ remuneration and the UK Listing Rules.</w:t>
      </w:r>
    </w:p>
    <w:p>
      <w:pPr>
        <w:spacing w:after="0" w:line="180" w:lineRule="exact"/>
        <w:rPr>
          <w:sz w:val="20"/>
          <w:szCs w:val="20"/>
          <w:color w:val="auto"/>
        </w:rPr>
      </w:pPr>
    </w:p>
    <w:p>
      <w:pPr>
        <w:ind w:right="500"/>
        <w:spacing w:after="0" w:line="285" w:lineRule="auto"/>
        <w:rPr>
          <w:sz w:val="20"/>
          <w:szCs w:val="20"/>
          <w:color w:val="auto"/>
        </w:rPr>
      </w:pPr>
      <w:r>
        <w:rPr>
          <w:rFonts w:ascii="Arial" w:cs="Arial" w:eastAsia="Arial" w:hAnsi="Arial"/>
          <w:sz w:val="13"/>
          <w:szCs w:val="13"/>
          <w:color w:val="auto"/>
        </w:rPr>
        <w:t>The Board has approved this report and it will be presented to shareholders for approval at the Annual General Meeting (AGM) on May 20, 2008.</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This report contains the following sections:</w:t>
      </w:r>
    </w:p>
    <w:p>
      <w:pPr>
        <w:spacing w:after="0" w:line="90" w:lineRule="exact"/>
        <w:rPr>
          <w:sz w:val="20"/>
          <w:szCs w:val="20"/>
          <w:color w:val="auto"/>
        </w:rPr>
      </w:pPr>
    </w:p>
    <w:p>
      <w:pPr>
        <w:ind w:left="200" w:hanging="193"/>
        <w:spacing w:after="0"/>
        <w:tabs>
          <w:tab w:leader="none" w:pos="20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The Remuneration Committee (“REMCO”);</w:t>
      </w:r>
    </w:p>
    <w:p>
      <w:pPr>
        <w:ind w:left="200" w:hanging="193"/>
        <w:spacing w:after="0" w:line="218" w:lineRule="auto"/>
        <w:tabs>
          <w:tab w:leader="none" w:pos="20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Executive Directors’ remuneration;</w:t>
      </w:r>
    </w:p>
    <w:p>
      <w:pPr>
        <w:ind w:left="200" w:hanging="193"/>
        <w:spacing w:after="0" w:line="218" w:lineRule="auto"/>
        <w:tabs>
          <w:tab w:leader="none" w:pos="20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Executive Directors’ contracts of service; and</w:t>
      </w:r>
    </w:p>
    <w:p>
      <w:pPr>
        <w:ind w:left="200" w:hanging="193"/>
        <w:spacing w:after="0"/>
        <w:tabs>
          <w:tab w:leader="none" w:pos="200" w:val="left"/>
        </w:tabs>
        <w:numPr>
          <w:ilvl w:val="0"/>
          <w:numId w:val="110"/>
        </w:numPr>
        <w:rPr>
          <w:rFonts w:ascii="Arial" w:cs="Arial" w:eastAsia="Arial" w:hAnsi="Arial"/>
          <w:sz w:val="14"/>
          <w:szCs w:val="14"/>
          <w:b w:val="1"/>
          <w:bCs w:val="1"/>
          <w:color w:val="auto"/>
        </w:rPr>
      </w:pPr>
      <w:r>
        <w:rPr>
          <w:rFonts w:ascii="Arial" w:cs="Arial" w:eastAsia="Arial" w:hAnsi="Arial"/>
          <w:sz w:val="14"/>
          <w:szCs w:val="14"/>
          <w:color w:val="auto"/>
        </w:rPr>
        <w:t>Non-executive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1635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ind w:left="200" w:hanging="193"/>
        <w:spacing w:after="0" w:line="224" w:lineRule="auto"/>
        <w:tabs>
          <w:tab w:leader="none" w:pos="200"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Individual salary increases of between 4.2% and 8.8% were awarded to Executive Directors in 2007 varying by individual based on market-related considerations (see page 95).</w:t>
      </w:r>
    </w:p>
    <w:p>
      <w:pPr>
        <w:ind w:left="200" w:right="100" w:hanging="193"/>
        <w:spacing w:after="0" w:line="218" w:lineRule="auto"/>
        <w:tabs>
          <w:tab w:leader="none" w:pos="200"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2007 bonuses to the Chief Executive and Executive Directors are 156% and 143% of base salary, respectively.</w:t>
      </w:r>
    </w:p>
    <w:p>
      <w:pPr>
        <w:ind w:left="200" w:right="60" w:hanging="193"/>
        <w:spacing w:after="0" w:line="218" w:lineRule="auto"/>
        <w:tabs>
          <w:tab w:leader="none" w:pos="200"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REMCO approved a revised target bonus level for 2008 of 150% of base salary for the Chief Executive, with a maximum of 250%.</w:t>
      </w:r>
    </w:p>
    <w:p>
      <w:pPr>
        <w:ind w:left="200" w:right="40" w:hanging="193"/>
        <w:spacing w:after="0" w:line="218" w:lineRule="auto"/>
        <w:tabs>
          <w:tab w:leader="none" w:pos="200"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2007 conditional awards under the Long-term Incentive Plan (LTIP) were 2.4 times base salary for the Chief Executive and 2.2 times base salary for the other Executive Directors.</w:t>
      </w:r>
    </w:p>
    <w:p>
      <w:pPr>
        <w:jc w:val="both"/>
        <w:ind w:left="200" w:right="260" w:hanging="193"/>
        <w:spacing w:after="0" w:line="218" w:lineRule="auto"/>
        <w:tabs>
          <w:tab w:leader="none" w:pos="200" w:val="left"/>
        </w:tabs>
        <w:numPr>
          <w:ilvl w:val="0"/>
          <w:numId w:val="111"/>
        </w:numPr>
        <w:rPr>
          <w:rFonts w:ascii="Arial" w:cs="Arial" w:eastAsia="Arial" w:hAnsi="Arial"/>
          <w:sz w:val="14"/>
          <w:szCs w:val="14"/>
          <w:b w:val="1"/>
          <w:bCs w:val="1"/>
          <w:color w:val="auto"/>
        </w:rPr>
      </w:pPr>
      <w:r>
        <w:rPr>
          <w:rFonts w:ascii="Arial" w:cs="Arial" w:eastAsia="Arial" w:hAnsi="Arial"/>
          <w:sz w:val="14"/>
          <w:szCs w:val="14"/>
          <w:color w:val="auto"/>
        </w:rPr>
        <w:t>REMCO approved amendments to these levels for 2008. The Chief Executive’s LTIP award has been increased to 2.5 times base salary and the other Executive Directors’ to 2.4 times base salary (see page 97).</w:t>
      </w:r>
    </w:p>
    <w:p>
      <w:pPr>
        <w:ind w:left="200" w:right="120" w:hanging="193"/>
        <w:spacing w:after="0" w:line="254" w:lineRule="auto"/>
        <w:tabs>
          <w:tab w:leader="none" w:pos="200" w:val="left"/>
        </w:tabs>
        <w:numPr>
          <w:ilvl w:val="0"/>
          <w:numId w:val="111"/>
        </w:numPr>
        <w:rPr>
          <w:rFonts w:ascii="Arial" w:cs="Arial" w:eastAsia="Arial" w:hAnsi="Arial"/>
          <w:sz w:val="12"/>
          <w:szCs w:val="12"/>
          <w:b w:val="1"/>
          <w:bCs w:val="1"/>
          <w:color w:val="auto"/>
        </w:rPr>
      </w:pPr>
      <w:r>
        <w:rPr>
          <w:rFonts w:ascii="Arial" w:cs="Arial" w:eastAsia="Arial" w:hAnsi="Arial"/>
          <w:sz w:val="12"/>
          <w:szCs w:val="12"/>
          <w:color w:val="auto"/>
        </w:rPr>
        <w:t>As a result of Shell’s performance against its peers during 2005–2007, 65% of the performance shares awarded under the 2005 LTIP were released (see page 97).</w:t>
      </w:r>
    </w:p>
    <w:p>
      <w:pPr>
        <w:ind w:left="200" w:right="60" w:hanging="193"/>
        <w:spacing w:after="0" w:line="254" w:lineRule="auto"/>
        <w:tabs>
          <w:tab w:leader="none" w:pos="200" w:val="left"/>
        </w:tabs>
        <w:numPr>
          <w:ilvl w:val="0"/>
          <w:numId w:val="111"/>
        </w:numPr>
        <w:rPr>
          <w:rFonts w:ascii="Arial" w:cs="Arial" w:eastAsia="Arial" w:hAnsi="Arial"/>
          <w:sz w:val="12"/>
          <w:szCs w:val="12"/>
          <w:b w:val="1"/>
          <w:bCs w:val="1"/>
          <w:color w:val="auto"/>
        </w:rPr>
      </w:pPr>
      <w:r>
        <w:rPr>
          <w:rFonts w:ascii="Arial" w:cs="Arial" w:eastAsia="Arial" w:hAnsi="Arial"/>
          <w:sz w:val="12"/>
          <w:szCs w:val="12"/>
          <w:color w:val="auto"/>
        </w:rPr>
        <w:t>At the 2008 AGM, shareholders will be asked to approve two resolutions for the adoption of changes in award policy for the LTIP and Restricted Share Plan (RSP):</w:t>
      </w:r>
    </w:p>
    <w:p>
      <w:pPr>
        <w:ind w:left="320" w:right="180" w:hanging="140"/>
        <w:spacing w:after="0" w:line="218" w:lineRule="auto"/>
        <w:tabs>
          <w:tab w:leader="none" w:pos="320" w:val="left"/>
        </w:tabs>
        <w:numPr>
          <w:ilvl w:val="1"/>
          <w:numId w:val="111"/>
        </w:numPr>
        <w:rPr>
          <w:rFonts w:ascii="Arial" w:cs="Arial" w:eastAsia="Arial" w:hAnsi="Arial"/>
          <w:sz w:val="14"/>
          <w:szCs w:val="14"/>
          <w:color w:val="auto"/>
        </w:rPr>
      </w:pPr>
      <w:r>
        <w:rPr>
          <w:rFonts w:ascii="Arial" w:cs="Arial" w:eastAsia="Arial" w:hAnsi="Arial"/>
          <w:sz w:val="14"/>
          <w:szCs w:val="14"/>
          <w:color w:val="auto"/>
        </w:rPr>
        <w:t>raising the current individual conditional award limit on LTIP awards from 2.5 times base salary to 4 times.</w:t>
      </w:r>
    </w:p>
    <w:p>
      <w:pPr>
        <w:ind w:left="320" w:hanging="140"/>
        <w:spacing w:after="0"/>
        <w:tabs>
          <w:tab w:leader="none" w:pos="320" w:val="left"/>
        </w:tabs>
        <w:numPr>
          <w:ilvl w:val="1"/>
          <w:numId w:val="111"/>
        </w:numPr>
        <w:rPr>
          <w:rFonts w:ascii="Arial" w:cs="Arial" w:eastAsia="Arial" w:hAnsi="Arial"/>
          <w:sz w:val="12"/>
          <w:szCs w:val="12"/>
          <w:color w:val="auto"/>
        </w:rPr>
      </w:pPr>
      <w:r>
        <w:rPr>
          <w:rFonts w:ascii="Arial" w:cs="Arial" w:eastAsia="Arial" w:hAnsi="Arial"/>
          <w:sz w:val="12"/>
          <w:szCs w:val="12"/>
          <w:color w:val="auto"/>
        </w:rPr>
        <w:t>allowing awards under the RSP to be made to Executive Directors (see page 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During 2007, Executive Directors received a total compensation package as noted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-595630</wp:posOffset>
            </wp:positionV>
            <wp:extent cx="177800" cy="70707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77800" cy="7070725"/>
                    </a:xfrm>
                    <a:prstGeom prst="rect">
                      <a:avLst/>
                    </a:prstGeom>
                    <a:noFill/>
                  </pic:spPr>
                </pic:pic>
              </a:graphicData>
            </a:graphic>
          </wp:anchor>
        </w:drawing>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60" w:type="dxa"/>
            <w:vAlign w:val="bottom"/>
            <w:shd w:val="clear" w:color="auto" w:fill="C1D72E"/>
          </w:tcPr>
          <w:p>
            <w:pPr>
              <w:spacing w:after="0"/>
              <w:rPr>
                <w:sz w:val="14"/>
                <w:szCs w:val="14"/>
                <w:color w:val="auto"/>
              </w:rPr>
            </w:pPr>
          </w:p>
        </w:tc>
        <w:tc>
          <w:tcPr>
            <w:tcW w:w="920" w:type="dxa"/>
            <w:vAlign w:val="bottom"/>
            <w:shd w:val="clear" w:color="auto" w:fill="C1D72E"/>
          </w:tcPr>
          <w:p>
            <w:pPr>
              <w:spacing w:after="0"/>
              <w:rPr>
                <w:sz w:val="14"/>
                <w:szCs w:val="14"/>
                <w:color w:val="auto"/>
              </w:rPr>
            </w:pPr>
          </w:p>
        </w:tc>
        <w:tc>
          <w:tcPr>
            <w:tcW w:w="780" w:type="dxa"/>
            <w:vAlign w:val="bottom"/>
            <w:shd w:val="clear" w:color="auto" w:fill="C1D72E"/>
          </w:tcPr>
          <w:p>
            <w:pPr>
              <w:spacing w:after="0"/>
              <w:rPr>
                <w:sz w:val="14"/>
                <w:szCs w:val="14"/>
                <w:color w:val="auto"/>
              </w:rPr>
            </w:pPr>
          </w:p>
        </w:tc>
        <w:tc>
          <w:tcPr>
            <w:tcW w:w="780" w:type="dxa"/>
            <w:vAlign w:val="bottom"/>
            <w:shd w:val="clear" w:color="auto" w:fill="C1D72E"/>
          </w:tcPr>
          <w:p>
            <w:pPr>
              <w:spacing w:after="0"/>
              <w:rPr>
                <w:sz w:val="14"/>
                <w:szCs w:val="14"/>
                <w:color w:val="auto"/>
              </w:rPr>
            </w:pPr>
          </w:p>
        </w:tc>
        <w:tc>
          <w:tcPr>
            <w:tcW w:w="780" w:type="dxa"/>
            <w:vAlign w:val="bottom"/>
            <w:shd w:val="clear" w:color="auto" w:fill="C1D72E"/>
          </w:tcPr>
          <w:p>
            <w:pPr>
              <w:spacing w:after="0"/>
              <w:rPr>
                <w:sz w:val="14"/>
                <w:szCs w:val="14"/>
                <w:color w:val="auto"/>
              </w:rPr>
            </w:pPr>
          </w:p>
        </w:tc>
        <w:tc>
          <w:tcPr>
            <w:tcW w:w="760" w:type="dxa"/>
            <w:vAlign w:val="bottom"/>
            <w:shd w:val="clear" w:color="auto" w:fill="C1D72E"/>
          </w:tcPr>
          <w:p>
            <w:pPr>
              <w:jc w:val="right"/>
              <w:spacing w:after="0"/>
              <w:rPr>
                <w:sz w:val="20"/>
                <w:szCs w:val="20"/>
                <w:color w:val="auto"/>
              </w:rPr>
            </w:pPr>
            <w:r>
              <w:rPr>
                <w:rFonts w:ascii="Arial" w:cs="Arial" w:eastAsia="Arial" w:hAnsi="Arial"/>
                <w:sz w:val="14"/>
                <w:szCs w:val="14"/>
                <w:b w:val="1"/>
                <w:bCs w:val="1"/>
                <w:color w:val="auto"/>
              </w:rPr>
              <w:t>€</w:t>
            </w:r>
          </w:p>
        </w:tc>
      </w:tr>
      <w:tr>
        <w:trPr>
          <w:trHeight w:val="160"/>
        </w:trPr>
        <w:tc>
          <w:tcPr>
            <w:tcW w:w="960" w:type="dxa"/>
            <w:vAlign w:val="bottom"/>
            <w:shd w:val="clear" w:color="auto" w:fill="EFECE8"/>
          </w:tcPr>
          <w:p>
            <w:pPr>
              <w:spacing w:after="0"/>
              <w:rPr>
                <w:sz w:val="13"/>
                <w:szCs w:val="13"/>
                <w:color w:val="auto"/>
              </w:rPr>
            </w:pPr>
          </w:p>
        </w:tc>
        <w:tc>
          <w:tcPr>
            <w:tcW w:w="92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Jeroen</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Malcolm</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Linda</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Rob</w:t>
            </w:r>
          </w:p>
        </w:tc>
        <w:tc>
          <w:tcPr>
            <w:tcW w:w="760" w:type="dxa"/>
            <w:vAlign w:val="bottom"/>
            <w:shd w:val="clear" w:color="auto" w:fill="EFECE8"/>
          </w:tcPr>
          <w:p>
            <w:pPr>
              <w:jc w:val="right"/>
              <w:spacing w:after="0" w:line="160" w:lineRule="exact"/>
              <w:rPr>
                <w:sz w:val="20"/>
                <w:szCs w:val="20"/>
                <w:color w:val="auto"/>
              </w:rPr>
            </w:pPr>
            <w:r>
              <w:rPr>
                <w:rFonts w:ascii="Arial" w:cs="Arial" w:eastAsia="Arial" w:hAnsi="Arial"/>
                <w:sz w:val="14"/>
                <w:szCs w:val="14"/>
                <w:color w:val="auto"/>
              </w:rPr>
              <w:t>Peter</w:t>
            </w:r>
          </w:p>
        </w:tc>
      </w:tr>
      <w:tr>
        <w:trPr>
          <w:trHeight w:val="160"/>
        </w:trPr>
        <w:tc>
          <w:tcPr>
            <w:tcW w:w="960" w:type="dxa"/>
            <w:vAlign w:val="bottom"/>
            <w:shd w:val="clear" w:color="auto" w:fill="EFECE8"/>
          </w:tcPr>
          <w:p>
            <w:pPr>
              <w:spacing w:after="0"/>
              <w:rPr>
                <w:sz w:val="13"/>
                <w:szCs w:val="13"/>
                <w:color w:val="auto"/>
              </w:rPr>
            </w:pPr>
          </w:p>
        </w:tc>
        <w:tc>
          <w:tcPr>
            <w:tcW w:w="92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van der Veer</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Brinded</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Cook</w:t>
            </w:r>
          </w:p>
        </w:tc>
        <w:tc>
          <w:tcPr>
            <w:tcW w:w="780" w:type="dxa"/>
            <w:vAlign w:val="bottom"/>
            <w:shd w:val="clear" w:color="auto" w:fill="EFECE8"/>
          </w:tcPr>
          <w:p>
            <w:pPr>
              <w:jc w:val="right"/>
              <w:ind w:right="9"/>
              <w:spacing w:after="0" w:line="160" w:lineRule="exact"/>
              <w:rPr>
                <w:sz w:val="20"/>
                <w:szCs w:val="20"/>
                <w:color w:val="auto"/>
              </w:rPr>
            </w:pPr>
            <w:r>
              <w:rPr>
                <w:rFonts w:ascii="Arial" w:cs="Arial" w:eastAsia="Arial" w:hAnsi="Arial"/>
                <w:sz w:val="14"/>
                <w:szCs w:val="14"/>
                <w:color w:val="auto"/>
              </w:rPr>
              <w:t>Routs</w:t>
            </w:r>
          </w:p>
        </w:tc>
        <w:tc>
          <w:tcPr>
            <w:tcW w:w="760" w:type="dxa"/>
            <w:vAlign w:val="bottom"/>
            <w:shd w:val="clear" w:color="auto" w:fill="EFECE8"/>
          </w:tcPr>
          <w:p>
            <w:pPr>
              <w:jc w:val="right"/>
              <w:spacing w:after="0" w:line="160" w:lineRule="exact"/>
              <w:rPr>
                <w:sz w:val="20"/>
                <w:szCs w:val="20"/>
                <w:color w:val="auto"/>
              </w:rPr>
            </w:pPr>
            <w:r>
              <w:rPr>
                <w:rFonts w:ascii="Arial" w:cs="Arial" w:eastAsia="Arial" w:hAnsi="Arial"/>
                <w:sz w:val="14"/>
                <w:szCs w:val="14"/>
                <w:color w:val="auto"/>
              </w:rPr>
              <w:t>Voser</w:t>
            </w:r>
          </w:p>
        </w:tc>
      </w:tr>
      <w:tr>
        <w:trPr>
          <w:trHeight w:val="165"/>
        </w:trPr>
        <w:tc>
          <w:tcPr>
            <w:tcW w:w="960" w:type="dxa"/>
            <w:vAlign w:val="bottom"/>
          </w:tcPr>
          <w:p>
            <w:pPr>
              <w:spacing w:after="0"/>
              <w:rPr>
                <w:sz w:val="20"/>
                <w:szCs w:val="20"/>
                <w:color w:val="auto"/>
              </w:rPr>
            </w:pPr>
            <w:r>
              <w:rPr>
                <w:rFonts w:ascii="Arial" w:cs="Arial" w:eastAsia="Arial" w:hAnsi="Arial"/>
                <w:sz w:val="14"/>
                <w:szCs w:val="14"/>
                <w:color w:val="auto"/>
              </w:rPr>
              <w:t>Earnings</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4,692,909</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2,766,517</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2,601,749</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2,488,780</w:t>
            </w:r>
          </w:p>
        </w:tc>
        <w:tc>
          <w:tcPr>
            <w:tcW w:w="760" w:type="dxa"/>
            <w:vAlign w:val="bottom"/>
          </w:tcPr>
          <w:p>
            <w:pPr>
              <w:jc w:val="right"/>
              <w:spacing w:after="0"/>
              <w:rPr>
                <w:sz w:val="20"/>
                <w:szCs w:val="20"/>
                <w:color w:val="auto"/>
              </w:rPr>
            </w:pPr>
            <w:r>
              <w:rPr>
                <w:rFonts w:ascii="Arial" w:cs="Arial" w:eastAsia="Arial" w:hAnsi="Arial"/>
                <w:sz w:val="14"/>
                <w:szCs w:val="14"/>
                <w:color w:val="auto"/>
              </w:rPr>
              <w:t>2,398,793</w:t>
            </w: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Release of</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LTIP awards</w:t>
            </w:r>
          </w:p>
        </w:tc>
        <w:tc>
          <w:tcPr>
            <w:tcW w:w="92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0</w:t>
            </w: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Release of</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Deferred</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Bonus Plan</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awards</w:t>
            </w:r>
          </w:p>
        </w:tc>
        <w:tc>
          <w:tcPr>
            <w:tcW w:w="92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0</w:t>
            </w: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0</w:t>
            </w: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Share option</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gains</w:t>
            </w:r>
          </w:p>
        </w:tc>
        <w:tc>
          <w:tcPr>
            <w:tcW w:w="920" w:type="dxa"/>
            <w:vAlign w:val="bottom"/>
          </w:tcPr>
          <w:p>
            <w:pPr>
              <w:jc w:val="right"/>
              <w:ind w:right="9"/>
              <w:spacing w:after="0" w:line="160" w:lineRule="exact"/>
              <w:rPr>
                <w:sz w:val="20"/>
                <w:szCs w:val="20"/>
                <w:color w:val="auto"/>
              </w:rPr>
            </w:pPr>
            <w:r>
              <w:rPr>
                <w:rFonts w:ascii="Arial" w:cs="Arial" w:eastAsia="Arial" w:hAnsi="Arial"/>
                <w:sz w:val="14"/>
                <w:szCs w:val="14"/>
                <w:color w:val="auto"/>
              </w:rPr>
              <w:t>389,564</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300,352</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9"/>
              <w:spacing w:after="0" w:line="160"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60" w:lineRule="exact"/>
              <w:rPr>
                <w:sz w:val="20"/>
                <w:szCs w:val="20"/>
                <w:color w:val="auto"/>
              </w:rPr>
            </w:pPr>
            <w:r>
              <w:rPr>
                <w:rFonts w:ascii="Arial" w:cs="Arial" w:eastAsia="Arial" w:hAnsi="Arial"/>
                <w:sz w:val="14"/>
                <w:szCs w:val="14"/>
                <w:color w:val="auto"/>
              </w:rPr>
              <w:t>–</w:t>
            </w: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Pension</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benefits</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1,421,000</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68,678</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1,063,792</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420,000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451,818</w:t>
            </w:r>
          </w:p>
        </w:tc>
      </w:tr>
      <w:tr>
        <w:trPr>
          <w:trHeight w:val="171"/>
        </w:trPr>
        <w:tc>
          <w:tcPr>
            <w:tcW w:w="960" w:type="dxa"/>
            <w:vAlign w:val="bottom"/>
          </w:tcPr>
          <w:p>
            <w:pPr>
              <w:spacing w:after="0"/>
              <w:rPr>
                <w:sz w:val="20"/>
                <w:szCs w:val="20"/>
                <w:color w:val="auto"/>
              </w:rPr>
            </w:pPr>
            <w:r>
              <w:rPr>
                <w:rFonts w:ascii="Arial" w:cs="Arial" w:eastAsia="Arial" w:hAnsi="Arial"/>
                <w:sz w:val="14"/>
                <w:szCs w:val="14"/>
                <w:color w:val="auto"/>
              </w:rPr>
              <w:t>Total</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0"/>
        </w:trPr>
        <w:tc>
          <w:tcPr>
            <w:tcW w:w="960" w:type="dxa"/>
            <w:vAlign w:val="bottom"/>
          </w:tcPr>
          <w:p>
            <w:pPr>
              <w:spacing w:after="0" w:line="160" w:lineRule="exact"/>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5"/>
        </w:trPr>
        <w:tc>
          <w:tcPr>
            <w:tcW w:w="96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color w:val="auto"/>
              </w:rPr>
              <w:t>in euro</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6,503,473</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3,135,547</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3,665,541</w:t>
            </w:r>
          </w:p>
        </w:tc>
        <w:tc>
          <w:tcPr>
            <w:tcW w:w="7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2,908,780</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2,850,611</w:t>
            </w:r>
          </w:p>
        </w:tc>
      </w:tr>
      <w:tr>
        <w:trPr>
          <w:trHeight w:val="166"/>
        </w:trPr>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in US dollar</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8,963,732</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4,321,722</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5,052,213</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4,009,170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3,928,995</w:t>
            </w:r>
          </w:p>
        </w:tc>
      </w:tr>
      <w:tr>
        <w:trPr>
          <w:trHeight w:val="182"/>
        </w:trPr>
        <w:tc>
          <w:tcPr>
            <w:tcW w:w="960" w:type="dxa"/>
            <w:vAlign w:val="bottom"/>
          </w:tcPr>
          <w:p>
            <w:pPr>
              <w:ind w:left="200"/>
              <w:spacing w:after="0"/>
              <w:rPr>
                <w:sz w:val="20"/>
                <w:szCs w:val="20"/>
                <w:color w:val="auto"/>
              </w:rPr>
            </w:pPr>
            <w:r>
              <w:rPr>
                <w:rFonts w:ascii="Arial" w:cs="Arial" w:eastAsia="Arial" w:hAnsi="Arial"/>
                <w:sz w:val="14"/>
                <w:szCs w:val="14"/>
                <w:color w:val="auto"/>
              </w:rPr>
              <w:t>in sterling</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4,473,283</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2,156,723</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2,521,269</w:t>
            </w: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2,000,746</w:t>
            </w:r>
          </w:p>
        </w:tc>
        <w:tc>
          <w:tcPr>
            <w:tcW w:w="760" w:type="dxa"/>
            <w:vAlign w:val="bottom"/>
          </w:tcPr>
          <w:p>
            <w:pPr>
              <w:jc w:val="right"/>
              <w:spacing w:after="0"/>
              <w:rPr>
                <w:sz w:val="20"/>
                <w:szCs w:val="20"/>
                <w:color w:val="auto"/>
              </w:rPr>
            </w:pPr>
            <w:r>
              <w:rPr>
                <w:rFonts w:ascii="Arial" w:cs="Arial" w:eastAsia="Arial" w:hAnsi="Arial"/>
                <w:sz w:val="14"/>
                <w:szCs w:val="14"/>
                <w:color w:val="auto"/>
              </w:rPr>
              <w:t>1,960,735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wp:posOffset>
            </wp:positionV>
            <wp:extent cx="31635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Details of each of the figures can be found in the pages that follow.</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DEAR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33020</wp:posOffset>
            </wp:positionV>
            <wp:extent cx="31635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33"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As chairman of the Remuneration Committee, I am pleased to present to you the Directors’ Remuneration Report of Royal Dutch Shell.</w:t>
      </w:r>
    </w:p>
    <w:p>
      <w:pPr>
        <w:spacing w:after="0" w:line="175" w:lineRule="exact"/>
        <w:rPr>
          <w:sz w:val="20"/>
          <w:szCs w:val="20"/>
          <w:color w:val="auto"/>
        </w:rPr>
      </w:pPr>
    </w:p>
    <w:p>
      <w:pPr>
        <w:ind w:right="260"/>
        <w:spacing w:after="0"/>
        <w:rPr>
          <w:sz w:val="20"/>
          <w:szCs w:val="20"/>
          <w:color w:val="auto"/>
        </w:rPr>
      </w:pPr>
      <w:r>
        <w:rPr>
          <w:rFonts w:ascii="Arial" w:cs="Arial" w:eastAsia="Arial" w:hAnsi="Arial"/>
          <w:sz w:val="13"/>
          <w:szCs w:val="13"/>
          <w:color w:val="auto"/>
        </w:rPr>
        <w:t>The Remuneration Committee is continuously considering the competitiveness and effectiveness of Shell’s pay packages. From our review this year and through discussions with our major shareholders, we have concluded that the plan design continues as is but remains under review. The LTIP and Deferred Bonus Plan</w:t>
      </w:r>
    </w:p>
    <w:p>
      <w:pPr>
        <w:ind w:right="20"/>
        <w:spacing w:after="0" w:line="229" w:lineRule="auto"/>
        <w:rPr>
          <w:sz w:val="20"/>
          <w:szCs w:val="20"/>
          <w:color w:val="auto"/>
        </w:rPr>
      </w:pPr>
      <w:r>
        <w:rPr>
          <w:rFonts w:ascii="Arial" w:cs="Arial" w:eastAsia="Arial" w:hAnsi="Arial"/>
          <w:sz w:val="14"/>
          <w:szCs w:val="14"/>
          <w:color w:val="auto"/>
        </w:rPr>
        <w:t>(DBP) performance measure therefore stays as is: relative TSR measured against a peer group of oil majors. However, we are submitting two resolutions concerning award policy to you for approval.</w:t>
      </w:r>
    </w:p>
    <w:p>
      <w:pPr>
        <w:spacing w:after="0" w:line="180"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Firstly, we propose to increase the LTIP award limit to four times base salary to ensure that packages can remain competitive. In the immediate future, the Chief Executive’s award level will be increased but awards to the other Executive Directors will not be increased beyond 2.5 times base salary at present market award levels.</w:t>
      </w:r>
    </w:p>
    <w:p>
      <w:pPr>
        <w:spacing w:after="0" w:line="174"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Secondly, in view of forthcoming changes to the Board composition, we propose to extend participation in the RSP to Executive Directors. Our strategy is capital intensive and geared to the long term. Continuity is therefore a key business concern. Ahead of the retirement of Jeroen van der Veer and Rob Routs in the coming months, it is appropriate to consider a retention grant, maturing in three years, for the three Executive Directors who remain.</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Details of the proposals are covered in the relevant sections of this report.</w:t>
      </w:r>
    </w:p>
    <w:p>
      <w:pPr>
        <w:spacing w:after="0" w:line="199"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Furthermore, the Committee wishes to distinguish the pay of the Chief Executive more markedly from that of other Executive Directors to reflect the responsibilities of the position. The Committee has therefore increased the target bonus for the Chief Executive to 150% of base salary.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 look forward to meeting you at our AGM on May 20, 2008.</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Sir Peter Job</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Remuneration Committee</w:t>
      </w:r>
    </w:p>
    <w:p>
      <w:pPr>
        <w:spacing w:after="0"/>
        <w:rPr>
          <w:sz w:val="20"/>
          <w:szCs w:val="20"/>
          <w:color w:val="auto"/>
        </w:rPr>
      </w:pPr>
      <w:r>
        <w:rPr>
          <w:rFonts w:ascii="Arial" w:cs="Arial" w:eastAsia="Arial" w:hAnsi="Arial"/>
          <w:sz w:val="14"/>
          <w:szCs w:val="14"/>
          <w:color w:val="auto"/>
        </w:rPr>
        <w:t>March 11, 2008</w:t>
      </w:r>
    </w:p>
    <w:p>
      <w:pPr>
        <w:spacing w:after="0" w:line="187" w:lineRule="exact"/>
        <w:rPr>
          <w:sz w:val="20"/>
          <w:szCs w:val="20"/>
          <w:color w:val="auto"/>
        </w:rPr>
      </w:pPr>
    </w:p>
    <w:p>
      <w:pPr>
        <w:ind w:left="3580"/>
        <w:spacing w:after="0"/>
        <w:tabs>
          <w:tab w:leader="none" w:pos="48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699770</wp:posOffset>
            </wp:positionV>
            <wp:extent cx="725297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DIRECTORS’ REMUNERATION REPORT</w:t>
      </w:r>
    </w:p>
    <w:p>
      <w:pPr>
        <w:spacing w:after="0" w:line="89" w:lineRule="exact"/>
        <w:rPr>
          <w:sz w:val="20"/>
          <w:szCs w:val="20"/>
          <w:color w:val="auto"/>
        </w:rPr>
      </w:pPr>
    </w:p>
    <w:p>
      <w:pPr>
        <w:spacing w:after="0"/>
        <w:rPr>
          <w:sz w:val="20"/>
          <w:szCs w:val="20"/>
          <w:color w:val="auto"/>
        </w:rPr>
      </w:pPr>
      <w:r>
        <w:rPr>
          <w:rFonts w:ascii="Arial" w:cs="Arial" w:eastAsia="Arial" w:hAnsi="Arial"/>
          <w:sz w:val="32"/>
          <w:szCs w:val="32"/>
          <w:color w:val="auto"/>
        </w:rPr>
        <w:t>The Remuneration Committee (REMCO)</w:t>
      </w:r>
    </w:p>
    <w:p>
      <w:pPr>
        <w:sectPr>
          <w:pgSz w:w="11900" w:h="16838" w:orient="portrait"/>
          <w:cols w:equalWidth="0" w:num="1">
            <w:col w:w="10360"/>
          </w:cols>
          <w:pgMar w:left="240" w:top="415" w:right="12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31635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33"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color w:val="auto"/>
        </w:rPr>
        <w:t>Aarnout Loudon retired as the chairman of REMCO on May 15, 2007. Sir Peter Job replaced him as chairman with effect from May 16, 2007. REMCO is made up of two independent Non-executive Directors and the Chairman of the Board.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current members are:</w:t>
      </w:r>
    </w:p>
    <w:p>
      <w:pPr>
        <w:spacing w:after="0" w:line="8" w:lineRule="exact"/>
        <w:rPr>
          <w:sz w:val="20"/>
          <w:szCs w:val="20"/>
          <w:color w:val="auto"/>
        </w:rPr>
      </w:pPr>
    </w:p>
    <w:p>
      <w:pPr>
        <w:ind w:left="200" w:hanging="193"/>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Sir Peter Job (Chairman);</w:t>
      </w:r>
    </w:p>
    <w:p>
      <w:pPr>
        <w:spacing w:after="0" w:line="6" w:lineRule="exact"/>
        <w:rPr>
          <w:rFonts w:ascii="Arial" w:cs="Arial" w:eastAsia="Arial" w:hAnsi="Arial"/>
          <w:sz w:val="16"/>
          <w:szCs w:val="16"/>
          <w:b w:val="1"/>
          <w:bCs w:val="1"/>
          <w:color w:val="auto"/>
        </w:rPr>
      </w:pPr>
    </w:p>
    <w:p>
      <w:pPr>
        <w:ind w:left="200" w:hanging="193"/>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Lord Kerr of Kinlochard; and</w:t>
      </w:r>
    </w:p>
    <w:p>
      <w:pPr>
        <w:spacing w:after="0" w:line="15" w:lineRule="exact"/>
        <w:rPr>
          <w:rFonts w:ascii="Arial" w:cs="Arial" w:eastAsia="Arial" w:hAnsi="Arial"/>
          <w:sz w:val="16"/>
          <w:szCs w:val="16"/>
          <w:b w:val="1"/>
          <w:bCs w:val="1"/>
          <w:color w:val="auto"/>
        </w:rPr>
      </w:pPr>
    </w:p>
    <w:p>
      <w:pPr>
        <w:ind w:left="200" w:hanging="193"/>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color w:val="auto"/>
        </w:rPr>
        <w:t>Jorma Ollila.</w:t>
      </w:r>
    </w:p>
    <w:p>
      <w:pPr>
        <w:spacing w:after="0" w:line="216"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In March 2008, it was agreed to appoint Dr Josef Ackermann as a member of the Committee, a third independent Non-executive Director, with effect from the close of business of the 2008 AGM, subject to his election as a Director of the Company at the AGM.</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See biographies on pages 80 and 81.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REMCO met six times in 2007, with attendance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780" w:type="dxa"/>
            <w:vAlign w:val="bottom"/>
            <w:shd w:val="clear" w:color="auto" w:fill="C1D72E"/>
          </w:tcPr>
          <w:p>
            <w:pPr>
              <w:ind w:left="40"/>
              <w:spacing w:after="0"/>
              <w:rPr>
                <w:sz w:val="20"/>
                <w:szCs w:val="20"/>
                <w:color w:val="auto"/>
              </w:rPr>
            </w:pPr>
            <w:r>
              <w:rPr>
                <w:rFonts w:ascii="Arial" w:cs="Arial" w:eastAsia="Arial" w:hAnsi="Arial"/>
                <w:sz w:val="12"/>
                <w:szCs w:val="12"/>
                <w:b w:val="1"/>
                <w:bCs w:val="1"/>
                <w:color w:val="auto"/>
              </w:rPr>
              <w:t>DIRECTOR</w:t>
            </w:r>
          </w:p>
        </w:tc>
        <w:tc>
          <w:tcPr>
            <w:tcW w:w="2200" w:type="dxa"/>
            <w:vAlign w:val="bottom"/>
            <w:shd w:val="clear" w:color="auto" w:fill="C1D72E"/>
          </w:tcPr>
          <w:p>
            <w:pPr>
              <w:jc w:val="right"/>
              <w:spacing w:after="0"/>
              <w:rPr>
                <w:sz w:val="20"/>
                <w:szCs w:val="20"/>
                <w:color w:val="auto"/>
              </w:rPr>
            </w:pPr>
            <w:r>
              <w:rPr>
                <w:rFonts w:ascii="Arial" w:cs="Arial" w:eastAsia="Arial" w:hAnsi="Arial"/>
                <w:sz w:val="12"/>
                <w:szCs w:val="12"/>
                <w:b w:val="1"/>
                <w:bCs w:val="1"/>
                <w:color w:val="auto"/>
              </w:rPr>
              <w:t>ATTENDANCE</w:t>
            </w:r>
          </w:p>
        </w:tc>
      </w:tr>
      <w:tr>
        <w:trPr>
          <w:trHeight w:val="165"/>
        </w:trPr>
        <w:tc>
          <w:tcPr>
            <w:tcW w:w="2780" w:type="dxa"/>
            <w:vAlign w:val="bottom"/>
          </w:tcPr>
          <w:p>
            <w:pPr>
              <w:spacing w:after="0"/>
              <w:rPr>
                <w:sz w:val="20"/>
                <w:szCs w:val="20"/>
                <w:color w:val="auto"/>
              </w:rPr>
            </w:pPr>
            <w:r>
              <w:rPr>
                <w:rFonts w:ascii="Arial" w:cs="Arial" w:eastAsia="Arial" w:hAnsi="Arial"/>
                <w:sz w:val="14"/>
                <w:szCs w:val="14"/>
                <w:color w:val="auto"/>
              </w:rPr>
              <w:t>Aarnout Loudon</w:t>
            </w:r>
          </w:p>
        </w:tc>
        <w:tc>
          <w:tcPr>
            <w:tcW w:w="220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0"/>
        </w:trPr>
        <w:tc>
          <w:tcPr>
            <w:tcW w:w="2780" w:type="dxa"/>
            <w:vAlign w:val="bottom"/>
          </w:tcPr>
          <w:p>
            <w:pPr>
              <w:spacing w:after="0" w:line="160" w:lineRule="exact"/>
              <w:rPr>
                <w:sz w:val="20"/>
                <w:szCs w:val="20"/>
                <w:color w:val="auto"/>
              </w:rPr>
            </w:pPr>
            <w:r>
              <w:rPr>
                <w:rFonts w:ascii="Arial" w:cs="Arial" w:eastAsia="Arial" w:hAnsi="Arial"/>
                <w:sz w:val="14"/>
                <w:szCs w:val="14"/>
                <w:color w:val="auto"/>
              </w:rPr>
              <w:t>Sir Peter Job</w:t>
            </w:r>
          </w:p>
        </w:tc>
        <w:tc>
          <w:tcPr>
            <w:tcW w:w="2200" w:type="dxa"/>
            <w:vAlign w:val="bottom"/>
          </w:tcPr>
          <w:p>
            <w:pPr>
              <w:jc w:val="right"/>
              <w:spacing w:after="0" w:line="160" w:lineRule="exact"/>
              <w:rPr>
                <w:sz w:val="20"/>
                <w:szCs w:val="20"/>
                <w:color w:val="auto"/>
              </w:rPr>
            </w:pPr>
            <w:r>
              <w:rPr>
                <w:rFonts w:ascii="Arial" w:cs="Arial" w:eastAsia="Arial" w:hAnsi="Arial"/>
                <w:sz w:val="14"/>
                <w:szCs w:val="14"/>
                <w:color w:val="auto"/>
              </w:rPr>
              <w:t>6/6</w:t>
            </w:r>
          </w:p>
        </w:tc>
      </w:tr>
      <w:tr>
        <w:trPr>
          <w:trHeight w:val="160"/>
        </w:trPr>
        <w:tc>
          <w:tcPr>
            <w:tcW w:w="2780" w:type="dxa"/>
            <w:vAlign w:val="bottom"/>
          </w:tcPr>
          <w:p>
            <w:pPr>
              <w:spacing w:after="0" w:line="160" w:lineRule="exact"/>
              <w:rPr>
                <w:sz w:val="20"/>
                <w:szCs w:val="20"/>
                <w:color w:val="auto"/>
              </w:rPr>
            </w:pPr>
            <w:r>
              <w:rPr>
                <w:rFonts w:ascii="Arial" w:cs="Arial" w:eastAsia="Arial" w:hAnsi="Arial"/>
                <w:sz w:val="14"/>
                <w:szCs w:val="14"/>
                <w:color w:val="auto"/>
              </w:rPr>
              <w:t>Lord Kerr of Kinlochard</w:t>
            </w:r>
          </w:p>
        </w:tc>
        <w:tc>
          <w:tcPr>
            <w:tcW w:w="2200" w:type="dxa"/>
            <w:vAlign w:val="bottom"/>
          </w:tcPr>
          <w:p>
            <w:pPr>
              <w:jc w:val="right"/>
              <w:spacing w:after="0" w:line="160" w:lineRule="exact"/>
              <w:rPr>
                <w:sz w:val="20"/>
                <w:szCs w:val="20"/>
                <w:color w:val="auto"/>
              </w:rPr>
            </w:pPr>
            <w:r>
              <w:rPr>
                <w:rFonts w:ascii="Arial" w:cs="Arial" w:eastAsia="Arial" w:hAnsi="Arial"/>
                <w:sz w:val="14"/>
                <w:szCs w:val="14"/>
                <w:color w:val="auto"/>
              </w:rPr>
              <w:t>6/6</w:t>
            </w:r>
          </w:p>
        </w:tc>
      </w:tr>
      <w:tr>
        <w:trPr>
          <w:trHeight w:val="155"/>
        </w:trPr>
        <w:tc>
          <w:tcPr>
            <w:tcW w:w="2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Jorma Ollila</w:t>
            </w:r>
          </w:p>
        </w:tc>
        <w:tc>
          <w:tcPr>
            <w:tcW w:w="2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31635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REMCO’s key responsibilities in respect of Executive Directors include:</w:t>
      </w:r>
    </w:p>
    <w:p>
      <w:pPr>
        <w:spacing w:after="0" w:line="8" w:lineRule="exact"/>
        <w:rPr>
          <w:sz w:val="20"/>
          <w:szCs w:val="20"/>
          <w:color w:val="auto"/>
        </w:rPr>
      </w:pPr>
    </w:p>
    <w:p>
      <w:pPr>
        <w:ind w:left="200" w:right="640" w:hanging="192"/>
        <w:spacing w:after="0" w:line="254" w:lineRule="auto"/>
        <w:tabs>
          <w:tab w:leader="none" w:pos="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agreeing performance frameworks, setting targets and reviewing performance;</w:t>
      </w:r>
    </w:p>
    <w:p>
      <w:pPr>
        <w:ind w:left="200" w:hanging="192"/>
        <w:spacing w:after="0"/>
        <w:tabs>
          <w:tab w:leader="none" w:pos="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determining remuneration and benefits; and</w:t>
      </w:r>
    </w:p>
    <w:p>
      <w:pPr>
        <w:spacing w:after="0" w:line="15" w:lineRule="exact"/>
        <w:rPr>
          <w:rFonts w:ascii="Arial" w:cs="Arial" w:eastAsia="Arial" w:hAnsi="Arial"/>
          <w:sz w:val="16"/>
          <w:szCs w:val="16"/>
          <w:b w:val="1"/>
          <w:bCs w:val="1"/>
          <w:color w:val="auto"/>
        </w:rPr>
      </w:pPr>
    </w:p>
    <w:p>
      <w:pPr>
        <w:ind w:left="200" w:hanging="192"/>
        <w:spacing w:after="0"/>
        <w:tabs>
          <w:tab w:leader="none" w:pos="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determining contractual terms.</w:t>
      </w:r>
    </w:p>
    <w:p>
      <w:pPr>
        <w:spacing w:after="0" w:line="216" w:lineRule="exact"/>
        <w:rPr>
          <w:sz w:val="20"/>
          <w:szCs w:val="20"/>
          <w:color w:val="auto"/>
        </w:rPr>
      </w:pPr>
    </w:p>
    <w:p>
      <w:pPr>
        <w:jc w:val="both"/>
        <w:ind w:right="280"/>
        <w:spacing w:after="0" w:line="231" w:lineRule="auto"/>
        <w:rPr>
          <w:sz w:val="20"/>
          <w:szCs w:val="20"/>
          <w:color w:val="auto"/>
        </w:rPr>
      </w:pPr>
      <w:r>
        <w:rPr>
          <w:rFonts w:ascii="Arial" w:cs="Arial" w:eastAsia="Arial" w:hAnsi="Arial"/>
          <w:sz w:val="14"/>
          <w:szCs w:val="14"/>
          <w:color w:val="auto"/>
        </w:rPr>
        <w:t>REMCO also keeps informed of remuneration issues and employment conditions elsewhere in Shell. The Committee periodically monitors remuneration for senior executives to ensure alignment and consistency with the Company’s remuneration objectives.</w:t>
      </w:r>
    </w:p>
    <w:p>
      <w:pPr>
        <w:spacing w:after="0" w:line="179"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color w:val="auto"/>
        </w:rPr>
        <w:t>REMCO’s Terms of Reference are reviewed annually and updated, where necessary. You can find them on the Shell website www.shell.com/investor or you can ask the Company Secretary for copies. See inside back cover for details.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ADVISERS TO REMCO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41275</wp:posOffset>
            </wp:positionV>
            <wp:extent cx="31635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ind w:right="120"/>
        <w:spacing w:after="0" w:line="226" w:lineRule="auto"/>
        <w:rPr>
          <w:sz w:val="20"/>
          <w:szCs w:val="20"/>
          <w:color w:val="auto"/>
        </w:rPr>
      </w:pPr>
      <w:r>
        <w:rPr>
          <w:rFonts w:ascii="Arial" w:cs="Arial" w:eastAsia="Arial" w:hAnsi="Arial"/>
          <w:sz w:val="14"/>
          <w:szCs w:val="14"/>
          <w:color w:val="auto"/>
        </w:rPr>
        <w:t>During 2007, REMCO sought advice within Shell from Hugh Mitchell, Human Resources Director and Secretary to the Committee and from Michael Reiff, Head of Remuneration and Benefits. Jeroen van der Veer, Chief Executive, was invited by REMCO to provide further information to the Committee on the Shell Scorecard, the remuneration of senior executives, and the performance of the other Executive Directors.</w:t>
      </w:r>
    </w:p>
    <w:p>
      <w:pPr>
        <w:spacing w:after="0" w:line="183"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REMCO appointed no external remuneration consultants during 2007. External market data and plan valuations from Towers Perrin supported decision making.</w:t>
      </w:r>
    </w:p>
    <w:p>
      <w:pPr>
        <w:spacing w:after="0" w:line="200" w:lineRule="exact"/>
        <w:rPr>
          <w:sz w:val="20"/>
          <w:szCs w:val="20"/>
          <w:color w:val="auto"/>
        </w:rPr>
      </w:pPr>
    </w:p>
    <w:p>
      <w:pPr>
        <w:sectPr>
          <w:pgSz w:w="11900" w:h="16838" w:orient="portrait"/>
          <w:cols w:equalWidth="0" w:num="2">
            <w:col w:w="4980" w:space="420"/>
            <w:col w:w="4960"/>
          </w:cols>
          <w:pgMar w:left="240" w:top="415" w:right="1299" w:bottom="1440" w:gutter="0" w:footer="0" w:header="0"/>
          <w:type w:val="continuous"/>
        </w:sectPr>
      </w:pPr>
    </w:p>
    <w:p>
      <w:pPr>
        <w:spacing w:after="0" w:line="326" w:lineRule="exact"/>
        <w:rPr>
          <w:sz w:val="20"/>
          <w:szCs w:val="20"/>
          <w:color w:val="auto"/>
        </w:rPr>
      </w:pPr>
    </w:p>
    <w:p>
      <w:pPr>
        <w:ind w:left="320" w:hanging="313"/>
        <w:spacing w:after="0"/>
        <w:tabs>
          <w:tab w:leader="none" w:pos="320" w:val="left"/>
        </w:tabs>
        <w:numPr>
          <w:ilvl w:val="0"/>
          <w:numId w:val="114"/>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544195</wp:posOffset>
            </wp:positionV>
            <wp:extent cx="725297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360"/>
          </w:cols>
          <w:pgMar w:left="240" w:top="415" w:right="129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3"/>
          <w:szCs w:val="33"/>
          <w:color w:val="auto"/>
        </w:rPr>
        <w:t>Executive Directors’ remuneration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OVERALL REMUNERATION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1635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principles underpin REMCO remuneration policies and decisions for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Executive Directors:</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 FOR PERFORMANCE</w:t>
      </w:r>
    </w:p>
    <w:p>
      <w:pPr>
        <w:spacing w:after="0" w:line="6" w:lineRule="exact"/>
        <w:rPr>
          <w:sz w:val="20"/>
          <w:szCs w:val="20"/>
          <w:color w:val="auto"/>
        </w:rPr>
      </w:pPr>
    </w:p>
    <w:p>
      <w:pPr>
        <w:ind w:right="80"/>
        <w:spacing w:after="0" w:line="229" w:lineRule="auto"/>
        <w:rPr>
          <w:sz w:val="20"/>
          <w:szCs w:val="20"/>
          <w:color w:val="auto"/>
        </w:rPr>
      </w:pPr>
      <w:r>
        <w:rPr>
          <w:rFonts w:ascii="Arial" w:cs="Arial" w:eastAsia="Arial" w:hAnsi="Arial"/>
          <w:sz w:val="14"/>
          <w:szCs w:val="14"/>
          <w:color w:val="auto"/>
        </w:rPr>
        <w:t>The remuneration structures for Executive Directors are designed to reward overall achievement of Shell’s objectives, in a way which ensures that outstanding leadership and results are significantly rewarded.</w:t>
      </w:r>
    </w:p>
    <w:p>
      <w:pPr>
        <w:spacing w:after="0" w:line="180" w:lineRule="exact"/>
        <w:rPr>
          <w:sz w:val="20"/>
          <w:szCs w:val="20"/>
          <w:color w:val="auto"/>
        </w:rPr>
      </w:pPr>
    </w:p>
    <w:p>
      <w:pPr>
        <w:jc w:val="both"/>
        <w:ind w:right="220"/>
        <w:spacing w:after="0" w:line="260" w:lineRule="auto"/>
        <w:rPr>
          <w:sz w:val="20"/>
          <w:szCs w:val="20"/>
          <w:color w:val="auto"/>
        </w:rPr>
      </w:pPr>
      <w:r>
        <w:rPr>
          <w:rFonts w:ascii="Arial" w:cs="Arial" w:eastAsia="Arial" w:hAnsi="Arial"/>
          <w:sz w:val="13"/>
          <w:szCs w:val="13"/>
          <w:color w:val="auto"/>
        </w:rPr>
        <w:t>More than half an Executive Director’s target total direct compensation (excluding pension) is linked to performance and weighted to the long term. This proportion is consistent with market practice and the long-term nature of Shell’s business.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PAY MIX FOR 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163570" cy="7867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163570" cy="78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COMPETITIVENESS</w:t>
      </w:r>
    </w:p>
    <w:p>
      <w:pPr>
        <w:spacing w:after="0" w:line="6" w:lineRule="exact"/>
        <w:rPr>
          <w:sz w:val="20"/>
          <w:szCs w:val="20"/>
          <w:color w:val="auto"/>
        </w:rPr>
      </w:pPr>
    </w:p>
    <w:p>
      <w:pPr>
        <w:ind w:right="80"/>
        <w:spacing w:after="0" w:line="224" w:lineRule="auto"/>
        <w:rPr>
          <w:sz w:val="20"/>
          <w:szCs w:val="20"/>
          <w:color w:val="auto"/>
        </w:rPr>
      </w:pPr>
      <w:r>
        <w:rPr>
          <w:rFonts w:ascii="Arial" w:cs="Arial" w:eastAsia="Arial" w:hAnsi="Arial"/>
          <w:sz w:val="14"/>
          <w:szCs w:val="14"/>
          <w:color w:val="auto"/>
        </w:rPr>
        <w:t>REMCO sets competitive total remuneration levels to attract and motivate talented individuals. These levels are determined by reference to the practices of companies of comparable size, complexity and global scope. Pensions and other benefits are set in line with local market practices due to the range of national social security and tax regimes involved.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SHAREHOLDING</w:t>
      </w:r>
    </w:p>
    <w:p>
      <w:pPr>
        <w:spacing w:after="0" w:line="6" w:lineRule="exact"/>
        <w:rPr>
          <w:sz w:val="20"/>
          <w:szCs w:val="20"/>
          <w:color w:val="auto"/>
        </w:rPr>
      </w:pPr>
    </w:p>
    <w:p>
      <w:pPr>
        <w:ind w:right="120"/>
        <w:spacing w:after="0" w:line="234" w:lineRule="auto"/>
        <w:rPr>
          <w:sz w:val="20"/>
          <w:szCs w:val="20"/>
          <w:color w:val="auto"/>
        </w:rPr>
      </w:pPr>
      <w:r>
        <w:rPr>
          <w:rFonts w:ascii="Arial" w:cs="Arial" w:eastAsia="Arial" w:hAnsi="Arial"/>
          <w:sz w:val="14"/>
          <w:szCs w:val="14"/>
          <w:color w:val="auto"/>
        </w:rPr>
        <w:t>REMCO believes that Executive Directors should align their long-term interests with those of shareholders by holding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CONSISTENCY</w:t>
      </w:r>
    </w:p>
    <w:p>
      <w:pPr>
        <w:spacing w:after="0" w:line="6" w:lineRule="exact"/>
        <w:rPr>
          <w:sz w:val="20"/>
          <w:szCs w:val="20"/>
          <w:color w:val="auto"/>
        </w:rPr>
      </w:pPr>
    </w:p>
    <w:p>
      <w:pPr>
        <w:spacing w:after="0" w:line="307" w:lineRule="auto"/>
        <w:rPr>
          <w:sz w:val="20"/>
          <w:szCs w:val="20"/>
          <w:color w:val="auto"/>
        </w:rPr>
      </w:pPr>
      <w:r>
        <w:rPr>
          <w:rFonts w:ascii="Arial" w:cs="Arial" w:eastAsia="Arial" w:hAnsi="Arial"/>
          <w:sz w:val="12"/>
          <w:szCs w:val="12"/>
          <w:color w:val="auto"/>
        </w:rPr>
        <w:t>Shell’s base salary, annual bonus and long-term incentive plans for Executive Directors are consistent in structure and design with those for senior managers of Shell.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-490855</wp:posOffset>
            </wp:positionV>
            <wp:extent cx="177800" cy="70707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7800" cy="7070725"/>
                    </a:xfrm>
                    <a:prstGeom prst="rect">
                      <a:avLst/>
                    </a:prstGeom>
                    <a:noFill/>
                  </pic:spPr>
                </pic:pic>
              </a:graphicData>
            </a:graphic>
          </wp:anchor>
        </w:drawing>
      </w:r>
    </w:p>
    <w:p>
      <w:pPr>
        <w:jc w:val="both"/>
        <w:ind w:right="180"/>
        <w:spacing w:after="0" w:line="226" w:lineRule="auto"/>
        <w:rPr>
          <w:sz w:val="20"/>
          <w:szCs w:val="20"/>
          <w:color w:val="auto"/>
        </w:rPr>
      </w:pPr>
      <w:r>
        <w:rPr>
          <w:rFonts w:ascii="Arial" w:cs="Arial" w:eastAsia="Arial" w:hAnsi="Arial"/>
          <w:sz w:val="14"/>
          <w:szCs w:val="14"/>
          <w:color w:val="auto"/>
        </w:rPr>
        <w:t>REMCO takes its decisions in the context of the Shell General Business Principles. REMCO ensures compliance with legal and corporate governance regulations in the UK and US and with applicable laws when designing and implementing policies and plans.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 STRUCTURE</w:t>
      </w:r>
    </w:p>
    <w:p>
      <w:pPr>
        <w:spacing w:after="0" w:line="6" w:lineRule="exact"/>
        <w:rPr>
          <w:sz w:val="20"/>
          <w:szCs w:val="20"/>
          <w:color w:val="auto"/>
        </w:rPr>
      </w:pPr>
    </w:p>
    <w:p>
      <w:pPr>
        <w:jc w:val="both"/>
        <w:ind w:right="260"/>
        <w:spacing w:after="0" w:line="307" w:lineRule="auto"/>
        <w:rPr>
          <w:sz w:val="20"/>
          <w:szCs w:val="20"/>
          <w:color w:val="auto"/>
        </w:rPr>
      </w:pPr>
      <w:r>
        <w:rPr>
          <w:rFonts w:ascii="Arial" w:cs="Arial" w:eastAsia="Arial" w:hAnsi="Arial"/>
          <w:sz w:val="12"/>
          <w:szCs w:val="12"/>
          <w:color w:val="auto"/>
        </w:rPr>
        <w:t>The Executive Directors’ compensation package is made up of: base salary, annual bonus, long-term incentives, i.e. LTIP and DBP awards, pension and other benefits.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 SALARY</w:t>
      </w:r>
    </w:p>
    <w:p>
      <w:pPr>
        <w:spacing w:after="0" w:line="6"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Base salary levels are set with reference to appropriate market levels as benchmarked against a comparator group comprising companies of comparable size, complexity and scope. The current grouping consists of the oil majors (BP, Chevron, ExxonMobil and Total) and a selection of top European-based companies, including a selection from the FTSE and AEX</w:t>
      </w:r>
      <w:r>
        <w:rPr>
          <w:rFonts w:ascii="Arial" w:cs="Arial" w:eastAsia="Arial" w:hAnsi="Arial"/>
          <w:sz w:val="12"/>
          <w:szCs w:val="12"/>
          <w:b w:val="1"/>
          <w:bCs w:val="1"/>
          <w:color w:val="auto"/>
        </w:rPr>
        <w:t>[A]</w:t>
      </w:r>
      <w:r>
        <w:rPr>
          <w:rFonts w:ascii="Arial" w:cs="Arial" w:eastAsia="Arial" w:hAnsi="Arial"/>
          <w:sz w:val="14"/>
          <w:szCs w:val="14"/>
          <w:color w:val="auto"/>
        </w:rPr>
        <w:t>. The spread provides a balanced mix across industry sectors and geography.</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400" w:type="dxa"/>
            <w:vAlign w:val="bottom"/>
          </w:tcPr>
          <w:p>
            <w:pPr>
              <w:spacing w:after="0"/>
              <w:rPr>
                <w:sz w:val="20"/>
                <w:szCs w:val="20"/>
                <w:color w:val="auto"/>
              </w:rPr>
            </w:pPr>
            <w:r>
              <w:rPr>
                <w:rFonts w:ascii="Arial" w:cs="Arial" w:eastAsia="Arial" w:hAnsi="Arial"/>
                <w:sz w:val="12"/>
                <w:szCs w:val="12"/>
                <w:color w:val="auto"/>
              </w:rPr>
              <w:t>[A] Allianz</w:t>
            </w:r>
          </w:p>
        </w:tc>
        <w:tc>
          <w:tcPr>
            <w:tcW w:w="1680" w:type="dxa"/>
            <w:vAlign w:val="bottom"/>
          </w:tcPr>
          <w:p>
            <w:pPr>
              <w:ind w:left="340"/>
              <w:spacing w:after="0"/>
              <w:rPr>
                <w:sz w:val="20"/>
                <w:szCs w:val="20"/>
                <w:color w:val="auto"/>
              </w:rPr>
            </w:pPr>
            <w:r>
              <w:rPr>
                <w:rFonts w:ascii="Arial" w:cs="Arial" w:eastAsia="Arial" w:hAnsi="Arial"/>
                <w:sz w:val="12"/>
                <w:szCs w:val="12"/>
                <w:color w:val="auto"/>
              </w:rPr>
              <w:t>Diageo</w:t>
            </w:r>
          </w:p>
        </w:tc>
        <w:tc>
          <w:tcPr>
            <w:tcW w:w="920" w:type="dxa"/>
            <w:vAlign w:val="bottom"/>
          </w:tcPr>
          <w:p>
            <w:pPr>
              <w:ind w:left="400"/>
              <w:spacing w:after="0"/>
              <w:rPr>
                <w:sz w:val="20"/>
                <w:szCs w:val="20"/>
                <w:color w:val="auto"/>
              </w:rPr>
            </w:pPr>
            <w:r>
              <w:rPr>
                <w:rFonts w:ascii="Arial" w:cs="Arial" w:eastAsia="Arial" w:hAnsi="Arial"/>
                <w:sz w:val="12"/>
                <w:szCs w:val="12"/>
                <w:color w:val="auto"/>
              </w:rPr>
              <w:t>Rio Tinto</w:t>
            </w:r>
          </w:p>
        </w:tc>
      </w:tr>
      <w:tr>
        <w:trPr>
          <w:trHeight w:val="133"/>
        </w:trPr>
        <w:tc>
          <w:tcPr>
            <w:tcW w:w="1400" w:type="dxa"/>
            <w:vAlign w:val="bottom"/>
          </w:tcPr>
          <w:p>
            <w:pPr>
              <w:ind w:left="200"/>
              <w:spacing w:after="0" w:line="133" w:lineRule="exact"/>
              <w:rPr>
                <w:sz w:val="20"/>
                <w:szCs w:val="20"/>
                <w:color w:val="auto"/>
              </w:rPr>
            </w:pPr>
            <w:r>
              <w:rPr>
                <w:rFonts w:ascii="Arial" w:cs="Arial" w:eastAsia="Arial" w:hAnsi="Arial"/>
                <w:sz w:val="12"/>
                <w:szCs w:val="12"/>
                <w:color w:val="auto"/>
              </w:rPr>
              <w:t>Anglo American</w:t>
            </w:r>
          </w:p>
        </w:tc>
        <w:tc>
          <w:tcPr>
            <w:tcW w:w="1680" w:type="dxa"/>
            <w:vAlign w:val="bottom"/>
          </w:tcPr>
          <w:p>
            <w:pPr>
              <w:ind w:left="340"/>
              <w:spacing w:after="0" w:line="133" w:lineRule="exact"/>
              <w:rPr>
                <w:sz w:val="20"/>
                <w:szCs w:val="20"/>
                <w:color w:val="auto"/>
              </w:rPr>
            </w:pPr>
            <w:r>
              <w:rPr>
                <w:rFonts w:ascii="Arial" w:cs="Arial" w:eastAsia="Arial" w:hAnsi="Arial"/>
                <w:sz w:val="12"/>
                <w:szCs w:val="12"/>
                <w:color w:val="auto"/>
              </w:rPr>
              <w:t>E.ON</w:t>
            </w:r>
          </w:p>
        </w:tc>
        <w:tc>
          <w:tcPr>
            <w:tcW w:w="920" w:type="dxa"/>
            <w:vAlign w:val="bottom"/>
          </w:tcPr>
          <w:p>
            <w:pPr>
              <w:ind w:left="400"/>
              <w:spacing w:after="0" w:line="133" w:lineRule="exact"/>
              <w:rPr>
                <w:sz w:val="20"/>
                <w:szCs w:val="20"/>
                <w:color w:val="auto"/>
              </w:rPr>
            </w:pPr>
            <w:r>
              <w:rPr>
                <w:rFonts w:ascii="Arial" w:cs="Arial" w:eastAsia="Arial" w:hAnsi="Arial"/>
                <w:sz w:val="12"/>
                <w:szCs w:val="12"/>
                <w:color w:val="auto"/>
              </w:rPr>
              <w:t>Roche</w:t>
            </w:r>
          </w:p>
        </w:tc>
      </w:tr>
      <w:tr>
        <w:trPr>
          <w:trHeight w:val="133"/>
        </w:trPr>
        <w:tc>
          <w:tcPr>
            <w:tcW w:w="1400" w:type="dxa"/>
            <w:vAlign w:val="bottom"/>
          </w:tcPr>
          <w:p>
            <w:pPr>
              <w:ind w:left="200"/>
              <w:spacing w:after="0" w:line="133" w:lineRule="exact"/>
              <w:rPr>
                <w:sz w:val="20"/>
                <w:szCs w:val="20"/>
                <w:color w:val="auto"/>
              </w:rPr>
            </w:pPr>
            <w:r>
              <w:rPr>
                <w:rFonts w:ascii="Arial" w:cs="Arial" w:eastAsia="Arial" w:hAnsi="Arial"/>
                <w:sz w:val="12"/>
                <w:szCs w:val="12"/>
                <w:color w:val="auto"/>
              </w:rPr>
              <w:t>AstraZeneca</w:t>
            </w:r>
          </w:p>
        </w:tc>
        <w:tc>
          <w:tcPr>
            <w:tcW w:w="1680" w:type="dxa"/>
            <w:vAlign w:val="bottom"/>
          </w:tcPr>
          <w:p>
            <w:pPr>
              <w:ind w:left="340"/>
              <w:spacing w:after="0" w:line="133" w:lineRule="exact"/>
              <w:rPr>
                <w:sz w:val="20"/>
                <w:szCs w:val="20"/>
                <w:color w:val="auto"/>
              </w:rPr>
            </w:pPr>
            <w:r>
              <w:rPr>
                <w:rFonts w:ascii="Arial" w:cs="Arial" w:eastAsia="Arial" w:hAnsi="Arial"/>
                <w:sz w:val="12"/>
                <w:szCs w:val="12"/>
                <w:color w:val="auto"/>
              </w:rPr>
              <w:t>GlaxoSmithKline</w:t>
            </w:r>
          </w:p>
        </w:tc>
        <w:tc>
          <w:tcPr>
            <w:tcW w:w="920" w:type="dxa"/>
            <w:vAlign w:val="bottom"/>
          </w:tcPr>
          <w:p>
            <w:pPr>
              <w:ind w:left="400"/>
              <w:spacing w:after="0" w:line="133" w:lineRule="exact"/>
              <w:rPr>
                <w:sz w:val="20"/>
                <w:szCs w:val="20"/>
                <w:color w:val="auto"/>
              </w:rPr>
            </w:pPr>
            <w:r>
              <w:rPr>
                <w:rFonts w:ascii="Arial" w:cs="Arial" w:eastAsia="Arial" w:hAnsi="Arial"/>
                <w:sz w:val="12"/>
                <w:szCs w:val="12"/>
                <w:color w:val="auto"/>
              </w:rPr>
              <w:t>Siemens</w:t>
            </w:r>
          </w:p>
        </w:tc>
      </w:tr>
      <w:tr>
        <w:trPr>
          <w:trHeight w:val="133"/>
        </w:trPr>
        <w:tc>
          <w:tcPr>
            <w:tcW w:w="1400" w:type="dxa"/>
            <w:vAlign w:val="bottom"/>
          </w:tcPr>
          <w:p>
            <w:pPr>
              <w:ind w:left="200"/>
              <w:spacing w:after="0" w:line="133" w:lineRule="exact"/>
              <w:rPr>
                <w:sz w:val="20"/>
                <w:szCs w:val="20"/>
                <w:color w:val="auto"/>
              </w:rPr>
            </w:pPr>
            <w:r>
              <w:rPr>
                <w:rFonts w:ascii="Arial" w:cs="Arial" w:eastAsia="Arial" w:hAnsi="Arial"/>
                <w:sz w:val="12"/>
                <w:szCs w:val="12"/>
                <w:color w:val="auto"/>
              </w:rPr>
              <w:t>AXA</w:t>
            </w:r>
          </w:p>
        </w:tc>
        <w:tc>
          <w:tcPr>
            <w:tcW w:w="1680" w:type="dxa"/>
            <w:vAlign w:val="bottom"/>
          </w:tcPr>
          <w:p>
            <w:pPr>
              <w:ind w:left="340"/>
              <w:spacing w:after="0" w:line="133" w:lineRule="exact"/>
              <w:rPr>
                <w:sz w:val="20"/>
                <w:szCs w:val="20"/>
                <w:color w:val="auto"/>
              </w:rPr>
            </w:pPr>
            <w:r>
              <w:rPr>
                <w:rFonts w:ascii="Arial" w:cs="Arial" w:eastAsia="Arial" w:hAnsi="Arial"/>
                <w:sz w:val="12"/>
                <w:szCs w:val="12"/>
                <w:color w:val="auto"/>
              </w:rPr>
              <w:t>HSBC</w:t>
            </w:r>
          </w:p>
        </w:tc>
        <w:tc>
          <w:tcPr>
            <w:tcW w:w="920" w:type="dxa"/>
            <w:vAlign w:val="bottom"/>
          </w:tcPr>
          <w:p>
            <w:pPr>
              <w:ind w:left="400"/>
              <w:spacing w:after="0" w:line="133" w:lineRule="exact"/>
              <w:rPr>
                <w:sz w:val="20"/>
                <w:szCs w:val="20"/>
                <w:color w:val="auto"/>
              </w:rPr>
            </w:pPr>
            <w:r>
              <w:rPr>
                <w:rFonts w:ascii="Arial" w:cs="Arial" w:eastAsia="Arial" w:hAnsi="Arial"/>
                <w:sz w:val="12"/>
                <w:szCs w:val="12"/>
                <w:color w:val="auto"/>
              </w:rPr>
              <w:t>Unilever</w:t>
            </w:r>
          </w:p>
        </w:tc>
      </w:tr>
      <w:tr>
        <w:trPr>
          <w:trHeight w:val="133"/>
        </w:trPr>
        <w:tc>
          <w:tcPr>
            <w:tcW w:w="1400" w:type="dxa"/>
            <w:vAlign w:val="bottom"/>
          </w:tcPr>
          <w:p>
            <w:pPr>
              <w:ind w:left="200"/>
              <w:spacing w:after="0" w:line="133" w:lineRule="exact"/>
              <w:rPr>
                <w:sz w:val="20"/>
                <w:szCs w:val="20"/>
                <w:color w:val="auto"/>
              </w:rPr>
            </w:pPr>
            <w:r>
              <w:rPr>
                <w:rFonts w:ascii="Arial" w:cs="Arial" w:eastAsia="Arial" w:hAnsi="Arial"/>
                <w:sz w:val="12"/>
                <w:szCs w:val="12"/>
                <w:color w:val="auto"/>
              </w:rPr>
              <w:t>Barclays</w:t>
            </w:r>
          </w:p>
        </w:tc>
        <w:tc>
          <w:tcPr>
            <w:tcW w:w="1680" w:type="dxa"/>
            <w:vAlign w:val="bottom"/>
          </w:tcPr>
          <w:p>
            <w:pPr>
              <w:ind w:left="340"/>
              <w:spacing w:after="0" w:line="133" w:lineRule="exact"/>
              <w:rPr>
                <w:sz w:val="20"/>
                <w:szCs w:val="20"/>
                <w:color w:val="auto"/>
              </w:rPr>
            </w:pPr>
            <w:r>
              <w:rPr>
                <w:rFonts w:ascii="Arial" w:cs="Arial" w:eastAsia="Arial" w:hAnsi="Arial"/>
                <w:sz w:val="12"/>
                <w:szCs w:val="12"/>
                <w:color w:val="auto"/>
              </w:rPr>
              <w:t>Nokia</w:t>
            </w:r>
          </w:p>
        </w:tc>
        <w:tc>
          <w:tcPr>
            <w:tcW w:w="920" w:type="dxa"/>
            <w:vAlign w:val="bottom"/>
          </w:tcPr>
          <w:p>
            <w:pPr>
              <w:ind w:left="400"/>
              <w:spacing w:after="0" w:line="133" w:lineRule="exact"/>
              <w:rPr>
                <w:sz w:val="20"/>
                <w:szCs w:val="20"/>
                <w:color w:val="auto"/>
              </w:rPr>
            </w:pPr>
            <w:r>
              <w:rPr>
                <w:rFonts w:ascii="Arial" w:cs="Arial" w:eastAsia="Arial" w:hAnsi="Arial"/>
                <w:sz w:val="12"/>
                <w:szCs w:val="12"/>
                <w:color w:val="auto"/>
              </w:rPr>
              <w:t>Vivendi</w:t>
            </w:r>
          </w:p>
        </w:tc>
      </w:tr>
      <w:tr>
        <w:trPr>
          <w:trHeight w:val="133"/>
        </w:trPr>
        <w:tc>
          <w:tcPr>
            <w:tcW w:w="1400" w:type="dxa"/>
            <w:vAlign w:val="bottom"/>
          </w:tcPr>
          <w:p>
            <w:pPr>
              <w:ind w:left="200"/>
              <w:spacing w:after="0" w:line="133" w:lineRule="exact"/>
              <w:rPr>
                <w:sz w:val="20"/>
                <w:szCs w:val="20"/>
                <w:color w:val="auto"/>
              </w:rPr>
            </w:pPr>
            <w:r>
              <w:rPr>
                <w:rFonts w:ascii="Arial" w:cs="Arial" w:eastAsia="Arial" w:hAnsi="Arial"/>
                <w:sz w:val="12"/>
                <w:szCs w:val="12"/>
                <w:color w:val="auto"/>
              </w:rPr>
              <w:t>BHP Billiton</w:t>
            </w:r>
          </w:p>
        </w:tc>
        <w:tc>
          <w:tcPr>
            <w:tcW w:w="1680" w:type="dxa"/>
            <w:vAlign w:val="bottom"/>
          </w:tcPr>
          <w:p>
            <w:pPr>
              <w:ind w:left="340"/>
              <w:spacing w:after="0" w:line="133" w:lineRule="exact"/>
              <w:rPr>
                <w:sz w:val="20"/>
                <w:szCs w:val="20"/>
                <w:color w:val="auto"/>
              </w:rPr>
            </w:pPr>
            <w:r>
              <w:rPr>
                <w:rFonts w:ascii="Arial" w:cs="Arial" w:eastAsia="Arial" w:hAnsi="Arial"/>
                <w:sz w:val="12"/>
                <w:szCs w:val="12"/>
                <w:color w:val="auto"/>
              </w:rPr>
              <w:t>Novartis</w:t>
            </w:r>
          </w:p>
        </w:tc>
        <w:tc>
          <w:tcPr>
            <w:tcW w:w="920" w:type="dxa"/>
            <w:vAlign w:val="bottom"/>
          </w:tcPr>
          <w:p>
            <w:pPr>
              <w:ind w:left="400"/>
              <w:spacing w:after="0" w:line="133" w:lineRule="exact"/>
              <w:rPr>
                <w:sz w:val="20"/>
                <w:szCs w:val="20"/>
                <w:color w:val="auto"/>
              </w:rPr>
            </w:pPr>
            <w:r>
              <w:rPr>
                <w:rFonts w:ascii="Arial" w:cs="Arial" w:eastAsia="Arial" w:hAnsi="Arial"/>
                <w:sz w:val="12"/>
                <w:szCs w:val="12"/>
                <w:color w:val="auto"/>
                <w:w w:val="97"/>
              </w:rPr>
              <w:t>Vodafone</w:t>
            </w:r>
          </w:p>
        </w:tc>
      </w:tr>
      <w:tr>
        <w:trPr>
          <w:trHeight w:val="148"/>
        </w:trPr>
        <w:tc>
          <w:tcPr>
            <w:tcW w:w="1400" w:type="dxa"/>
            <w:vAlign w:val="bottom"/>
          </w:tcPr>
          <w:p>
            <w:pPr>
              <w:ind w:left="200"/>
              <w:spacing w:after="0"/>
              <w:rPr>
                <w:sz w:val="20"/>
                <w:szCs w:val="20"/>
                <w:color w:val="auto"/>
              </w:rPr>
            </w:pPr>
            <w:r>
              <w:rPr>
                <w:rFonts w:ascii="Arial" w:cs="Arial" w:eastAsia="Arial" w:hAnsi="Arial"/>
                <w:sz w:val="12"/>
                <w:szCs w:val="12"/>
                <w:color w:val="auto"/>
              </w:rPr>
              <w:t>Deutsche Bank</w:t>
            </w:r>
          </w:p>
        </w:tc>
        <w:tc>
          <w:tcPr>
            <w:tcW w:w="1680" w:type="dxa"/>
            <w:vAlign w:val="bottom"/>
          </w:tcPr>
          <w:p>
            <w:pPr>
              <w:ind w:left="340"/>
              <w:spacing w:after="0"/>
              <w:rPr>
                <w:sz w:val="20"/>
                <w:szCs w:val="20"/>
                <w:color w:val="auto"/>
              </w:rPr>
            </w:pPr>
            <w:r>
              <w:rPr>
                <w:rFonts w:ascii="Arial" w:cs="Arial" w:eastAsia="Arial" w:hAnsi="Arial"/>
                <w:sz w:val="12"/>
                <w:szCs w:val="12"/>
                <w:color w:val="auto"/>
              </w:rPr>
              <w:t>Philips</w:t>
            </w:r>
          </w:p>
        </w:tc>
        <w:tc>
          <w:tcPr>
            <w:tcW w:w="920" w:type="dxa"/>
            <w:vAlign w:val="bottom"/>
          </w:tcPr>
          <w:p>
            <w:pPr>
              <w:spacing w:after="0"/>
              <w:rPr>
                <w:sz w:val="12"/>
                <w:szCs w:val="12"/>
                <w:color w:val="auto"/>
              </w:rPr>
            </w:pPr>
          </w:p>
        </w:tc>
      </w:tr>
    </w:tbl>
    <w:p>
      <w:pPr>
        <w:spacing w:after="0" w:line="185" w:lineRule="exact"/>
        <w:rPr>
          <w:sz w:val="20"/>
          <w:szCs w:val="20"/>
          <w:color w:val="auto"/>
        </w:rPr>
      </w:pPr>
    </w:p>
    <w:p>
      <w:pPr>
        <w:ind w:right="40"/>
        <w:spacing w:after="0" w:line="279" w:lineRule="auto"/>
        <w:rPr>
          <w:sz w:val="20"/>
          <w:szCs w:val="20"/>
          <w:color w:val="auto"/>
        </w:rPr>
      </w:pPr>
      <w:r>
        <w:rPr>
          <w:rFonts w:ascii="Arial" w:cs="Arial" w:eastAsia="Arial" w:hAnsi="Arial"/>
          <w:sz w:val="12"/>
          <w:szCs w:val="12"/>
          <w:color w:val="auto"/>
        </w:rPr>
        <w:t>Base salary levels are set in euro. REMCO reviews and adjusts these levels with effect from July 1 each year. In 2007, REMCO endorsed base salary increases to sustain competitive market positions, recognising normal market movements. The current base salary levels of the Chief Executive and the Executive Directors are shown below.</w:t>
      </w:r>
    </w:p>
    <w:p>
      <w:pPr>
        <w:spacing w:after="0" w:line="1881" w:lineRule="exact"/>
        <w:rPr>
          <w:sz w:val="20"/>
          <w:szCs w:val="20"/>
          <w:color w:val="auto"/>
        </w:rPr>
      </w:pPr>
    </w:p>
    <w:p>
      <w:pPr>
        <w:sectPr>
          <w:pgSz w:w="11900" w:h="16838" w:orient="portrait"/>
          <w:cols w:equalWidth="0" w:num="2">
            <w:col w:w="4960" w:space="440"/>
            <w:col w:w="5000"/>
          </w:cols>
          <w:pgMar w:left="240" w:top="415" w:right="1259" w:bottom="1440" w:gutter="0" w:footer="0" w:header="0"/>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40" w:type="dxa"/>
            <w:vAlign w:val="bottom"/>
            <w:shd w:val="clear" w:color="auto" w:fill="C1D72E"/>
          </w:tcPr>
          <w:p>
            <w:pPr>
              <w:ind w:left="20"/>
              <w:spacing w:after="0"/>
              <w:rPr>
                <w:sz w:val="20"/>
                <w:szCs w:val="20"/>
                <w:color w:val="auto"/>
              </w:rPr>
            </w:pPr>
            <w:r>
              <w:rPr>
                <w:rFonts w:ascii="Arial" w:cs="Arial" w:eastAsia="Arial" w:hAnsi="Arial"/>
                <w:sz w:val="12"/>
                <w:szCs w:val="12"/>
                <w:b w:val="1"/>
                <w:bCs w:val="1"/>
                <w:color w:val="auto"/>
              </w:rPr>
              <w:t>BASE SALARY</w:t>
            </w:r>
          </w:p>
        </w:tc>
        <w:tc>
          <w:tcPr>
            <w:tcW w:w="80" w:type="dxa"/>
            <w:vAlign w:val="bottom"/>
            <w:shd w:val="clear" w:color="auto" w:fill="C1D72E"/>
          </w:tcPr>
          <w:p>
            <w:pPr>
              <w:spacing w:after="0"/>
              <w:rPr>
                <w:sz w:val="15"/>
                <w:szCs w:val="15"/>
                <w:color w:val="auto"/>
              </w:rPr>
            </w:pPr>
          </w:p>
        </w:tc>
        <w:tc>
          <w:tcPr>
            <w:tcW w:w="720" w:type="dxa"/>
            <w:vAlign w:val="bottom"/>
            <w:shd w:val="clear" w:color="auto" w:fill="C1D72E"/>
          </w:tcPr>
          <w:p>
            <w:pPr>
              <w:spacing w:after="0"/>
              <w:rPr>
                <w:sz w:val="15"/>
                <w:szCs w:val="15"/>
                <w:color w:val="auto"/>
              </w:rPr>
            </w:pPr>
          </w:p>
        </w:tc>
        <w:tc>
          <w:tcPr>
            <w:tcW w:w="1100" w:type="dxa"/>
            <w:vAlign w:val="bottom"/>
            <w:shd w:val="clear" w:color="auto" w:fill="C1D72E"/>
          </w:tcPr>
          <w:p>
            <w:pPr>
              <w:spacing w:after="0"/>
              <w:rPr>
                <w:sz w:val="15"/>
                <w:szCs w:val="15"/>
                <w:color w:val="auto"/>
              </w:rPr>
            </w:pPr>
          </w:p>
        </w:tc>
        <w:tc>
          <w:tcPr>
            <w:tcW w:w="1140" w:type="dxa"/>
            <w:vAlign w:val="bottom"/>
            <w:shd w:val="clear" w:color="auto" w:fill="C1D72E"/>
          </w:tcPr>
          <w:p>
            <w:pPr>
              <w:spacing w:after="0"/>
              <w:rPr>
                <w:sz w:val="15"/>
                <w:szCs w:val="15"/>
                <w:color w:val="auto"/>
              </w:rPr>
            </w:pPr>
          </w:p>
        </w:tc>
        <w:tc>
          <w:tcPr>
            <w:tcW w:w="1340" w:type="dxa"/>
            <w:vAlign w:val="bottom"/>
            <w:shd w:val="clear" w:color="auto" w:fill="C1D72E"/>
          </w:tcPr>
          <w:p>
            <w:pPr>
              <w:spacing w:after="0"/>
              <w:rPr>
                <w:sz w:val="15"/>
                <w:szCs w:val="15"/>
                <w:color w:val="auto"/>
              </w:rPr>
            </w:pPr>
          </w:p>
        </w:tc>
        <w:tc>
          <w:tcPr>
            <w:tcW w:w="980" w:type="dxa"/>
            <w:vAlign w:val="bottom"/>
            <w:shd w:val="clear" w:color="auto" w:fill="C1D72E"/>
          </w:tcPr>
          <w:p>
            <w:pPr>
              <w:spacing w:after="0"/>
              <w:rPr>
                <w:sz w:val="15"/>
                <w:szCs w:val="15"/>
                <w:color w:val="auto"/>
              </w:rPr>
            </w:pPr>
          </w:p>
        </w:tc>
        <w:tc>
          <w:tcPr>
            <w:tcW w:w="1280" w:type="dxa"/>
            <w:vAlign w:val="bottom"/>
            <w:shd w:val="clear" w:color="auto" w:fill="C1D72E"/>
          </w:tcPr>
          <w:p>
            <w:pPr>
              <w:spacing w:after="0"/>
              <w:rPr>
                <w:sz w:val="15"/>
                <w:szCs w:val="15"/>
                <w:color w:val="auto"/>
              </w:rPr>
            </w:pPr>
          </w:p>
        </w:tc>
        <w:tc>
          <w:tcPr>
            <w:tcW w:w="1400" w:type="dxa"/>
            <w:vAlign w:val="bottom"/>
            <w:shd w:val="clear" w:color="auto" w:fill="C1D72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340" w:type="dxa"/>
            <w:vAlign w:val="bottom"/>
            <w:shd w:val="clear" w:color="auto" w:fill="CECAC6"/>
          </w:tcPr>
          <w:p>
            <w:pPr>
              <w:spacing w:after="0"/>
              <w:rPr>
                <w:sz w:val="11"/>
                <w:szCs w:val="11"/>
                <w:color w:val="auto"/>
              </w:rPr>
            </w:pPr>
          </w:p>
        </w:tc>
        <w:tc>
          <w:tcPr>
            <w:tcW w:w="80" w:type="dxa"/>
            <w:vAlign w:val="bottom"/>
            <w:shd w:val="clear" w:color="auto" w:fill="CECAC6"/>
          </w:tcPr>
          <w:p>
            <w:pPr>
              <w:spacing w:after="0"/>
              <w:rPr>
                <w:sz w:val="11"/>
                <w:szCs w:val="11"/>
                <w:color w:val="auto"/>
              </w:rPr>
            </w:pPr>
          </w:p>
        </w:tc>
        <w:tc>
          <w:tcPr>
            <w:tcW w:w="720" w:type="dxa"/>
            <w:vAlign w:val="bottom"/>
            <w:vMerge w:val="restart"/>
            <w:shd w:val="clear" w:color="auto" w:fill="CECAC6"/>
          </w:tcPr>
          <w:p>
            <w:pPr>
              <w:jc w:val="right"/>
              <w:ind w:right="10"/>
              <w:spacing w:after="0"/>
              <w:rPr>
                <w:sz w:val="20"/>
                <w:szCs w:val="20"/>
                <w:color w:val="auto"/>
              </w:rPr>
            </w:pPr>
            <w:r>
              <w:rPr>
                <w:rFonts w:ascii="Arial" w:cs="Arial" w:eastAsia="Arial" w:hAnsi="Arial"/>
                <w:sz w:val="12"/>
                <w:szCs w:val="12"/>
                <w:b w:val="1"/>
                <w:bCs w:val="1"/>
                <w:color w:val="auto"/>
              </w:rPr>
              <w:t>€</w:t>
            </w:r>
          </w:p>
        </w:tc>
        <w:tc>
          <w:tcPr>
            <w:tcW w:w="1100" w:type="dxa"/>
            <w:vAlign w:val="bottom"/>
            <w:shd w:val="clear" w:color="auto" w:fill="CECAC6"/>
          </w:tcPr>
          <w:p>
            <w:pPr>
              <w:spacing w:after="0"/>
              <w:rPr>
                <w:sz w:val="11"/>
                <w:szCs w:val="11"/>
                <w:color w:val="auto"/>
              </w:rPr>
            </w:pPr>
          </w:p>
        </w:tc>
        <w:tc>
          <w:tcPr>
            <w:tcW w:w="1140" w:type="dxa"/>
            <w:vAlign w:val="bottom"/>
            <w:shd w:val="clear" w:color="auto" w:fill="CECAC6"/>
          </w:tcPr>
          <w:p>
            <w:pPr>
              <w:jc w:val="right"/>
              <w:ind w:right="12"/>
              <w:spacing w:after="0" w:line="128" w:lineRule="exact"/>
              <w:rPr>
                <w:sz w:val="20"/>
                <w:szCs w:val="20"/>
                <w:color w:val="auto"/>
              </w:rPr>
            </w:pPr>
            <w:r>
              <w:rPr>
                <w:rFonts w:ascii="Arial" w:cs="Arial" w:eastAsia="Arial" w:hAnsi="Arial"/>
                <w:sz w:val="12"/>
                <w:szCs w:val="12"/>
                <w:color w:val="auto"/>
              </w:rPr>
              <w:t>As at July 1, 2007</w:t>
            </w:r>
          </w:p>
        </w:tc>
        <w:tc>
          <w:tcPr>
            <w:tcW w:w="1340" w:type="dxa"/>
            <w:vAlign w:val="bottom"/>
            <w:vMerge w:val="restart"/>
            <w:shd w:val="clear" w:color="auto" w:fill="CECAC6"/>
          </w:tcPr>
          <w:p>
            <w:pPr>
              <w:jc w:val="right"/>
              <w:ind w:right="190"/>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132"/>
              <w:spacing w:after="0" w:line="128" w:lineRule="exact"/>
              <w:rPr>
                <w:sz w:val="20"/>
                <w:szCs w:val="20"/>
                <w:color w:val="auto"/>
              </w:rPr>
            </w:pPr>
            <w:r>
              <w:rPr>
                <w:rFonts w:ascii="Arial" w:cs="Arial" w:eastAsia="Arial" w:hAnsi="Arial"/>
                <w:sz w:val="12"/>
                <w:szCs w:val="12"/>
                <w:color w:val="auto"/>
              </w:rPr>
              <w:t>As at July 1, 2006</w:t>
            </w:r>
          </w:p>
        </w:tc>
        <w:tc>
          <w:tcPr>
            <w:tcW w:w="1400" w:type="dxa"/>
            <w:vAlign w:val="bottom"/>
            <w:shd w:val="clear" w:color="auto" w:fill="CECAC6"/>
          </w:tcPr>
          <w:p>
            <w:pPr>
              <w:jc w:val="right"/>
              <w:ind w:right="50"/>
              <w:spacing w:after="0" w:line="128" w:lineRule="exact"/>
              <w:rPr>
                <w:sz w:val="20"/>
                <w:szCs w:val="20"/>
                <w:color w:val="auto"/>
              </w:rPr>
            </w:pPr>
            <w:r>
              <w:rPr>
                <w:rFonts w:ascii="Arial" w:cs="Arial" w:eastAsia="Arial" w:hAnsi="Arial"/>
                <w:sz w:val="12"/>
                <w:szCs w:val="12"/>
                <w:color w:val="auto"/>
              </w:rPr>
              <w:t>2007 euro increase</w:t>
            </w:r>
          </w:p>
        </w:tc>
        <w:tc>
          <w:tcPr>
            <w:tcW w:w="0" w:type="dxa"/>
            <w:vAlign w:val="bottom"/>
          </w:tcPr>
          <w:p>
            <w:pPr>
              <w:spacing w:after="0"/>
              <w:rPr>
                <w:sz w:val="1"/>
                <w:szCs w:val="1"/>
                <w:color w:val="auto"/>
              </w:rPr>
            </w:pPr>
          </w:p>
        </w:tc>
      </w:tr>
      <w:tr>
        <w:trPr>
          <w:trHeight w:val="139"/>
        </w:trPr>
        <w:tc>
          <w:tcPr>
            <w:tcW w:w="2340" w:type="dxa"/>
            <w:vAlign w:val="bottom"/>
            <w:shd w:val="clear" w:color="auto" w:fill="CECAC6"/>
          </w:tcPr>
          <w:p>
            <w:pPr>
              <w:spacing w:after="0"/>
              <w:rPr>
                <w:sz w:val="12"/>
                <w:szCs w:val="12"/>
                <w:color w:val="auto"/>
              </w:rPr>
            </w:pPr>
          </w:p>
        </w:tc>
        <w:tc>
          <w:tcPr>
            <w:tcW w:w="80" w:type="dxa"/>
            <w:vAlign w:val="bottom"/>
            <w:shd w:val="clear" w:color="auto" w:fill="CECAC6"/>
          </w:tcPr>
          <w:p>
            <w:pPr>
              <w:spacing w:after="0"/>
              <w:rPr>
                <w:sz w:val="12"/>
                <w:szCs w:val="12"/>
                <w:color w:val="auto"/>
              </w:rPr>
            </w:pPr>
          </w:p>
        </w:tc>
        <w:tc>
          <w:tcPr>
            <w:tcW w:w="720" w:type="dxa"/>
            <w:vAlign w:val="bottom"/>
            <w:vMerge w:val="continue"/>
            <w:shd w:val="clear" w:color="auto" w:fill="CECAC6"/>
          </w:tcPr>
          <w:p>
            <w:pPr>
              <w:spacing w:after="0"/>
              <w:rPr>
                <w:sz w:val="12"/>
                <w:szCs w:val="12"/>
                <w:color w:val="auto"/>
              </w:rPr>
            </w:pPr>
          </w:p>
        </w:tc>
        <w:tc>
          <w:tcPr>
            <w:tcW w:w="11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w:t>
            </w:r>
          </w:p>
        </w:tc>
        <w:tc>
          <w:tcPr>
            <w:tcW w:w="1140" w:type="dxa"/>
            <w:vAlign w:val="bottom"/>
            <w:shd w:val="clear" w:color="auto" w:fill="CECAC6"/>
          </w:tcPr>
          <w:p>
            <w:pPr>
              <w:jc w:val="right"/>
              <w:ind w:right="12"/>
              <w:spacing w:after="0"/>
              <w:rPr>
                <w:sz w:val="20"/>
                <w:szCs w:val="20"/>
                <w:color w:val="auto"/>
              </w:rPr>
            </w:pPr>
            <w:r>
              <w:rPr>
                <w:rFonts w:ascii="Arial" w:cs="Arial" w:eastAsia="Arial" w:hAnsi="Arial"/>
                <w:sz w:val="12"/>
                <w:szCs w:val="12"/>
                <w:color w:val="auto"/>
              </w:rPr>
              <w:t>$</w:t>
            </w:r>
          </w:p>
        </w:tc>
        <w:tc>
          <w:tcPr>
            <w:tcW w:w="1340" w:type="dxa"/>
            <w:vAlign w:val="bottom"/>
            <w:vMerge w:val="continue"/>
            <w:shd w:val="clear" w:color="auto" w:fill="CECAC6"/>
          </w:tcPr>
          <w:p>
            <w:pPr>
              <w:spacing w:after="0"/>
              <w:rPr>
                <w:sz w:val="12"/>
                <w:szCs w:val="12"/>
                <w:color w:val="auto"/>
              </w:rPr>
            </w:pPr>
          </w:p>
        </w:tc>
        <w:tc>
          <w:tcPr>
            <w:tcW w:w="980" w:type="dxa"/>
            <w:vAlign w:val="bottom"/>
            <w:shd w:val="clear" w:color="auto" w:fill="CECAC6"/>
          </w:tcPr>
          <w:p>
            <w:pPr>
              <w:jc w:val="right"/>
              <w:ind w:right="1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ECAC6"/>
          </w:tcPr>
          <w:p>
            <w:pPr>
              <w:jc w:val="right"/>
              <w:ind w:right="132"/>
              <w:spacing w:after="0"/>
              <w:rPr>
                <w:sz w:val="20"/>
                <w:szCs w:val="20"/>
                <w:color w:val="auto"/>
              </w:rPr>
            </w:pPr>
            <w:r>
              <w:rPr>
                <w:rFonts w:ascii="Arial" w:cs="Arial" w:eastAsia="Arial" w:hAnsi="Arial"/>
                <w:sz w:val="12"/>
                <w:szCs w:val="12"/>
                <w:color w:val="auto"/>
              </w:rPr>
              <w:t>$</w:t>
            </w:r>
          </w:p>
        </w:tc>
        <w:tc>
          <w:tcPr>
            <w:tcW w:w="1400" w:type="dxa"/>
            <w:vAlign w:val="bottom"/>
            <w:shd w:val="clear" w:color="auto" w:fill="CECAC6"/>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0"/>
              <w:spacing w:after="0"/>
              <w:rPr>
                <w:sz w:val="20"/>
                <w:szCs w:val="20"/>
                <w:color w:val="auto"/>
              </w:rPr>
            </w:pPr>
            <w:r>
              <w:rPr>
                <w:rFonts w:ascii="Arial" w:cs="Arial" w:eastAsia="Arial" w:hAnsi="Arial"/>
                <w:sz w:val="14"/>
                <w:szCs w:val="14"/>
                <w:color w:val="auto"/>
              </w:rPr>
              <w:t>Jeroen van der Veer</w:t>
            </w:r>
          </w:p>
        </w:tc>
        <w:tc>
          <w:tcPr>
            <w:tcW w:w="80" w:type="dxa"/>
            <w:vAlign w:val="bottom"/>
            <w:shd w:val="clear" w:color="auto" w:fill="E4E3E1"/>
          </w:tcPr>
          <w:p>
            <w:pPr>
              <w:spacing w:after="0"/>
              <w:rPr>
                <w:sz w:val="18"/>
                <w:szCs w:val="18"/>
                <w:color w:val="auto"/>
              </w:rPr>
            </w:pPr>
          </w:p>
        </w:tc>
        <w:tc>
          <w:tcPr>
            <w:tcW w:w="720" w:type="dxa"/>
            <w:vAlign w:val="bottom"/>
            <w:shd w:val="clear" w:color="auto" w:fill="E4E3E1"/>
          </w:tcPr>
          <w:p>
            <w:pPr>
              <w:jc w:val="right"/>
              <w:ind w:right="10"/>
              <w:spacing w:after="0"/>
              <w:rPr>
                <w:sz w:val="20"/>
                <w:szCs w:val="20"/>
                <w:color w:val="auto"/>
              </w:rPr>
            </w:pPr>
            <w:r>
              <w:rPr>
                <w:rFonts w:ascii="Arial" w:cs="Arial" w:eastAsia="Arial" w:hAnsi="Arial"/>
                <w:sz w:val="14"/>
                <w:szCs w:val="14"/>
                <w:color w:val="auto"/>
                <w:w w:val="99"/>
              </w:rPr>
              <w:t>1,850,000</w:t>
            </w:r>
          </w:p>
        </w:tc>
        <w:tc>
          <w:tcPr>
            <w:tcW w:w="1100" w:type="dxa"/>
            <w:vAlign w:val="bottom"/>
            <w:shd w:val="clear" w:color="auto" w:fill="E4E3E1"/>
          </w:tcPr>
          <w:p>
            <w:pPr>
              <w:jc w:val="right"/>
              <w:spacing w:after="0"/>
              <w:rPr>
                <w:sz w:val="20"/>
                <w:szCs w:val="20"/>
                <w:color w:val="auto"/>
              </w:rPr>
            </w:pPr>
            <w:r>
              <w:rPr>
                <w:rFonts w:ascii="Arial" w:cs="Arial" w:eastAsia="Arial" w:hAnsi="Arial"/>
                <w:sz w:val="14"/>
                <w:szCs w:val="14"/>
                <w:color w:val="auto"/>
              </w:rPr>
              <w:t>1,272,485</w:t>
            </w:r>
          </w:p>
        </w:tc>
        <w:tc>
          <w:tcPr>
            <w:tcW w:w="1140" w:type="dxa"/>
            <w:vAlign w:val="bottom"/>
            <w:shd w:val="clear" w:color="auto" w:fill="E4E3E1"/>
          </w:tcPr>
          <w:p>
            <w:pPr>
              <w:jc w:val="right"/>
              <w:ind w:right="12"/>
              <w:spacing w:after="0"/>
              <w:rPr>
                <w:sz w:val="20"/>
                <w:szCs w:val="20"/>
                <w:color w:val="auto"/>
              </w:rPr>
            </w:pPr>
            <w:r>
              <w:rPr>
                <w:rFonts w:ascii="Arial" w:cs="Arial" w:eastAsia="Arial" w:hAnsi="Arial"/>
                <w:sz w:val="14"/>
                <w:szCs w:val="14"/>
                <w:color w:val="auto"/>
              </w:rPr>
              <w:t>2,549,854</w:t>
            </w:r>
          </w:p>
        </w:tc>
        <w:tc>
          <w:tcPr>
            <w:tcW w:w="1340" w:type="dxa"/>
            <w:vAlign w:val="bottom"/>
          </w:tcPr>
          <w:p>
            <w:pPr>
              <w:jc w:val="right"/>
              <w:ind w:right="190"/>
              <w:spacing w:after="0"/>
              <w:rPr>
                <w:sz w:val="20"/>
                <w:szCs w:val="20"/>
                <w:color w:val="auto"/>
              </w:rPr>
            </w:pPr>
            <w:r>
              <w:rPr>
                <w:rFonts w:ascii="Arial" w:cs="Arial" w:eastAsia="Arial" w:hAnsi="Arial"/>
                <w:sz w:val="14"/>
                <w:szCs w:val="14"/>
                <w:color w:val="auto"/>
              </w:rPr>
              <w:t>1,700,000</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1,158,811</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2,150,298</w:t>
            </w:r>
          </w:p>
        </w:tc>
        <w:tc>
          <w:tcPr>
            <w:tcW w:w="1400" w:type="dxa"/>
            <w:vAlign w:val="bottom"/>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53"/>
        </w:trPr>
        <w:tc>
          <w:tcPr>
            <w:tcW w:w="2340" w:type="dxa"/>
            <w:vAlign w:val="bottom"/>
          </w:tcPr>
          <w:p>
            <w:pPr>
              <w:ind w:left="20"/>
              <w:spacing w:after="0"/>
              <w:rPr>
                <w:sz w:val="20"/>
                <w:szCs w:val="20"/>
                <w:color w:val="auto"/>
              </w:rPr>
            </w:pPr>
            <w:r>
              <w:rPr>
                <w:rFonts w:ascii="Arial" w:cs="Arial" w:eastAsia="Arial" w:hAnsi="Arial"/>
                <w:sz w:val="14"/>
                <w:szCs w:val="14"/>
                <w:color w:val="auto"/>
              </w:rPr>
              <w:t>Malcolm Brinded</w:t>
            </w:r>
          </w:p>
        </w:tc>
        <w:tc>
          <w:tcPr>
            <w:tcW w:w="80" w:type="dxa"/>
            <w:vAlign w:val="bottom"/>
            <w:shd w:val="clear" w:color="auto" w:fill="E4E3E1"/>
          </w:tcPr>
          <w:p>
            <w:pPr>
              <w:spacing w:after="0"/>
              <w:rPr>
                <w:sz w:val="22"/>
                <w:szCs w:val="22"/>
                <w:color w:val="auto"/>
              </w:rPr>
            </w:pPr>
          </w:p>
        </w:tc>
        <w:tc>
          <w:tcPr>
            <w:tcW w:w="720" w:type="dxa"/>
            <w:vAlign w:val="bottom"/>
            <w:shd w:val="clear" w:color="auto" w:fill="E4E3E1"/>
          </w:tcPr>
          <w:p>
            <w:pPr>
              <w:jc w:val="right"/>
              <w:ind w:right="10"/>
              <w:spacing w:after="0"/>
              <w:rPr>
                <w:sz w:val="20"/>
                <w:szCs w:val="20"/>
                <w:color w:val="auto"/>
              </w:rPr>
            </w:pPr>
            <w:r>
              <w:rPr>
                <w:rFonts w:ascii="Arial" w:cs="Arial" w:eastAsia="Arial" w:hAnsi="Arial"/>
                <w:sz w:val="14"/>
                <w:szCs w:val="14"/>
                <w:color w:val="auto"/>
                <w:w w:val="99"/>
              </w:rPr>
              <w:t>1,120,000</w:t>
            </w:r>
          </w:p>
        </w:tc>
        <w:tc>
          <w:tcPr>
            <w:tcW w:w="1100" w:type="dxa"/>
            <w:vAlign w:val="bottom"/>
            <w:shd w:val="clear" w:color="auto" w:fill="E4E3E1"/>
          </w:tcPr>
          <w:p>
            <w:pPr>
              <w:jc w:val="right"/>
              <w:spacing w:after="0"/>
              <w:rPr>
                <w:sz w:val="20"/>
                <w:szCs w:val="20"/>
                <w:color w:val="auto"/>
              </w:rPr>
            </w:pPr>
            <w:r>
              <w:rPr>
                <w:rFonts w:ascii="Arial" w:cs="Arial" w:eastAsia="Arial" w:hAnsi="Arial"/>
                <w:sz w:val="14"/>
                <w:szCs w:val="14"/>
                <w:color w:val="auto"/>
              </w:rPr>
              <w:t>770,369</w:t>
            </w:r>
          </w:p>
        </w:tc>
        <w:tc>
          <w:tcPr>
            <w:tcW w:w="1140" w:type="dxa"/>
            <w:vAlign w:val="bottom"/>
            <w:shd w:val="clear" w:color="auto" w:fill="E4E3E1"/>
          </w:tcPr>
          <w:p>
            <w:pPr>
              <w:jc w:val="right"/>
              <w:ind w:right="12"/>
              <w:spacing w:after="0"/>
              <w:rPr>
                <w:sz w:val="20"/>
                <w:szCs w:val="20"/>
                <w:color w:val="auto"/>
              </w:rPr>
            </w:pPr>
            <w:r>
              <w:rPr>
                <w:rFonts w:ascii="Arial" w:cs="Arial" w:eastAsia="Arial" w:hAnsi="Arial"/>
                <w:sz w:val="14"/>
                <w:szCs w:val="14"/>
                <w:color w:val="auto"/>
              </w:rPr>
              <w:t>1,543,695</w:t>
            </w:r>
          </w:p>
        </w:tc>
        <w:tc>
          <w:tcPr>
            <w:tcW w:w="1340" w:type="dxa"/>
            <w:vAlign w:val="bottom"/>
          </w:tcPr>
          <w:p>
            <w:pPr>
              <w:jc w:val="right"/>
              <w:ind w:right="190"/>
              <w:spacing w:after="0"/>
              <w:rPr>
                <w:sz w:val="20"/>
                <w:szCs w:val="20"/>
                <w:color w:val="auto"/>
              </w:rPr>
            </w:pPr>
            <w:r>
              <w:rPr>
                <w:rFonts w:ascii="Arial" w:cs="Arial" w:eastAsia="Arial" w:hAnsi="Arial"/>
                <w:sz w:val="14"/>
                <w:szCs w:val="14"/>
                <w:color w:val="auto"/>
              </w:rPr>
              <w:t>1,075,000</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732,778</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1,359,747</w:t>
            </w:r>
          </w:p>
        </w:tc>
        <w:tc>
          <w:tcPr>
            <w:tcW w:w="14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3"/>
        </w:trPr>
        <w:tc>
          <w:tcPr>
            <w:tcW w:w="2340" w:type="dxa"/>
            <w:vAlign w:val="bottom"/>
          </w:tcPr>
          <w:p>
            <w:pPr>
              <w:ind w:left="20"/>
              <w:spacing w:after="0"/>
              <w:rPr>
                <w:sz w:val="20"/>
                <w:szCs w:val="20"/>
                <w:color w:val="auto"/>
              </w:rPr>
            </w:pPr>
            <w:r>
              <w:rPr>
                <w:rFonts w:ascii="Arial" w:cs="Arial" w:eastAsia="Arial" w:hAnsi="Arial"/>
                <w:sz w:val="14"/>
                <w:szCs w:val="14"/>
                <w:color w:val="auto"/>
              </w:rPr>
              <w:t>Linda Cook</w:t>
            </w:r>
          </w:p>
        </w:tc>
        <w:tc>
          <w:tcPr>
            <w:tcW w:w="80" w:type="dxa"/>
            <w:vAlign w:val="bottom"/>
            <w:shd w:val="clear" w:color="auto" w:fill="E4E3E1"/>
          </w:tcPr>
          <w:p>
            <w:pPr>
              <w:spacing w:after="0"/>
              <w:rPr>
                <w:sz w:val="22"/>
                <w:szCs w:val="22"/>
                <w:color w:val="auto"/>
              </w:rPr>
            </w:pPr>
          </w:p>
        </w:tc>
        <w:tc>
          <w:tcPr>
            <w:tcW w:w="720" w:type="dxa"/>
            <w:vAlign w:val="bottom"/>
            <w:shd w:val="clear" w:color="auto" w:fill="E4E3E1"/>
          </w:tcPr>
          <w:p>
            <w:pPr>
              <w:jc w:val="right"/>
              <w:ind w:right="10"/>
              <w:spacing w:after="0"/>
              <w:rPr>
                <w:sz w:val="20"/>
                <w:szCs w:val="20"/>
                <w:color w:val="auto"/>
              </w:rPr>
            </w:pPr>
            <w:r>
              <w:rPr>
                <w:rFonts w:ascii="Arial" w:cs="Arial" w:eastAsia="Arial" w:hAnsi="Arial"/>
                <w:sz w:val="14"/>
                <w:szCs w:val="14"/>
                <w:color w:val="auto"/>
              </w:rPr>
              <w:t>985,000</w:t>
            </w:r>
          </w:p>
        </w:tc>
        <w:tc>
          <w:tcPr>
            <w:tcW w:w="1100" w:type="dxa"/>
            <w:vAlign w:val="bottom"/>
            <w:shd w:val="clear" w:color="auto" w:fill="E4E3E1"/>
          </w:tcPr>
          <w:p>
            <w:pPr>
              <w:jc w:val="right"/>
              <w:spacing w:after="0"/>
              <w:rPr>
                <w:sz w:val="20"/>
                <w:szCs w:val="20"/>
                <w:color w:val="auto"/>
              </w:rPr>
            </w:pPr>
            <w:r>
              <w:rPr>
                <w:rFonts w:ascii="Arial" w:cs="Arial" w:eastAsia="Arial" w:hAnsi="Arial"/>
                <w:sz w:val="14"/>
                <w:szCs w:val="14"/>
                <w:color w:val="auto"/>
              </w:rPr>
              <w:t>677,512</w:t>
            </w:r>
          </w:p>
        </w:tc>
        <w:tc>
          <w:tcPr>
            <w:tcW w:w="1140" w:type="dxa"/>
            <w:vAlign w:val="bottom"/>
            <w:shd w:val="clear" w:color="auto" w:fill="E4E3E1"/>
          </w:tcPr>
          <w:p>
            <w:pPr>
              <w:jc w:val="right"/>
              <w:ind w:right="12"/>
              <w:spacing w:after="0"/>
              <w:rPr>
                <w:sz w:val="20"/>
                <w:szCs w:val="20"/>
                <w:color w:val="auto"/>
              </w:rPr>
            </w:pPr>
            <w:r>
              <w:rPr>
                <w:rFonts w:ascii="Arial" w:cs="Arial" w:eastAsia="Arial" w:hAnsi="Arial"/>
                <w:sz w:val="14"/>
                <w:szCs w:val="14"/>
                <w:color w:val="auto"/>
              </w:rPr>
              <w:t>1,357,625</w:t>
            </w:r>
          </w:p>
        </w:tc>
        <w:tc>
          <w:tcPr>
            <w:tcW w:w="1340" w:type="dxa"/>
            <w:vAlign w:val="bottom"/>
          </w:tcPr>
          <w:p>
            <w:pPr>
              <w:jc w:val="right"/>
              <w:ind w:right="190"/>
              <w:spacing w:after="0"/>
              <w:rPr>
                <w:sz w:val="20"/>
                <w:szCs w:val="20"/>
                <w:color w:val="auto"/>
              </w:rPr>
            </w:pPr>
            <w:r>
              <w:rPr>
                <w:rFonts w:ascii="Arial" w:cs="Arial" w:eastAsia="Arial" w:hAnsi="Arial"/>
                <w:sz w:val="14"/>
                <w:szCs w:val="14"/>
                <w:color w:val="auto"/>
              </w:rPr>
              <w:t>935,000</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637,346</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1,182,664</w:t>
            </w:r>
          </w:p>
        </w:tc>
        <w:tc>
          <w:tcPr>
            <w:tcW w:w="14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53"/>
        </w:trPr>
        <w:tc>
          <w:tcPr>
            <w:tcW w:w="2340" w:type="dxa"/>
            <w:vAlign w:val="bottom"/>
          </w:tcPr>
          <w:p>
            <w:pPr>
              <w:ind w:left="20"/>
              <w:spacing w:after="0"/>
              <w:rPr>
                <w:sz w:val="20"/>
                <w:szCs w:val="20"/>
                <w:color w:val="auto"/>
              </w:rPr>
            </w:pPr>
            <w:r>
              <w:rPr>
                <w:rFonts w:ascii="Arial" w:cs="Arial" w:eastAsia="Arial" w:hAnsi="Arial"/>
                <w:sz w:val="14"/>
                <w:szCs w:val="14"/>
                <w:color w:val="auto"/>
              </w:rPr>
              <w:t>Rob Routs</w:t>
            </w:r>
          </w:p>
        </w:tc>
        <w:tc>
          <w:tcPr>
            <w:tcW w:w="80" w:type="dxa"/>
            <w:vAlign w:val="bottom"/>
            <w:shd w:val="clear" w:color="auto" w:fill="E4E3E1"/>
          </w:tcPr>
          <w:p>
            <w:pPr>
              <w:spacing w:after="0"/>
              <w:rPr>
                <w:sz w:val="22"/>
                <w:szCs w:val="22"/>
                <w:color w:val="auto"/>
              </w:rPr>
            </w:pPr>
          </w:p>
        </w:tc>
        <w:tc>
          <w:tcPr>
            <w:tcW w:w="720" w:type="dxa"/>
            <w:vAlign w:val="bottom"/>
            <w:shd w:val="clear" w:color="auto" w:fill="E4E3E1"/>
          </w:tcPr>
          <w:p>
            <w:pPr>
              <w:jc w:val="right"/>
              <w:ind w:right="10"/>
              <w:spacing w:after="0"/>
              <w:rPr>
                <w:sz w:val="20"/>
                <w:szCs w:val="20"/>
                <w:color w:val="auto"/>
              </w:rPr>
            </w:pPr>
            <w:r>
              <w:rPr>
                <w:rFonts w:ascii="Arial" w:cs="Arial" w:eastAsia="Arial" w:hAnsi="Arial"/>
                <w:sz w:val="14"/>
                <w:szCs w:val="14"/>
                <w:color w:val="auto"/>
                <w:w w:val="99"/>
              </w:rPr>
              <w:t>1,000,000</w:t>
            </w:r>
          </w:p>
        </w:tc>
        <w:tc>
          <w:tcPr>
            <w:tcW w:w="1100" w:type="dxa"/>
            <w:vAlign w:val="bottom"/>
            <w:shd w:val="clear" w:color="auto" w:fill="E4E3E1"/>
          </w:tcPr>
          <w:p>
            <w:pPr>
              <w:jc w:val="right"/>
              <w:spacing w:after="0"/>
              <w:rPr>
                <w:sz w:val="20"/>
                <w:szCs w:val="20"/>
                <w:color w:val="auto"/>
              </w:rPr>
            </w:pPr>
            <w:r>
              <w:rPr>
                <w:rFonts w:ascii="Arial" w:cs="Arial" w:eastAsia="Arial" w:hAnsi="Arial"/>
                <w:sz w:val="14"/>
                <w:szCs w:val="14"/>
                <w:color w:val="auto"/>
              </w:rPr>
              <w:t>687,830</w:t>
            </w:r>
          </w:p>
        </w:tc>
        <w:tc>
          <w:tcPr>
            <w:tcW w:w="1140" w:type="dxa"/>
            <w:vAlign w:val="bottom"/>
            <w:shd w:val="clear" w:color="auto" w:fill="E4E3E1"/>
          </w:tcPr>
          <w:p>
            <w:pPr>
              <w:jc w:val="right"/>
              <w:ind w:right="12"/>
              <w:spacing w:after="0"/>
              <w:rPr>
                <w:sz w:val="20"/>
                <w:szCs w:val="20"/>
                <w:color w:val="auto"/>
              </w:rPr>
            </w:pPr>
            <w:r>
              <w:rPr>
                <w:rFonts w:ascii="Arial" w:cs="Arial" w:eastAsia="Arial" w:hAnsi="Arial"/>
                <w:sz w:val="14"/>
                <w:szCs w:val="14"/>
                <w:color w:val="auto"/>
              </w:rPr>
              <w:t>1,378,299</w:t>
            </w:r>
          </w:p>
        </w:tc>
        <w:tc>
          <w:tcPr>
            <w:tcW w:w="1340" w:type="dxa"/>
            <w:vAlign w:val="bottom"/>
          </w:tcPr>
          <w:p>
            <w:pPr>
              <w:jc w:val="right"/>
              <w:ind w:right="190"/>
              <w:spacing w:after="0"/>
              <w:rPr>
                <w:sz w:val="20"/>
                <w:szCs w:val="20"/>
                <w:color w:val="auto"/>
              </w:rPr>
            </w:pPr>
            <w:r>
              <w:rPr>
                <w:rFonts w:ascii="Arial" w:cs="Arial" w:eastAsia="Arial" w:hAnsi="Arial"/>
                <w:sz w:val="14"/>
                <w:szCs w:val="14"/>
                <w:color w:val="auto"/>
              </w:rPr>
              <w:t>955,000</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650,979</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1,207,962</w:t>
            </w:r>
          </w:p>
        </w:tc>
        <w:tc>
          <w:tcPr>
            <w:tcW w:w="140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3"/>
        </w:trPr>
        <w:tc>
          <w:tcPr>
            <w:tcW w:w="2340" w:type="dxa"/>
            <w:vAlign w:val="bottom"/>
          </w:tcPr>
          <w:p>
            <w:pPr>
              <w:ind w:left="20"/>
              <w:spacing w:after="0"/>
              <w:rPr>
                <w:sz w:val="20"/>
                <w:szCs w:val="20"/>
                <w:color w:val="auto"/>
              </w:rPr>
            </w:pPr>
            <w:r>
              <w:rPr>
                <w:rFonts w:ascii="Arial" w:cs="Arial" w:eastAsia="Arial" w:hAnsi="Arial"/>
                <w:sz w:val="14"/>
                <w:szCs w:val="14"/>
                <w:color w:val="auto"/>
              </w:rPr>
              <w:t>Peter Voser</w:t>
            </w:r>
          </w:p>
        </w:tc>
        <w:tc>
          <w:tcPr>
            <w:tcW w:w="80" w:type="dxa"/>
            <w:vAlign w:val="bottom"/>
            <w:shd w:val="clear" w:color="auto" w:fill="E4E3E1"/>
          </w:tcPr>
          <w:p>
            <w:pPr>
              <w:spacing w:after="0"/>
              <w:rPr>
                <w:sz w:val="22"/>
                <w:szCs w:val="22"/>
                <w:color w:val="auto"/>
              </w:rPr>
            </w:pPr>
          </w:p>
        </w:tc>
        <w:tc>
          <w:tcPr>
            <w:tcW w:w="720" w:type="dxa"/>
            <w:vAlign w:val="bottom"/>
            <w:shd w:val="clear" w:color="auto" w:fill="E4E3E1"/>
          </w:tcPr>
          <w:p>
            <w:pPr>
              <w:jc w:val="right"/>
              <w:ind w:right="10"/>
              <w:spacing w:after="0"/>
              <w:rPr>
                <w:sz w:val="20"/>
                <w:szCs w:val="20"/>
                <w:color w:val="auto"/>
              </w:rPr>
            </w:pPr>
            <w:r>
              <w:rPr>
                <w:rFonts w:ascii="Arial" w:cs="Arial" w:eastAsia="Arial" w:hAnsi="Arial"/>
                <w:sz w:val="14"/>
                <w:szCs w:val="14"/>
                <w:color w:val="auto"/>
              </w:rPr>
              <w:t>985,000</w:t>
            </w:r>
          </w:p>
        </w:tc>
        <w:tc>
          <w:tcPr>
            <w:tcW w:w="1100" w:type="dxa"/>
            <w:vAlign w:val="bottom"/>
            <w:shd w:val="clear" w:color="auto" w:fill="E4E3E1"/>
          </w:tcPr>
          <w:p>
            <w:pPr>
              <w:jc w:val="right"/>
              <w:spacing w:after="0"/>
              <w:rPr>
                <w:sz w:val="20"/>
                <w:szCs w:val="20"/>
                <w:color w:val="auto"/>
              </w:rPr>
            </w:pPr>
            <w:r>
              <w:rPr>
                <w:rFonts w:ascii="Arial" w:cs="Arial" w:eastAsia="Arial" w:hAnsi="Arial"/>
                <w:sz w:val="14"/>
                <w:szCs w:val="14"/>
                <w:color w:val="auto"/>
              </w:rPr>
              <w:t>677,512</w:t>
            </w:r>
          </w:p>
        </w:tc>
        <w:tc>
          <w:tcPr>
            <w:tcW w:w="1140" w:type="dxa"/>
            <w:vAlign w:val="bottom"/>
            <w:shd w:val="clear" w:color="auto" w:fill="E4E3E1"/>
          </w:tcPr>
          <w:p>
            <w:pPr>
              <w:jc w:val="right"/>
              <w:ind w:right="12"/>
              <w:spacing w:after="0"/>
              <w:rPr>
                <w:sz w:val="20"/>
                <w:szCs w:val="20"/>
                <w:color w:val="auto"/>
              </w:rPr>
            </w:pPr>
            <w:r>
              <w:rPr>
                <w:rFonts w:ascii="Arial" w:cs="Arial" w:eastAsia="Arial" w:hAnsi="Arial"/>
                <w:sz w:val="14"/>
                <w:szCs w:val="14"/>
                <w:color w:val="auto"/>
              </w:rPr>
              <w:t>1,357,625</w:t>
            </w:r>
          </w:p>
        </w:tc>
        <w:tc>
          <w:tcPr>
            <w:tcW w:w="1340" w:type="dxa"/>
            <w:vAlign w:val="bottom"/>
          </w:tcPr>
          <w:p>
            <w:pPr>
              <w:jc w:val="right"/>
              <w:ind w:right="190"/>
              <w:spacing w:after="0"/>
              <w:rPr>
                <w:sz w:val="20"/>
                <w:szCs w:val="20"/>
                <w:color w:val="auto"/>
              </w:rPr>
            </w:pPr>
            <w:r>
              <w:rPr>
                <w:rFonts w:ascii="Arial" w:cs="Arial" w:eastAsia="Arial" w:hAnsi="Arial"/>
                <w:sz w:val="14"/>
                <w:szCs w:val="14"/>
                <w:color w:val="auto"/>
              </w:rPr>
              <w:t>935,000</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637,346</w:t>
            </w:r>
          </w:p>
        </w:tc>
        <w:tc>
          <w:tcPr>
            <w:tcW w:w="1280" w:type="dxa"/>
            <w:vAlign w:val="bottom"/>
          </w:tcPr>
          <w:p>
            <w:pPr>
              <w:jc w:val="right"/>
              <w:ind w:right="132"/>
              <w:spacing w:after="0"/>
              <w:rPr>
                <w:sz w:val="20"/>
                <w:szCs w:val="20"/>
                <w:color w:val="auto"/>
              </w:rPr>
            </w:pPr>
            <w:r>
              <w:rPr>
                <w:rFonts w:ascii="Arial" w:cs="Arial" w:eastAsia="Arial" w:hAnsi="Arial"/>
                <w:sz w:val="14"/>
                <w:szCs w:val="14"/>
                <w:color w:val="auto"/>
              </w:rPr>
              <w:t>1,182,664</w:t>
            </w:r>
          </w:p>
        </w:tc>
        <w:tc>
          <w:tcPr>
            <w:tcW w:w="1400" w:type="dxa"/>
            <w:vAlign w:val="bottom"/>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05"/>
        </w:trPr>
        <w:tc>
          <w:tcPr>
            <w:tcW w:w="2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shd w:val="clear" w:color="auto" w:fill="E4E3E1"/>
          </w:tcPr>
          <w:p>
            <w:pPr>
              <w:spacing w:after="0"/>
              <w:rPr>
                <w:sz w:val="9"/>
                <w:szCs w:val="9"/>
                <w:color w:val="auto"/>
              </w:rPr>
            </w:pPr>
          </w:p>
        </w:tc>
        <w:tc>
          <w:tcPr>
            <w:tcW w:w="720" w:type="dxa"/>
            <w:vAlign w:val="bottom"/>
            <w:tcBorders>
              <w:bottom w:val="single" w:sz="8" w:color="auto"/>
            </w:tcBorders>
            <w:shd w:val="clear" w:color="auto" w:fill="E4E3E1"/>
          </w:tcPr>
          <w:p>
            <w:pPr>
              <w:spacing w:after="0"/>
              <w:rPr>
                <w:sz w:val="9"/>
                <w:szCs w:val="9"/>
                <w:color w:val="auto"/>
              </w:rPr>
            </w:pPr>
          </w:p>
        </w:tc>
        <w:tc>
          <w:tcPr>
            <w:tcW w:w="1100" w:type="dxa"/>
            <w:vAlign w:val="bottom"/>
            <w:tcBorders>
              <w:bottom w:val="single" w:sz="8" w:color="auto"/>
            </w:tcBorders>
            <w:shd w:val="clear" w:color="auto" w:fill="E4E3E1"/>
          </w:tcPr>
          <w:p>
            <w:pPr>
              <w:spacing w:after="0"/>
              <w:rPr>
                <w:sz w:val="9"/>
                <w:szCs w:val="9"/>
                <w:color w:val="auto"/>
              </w:rPr>
            </w:pPr>
          </w:p>
        </w:tc>
        <w:tc>
          <w:tcPr>
            <w:tcW w:w="1140" w:type="dxa"/>
            <w:vAlign w:val="bottom"/>
            <w:tcBorders>
              <w:bottom w:val="single" w:sz="8" w:color="auto"/>
            </w:tcBorders>
            <w:shd w:val="clear" w:color="auto" w:fill="E4E3E1"/>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-1022985</wp:posOffset>
            </wp:positionV>
            <wp:extent cx="8255" cy="168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16891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-1022985</wp:posOffset>
            </wp:positionV>
            <wp:extent cx="8255" cy="168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168910"/>
                    </a:xfrm>
                    <a:prstGeom prst="rect">
                      <a:avLst/>
                    </a:prstGeom>
                    <a:noFill/>
                  </pic:spPr>
                </pic:pic>
              </a:graphicData>
            </a:graphic>
          </wp:anchor>
        </w:drawing>
      </w:r>
    </w:p>
    <w:p>
      <w:pPr>
        <w:spacing w:after="0" w:line="282"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1613535</wp:posOffset>
            </wp:positionV>
            <wp:extent cx="725297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DIRECTORS’ REMUNERATION REPORT </w:t>
      </w:r>
      <w:r>
        <w:rPr>
          <w:rFonts w:ascii="Arial" w:cs="Arial" w:eastAsia="Arial" w:hAnsi="Arial"/>
          <w:sz w:val="12"/>
          <w:szCs w:val="12"/>
          <w:b w:val="1"/>
          <w:bCs w:val="1"/>
          <w:color w:val="C1D72E"/>
        </w:rPr>
        <w:t>EXECUTIVE DIRECTORS’ REMUNERATION</w:t>
      </w:r>
    </w:p>
    <w:p>
      <w:pPr>
        <w:sectPr>
          <w:pgSz w:w="11900" w:h="16838" w:orient="portrait"/>
          <w:cols w:equalWidth="0" w:num="1">
            <w:col w:w="10380"/>
          </w:cols>
          <w:pgMar w:left="240" w:top="415" w:right="12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BONUS</w:t>
      </w:r>
    </w:p>
    <w:p>
      <w:pPr>
        <w:spacing w:after="0" w:line="6"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Executive Directors are eligible for an annual bonus for achieving results that further Shell’s objectives. The annual bonus is determined by performance against the Shell Scorecard. This Scorecard has financial, operational and sustainable development targets, all set as part of Shell’s annual planning process. The targets are stretching but realistic.</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SCORECARD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163570" cy="7950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163570" cy="795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hanging="193"/>
        <w:spacing w:after="0"/>
        <w:tabs>
          <w:tab w:leader="none" w:pos="20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Primarily based on number of reported cases of work-related injury, but also including other Sustainable Development measures, details of which can be found in the Shell Sustainability Report.</w:t>
      </w:r>
    </w:p>
    <w:p>
      <w:pPr>
        <w:spacing w:after="0" w:line="186"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At the end of the financial year, results are translated into an overall score between a minimum of zero and a maximum of two. Bonus awards are based on this score multiplied by the target bonus level. REMCO uses its judgement to make a final determination, which for 2007 was 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both"/>
        <w:ind w:right="180"/>
        <w:spacing w:after="0" w:line="260" w:lineRule="auto"/>
        <w:rPr>
          <w:sz w:val="20"/>
          <w:szCs w:val="20"/>
          <w:color w:val="auto"/>
        </w:rPr>
      </w:pPr>
      <w:r>
        <w:rPr>
          <w:rFonts w:ascii="Arial" w:cs="Arial" w:eastAsia="Arial" w:hAnsi="Arial"/>
          <w:sz w:val="13"/>
          <w:szCs w:val="13"/>
          <w:color w:val="auto"/>
        </w:rPr>
        <w:t>The target level of the 2007 bonus was 120% of base salary for the Chief Executive and 110% of base salary for Executive Directors. The maximum bonus for the Chief Executive and Executive Directors was 240% and 220%, respectively.</w:t>
      </w:r>
    </w:p>
    <w:p>
      <w:pPr>
        <w:spacing w:after="0" w:line="167"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Taking into account the 2007 Shell Scorecard result, REMCO determined that the annual bonuses payable for 2007 would be 156% of base salary for the Chief Executive and 143% of base salary for the Executive Directors.</w:t>
      </w:r>
    </w:p>
    <w:p>
      <w:pPr>
        <w:spacing w:after="0" w:line="180"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For performance year 2008 the target annual bonus for the Chief Executive has been set 150% with a maximum award level of 250%. REMCO believes this change is appropriate for competitive reasons as well as to reflect the increased responsibility of this role.</w:t>
      </w:r>
    </w:p>
    <w:p>
      <w:pPr>
        <w:spacing w:after="0" w:line="179" w:lineRule="exact"/>
        <w:rPr>
          <w:sz w:val="20"/>
          <w:szCs w:val="20"/>
          <w:color w:val="auto"/>
        </w:rPr>
      </w:pPr>
    </w:p>
    <w:p>
      <w:pPr>
        <w:ind w:right="600"/>
        <w:spacing w:after="0" w:line="247" w:lineRule="auto"/>
        <w:rPr>
          <w:sz w:val="20"/>
          <w:szCs w:val="20"/>
          <w:color w:val="auto"/>
        </w:rPr>
      </w:pPr>
      <w:r>
        <w:rPr>
          <w:rFonts w:ascii="Arial" w:cs="Arial" w:eastAsia="Arial" w:hAnsi="Arial"/>
          <w:sz w:val="14"/>
          <w:szCs w:val="14"/>
          <w:color w:val="auto"/>
        </w:rPr>
        <w:t>REMCO intends to consider individual performance in making annual bonus determinations in future.</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DIRECTORS’ 2007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15875</wp:posOffset>
            </wp:positionV>
            <wp:extent cx="31635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07"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The following table shows the earnings of the Executive Directors in office during 2007.</w:t>
      </w:r>
    </w:p>
    <w:p>
      <w:pPr>
        <w:spacing w:after="0" w:line="728" w:lineRule="exact"/>
        <w:rPr>
          <w:sz w:val="20"/>
          <w:szCs w:val="20"/>
          <w:color w:val="auto"/>
        </w:rPr>
      </w:pPr>
    </w:p>
    <w:p>
      <w:pPr>
        <w:sectPr>
          <w:pgSz w:w="11900" w:h="16838" w:orient="portrait"/>
          <w:cols w:equalWidth="0" w:num="2">
            <w:col w:w="4900" w:space="500"/>
            <w:col w:w="4980"/>
          </w:cols>
          <w:pgMar w:left="240" w:top="415" w:right="1279" w:bottom="1440" w:gutter="0" w:footer="0" w:header="0"/>
          <w:type w:val="continuous"/>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8"/>
            <w:shd w:val="clear" w:color="auto" w:fill="C1D72E"/>
          </w:tcPr>
          <w:p>
            <w:pPr>
              <w:ind w:left="20"/>
              <w:spacing w:after="0"/>
              <w:rPr>
                <w:sz w:val="20"/>
                <w:szCs w:val="20"/>
                <w:color w:val="auto"/>
              </w:rPr>
            </w:pPr>
            <w:r>
              <w:rPr>
                <w:rFonts w:ascii="Arial" w:cs="Arial" w:eastAsia="Arial" w:hAnsi="Arial"/>
                <w:sz w:val="14"/>
                <w:szCs w:val="14"/>
                <w:b w:val="1"/>
                <w:bCs w:val="1"/>
                <w:color w:val="auto"/>
              </w:rPr>
              <w:t xml:space="preserve">EARNINGS OF EXECUTIVE DIRECTORS IN OFFICE DURING 2007 </w:t>
            </w:r>
            <w:r>
              <w:rPr>
                <w:rFonts w:ascii="Arial" w:cs="Arial" w:eastAsia="Arial" w:hAnsi="Arial"/>
                <w:sz w:val="14"/>
                <w:szCs w:val="14"/>
                <w:color w:val="auto"/>
              </w:rPr>
              <w:t>(This table has been audited)</w:t>
            </w:r>
          </w:p>
        </w:tc>
        <w:tc>
          <w:tcPr>
            <w:tcW w:w="780" w:type="dxa"/>
            <w:vAlign w:val="bottom"/>
            <w:shd w:val="clear" w:color="auto" w:fill="C1D72E"/>
          </w:tcPr>
          <w:p>
            <w:pPr>
              <w:spacing w:after="0"/>
              <w:rPr>
                <w:sz w:val="14"/>
                <w:szCs w:val="14"/>
                <w:color w:val="auto"/>
              </w:rPr>
            </w:pPr>
          </w:p>
        </w:tc>
        <w:tc>
          <w:tcPr>
            <w:tcW w:w="1060" w:type="dxa"/>
            <w:vAlign w:val="bottom"/>
            <w:shd w:val="clear" w:color="auto" w:fill="C1D72E"/>
          </w:tcPr>
          <w:p>
            <w:pPr>
              <w:spacing w:after="0"/>
              <w:rPr>
                <w:sz w:val="14"/>
                <w:szCs w:val="14"/>
                <w:color w:val="auto"/>
              </w:rPr>
            </w:pPr>
          </w:p>
        </w:tc>
        <w:tc>
          <w:tcPr>
            <w:tcW w:w="760" w:type="dxa"/>
            <w:vAlign w:val="bottom"/>
            <w:shd w:val="clear" w:color="auto" w:fill="C1D72E"/>
          </w:tcPr>
          <w:p>
            <w:pPr>
              <w:spacing w:after="0"/>
              <w:rPr>
                <w:sz w:val="14"/>
                <w:szCs w:val="14"/>
                <w:color w:val="auto"/>
              </w:rPr>
            </w:pPr>
          </w:p>
        </w:tc>
        <w:tc>
          <w:tcPr>
            <w:tcW w:w="920" w:type="dxa"/>
            <w:vAlign w:val="bottom"/>
            <w:shd w:val="clear" w:color="auto" w:fill="C1D72E"/>
          </w:tcPr>
          <w:p>
            <w:pPr>
              <w:jc w:val="right"/>
              <w:spacing w:after="0"/>
              <w:rPr>
                <w:sz w:val="20"/>
                <w:szCs w:val="20"/>
                <w:color w:val="auto"/>
              </w:rPr>
            </w:pPr>
            <w:r>
              <w:rPr>
                <w:rFonts w:ascii="Arial" w:cs="Arial" w:eastAsia="Arial" w:hAnsi="Arial"/>
                <w:sz w:val="14"/>
                <w:szCs w:val="14"/>
                <w:b w:val="1"/>
                <w:bCs w:val="1"/>
                <w:color w:val="auto"/>
              </w:rPr>
              <w:t>€</w:t>
            </w:r>
          </w:p>
        </w:tc>
      </w:tr>
      <w:tr>
        <w:trPr>
          <w:trHeight w:val="160"/>
        </w:trPr>
        <w:tc>
          <w:tcPr>
            <w:tcW w:w="1220" w:type="dxa"/>
            <w:vAlign w:val="bottom"/>
            <w:shd w:val="clear" w:color="auto" w:fill="CECAC6"/>
          </w:tcPr>
          <w:p>
            <w:pPr>
              <w:spacing w:after="0"/>
              <w:rPr>
                <w:sz w:val="13"/>
                <w:szCs w:val="13"/>
                <w:color w:val="auto"/>
              </w:rPr>
            </w:pPr>
          </w:p>
        </w:tc>
        <w:tc>
          <w:tcPr>
            <w:tcW w:w="120" w:type="dxa"/>
            <w:vAlign w:val="bottom"/>
            <w:shd w:val="clear" w:color="auto" w:fill="CECAC6"/>
          </w:tcPr>
          <w:p>
            <w:pPr>
              <w:spacing w:after="0"/>
              <w:rPr>
                <w:sz w:val="13"/>
                <w:szCs w:val="13"/>
                <w:color w:val="auto"/>
              </w:rPr>
            </w:pPr>
          </w:p>
        </w:tc>
        <w:tc>
          <w:tcPr>
            <w:tcW w:w="1800" w:type="dxa"/>
            <w:vAlign w:val="bottom"/>
            <w:gridSpan w:val="2"/>
            <w:shd w:val="clear" w:color="auto" w:fill="CECAC6"/>
          </w:tcPr>
          <w:p>
            <w:pPr>
              <w:jc w:val="right"/>
              <w:ind w:right="129"/>
              <w:spacing w:after="0" w:line="160" w:lineRule="exact"/>
              <w:rPr>
                <w:sz w:val="20"/>
                <w:szCs w:val="20"/>
                <w:color w:val="auto"/>
              </w:rPr>
            </w:pPr>
            <w:r>
              <w:rPr>
                <w:rFonts w:ascii="Arial" w:cs="Arial" w:eastAsia="Arial" w:hAnsi="Arial"/>
                <w:sz w:val="14"/>
                <w:szCs w:val="14"/>
                <w:color w:val="auto"/>
              </w:rPr>
              <w:t>Jeroen van der Veer</w:t>
            </w:r>
          </w:p>
        </w:tc>
        <w:tc>
          <w:tcPr>
            <w:tcW w:w="1800" w:type="dxa"/>
            <w:vAlign w:val="bottom"/>
            <w:gridSpan w:val="2"/>
            <w:shd w:val="clear" w:color="auto" w:fill="CECAC6"/>
          </w:tcPr>
          <w:p>
            <w:pPr>
              <w:jc w:val="right"/>
              <w:ind w:right="109"/>
              <w:spacing w:after="0" w:line="160" w:lineRule="exact"/>
              <w:rPr>
                <w:sz w:val="20"/>
                <w:szCs w:val="20"/>
                <w:color w:val="auto"/>
              </w:rPr>
            </w:pPr>
            <w:r>
              <w:rPr>
                <w:rFonts w:ascii="Arial" w:cs="Arial" w:eastAsia="Arial" w:hAnsi="Arial"/>
                <w:sz w:val="14"/>
                <w:szCs w:val="14"/>
                <w:color w:val="auto"/>
              </w:rPr>
              <w:t>Malcolm Brinded</w:t>
            </w:r>
          </w:p>
        </w:tc>
        <w:tc>
          <w:tcPr>
            <w:tcW w:w="780" w:type="dxa"/>
            <w:vAlign w:val="bottom"/>
            <w:shd w:val="clear" w:color="auto" w:fill="CECAC6"/>
          </w:tcPr>
          <w:p>
            <w:pPr>
              <w:spacing w:after="0"/>
              <w:rPr>
                <w:sz w:val="13"/>
                <w:szCs w:val="13"/>
                <w:color w:val="auto"/>
              </w:rPr>
            </w:pPr>
          </w:p>
        </w:tc>
        <w:tc>
          <w:tcPr>
            <w:tcW w:w="1140" w:type="dxa"/>
            <w:vAlign w:val="bottom"/>
            <w:shd w:val="clear" w:color="auto" w:fill="CECAC6"/>
          </w:tcPr>
          <w:p>
            <w:pPr>
              <w:jc w:val="right"/>
              <w:ind w:right="229"/>
              <w:spacing w:after="0" w:line="160" w:lineRule="exact"/>
              <w:rPr>
                <w:sz w:val="20"/>
                <w:szCs w:val="20"/>
                <w:color w:val="auto"/>
              </w:rPr>
            </w:pPr>
            <w:r>
              <w:rPr>
                <w:rFonts w:ascii="Arial" w:cs="Arial" w:eastAsia="Arial" w:hAnsi="Arial"/>
                <w:sz w:val="14"/>
                <w:szCs w:val="14"/>
                <w:color w:val="auto"/>
              </w:rPr>
              <w:t>Linda Cook</w:t>
            </w:r>
          </w:p>
        </w:tc>
        <w:tc>
          <w:tcPr>
            <w:tcW w:w="780" w:type="dxa"/>
            <w:vAlign w:val="bottom"/>
            <w:shd w:val="clear" w:color="auto" w:fill="CECAC6"/>
          </w:tcPr>
          <w:p>
            <w:pPr>
              <w:spacing w:after="0"/>
              <w:rPr>
                <w:sz w:val="13"/>
                <w:szCs w:val="13"/>
                <w:color w:val="auto"/>
              </w:rPr>
            </w:pPr>
          </w:p>
        </w:tc>
        <w:tc>
          <w:tcPr>
            <w:tcW w:w="1060" w:type="dxa"/>
            <w:vAlign w:val="bottom"/>
            <w:shd w:val="clear" w:color="auto" w:fill="CECAC6"/>
          </w:tcPr>
          <w:p>
            <w:pPr>
              <w:jc w:val="right"/>
              <w:ind w:right="149"/>
              <w:spacing w:after="0" w:line="160" w:lineRule="exact"/>
              <w:rPr>
                <w:sz w:val="20"/>
                <w:szCs w:val="20"/>
                <w:color w:val="auto"/>
              </w:rPr>
            </w:pPr>
            <w:r>
              <w:rPr>
                <w:rFonts w:ascii="Arial" w:cs="Arial" w:eastAsia="Arial" w:hAnsi="Arial"/>
                <w:sz w:val="14"/>
                <w:szCs w:val="14"/>
                <w:color w:val="auto"/>
              </w:rPr>
              <w:t>Rob Routs</w:t>
            </w:r>
          </w:p>
        </w:tc>
        <w:tc>
          <w:tcPr>
            <w:tcW w:w="760" w:type="dxa"/>
            <w:vAlign w:val="bottom"/>
            <w:shd w:val="clear" w:color="auto" w:fill="CECAC6"/>
          </w:tcPr>
          <w:p>
            <w:pPr>
              <w:spacing w:after="0"/>
              <w:rPr>
                <w:sz w:val="13"/>
                <w:szCs w:val="13"/>
                <w:color w:val="auto"/>
              </w:rPr>
            </w:pPr>
          </w:p>
        </w:tc>
        <w:tc>
          <w:tcPr>
            <w:tcW w:w="92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Peter Voser</w:t>
            </w:r>
          </w:p>
        </w:tc>
      </w:tr>
      <w:tr>
        <w:trPr>
          <w:trHeight w:val="160"/>
        </w:trPr>
        <w:tc>
          <w:tcPr>
            <w:tcW w:w="1220" w:type="dxa"/>
            <w:vAlign w:val="bottom"/>
            <w:shd w:val="clear" w:color="auto" w:fill="CECAC6"/>
          </w:tcPr>
          <w:p>
            <w:pPr>
              <w:spacing w:after="0"/>
              <w:rPr>
                <w:sz w:val="13"/>
                <w:szCs w:val="13"/>
                <w:color w:val="auto"/>
              </w:rPr>
            </w:pPr>
          </w:p>
        </w:tc>
        <w:tc>
          <w:tcPr>
            <w:tcW w:w="900" w:type="dxa"/>
            <w:vAlign w:val="bottom"/>
            <w:gridSpan w:val="2"/>
            <w:shd w:val="clear" w:color="auto" w:fill="CECAC6"/>
          </w:tcPr>
          <w:p>
            <w:pPr>
              <w:jc w:val="right"/>
              <w:spacing w:after="0" w:line="160" w:lineRule="exact"/>
              <w:rPr>
                <w:sz w:val="20"/>
                <w:szCs w:val="20"/>
                <w:color w:val="auto"/>
              </w:rPr>
            </w:pPr>
            <w:r>
              <w:rPr>
                <w:rFonts w:ascii="Arial" w:cs="Arial" w:eastAsia="Arial" w:hAnsi="Arial"/>
                <w:sz w:val="14"/>
                <w:szCs w:val="14"/>
                <w:color w:val="auto"/>
              </w:rPr>
              <w:t>2007</w:t>
            </w:r>
          </w:p>
        </w:tc>
        <w:tc>
          <w:tcPr>
            <w:tcW w:w="1020" w:type="dxa"/>
            <w:vAlign w:val="bottom"/>
            <w:shd w:val="clear" w:color="auto" w:fill="CECAC6"/>
          </w:tcPr>
          <w:p>
            <w:pPr>
              <w:jc w:val="right"/>
              <w:ind w:right="129"/>
              <w:spacing w:after="0" w:line="160" w:lineRule="exact"/>
              <w:rPr>
                <w:sz w:val="20"/>
                <w:szCs w:val="20"/>
                <w:color w:val="auto"/>
              </w:rPr>
            </w:pPr>
            <w:r>
              <w:rPr>
                <w:rFonts w:ascii="Arial" w:cs="Arial" w:eastAsia="Arial" w:hAnsi="Arial"/>
                <w:sz w:val="14"/>
                <w:szCs w:val="14"/>
                <w:color w:val="auto"/>
              </w:rPr>
              <w:t>2006</w:t>
            </w:r>
          </w:p>
        </w:tc>
        <w:tc>
          <w:tcPr>
            <w:tcW w:w="76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2007</w:t>
            </w:r>
          </w:p>
        </w:tc>
        <w:tc>
          <w:tcPr>
            <w:tcW w:w="1040" w:type="dxa"/>
            <w:vAlign w:val="bottom"/>
            <w:shd w:val="clear" w:color="auto" w:fill="CECAC6"/>
          </w:tcPr>
          <w:p>
            <w:pPr>
              <w:jc w:val="right"/>
              <w:ind w:right="109"/>
              <w:spacing w:after="0" w:line="160" w:lineRule="exact"/>
              <w:rPr>
                <w:sz w:val="20"/>
                <w:szCs w:val="20"/>
                <w:color w:val="auto"/>
              </w:rPr>
            </w:pPr>
            <w:r>
              <w:rPr>
                <w:rFonts w:ascii="Arial" w:cs="Arial" w:eastAsia="Arial" w:hAnsi="Arial"/>
                <w:sz w:val="14"/>
                <w:szCs w:val="14"/>
                <w:color w:val="auto"/>
              </w:rPr>
              <w:t>2006</w:t>
            </w:r>
          </w:p>
        </w:tc>
        <w:tc>
          <w:tcPr>
            <w:tcW w:w="78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2007</w:t>
            </w:r>
          </w:p>
        </w:tc>
        <w:tc>
          <w:tcPr>
            <w:tcW w:w="1140" w:type="dxa"/>
            <w:vAlign w:val="bottom"/>
            <w:shd w:val="clear" w:color="auto" w:fill="CECAC6"/>
          </w:tcPr>
          <w:p>
            <w:pPr>
              <w:jc w:val="right"/>
              <w:ind w:right="229"/>
              <w:spacing w:after="0" w:line="160" w:lineRule="exact"/>
              <w:rPr>
                <w:sz w:val="20"/>
                <w:szCs w:val="20"/>
                <w:color w:val="auto"/>
              </w:rPr>
            </w:pPr>
            <w:r>
              <w:rPr>
                <w:rFonts w:ascii="Arial" w:cs="Arial" w:eastAsia="Arial" w:hAnsi="Arial"/>
                <w:sz w:val="14"/>
                <w:szCs w:val="14"/>
                <w:color w:val="auto"/>
              </w:rPr>
              <w:t>2006</w:t>
            </w:r>
          </w:p>
        </w:tc>
        <w:tc>
          <w:tcPr>
            <w:tcW w:w="78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2007</w:t>
            </w:r>
          </w:p>
        </w:tc>
        <w:tc>
          <w:tcPr>
            <w:tcW w:w="1060" w:type="dxa"/>
            <w:vAlign w:val="bottom"/>
            <w:shd w:val="clear" w:color="auto" w:fill="CECAC6"/>
          </w:tcPr>
          <w:p>
            <w:pPr>
              <w:jc w:val="right"/>
              <w:ind w:right="149"/>
              <w:spacing w:after="0" w:line="160" w:lineRule="exact"/>
              <w:rPr>
                <w:sz w:val="20"/>
                <w:szCs w:val="20"/>
                <w:color w:val="auto"/>
              </w:rPr>
            </w:pPr>
            <w:r>
              <w:rPr>
                <w:rFonts w:ascii="Arial" w:cs="Arial" w:eastAsia="Arial" w:hAnsi="Arial"/>
                <w:sz w:val="14"/>
                <w:szCs w:val="14"/>
                <w:color w:val="auto"/>
              </w:rPr>
              <w:t>2006</w:t>
            </w:r>
          </w:p>
        </w:tc>
        <w:tc>
          <w:tcPr>
            <w:tcW w:w="76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2007</w:t>
            </w:r>
          </w:p>
        </w:tc>
        <w:tc>
          <w:tcPr>
            <w:tcW w:w="920" w:type="dxa"/>
            <w:vAlign w:val="bottom"/>
            <w:shd w:val="clear" w:color="auto" w:fill="CECAC6"/>
          </w:tcPr>
          <w:p>
            <w:pPr>
              <w:jc w:val="right"/>
              <w:spacing w:after="0" w:line="160" w:lineRule="exact"/>
              <w:rPr>
                <w:sz w:val="20"/>
                <w:szCs w:val="20"/>
                <w:color w:val="auto"/>
              </w:rPr>
            </w:pPr>
            <w:r>
              <w:rPr>
                <w:rFonts w:ascii="Arial" w:cs="Arial" w:eastAsia="Arial" w:hAnsi="Arial"/>
                <w:sz w:val="14"/>
                <w:szCs w:val="14"/>
                <w:color w:val="auto"/>
              </w:rPr>
              <w:t>2006</w:t>
            </w:r>
          </w:p>
        </w:tc>
      </w:tr>
      <w:tr>
        <w:trPr>
          <w:trHeight w:val="140"/>
        </w:trPr>
        <w:tc>
          <w:tcPr>
            <w:tcW w:w="1220" w:type="dxa"/>
            <w:vAlign w:val="bottom"/>
          </w:tcPr>
          <w:p>
            <w:pPr>
              <w:ind w:left="20"/>
              <w:spacing w:after="0" w:line="140" w:lineRule="exact"/>
              <w:rPr>
                <w:sz w:val="20"/>
                <w:szCs w:val="20"/>
                <w:color w:val="auto"/>
              </w:rPr>
            </w:pPr>
            <w:r>
              <w:rPr>
                <w:rFonts w:ascii="Arial" w:cs="Arial" w:eastAsia="Arial" w:hAnsi="Arial"/>
                <w:sz w:val="14"/>
                <w:szCs w:val="14"/>
                <w:color w:val="auto"/>
              </w:rPr>
              <w:t>Salary</w:t>
            </w:r>
          </w:p>
        </w:tc>
        <w:tc>
          <w:tcPr>
            <w:tcW w:w="120" w:type="dxa"/>
            <w:vAlign w:val="bottom"/>
          </w:tcPr>
          <w:p>
            <w:pPr>
              <w:spacing w:after="0"/>
              <w:rPr>
                <w:sz w:val="12"/>
                <w:szCs w:val="12"/>
                <w:color w:val="auto"/>
              </w:rPr>
            </w:pPr>
          </w:p>
        </w:tc>
        <w:tc>
          <w:tcPr>
            <w:tcW w:w="780" w:type="dxa"/>
            <w:vAlign w:val="bottom"/>
            <w:shd w:val="clear" w:color="auto" w:fill="E4E3E1"/>
          </w:tcPr>
          <w:p>
            <w:pPr>
              <w:jc w:val="right"/>
              <w:spacing w:after="0" w:line="140" w:lineRule="exact"/>
              <w:rPr>
                <w:sz w:val="20"/>
                <w:szCs w:val="20"/>
                <w:color w:val="auto"/>
              </w:rPr>
            </w:pPr>
            <w:r>
              <w:rPr>
                <w:rFonts w:ascii="Arial" w:cs="Arial" w:eastAsia="Arial" w:hAnsi="Arial"/>
                <w:sz w:val="14"/>
                <w:szCs w:val="14"/>
                <w:color w:val="auto"/>
                <w:shd w:val="clear" w:color="auto" w:fill="E4E3E1"/>
              </w:rPr>
              <w:t>1,775,000</w:t>
            </w:r>
          </w:p>
        </w:tc>
        <w:tc>
          <w:tcPr>
            <w:tcW w:w="1020" w:type="dxa"/>
            <w:vAlign w:val="bottom"/>
          </w:tcPr>
          <w:p>
            <w:pPr>
              <w:jc w:val="right"/>
              <w:ind w:right="129"/>
              <w:spacing w:after="0" w:line="140" w:lineRule="exact"/>
              <w:rPr>
                <w:sz w:val="20"/>
                <w:szCs w:val="20"/>
                <w:color w:val="auto"/>
              </w:rPr>
            </w:pPr>
            <w:r>
              <w:rPr>
                <w:rFonts w:ascii="Arial" w:cs="Arial" w:eastAsia="Arial" w:hAnsi="Arial"/>
                <w:sz w:val="14"/>
                <w:szCs w:val="14"/>
                <w:color w:val="auto"/>
              </w:rPr>
              <w:t>1,625,000</w:t>
            </w:r>
          </w:p>
        </w:tc>
        <w:tc>
          <w:tcPr>
            <w:tcW w:w="760" w:type="dxa"/>
            <w:vAlign w:val="bottom"/>
            <w:shd w:val="clear" w:color="auto" w:fill="E4E3E1"/>
          </w:tcPr>
          <w:p>
            <w:pPr>
              <w:jc w:val="right"/>
              <w:spacing w:after="0" w:line="140" w:lineRule="exact"/>
              <w:rPr>
                <w:sz w:val="20"/>
                <w:szCs w:val="20"/>
                <w:color w:val="auto"/>
              </w:rPr>
            </w:pPr>
            <w:r>
              <w:rPr>
                <w:rFonts w:ascii="Arial" w:cs="Arial" w:eastAsia="Arial" w:hAnsi="Arial"/>
                <w:sz w:val="14"/>
                <w:szCs w:val="14"/>
                <w:color w:val="auto"/>
                <w:shd w:val="clear" w:color="auto" w:fill="E4E3E1"/>
              </w:rPr>
              <w:t>1,097,500</w:t>
            </w:r>
          </w:p>
        </w:tc>
        <w:tc>
          <w:tcPr>
            <w:tcW w:w="1040" w:type="dxa"/>
            <w:vAlign w:val="bottom"/>
          </w:tcPr>
          <w:p>
            <w:pPr>
              <w:jc w:val="right"/>
              <w:ind w:right="109"/>
              <w:spacing w:after="0" w:line="140" w:lineRule="exact"/>
              <w:rPr>
                <w:sz w:val="20"/>
                <w:szCs w:val="20"/>
                <w:color w:val="auto"/>
              </w:rPr>
            </w:pPr>
            <w:r>
              <w:rPr>
                <w:rFonts w:ascii="Arial" w:cs="Arial" w:eastAsia="Arial" w:hAnsi="Arial"/>
                <w:sz w:val="14"/>
                <w:szCs w:val="14"/>
                <w:color w:val="auto"/>
              </w:rPr>
              <w:t>1,062,500</w:t>
            </w:r>
          </w:p>
        </w:tc>
        <w:tc>
          <w:tcPr>
            <w:tcW w:w="780" w:type="dxa"/>
            <w:vAlign w:val="bottom"/>
            <w:shd w:val="clear" w:color="auto" w:fill="E4E3E1"/>
          </w:tcPr>
          <w:p>
            <w:pPr>
              <w:jc w:val="right"/>
              <w:spacing w:after="0" w:line="140" w:lineRule="exact"/>
              <w:rPr>
                <w:sz w:val="20"/>
                <w:szCs w:val="20"/>
                <w:color w:val="auto"/>
              </w:rPr>
            </w:pPr>
            <w:r>
              <w:rPr>
                <w:rFonts w:ascii="Arial" w:cs="Arial" w:eastAsia="Arial" w:hAnsi="Arial"/>
                <w:sz w:val="14"/>
                <w:szCs w:val="14"/>
                <w:color w:val="auto"/>
              </w:rPr>
              <w:t>960,000</w:t>
            </w:r>
          </w:p>
        </w:tc>
        <w:tc>
          <w:tcPr>
            <w:tcW w:w="1140" w:type="dxa"/>
            <w:vAlign w:val="bottom"/>
          </w:tcPr>
          <w:p>
            <w:pPr>
              <w:jc w:val="right"/>
              <w:ind w:right="49"/>
              <w:spacing w:after="0" w:line="140" w:lineRule="exact"/>
              <w:rPr>
                <w:sz w:val="20"/>
                <w:szCs w:val="20"/>
                <w:color w:val="auto"/>
              </w:rPr>
            </w:pPr>
            <w:r>
              <w:rPr>
                <w:rFonts w:ascii="Arial" w:cs="Arial" w:eastAsia="Arial" w:hAnsi="Arial"/>
                <w:sz w:val="14"/>
                <w:szCs w:val="14"/>
                <w:color w:val="auto"/>
              </w:rPr>
              <w:t>885,112</w:t>
            </w:r>
            <w:r>
              <w:rPr>
                <w:rFonts w:ascii="Arial" w:cs="Arial" w:eastAsia="Arial" w:hAnsi="Arial"/>
                <w:sz w:val="12"/>
                <w:szCs w:val="12"/>
                <w:b w:val="1"/>
                <w:bCs w:val="1"/>
                <w:color w:val="auto"/>
              </w:rPr>
              <w:t>[A]</w:t>
            </w:r>
          </w:p>
        </w:tc>
        <w:tc>
          <w:tcPr>
            <w:tcW w:w="780" w:type="dxa"/>
            <w:vAlign w:val="bottom"/>
            <w:shd w:val="clear" w:color="auto" w:fill="E4E3E1"/>
          </w:tcPr>
          <w:p>
            <w:pPr>
              <w:jc w:val="right"/>
              <w:spacing w:after="0" w:line="140" w:lineRule="exact"/>
              <w:rPr>
                <w:sz w:val="20"/>
                <w:szCs w:val="20"/>
                <w:color w:val="auto"/>
              </w:rPr>
            </w:pPr>
            <w:r>
              <w:rPr>
                <w:rFonts w:ascii="Arial" w:cs="Arial" w:eastAsia="Arial" w:hAnsi="Arial"/>
                <w:sz w:val="14"/>
                <w:szCs w:val="14"/>
                <w:color w:val="auto"/>
              </w:rPr>
              <w:t>977,500</w:t>
            </w:r>
          </w:p>
        </w:tc>
        <w:tc>
          <w:tcPr>
            <w:tcW w:w="1060" w:type="dxa"/>
            <w:vAlign w:val="bottom"/>
          </w:tcPr>
          <w:p>
            <w:pPr>
              <w:jc w:val="right"/>
              <w:ind w:right="149"/>
              <w:spacing w:after="0" w:line="140" w:lineRule="exact"/>
              <w:rPr>
                <w:sz w:val="20"/>
                <w:szCs w:val="20"/>
                <w:color w:val="auto"/>
              </w:rPr>
            </w:pPr>
            <w:r>
              <w:rPr>
                <w:rFonts w:ascii="Arial" w:cs="Arial" w:eastAsia="Arial" w:hAnsi="Arial"/>
                <w:sz w:val="14"/>
                <w:szCs w:val="14"/>
                <w:color w:val="auto"/>
              </w:rPr>
              <w:t>940,000</w:t>
            </w:r>
          </w:p>
        </w:tc>
        <w:tc>
          <w:tcPr>
            <w:tcW w:w="760" w:type="dxa"/>
            <w:vAlign w:val="bottom"/>
            <w:shd w:val="clear" w:color="auto" w:fill="E4E3E1"/>
          </w:tcPr>
          <w:p>
            <w:pPr>
              <w:jc w:val="right"/>
              <w:spacing w:after="0" w:line="140" w:lineRule="exact"/>
              <w:rPr>
                <w:sz w:val="20"/>
                <w:szCs w:val="20"/>
                <w:color w:val="auto"/>
              </w:rPr>
            </w:pPr>
            <w:r>
              <w:rPr>
                <w:rFonts w:ascii="Arial" w:cs="Arial" w:eastAsia="Arial" w:hAnsi="Arial"/>
                <w:sz w:val="14"/>
                <w:szCs w:val="14"/>
                <w:color w:val="auto"/>
              </w:rPr>
              <w:t>960,000</w:t>
            </w:r>
          </w:p>
        </w:tc>
        <w:tc>
          <w:tcPr>
            <w:tcW w:w="920" w:type="dxa"/>
            <w:vAlign w:val="bottom"/>
          </w:tcPr>
          <w:p>
            <w:pPr>
              <w:jc w:val="right"/>
              <w:spacing w:after="0" w:line="140" w:lineRule="exact"/>
              <w:rPr>
                <w:sz w:val="20"/>
                <w:szCs w:val="20"/>
                <w:color w:val="auto"/>
              </w:rPr>
            </w:pPr>
            <w:r>
              <w:rPr>
                <w:rFonts w:ascii="Arial" w:cs="Arial" w:eastAsia="Arial" w:hAnsi="Arial"/>
                <w:sz w:val="14"/>
                <w:szCs w:val="14"/>
                <w:color w:val="auto"/>
              </w:rPr>
              <w:t>892,500</w:t>
            </w:r>
          </w:p>
        </w:tc>
      </w:tr>
      <w:tr>
        <w:trPr>
          <w:trHeight w:val="160"/>
        </w:trPr>
        <w:tc>
          <w:tcPr>
            <w:tcW w:w="1220" w:type="dxa"/>
            <w:vAlign w:val="bottom"/>
          </w:tcPr>
          <w:p>
            <w:pPr>
              <w:ind w:left="20"/>
              <w:spacing w:after="0" w:line="160" w:lineRule="exact"/>
              <w:rPr>
                <w:sz w:val="20"/>
                <w:szCs w:val="20"/>
                <w:color w:val="auto"/>
              </w:rPr>
            </w:pPr>
            <w:r>
              <w:rPr>
                <w:rFonts w:ascii="Arial" w:cs="Arial" w:eastAsia="Arial" w:hAnsi="Arial"/>
                <w:sz w:val="11"/>
                <w:szCs w:val="11"/>
                <w:color w:val="auto"/>
              </w:rPr>
              <w:t>Bonus</w:t>
            </w:r>
            <w:r>
              <w:rPr>
                <w:rFonts w:ascii="Arial" w:cs="Arial" w:eastAsia="Arial" w:hAnsi="Arial"/>
                <w:sz w:val="18"/>
                <w:szCs w:val="18"/>
                <w:b w:val="1"/>
                <w:bCs w:val="1"/>
                <w:color w:val="auto"/>
                <w:vertAlign w:val="superscript"/>
              </w:rPr>
              <w:t>[B]</w:t>
            </w:r>
          </w:p>
        </w:tc>
        <w:tc>
          <w:tcPr>
            <w:tcW w:w="120" w:type="dxa"/>
            <w:vAlign w:val="bottom"/>
          </w:tcPr>
          <w:p>
            <w:pPr>
              <w:spacing w:after="0"/>
              <w:rPr>
                <w:sz w:val="13"/>
                <w:szCs w:val="13"/>
                <w:color w:val="auto"/>
              </w:rPr>
            </w:pPr>
          </w:p>
        </w:tc>
        <w:tc>
          <w:tcPr>
            <w:tcW w:w="780" w:type="dxa"/>
            <w:vAlign w:val="bottom"/>
            <w:shd w:val="clear" w:color="auto" w:fill="E4E3E1"/>
          </w:tcPr>
          <w:p>
            <w:pPr>
              <w:jc w:val="right"/>
              <w:ind w:right="9"/>
              <w:spacing w:after="0" w:line="160" w:lineRule="exact"/>
              <w:rPr>
                <w:sz w:val="20"/>
                <w:szCs w:val="20"/>
                <w:color w:val="auto"/>
              </w:rPr>
            </w:pPr>
            <w:r>
              <w:rPr>
                <w:rFonts w:ascii="Arial" w:cs="Arial" w:eastAsia="Arial" w:hAnsi="Arial"/>
                <w:sz w:val="14"/>
                <w:szCs w:val="14"/>
                <w:color w:val="auto"/>
                <w:shd w:val="clear" w:color="auto" w:fill="E4E3E1"/>
              </w:rPr>
              <w:t>2,886,000</w:t>
            </w:r>
          </w:p>
        </w:tc>
        <w:tc>
          <w:tcPr>
            <w:tcW w:w="1020" w:type="dxa"/>
            <w:vAlign w:val="bottom"/>
          </w:tcPr>
          <w:p>
            <w:pPr>
              <w:jc w:val="right"/>
              <w:ind w:right="129"/>
              <w:spacing w:after="0" w:line="160" w:lineRule="exact"/>
              <w:rPr>
                <w:sz w:val="20"/>
                <w:szCs w:val="20"/>
                <w:color w:val="auto"/>
              </w:rPr>
            </w:pPr>
            <w:r>
              <w:rPr>
                <w:rFonts w:ascii="Arial" w:cs="Arial" w:eastAsia="Arial" w:hAnsi="Arial"/>
                <w:sz w:val="14"/>
                <w:szCs w:val="14"/>
                <w:color w:val="auto"/>
              </w:rPr>
              <w:t>2,040,000</w:t>
            </w:r>
          </w:p>
        </w:tc>
        <w:tc>
          <w:tcPr>
            <w:tcW w:w="760" w:type="dxa"/>
            <w:vAlign w:val="bottom"/>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1,601,600</w:t>
            </w:r>
          </w:p>
        </w:tc>
        <w:tc>
          <w:tcPr>
            <w:tcW w:w="1040" w:type="dxa"/>
            <w:vAlign w:val="bottom"/>
          </w:tcPr>
          <w:p>
            <w:pPr>
              <w:jc w:val="right"/>
              <w:ind w:right="109"/>
              <w:spacing w:after="0" w:line="160" w:lineRule="exact"/>
              <w:rPr>
                <w:sz w:val="20"/>
                <w:szCs w:val="20"/>
                <w:color w:val="auto"/>
              </w:rPr>
            </w:pPr>
            <w:r>
              <w:rPr>
                <w:rFonts w:ascii="Arial" w:cs="Arial" w:eastAsia="Arial" w:hAnsi="Arial"/>
                <w:sz w:val="14"/>
                <w:szCs w:val="14"/>
                <w:color w:val="auto"/>
              </w:rPr>
              <w:t>1,290,000</w:t>
            </w:r>
          </w:p>
        </w:tc>
        <w:tc>
          <w:tcPr>
            <w:tcW w:w="780" w:type="dxa"/>
            <w:vAlign w:val="bottom"/>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1,408,550</w:t>
            </w:r>
          </w:p>
        </w:tc>
        <w:tc>
          <w:tcPr>
            <w:tcW w:w="1140" w:type="dxa"/>
            <w:vAlign w:val="bottom"/>
          </w:tcPr>
          <w:p>
            <w:pPr>
              <w:jc w:val="right"/>
              <w:ind w:right="229"/>
              <w:spacing w:after="0" w:line="160" w:lineRule="exact"/>
              <w:rPr>
                <w:sz w:val="20"/>
                <w:szCs w:val="20"/>
                <w:color w:val="auto"/>
              </w:rPr>
            </w:pPr>
            <w:r>
              <w:rPr>
                <w:rFonts w:ascii="Arial" w:cs="Arial" w:eastAsia="Arial" w:hAnsi="Arial"/>
                <w:sz w:val="14"/>
                <w:szCs w:val="14"/>
                <w:color w:val="auto"/>
              </w:rPr>
              <w:t>1,122,000</w:t>
            </w:r>
          </w:p>
        </w:tc>
        <w:tc>
          <w:tcPr>
            <w:tcW w:w="780" w:type="dxa"/>
            <w:vAlign w:val="bottom"/>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1,430,000</w:t>
            </w:r>
          </w:p>
        </w:tc>
        <w:tc>
          <w:tcPr>
            <w:tcW w:w="1060" w:type="dxa"/>
            <w:vAlign w:val="bottom"/>
          </w:tcPr>
          <w:p>
            <w:pPr>
              <w:jc w:val="right"/>
              <w:ind w:right="149"/>
              <w:spacing w:after="0" w:line="160" w:lineRule="exact"/>
              <w:rPr>
                <w:sz w:val="20"/>
                <w:szCs w:val="20"/>
                <w:color w:val="auto"/>
              </w:rPr>
            </w:pPr>
            <w:r>
              <w:rPr>
                <w:rFonts w:ascii="Arial" w:cs="Arial" w:eastAsia="Arial" w:hAnsi="Arial"/>
                <w:sz w:val="14"/>
                <w:szCs w:val="14"/>
                <w:color w:val="auto"/>
              </w:rPr>
              <w:t>1,146,000</w:t>
            </w:r>
          </w:p>
        </w:tc>
        <w:tc>
          <w:tcPr>
            <w:tcW w:w="760" w:type="dxa"/>
            <w:vAlign w:val="bottom"/>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1,408,550</w:t>
            </w:r>
          </w:p>
        </w:tc>
        <w:tc>
          <w:tcPr>
            <w:tcW w:w="920" w:type="dxa"/>
            <w:vAlign w:val="bottom"/>
          </w:tcPr>
          <w:p>
            <w:pPr>
              <w:jc w:val="right"/>
              <w:spacing w:after="0" w:line="160" w:lineRule="exact"/>
              <w:rPr>
                <w:sz w:val="20"/>
                <w:szCs w:val="20"/>
                <w:color w:val="auto"/>
              </w:rPr>
            </w:pPr>
            <w:r>
              <w:rPr>
                <w:rFonts w:ascii="Arial" w:cs="Arial" w:eastAsia="Arial" w:hAnsi="Arial"/>
                <w:sz w:val="14"/>
                <w:szCs w:val="14"/>
                <w:color w:val="auto"/>
              </w:rPr>
              <w:t>1,122,000</w:t>
            </w:r>
          </w:p>
        </w:tc>
      </w:tr>
      <w:tr>
        <w:trPr>
          <w:trHeight w:val="180"/>
        </w:trPr>
        <w:tc>
          <w:tcPr>
            <w:tcW w:w="1220" w:type="dxa"/>
            <w:vAlign w:val="bottom"/>
            <w:tcBorders>
              <w:bottom w:val="single" w:sz="8" w:color="auto"/>
            </w:tcBorders>
          </w:tcPr>
          <w:p>
            <w:pPr>
              <w:ind w:left="20"/>
              <w:spacing w:after="0" w:line="180" w:lineRule="exact"/>
              <w:rPr>
                <w:sz w:val="20"/>
                <w:szCs w:val="20"/>
                <w:color w:val="auto"/>
              </w:rPr>
            </w:pPr>
            <w:r>
              <w:rPr>
                <w:rFonts w:ascii="Arial" w:cs="Arial" w:eastAsia="Arial" w:hAnsi="Arial"/>
                <w:sz w:val="12"/>
                <w:szCs w:val="12"/>
                <w:color w:val="auto"/>
              </w:rPr>
              <w:t>Cash benefits</w:t>
            </w:r>
            <w:r>
              <w:rPr>
                <w:rFonts w:ascii="Arial" w:cs="Arial" w:eastAsia="Arial" w:hAnsi="Arial"/>
                <w:sz w:val="20"/>
                <w:szCs w:val="20"/>
                <w:b w:val="1"/>
                <w:bCs w:val="1"/>
                <w:color w:val="auto"/>
                <w:vertAlign w:val="superscript"/>
              </w:rPr>
              <w:t>[C]</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shd w:val="clear" w:color="auto" w:fill="E4E3E1"/>
          </w:tcPr>
          <w:p>
            <w:pPr>
              <w:jc w:val="right"/>
              <w:ind w:right="9"/>
              <w:spacing w:after="0"/>
              <w:rPr>
                <w:sz w:val="20"/>
                <w:szCs w:val="20"/>
                <w:color w:val="auto"/>
              </w:rPr>
            </w:pPr>
            <w:r>
              <w:rPr>
                <w:rFonts w:ascii="Arial" w:cs="Arial" w:eastAsia="Arial" w:hAnsi="Arial"/>
                <w:sz w:val="14"/>
                <w:szCs w:val="14"/>
                <w:color w:val="auto"/>
              </w:rPr>
              <w:t>15,000</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15,840</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7,500</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8,340</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154,674</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173,814</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43,100</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42,903</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22,219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16,428</w:t>
            </w:r>
          </w:p>
        </w:tc>
      </w:tr>
      <w:tr>
        <w:trPr>
          <w:trHeight w:val="16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cash</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E4E3E1"/>
          </w:tcPr>
          <w:p>
            <w:pPr>
              <w:jc w:val="right"/>
              <w:ind w:right="9"/>
              <w:spacing w:after="0"/>
              <w:rPr>
                <w:sz w:val="20"/>
                <w:szCs w:val="20"/>
                <w:color w:val="auto"/>
              </w:rPr>
            </w:pPr>
            <w:r>
              <w:rPr>
                <w:rFonts w:ascii="Arial" w:cs="Arial" w:eastAsia="Arial" w:hAnsi="Arial"/>
                <w:sz w:val="14"/>
                <w:szCs w:val="14"/>
                <w:color w:val="auto"/>
                <w:shd w:val="clear" w:color="auto" w:fill="E4E3E1"/>
              </w:rPr>
              <w:t>4,676,000</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3,680,840</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2,706,600</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2,360,840</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2,523,224</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2,180,926</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2,450,600</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2,128,903</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2,390,769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2,030,928</w:t>
            </w:r>
          </w:p>
        </w:tc>
      </w:tr>
      <w:tr>
        <w:trPr>
          <w:trHeight w:val="147"/>
        </w:trPr>
        <w:tc>
          <w:tcPr>
            <w:tcW w:w="1220" w:type="dxa"/>
            <w:vAlign w:val="bottom"/>
          </w:tcPr>
          <w:p>
            <w:pPr>
              <w:ind w:left="20"/>
              <w:spacing w:after="0" w:line="147" w:lineRule="exact"/>
              <w:rPr>
                <w:sz w:val="20"/>
                <w:szCs w:val="20"/>
                <w:color w:val="auto"/>
              </w:rPr>
            </w:pPr>
            <w:r>
              <w:rPr>
                <w:rFonts w:ascii="Arial" w:cs="Arial" w:eastAsia="Arial" w:hAnsi="Arial"/>
                <w:sz w:val="14"/>
                <w:szCs w:val="14"/>
                <w:color w:val="auto"/>
              </w:rPr>
              <w:t>Car benefit</w:t>
            </w:r>
          </w:p>
        </w:tc>
        <w:tc>
          <w:tcPr>
            <w:tcW w:w="120" w:type="dxa"/>
            <w:vAlign w:val="bottom"/>
          </w:tcPr>
          <w:p>
            <w:pPr>
              <w:spacing w:after="0"/>
              <w:rPr>
                <w:sz w:val="12"/>
                <w:szCs w:val="12"/>
                <w:color w:val="auto"/>
              </w:rPr>
            </w:pPr>
          </w:p>
        </w:tc>
        <w:tc>
          <w:tcPr>
            <w:tcW w:w="780" w:type="dxa"/>
            <w:vAlign w:val="bottom"/>
            <w:shd w:val="clear" w:color="auto" w:fill="E4E3E1"/>
          </w:tcPr>
          <w:p>
            <w:pPr>
              <w:jc w:val="right"/>
              <w:ind w:right="9"/>
              <w:spacing w:after="0" w:line="147"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129"/>
              <w:spacing w:after="0" w:line="147" w:lineRule="exact"/>
              <w:rPr>
                <w:sz w:val="20"/>
                <w:szCs w:val="20"/>
                <w:color w:val="auto"/>
              </w:rPr>
            </w:pPr>
            <w:r>
              <w:rPr>
                <w:rFonts w:ascii="Arial" w:cs="Arial" w:eastAsia="Arial" w:hAnsi="Arial"/>
                <w:sz w:val="14"/>
                <w:szCs w:val="14"/>
                <w:color w:val="auto"/>
              </w:rPr>
              <w:t>–</w:t>
            </w:r>
          </w:p>
        </w:tc>
        <w:tc>
          <w:tcPr>
            <w:tcW w:w="760" w:type="dxa"/>
            <w:vAlign w:val="bottom"/>
            <w:shd w:val="clear" w:color="auto" w:fill="E4E3E1"/>
          </w:tcPr>
          <w:p>
            <w:pPr>
              <w:jc w:val="right"/>
              <w:spacing w:after="0" w:line="147" w:lineRule="exact"/>
              <w:rPr>
                <w:sz w:val="20"/>
                <w:szCs w:val="20"/>
                <w:color w:val="auto"/>
              </w:rPr>
            </w:pPr>
            <w:r>
              <w:rPr>
                <w:rFonts w:ascii="Arial" w:cs="Arial" w:eastAsia="Arial" w:hAnsi="Arial"/>
                <w:sz w:val="14"/>
                <w:szCs w:val="14"/>
                <w:color w:val="auto"/>
              </w:rPr>
              <w:t>24,443</w:t>
            </w:r>
          </w:p>
        </w:tc>
        <w:tc>
          <w:tcPr>
            <w:tcW w:w="1040" w:type="dxa"/>
            <w:vAlign w:val="bottom"/>
          </w:tcPr>
          <w:p>
            <w:pPr>
              <w:jc w:val="right"/>
              <w:ind w:right="109"/>
              <w:spacing w:after="0" w:line="147" w:lineRule="exact"/>
              <w:rPr>
                <w:sz w:val="20"/>
                <w:szCs w:val="20"/>
                <w:color w:val="auto"/>
              </w:rPr>
            </w:pPr>
            <w:r>
              <w:rPr>
                <w:rFonts w:ascii="Arial" w:cs="Arial" w:eastAsia="Arial" w:hAnsi="Arial"/>
                <w:sz w:val="14"/>
                <w:szCs w:val="14"/>
                <w:color w:val="auto"/>
              </w:rPr>
              <w:t>22,049</w:t>
            </w:r>
          </w:p>
        </w:tc>
        <w:tc>
          <w:tcPr>
            <w:tcW w:w="780" w:type="dxa"/>
            <w:vAlign w:val="bottom"/>
            <w:shd w:val="clear" w:color="auto" w:fill="E4E3E1"/>
          </w:tcPr>
          <w:p>
            <w:pPr>
              <w:jc w:val="right"/>
              <w:spacing w:after="0" w:line="147" w:lineRule="exact"/>
              <w:rPr>
                <w:sz w:val="20"/>
                <w:szCs w:val="20"/>
                <w:color w:val="auto"/>
              </w:rPr>
            </w:pPr>
            <w:r>
              <w:rPr>
                <w:rFonts w:ascii="Arial" w:cs="Arial" w:eastAsia="Arial" w:hAnsi="Arial"/>
                <w:sz w:val="14"/>
                <w:szCs w:val="14"/>
                <w:color w:val="auto"/>
              </w:rPr>
              <w:t>20,929</w:t>
            </w:r>
          </w:p>
        </w:tc>
        <w:tc>
          <w:tcPr>
            <w:tcW w:w="1140" w:type="dxa"/>
            <w:vAlign w:val="bottom"/>
          </w:tcPr>
          <w:p>
            <w:pPr>
              <w:jc w:val="right"/>
              <w:ind w:right="229"/>
              <w:spacing w:after="0" w:line="147" w:lineRule="exact"/>
              <w:rPr>
                <w:sz w:val="20"/>
                <w:szCs w:val="20"/>
                <w:color w:val="auto"/>
              </w:rPr>
            </w:pPr>
            <w:r>
              <w:rPr>
                <w:rFonts w:ascii="Arial" w:cs="Arial" w:eastAsia="Arial" w:hAnsi="Arial"/>
                <w:sz w:val="14"/>
                <w:szCs w:val="14"/>
                <w:color w:val="auto"/>
              </w:rPr>
              <w:t>24,006</w:t>
            </w:r>
          </w:p>
        </w:tc>
        <w:tc>
          <w:tcPr>
            <w:tcW w:w="780" w:type="dxa"/>
            <w:vAlign w:val="bottom"/>
            <w:shd w:val="clear" w:color="auto" w:fill="E4E3E1"/>
          </w:tcPr>
          <w:p>
            <w:pPr>
              <w:jc w:val="right"/>
              <w:spacing w:after="0" w:line="147" w:lineRule="exact"/>
              <w:rPr>
                <w:sz w:val="20"/>
                <w:szCs w:val="20"/>
                <w:color w:val="auto"/>
              </w:rPr>
            </w:pPr>
            <w:r>
              <w:rPr>
                <w:rFonts w:ascii="Arial" w:cs="Arial" w:eastAsia="Arial" w:hAnsi="Arial"/>
                <w:sz w:val="14"/>
                <w:szCs w:val="14"/>
                <w:color w:val="auto"/>
              </w:rPr>
              <w:t>31,506</w:t>
            </w:r>
          </w:p>
        </w:tc>
        <w:tc>
          <w:tcPr>
            <w:tcW w:w="1060" w:type="dxa"/>
            <w:vAlign w:val="bottom"/>
          </w:tcPr>
          <w:p>
            <w:pPr>
              <w:jc w:val="right"/>
              <w:ind w:right="149"/>
              <w:spacing w:after="0" w:line="147" w:lineRule="exact"/>
              <w:rPr>
                <w:sz w:val="20"/>
                <w:szCs w:val="20"/>
                <w:color w:val="auto"/>
              </w:rPr>
            </w:pPr>
            <w:r>
              <w:rPr>
                <w:rFonts w:ascii="Arial" w:cs="Arial" w:eastAsia="Arial" w:hAnsi="Arial"/>
                <w:sz w:val="14"/>
                <w:szCs w:val="14"/>
                <w:color w:val="auto"/>
              </w:rPr>
              <w:t>35,108</w:t>
            </w:r>
          </w:p>
        </w:tc>
        <w:tc>
          <w:tcPr>
            <w:tcW w:w="760" w:type="dxa"/>
            <w:vAlign w:val="bottom"/>
            <w:shd w:val="clear" w:color="auto" w:fill="E4E3E1"/>
          </w:tcPr>
          <w:p>
            <w:pPr>
              <w:jc w:val="right"/>
              <w:spacing w:after="0" w:line="147"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80"/>
        </w:trPr>
        <w:tc>
          <w:tcPr>
            <w:tcW w:w="1220" w:type="dxa"/>
            <w:vAlign w:val="bottom"/>
            <w:tcBorders>
              <w:bottom w:val="single" w:sz="8" w:color="auto"/>
            </w:tcBorders>
          </w:tcPr>
          <w:p>
            <w:pPr>
              <w:ind w:left="20"/>
              <w:spacing w:after="0" w:line="180" w:lineRule="exact"/>
              <w:rPr>
                <w:sz w:val="20"/>
                <w:szCs w:val="20"/>
                <w:color w:val="auto"/>
              </w:rPr>
            </w:pPr>
            <w:r>
              <w:rPr>
                <w:rFonts w:ascii="Arial" w:cs="Arial" w:eastAsia="Arial" w:hAnsi="Arial"/>
                <w:sz w:val="12"/>
                <w:szCs w:val="12"/>
                <w:color w:val="auto"/>
              </w:rPr>
              <w:t>Other benefits</w:t>
            </w:r>
            <w:r>
              <w:rPr>
                <w:rFonts w:ascii="Arial" w:cs="Arial" w:eastAsia="Arial" w:hAnsi="Arial"/>
                <w:sz w:val="20"/>
                <w:szCs w:val="20"/>
                <w:b w:val="1"/>
                <w:bCs w:val="1"/>
                <w:color w:val="auto"/>
                <w:vertAlign w:val="superscript"/>
              </w:rPr>
              <w:t>[D]</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16,909</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13,371</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35,474</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28,457</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57,596</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56,302</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6,675</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5,157</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rPr>
              <w:t>8,024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17,513</w:t>
            </w:r>
          </w:p>
        </w:tc>
      </w:tr>
      <w:tr>
        <w:trPr>
          <w:trHeight w:val="166"/>
        </w:trPr>
        <w:tc>
          <w:tcPr>
            <w:tcW w:w="1220" w:type="dxa"/>
            <w:vAlign w:val="bottom"/>
          </w:tcPr>
          <w:p>
            <w:pPr>
              <w:ind w:left="20"/>
              <w:spacing w:after="0"/>
              <w:rPr>
                <w:sz w:val="20"/>
                <w:szCs w:val="20"/>
                <w:color w:val="auto"/>
              </w:rPr>
            </w:pPr>
            <w:r>
              <w:rPr>
                <w:rFonts w:ascii="Arial" w:cs="Arial" w:eastAsia="Arial" w:hAnsi="Arial"/>
                <w:sz w:val="14"/>
                <w:szCs w:val="14"/>
                <w:b w:val="1"/>
                <w:bCs w:val="1"/>
                <w:color w:val="auto"/>
              </w:rPr>
              <w:t>Total in euro</w:t>
            </w:r>
          </w:p>
        </w:tc>
        <w:tc>
          <w:tcPr>
            <w:tcW w:w="120" w:type="dxa"/>
            <w:vAlign w:val="bottom"/>
          </w:tcPr>
          <w:p>
            <w:pPr>
              <w:spacing w:after="0"/>
              <w:rPr>
                <w:sz w:val="14"/>
                <w:szCs w:val="14"/>
                <w:color w:val="auto"/>
              </w:rPr>
            </w:pPr>
          </w:p>
        </w:tc>
        <w:tc>
          <w:tcPr>
            <w:tcW w:w="780" w:type="dxa"/>
            <w:vAlign w:val="bottom"/>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4,692,909</w:t>
            </w:r>
          </w:p>
        </w:tc>
        <w:tc>
          <w:tcPr>
            <w:tcW w:w="1020" w:type="dxa"/>
            <w:vAlign w:val="bottom"/>
          </w:tcPr>
          <w:p>
            <w:pPr>
              <w:jc w:val="right"/>
              <w:ind w:right="129"/>
              <w:spacing w:after="0"/>
              <w:rPr>
                <w:sz w:val="20"/>
                <w:szCs w:val="20"/>
                <w:color w:val="auto"/>
              </w:rPr>
            </w:pPr>
            <w:r>
              <w:rPr>
                <w:rFonts w:ascii="Arial" w:cs="Arial" w:eastAsia="Arial" w:hAnsi="Arial"/>
                <w:sz w:val="14"/>
                <w:szCs w:val="14"/>
                <w:color w:val="auto"/>
              </w:rPr>
              <w:t>3,694,211</w:t>
            </w:r>
          </w:p>
        </w:tc>
        <w:tc>
          <w:tcPr>
            <w:tcW w:w="760" w:type="dxa"/>
            <w:vAlign w:val="bottom"/>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2,766,517</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2,411,346</w:t>
            </w:r>
          </w:p>
        </w:tc>
        <w:tc>
          <w:tcPr>
            <w:tcW w:w="780" w:type="dxa"/>
            <w:vAlign w:val="bottom"/>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2,601,749</w:t>
            </w:r>
          </w:p>
        </w:tc>
        <w:tc>
          <w:tcPr>
            <w:tcW w:w="1140" w:type="dxa"/>
            <w:vAlign w:val="bottom"/>
          </w:tcPr>
          <w:p>
            <w:pPr>
              <w:jc w:val="right"/>
              <w:ind w:right="229"/>
              <w:spacing w:after="0"/>
              <w:rPr>
                <w:sz w:val="20"/>
                <w:szCs w:val="20"/>
                <w:color w:val="auto"/>
              </w:rPr>
            </w:pPr>
            <w:r>
              <w:rPr>
                <w:rFonts w:ascii="Arial" w:cs="Arial" w:eastAsia="Arial" w:hAnsi="Arial"/>
                <w:sz w:val="14"/>
                <w:szCs w:val="14"/>
                <w:color w:val="auto"/>
              </w:rPr>
              <w:t>2,261,234</w:t>
            </w:r>
          </w:p>
        </w:tc>
        <w:tc>
          <w:tcPr>
            <w:tcW w:w="780" w:type="dxa"/>
            <w:vAlign w:val="bottom"/>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2,488,781</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2,169,168</w:t>
            </w:r>
          </w:p>
        </w:tc>
        <w:tc>
          <w:tcPr>
            <w:tcW w:w="760" w:type="dxa"/>
            <w:vAlign w:val="bottom"/>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2,398,793</w:t>
            </w:r>
          </w:p>
        </w:tc>
        <w:tc>
          <w:tcPr>
            <w:tcW w:w="920" w:type="dxa"/>
            <w:vAlign w:val="bottom"/>
          </w:tcPr>
          <w:p>
            <w:pPr>
              <w:jc w:val="right"/>
              <w:spacing w:after="0"/>
              <w:rPr>
                <w:sz w:val="20"/>
                <w:szCs w:val="20"/>
                <w:color w:val="auto"/>
              </w:rPr>
            </w:pPr>
            <w:r>
              <w:rPr>
                <w:rFonts w:ascii="Arial" w:cs="Arial" w:eastAsia="Arial" w:hAnsi="Arial"/>
                <w:sz w:val="14"/>
                <w:szCs w:val="14"/>
                <w:color w:val="auto"/>
              </w:rPr>
              <w:t>2,048,441</w:t>
            </w:r>
          </w:p>
        </w:tc>
      </w:tr>
      <w:tr>
        <w:trPr>
          <w:trHeight w:val="160"/>
        </w:trPr>
        <w:tc>
          <w:tcPr>
            <w:tcW w:w="1220" w:type="dxa"/>
            <w:vAlign w:val="bottom"/>
            <w:tcBorders>
              <w:bottom w:val="single" w:sz="8" w:color="auto"/>
            </w:tcBorders>
          </w:tcPr>
          <w:p>
            <w:pPr>
              <w:ind w:left="20"/>
              <w:spacing w:after="0" w:line="160" w:lineRule="exact"/>
              <w:rPr>
                <w:sz w:val="20"/>
                <w:szCs w:val="20"/>
                <w:color w:val="auto"/>
              </w:rPr>
            </w:pPr>
            <w:r>
              <w:rPr>
                <w:rFonts w:ascii="Arial" w:cs="Arial" w:eastAsia="Arial" w:hAnsi="Arial"/>
                <w:sz w:val="14"/>
                <w:szCs w:val="14"/>
                <w:b w:val="1"/>
                <w:bCs w:val="1"/>
                <w:color w:val="auto"/>
              </w:rPr>
              <w:t>Total in US dollar</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6,468,233</w:t>
            </w:r>
          </w:p>
        </w:tc>
        <w:tc>
          <w:tcPr>
            <w:tcW w:w="1020" w:type="dxa"/>
            <w:vAlign w:val="bottom"/>
            <w:tcBorders>
              <w:bottom w:val="single" w:sz="8" w:color="auto"/>
            </w:tcBorders>
          </w:tcPr>
          <w:p>
            <w:pPr>
              <w:jc w:val="right"/>
              <w:ind w:right="129"/>
              <w:spacing w:after="0" w:line="160" w:lineRule="exact"/>
              <w:rPr>
                <w:sz w:val="20"/>
                <w:szCs w:val="20"/>
                <w:color w:val="auto"/>
              </w:rPr>
            </w:pPr>
            <w:r>
              <w:rPr>
                <w:rFonts w:ascii="Arial" w:cs="Arial" w:eastAsia="Arial" w:hAnsi="Arial"/>
                <w:sz w:val="14"/>
                <w:szCs w:val="14"/>
                <w:color w:val="auto"/>
              </w:rPr>
              <w:t>4,672,739</w:t>
            </w:r>
          </w:p>
        </w:tc>
        <w:tc>
          <w:tcPr>
            <w:tcW w:w="760" w:type="dxa"/>
            <w:vAlign w:val="bottom"/>
            <w:tcBorders>
              <w:bottom w:val="single" w:sz="8" w:color="auto"/>
            </w:tcBorders>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3,813,088</w:t>
            </w:r>
          </w:p>
        </w:tc>
        <w:tc>
          <w:tcPr>
            <w:tcW w:w="1040" w:type="dxa"/>
            <w:vAlign w:val="bottom"/>
            <w:tcBorders>
              <w:bottom w:val="single" w:sz="8" w:color="auto"/>
            </w:tcBorders>
          </w:tcPr>
          <w:p>
            <w:pPr>
              <w:jc w:val="right"/>
              <w:ind w:right="109"/>
              <w:spacing w:after="0" w:line="160" w:lineRule="exact"/>
              <w:rPr>
                <w:sz w:val="20"/>
                <w:szCs w:val="20"/>
                <w:color w:val="auto"/>
              </w:rPr>
            </w:pPr>
            <w:r>
              <w:rPr>
                <w:rFonts w:ascii="Arial" w:cs="Arial" w:eastAsia="Arial" w:hAnsi="Arial"/>
                <w:sz w:val="14"/>
                <w:szCs w:val="14"/>
                <w:color w:val="auto"/>
              </w:rPr>
              <w:t>3,050,066</w:t>
            </w:r>
          </w:p>
        </w:tc>
        <w:tc>
          <w:tcPr>
            <w:tcW w:w="780" w:type="dxa"/>
            <w:vAlign w:val="bottom"/>
            <w:tcBorders>
              <w:bottom w:val="single" w:sz="8" w:color="auto"/>
            </w:tcBorders>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3,585,989</w:t>
            </w:r>
          </w:p>
        </w:tc>
        <w:tc>
          <w:tcPr>
            <w:tcW w:w="1140" w:type="dxa"/>
            <w:vAlign w:val="bottom"/>
            <w:tcBorders>
              <w:bottom w:val="single" w:sz="8" w:color="auto"/>
            </w:tcBorders>
          </w:tcPr>
          <w:p>
            <w:pPr>
              <w:jc w:val="right"/>
              <w:ind w:right="229"/>
              <w:spacing w:after="0" w:line="160" w:lineRule="exact"/>
              <w:rPr>
                <w:sz w:val="20"/>
                <w:szCs w:val="20"/>
                <w:color w:val="auto"/>
              </w:rPr>
            </w:pPr>
            <w:r>
              <w:rPr>
                <w:rFonts w:ascii="Arial" w:cs="Arial" w:eastAsia="Arial" w:hAnsi="Arial"/>
                <w:sz w:val="14"/>
                <w:szCs w:val="14"/>
                <w:color w:val="auto"/>
              </w:rPr>
              <w:t>2,860,192</w:t>
            </w:r>
          </w:p>
        </w:tc>
        <w:tc>
          <w:tcPr>
            <w:tcW w:w="780" w:type="dxa"/>
            <w:vAlign w:val="bottom"/>
            <w:tcBorders>
              <w:bottom w:val="single" w:sz="8" w:color="auto"/>
            </w:tcBorders>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3,430,284</w:t>
            </w:r>
          </w:p>
        </w:tc>
        <w:tc>
          <w:tcPr>
            <w:tcW w:w="1060" w:type="dxa"/>
            <w:vAlign w:val="bottom"/>
            <w:tcBorders>
              <w:bottom w:val="single" w:sz="8" w:color="auto"/>
            </w:tcBorders>
          </w:tcPr>
          <w:p>
            <w:pPr>
              <w:jc w:val="right"/>
              <w:ind w:right="149"/>
              <w:spacing w:after="0" w:line="160" w:lineRule="exact"/>
              <w:rPr>
                <w:sz w:val="20"/>
                <w:szCs w:val="20"/>
                <w:color w:val="auto"/>
              </w:rPr>
            </w:pPr>
            <w:r>
              <w:rPr>
                <w:rFonts w:ascii="Arial" w:cs="Arial" w:eastAsia="Arial" w:hAnsi="Arial"/>
                <w:sz w:val="14"/>
                <w:szCs w:val="14"/>
                <w:color w:val="auto"/>
              </w:rPr>
              <w:t>2,743,740</w:t>
            </w:r>
          </w:p>
        </w:tc>
        <w:tc>
          <w:tcPr>
            <w:tcW w:w="760" w:type="dxa"/>
            <w:vAlign w:val="bottom"/>
            <w:tcBorders>
              <w:bottom w:val="single" w:sz="8" w:color="auto"/>
            </w:tcBorders>
            <w:shd w:val="clear" w:color="auto" w:fill="E4E3E1"/>
          </w:tcPr>
          <w:p>
            <w:pPr>
              <w:jc w:val="right"/>
              <w:spacing w:after="0" w:line="160" w:lineRule="exact"/>
              <w:rPr>
                <w:sz w:val="20"/>
                <w:szCs w:val="20"/>
                <w:color w:val="auto"/>
              </w:rPr>
            </w:pPr>
            <w:r>
              <w:rPr>
                <w:rFonts w:ascii="Arial" w:cs="Arial" w:eastAsia="Arial" w:hAnsi="Arial"/>
                <w:sz w:val="14"/>
                <w:szCs w:val="14"/>
                <w:color w:val="auto"/>
                <w:shd w:val="clear" w:color="auto" w:fill="E4E3E1"/>
              </w:rPr>
              <w:t>3,306,254</w:t>
            </w:r>
          </w:p>
        </w:tc>
        <w:tc>
          <w:tcPr>
            <w:tcW w:w="920" w:type="dxa"/>
            <w:vAlign w:val="bottom"/>
            <w:tcBorders>
              <w:bottom w:val="single" w:sz="8" w:color="auto"/>
            </w:tcBorders>
          </w:tcPr>
          <w:p>
            <w:pPr>
              <w:jc w:val="right"/>
              <w:spacing w:after="0" w:line="160" w:lineRule="exact"/>
              <w:rPr>
                <w:sz w:val="20"/>
                <w:szCs w:val="20"/>
                <w:color w:val="auto"/>
              </w:rPr>
            </w:pPr>
            <w:r>
              <w:rPr>
                <w:rFonts w:ascii="Arial" w:cs="Arial" w:eastAsia="Arial" w:hAnsi="Arial"/>
                <w:sz w:val="14"/>
                <w:szCs w:val="14"/>
                <w:color w:val="auto"/>
              </w:rPr>
              <w:t>2,591,035</w:t>
            </w:r>
          </w:p>
        </w:tc>
      </w:tr>
      <w:tr>
        <w:trPr>
          <w:trHeight w:val="166"/>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in sterling</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3,227,923</w:t>
            </w:r>
          </w:p>
        </w:tc>
        <w:tc>
          <w:tcPr>
            <w:tcW w:w="10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2,518,173</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1,902,893</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1,643,703</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1,789,561</w:t>
            </w:r>
          </w:p>
        </w:tc>
        <w:tc>
          <w:tcPr>
            <w:tcW w:w="114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1,541,378</w:t>
            </w:r>
          </w:p>
        </w:tc>
        <w:tc>
          <w:tcPr>
            <w:tcW w:w="78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1,711,857</w:t>
            </w:r>
          </w:p>
        </w:tc>
        <w:tc>
          <w:tcPr>
            <w:tcW w:w="106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1,478,621</w:t>
            </w:r>
          </w:p>
        </w:tc>
        <w:tc>
          <w:tcPr>
            <w:tcW w:w="7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4"/>
                <w:szCs w:val="14"/>
                <w:color w:val="auto"/>
                <w:shd w:val="clear" w:color="auto" w:fill="E4E3E1"/>
              </w:rPr>
              <w:t>1,649,961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1,396,327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1991995</wp:posOffset>
            </wp:positionH>
            <wp:positionV relativeFrom="paragraph">
              <wp:posOffset>-1191895</wp:posOffset>
            </wp:positionV>
            <wp:extent cx="8255" cy="2032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203200"/>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-1191895</wp:posOffset>
            </wp:positionV>
            <wp:extent cx="8255" cy="2032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20320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-1191895</wp:posOffset>
            </wp:positionV>
            <wp:extent cx="8255" cy="2032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203200"/>
                    </a:xfrm>
                    <a:prstGeom prst="rect">
                      <a:avLst/>
                    </a:prstGeom>
                    <a:noFill/>
                  </pic:spPr>
                </pic:pic>
              </a:graphicData>
            </a:graphic>
          </wp:anchor>
        </w:drawing>
        <w:drawing>
          <wp:anchor simplePos="0" relativeHeight="251657728" behindDoc="1" locked="0" layoutInCell="0" allowOverlap="1">
            <wp:simplePos x="0" y="0"/>
            <wp:positionH relativeFrom="column">
              <wp:posOffset>5518785</wp:posOffset>
            </wp:positionH>
            <wp:positionV relativeFrom="paragraph">
              <wp:posOffset>-1191895</wp:posOffset>
            </wp:positionV>
            <wp:extent cx="8255" cy="2032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203200"/>
                    </a:xfrm>
                    <a:prstGeom prst="rect">
                      <a:avLst/>
                    </a:prstGeom>
                    <a:noFill/>
                  </pic:spPr>
                </pic:pic>
              </a:graphicData>
            </a:graphic>
          </wp:anchor>
        </w:drawing>
      </w:r>
    </w:p>
    <w:p>
      <w:pPr>
        <w:ind w:left="260" w:hanging="253"/>
        <w:spacing w:after="0"/>
        <w:tabs>
          <w:tab w:leader="none" w:pos="2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2006 salary was calculated from euro and US dollar allocations. The equivalent value would have been €892,500.</w:t>
      </w:r>
    </w:p>
    <w:p>
      <w:pPr>
        <w:spacing w:after="0" w:line="2" w:lineRule="exact"/>
        <w:rPr>
          <w:rFonts w:ascii="Arial" w:cs="Arial" w:eastAsia="Arial" w:hAnsi="Arial"/>
          <w:sz w:val="12"/>
          <w:szCs w:val="12"/>
          <w:color w:val="auto"/>
        </w:rPr>
      </w:pPr>
    </w:p>
    <w:p>
      <w:pPr>
        <w:ind w:left="260" w:right="40" w:hanging="253"/>
        <w:spacing w:after="0"/>
        <w:tabs>
          <w:tab w:leader="none" w:pos="2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The annual bonus figures are shown in the table in their related performance year and not in the following year in which they are paid. (See also the Deferred Bonus Plan table on page 100).</w:t>
      </w:r>
    </w:p>
    <w:p>
      <w:pPr>
        <w:spacing w:after="0" w:line="128" w:lineRule="exact"/>
        <w:rPr>
          <w:rFonts w:ascii="Arial" w:cs="Arial" w:eastAsia="Arial" w:hAnsi="Arial"/>
          <w:sz w:val="12"/>
          <w:szCs w:val="12"/>
          <w:color w:val="auto"/>
        </w:rPr>
      </w:pPr>
    </w:p>
    <w:p>
      <w:pPr>
        <w:ind w:left="260" w:hanging="253"/>
        <w:spacing w:after="0" w:line="231" w:lineRule="auto"/>
        <w:tabs>
          <w:tab w:leader="none" w:pos="2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representation allowances, employer contributions to health insurance plan, school fees, car allowances and tax compensation.</w:t>
      </w:r>
    </w:p>
    <w:p>
      <w:pPr>
        <w:ind w:left="260" w:right="340" w:hanging="253"/>
        <w:spacing w:after="0" w:line="249" w:lineRule="auto"/>
        <w:tabs>
          <w:tab w:leader="none" w:pos="2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Comprises social security premiums paid by the employer as well as provisions for company-provided transport for home to office commuting and exceptional use of the corporate aircraft.</w:t>
      </w:r>
    </w:p>
    <w:p>
      <w:pPr>
        <w:spacing w:after="0" w:line="180" w:lineRule="exact"/>
        <w:rPr>
          <w:sz w:val="20"/>
          <w:szCs w:val="20"/>
          <w:color w:val="auto"/>
        </w:rPr>
      </w:pPr>
    </w:p>
    <w:p>
      <w:pPr>
        <w:ind w:right="560"/>
        <w:spacing w:after="0" w:line="247" w:lineRule="auto"/>
        <w:rPr>
          <w:sz w:val="20"/>
          <w:szCs w:val="20"/>
          <w:color w:val="auto"/>
        </w:rPr>
      </w:pPr>
      <w:r>
        <w:rPr>
          <w:rFonts w:ascii="Arial" w:cs="Arial" w:eastAsia="Arial" w:hAnsi="Arial"/>
          <w:sz w:val="14"/>
          <w:szCs w:val="14"/>
          <w:color w:val="auto"/>
        </w:rPr>
        <w:t>The aggregate amount paid to or receivable by Executive Directors of Royal Dutch Shell and other Shell companies for services in all capacities during the fiscal year ended December 31, 2007 was €14,948,749 (2006: €12,584,400).</w:t>
      </w:r>
    </w:p>
    <w:p>
      <w:pPr>
        <w:spacing w:after="0" w:line="179" w:lineRule="exact"/>
        <w:rPr>
          <w:sz w:val="20"/>
          <w:szCs w:val="20"/>
          <w:color w:val="auto"/>
        </w:rPr>
      </w:pPr>
    </w:p>
    <w:p>
      <w:pPr>
        <w:ind w:left="320" w:hanging="313"/>
        <w:spacing w:after="0"/>
        <w:tabs>
          <w:tab w:leader="none" w:pos="320" w:val="left"/>
        </w:tabs>
        <w:numPr>
          <w:ilvl w:val="0"/>
          <w:numId w:val="117"/>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544830</wp:posOffset>
            </wp:positionV>
            <wp:extent cx="725297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380"/>
          </w:cols>
          <w:pgMar w:left="240" w:top="415" w:right="127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086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08680" cy="8255"/>
                    </a:xfrm>
                    <a:prstGeom prst="rect">
                      <a:avLst/>
                    </a:prstGeom>
                    <a:noFill/>
                  </pic:spPr>
                </pic:pic>
              </a:graphicData>
            </a:graphic>
          </wp:anchor>
        </w:drawing>
      </w:r>
    </w:p>
    <w:p>
      <w:pPr>
        <w:spacing w:after="0" w:line="155"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This section covers two programmes currently in use, namely: the Long-term Incentive Plan (LTIP) and the Deferred Bonus Plan (DBP). Details are also given of outstanding share options under a prior share option plan, and REMCO’s proposed change in the award policy of the Restricted Share Plan (RSP).</w:t>
      </w:r>
    </w:p>
    <w:p>
      <w:pPr>
        <w:spacing w:after="0" w:line="66"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Long-term incentives ensure a closer link between Executive Directors’ pay and Shell’s performance compared to its peers. REMCO continues to review long-term incentive measures. To date relative Total Shareholder Return (TSR) has been regarded as the performance test that most closely aligns the interests of Executive Directors with those of shareholders. REMCO assures itself that the underlying performance of Shell is satisfactory before releasing any conditional performance shares to Executive Directors. TSR is calculated using a 90 calendar day average of share prices around the beginning and end dates of the performance period.</w:t>
      </w:r>
    </w:p>
    <w:p>
      <w:pPr>
        <w:spacing w:after="0" w:line="57"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Awards are subject to performance over a period of three years, after which they are released if the performance condition is met and if the participant remains in employment during the performance period (subject to certain exceptions, including retirement).</w:t>
      </w:r>
    </w:p>
    <w:p>
      <w:pPr>
        <w:spacing w:after="0" w:line="81" w:lineRule="exact"/>
        <w:rPr>
          <w:sz w:val="20"/>
          <w:szCs w:val="20"/>
          <w:color w:val="auto"/>
        </w:rPr>
      </w:pPr>
    </w:p>
    <w:p>
      <w:pPr>
        <w:ind w:right="80"/>
        <w:spacing w:after="0" w:line="292" w:lineRule="auto"/>
        <w:rPr>
          <w:sz w:val="20"/>
          <w:szCs w:val="20"/>
          <w:color w:val="auto"/>
        </w:rPr>
      </w:pPr>
      <w:r>
        <w:rPr>
          <w:rFonts w:ascii="Arial" w:cs="Arial" w:eastAsia="Arial" w:hAnsi="Arial"/>
          <w:sz w:val="15"/>
          <w:szCs w:val="15"/>
          <w:color w:val="auto"/>
        </w:rPr>
        <w:t>REMCO will retain discretion to adjust the level of shares released when TSR outcomes are close. REMCO will base such judgements on the achievement of the annual Shell Scorecard targets excluding TSR over the performance period and other performance measures it deems appropriate.</w:t>
      </w:r>
    </w:p>
    <w:p>
      <w:pPr>
        <w:spacing w:after="0" w:line="66" w:lineRule="exact"/>
        <w:rPr>
          <w:sz w:val="20"/>
          <w:szCs w:val="20"/>
          <w:color w:val="auto"/>
        </w:rPr>
      </w:pPr>
    </w:p>
    <w:p>
      <w:pPr>
        <w:ind w:right="140"/>
        <w:spacing w:after="0" w:line="225" w:lineRule="auto"/>
        <w:rPr>
          <w:sz w:val="20"/>
          <w:szCs w:val="20"/>
          <w:color w:val="auto"/>
        </w:rPr>
      </w:pPr>
      <w:r>
        <w:rPr>
          <w:rFonts w:ascii="Arial" w:cs="Arial" w:eastAsia="Arial" w:hAnsi="Arial"/>
          <w:sz w:val="16"/>
          <w:szCs w:val="16"/>
          <w:color w:val="auto"/>
        </w:rPr>
        <w:t>REMCO approves award dates in advance, setting them to the beginning of the next open period</w:t>
      </w:r>
      <w:r>
        <w:rPr>
          <w:rFonts w:ascii="Arial" w:cs="Arial" w:eastAsia="Arial" w:hAnsi="Arial"/>
          <w:sz w:val="24"/>
          <w:szCs w:val="24"/>
          <w:b w:val="1"/>
          <w:bCs w:val="1"/>
          <w:color w:val="auto"/>
          <w:vertAlign w:val="superscript"/>
        </w:rPr>
        <w:t>[A]</w:t>
      </w:r>
      <w:r>
        <w:rPr>
          <w:rFonts w:ascii="Arial" w:cs="Arial" w:eastAsia="Arial" w:hAnsi="Arial"/>
          <w:sz w:val="16"/>
          <w:szCs w:val="16"/>
          <w:color w:val="auto"/>
        </w:rPr>
        <w:t>. Grant prices, including previously issued stock options, have at no time been set retroactively.</w:t>
      </w:r>
    </w:p>
    <w:p>
      <w:pPr>
        <w:spacing w:after="0" w:line="10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Although the rules of these long-term incentive plans allow for dilution, existing share capital currently funds these plans.</w:t>
      </w:r>
    </w:p>
    <w:p>
      <w:pPr>
        <w:spacing w:after="0" w:line="66" w:lineRule="exact"/>
        <w:rPr>
          <w:sz w:val="20"/>
          <w:szCs w:val="20"/>
          <w:color w:val="auto"/>
        </w:rPr>
      </w:pPr>
    </w:p>
    <w:p>
      <w:pPr>
        <w:ind w:right="40"/>
        <w:spacing w:after="0" w:line="314" w:lineRule="auto"/>
        <w:rPr>
          <w:sz w:val="20"/>
          <w:szCs w:val="20"/>
          <w:color w:val="auto"/>
        </w:rPr>
      </w:pPr>
      <w:r>
        <w:rPr>
          <w:rFonts w:ascii="Arial" w:cs="Arial" w:eastAsia="Arial" w:hAnsi="Arial"/>
          <w:sz w:val="14"/>
          <w:szCs w:val="14"/>
          <w:color w:val="auto"/>
        </w:rPr>
        <w:t>In response to a Dutch Corporate Income Tax rule disallowing the tax deductibility of share-delivered remuneration, REMCO approved a change in the delivery mechanism of the long-term incentive and the deferred bonus plans. For awards made after January 1, 2007 delivery will be in cash and not shares. The impact will only be realised from 2010 when the first awards under this change vest.</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LONG-TERM INCENTIVE PLAN</w:t>
      </w:r>
    </w:p>
    <w:p>
      <w:pPr>
        <w:spacing w:after="0" w:line="42"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color w:val="auto"/>
        </w:rPr>
        <w:t>Under the LTIP, an award of performance shares is made conditionally once a year. Awards have a face value of between zero and two and a half times base salary where the face value of the conditional performance share award is the number of shares multiplied by the share price at the time of the award.</w:t>
      </w:r>
    </w:p>
    <w:p>
      <w:pPr>
        <w:spacing w:after="0" w:line="70" w:lineRule="exact"/>
        <w:rPr>
          <w:sz w:val="20"/>
          <w:szCs w:val="20"/>
          <w:color w:val="auto"/>
        </w:rPr>
      </w:pPr>
    </w:p>
    <w:p>
      <w:pPr>
        <w:ind w:left="240" w:right="120" w:hanging="233"/>
        <w:spacing w:after="0" w:line="236" w:lineRule="auto"/>
        <w:tabs>
          <w:tab w:leader="none" w:pos="2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On January 30, 2007, REMCO (as the delegated authority of the Royal Dutch Shell Board) approved LTIP and DBP awards to be made on February 2, 2007, based on a market price determined as the closing price on the day of the award. The number of shares comprising the awards and the value of these awards was subsequently confirmed at its meeting of March 6, 2007. For 2008, REMCO set the value for both LTIP and DBP awards on January 29, 2008, for a grant date of February 1,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80"/>
        <w:spacing w:after="0" w:line="273" w:lineRule="auto"/>
        <w:rPr>
          <w:sz w:val="20"/>
          <w:szCs w:val="20"/>
          <w:color w:val="auto"/>
        </w:rPr>
      </w:pPr>
      <w:r>
        <w:rPr>
          <w:rFonts w:ascii="Arial" w:cs="Arial" w:eastAsia="Arial" w:hAnsi="Arial"/>
          <w:sz w:val="16"/>
          <w:szCs w:val="16"/>
          <w:color w:val="auto"/>
        </w:rPr>
        <w:t>The final value delivered to Executive Directors will depend on the TSR performance of Royal Dutch Shell relative to the other major integrated oil companies. The current schedule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-323850</wp:posOffset>
            </wp:positionV>
            <wp:extent cx="282575" cy="76885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2575" cy="7688580"/>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Borders>
              <w:bottom w:val="single" w:sz="8" w:color="C1D72E"/>
            </w:tcBorders>
            <w:shd w:val="clear" w:color="auto" w:fill="C1D72E"/>
          </w:tcPr>
          <w:p>
            <w:pPr>
              <w:ind w:left="40"/>
              <w:spacing w:after="0"/>
              <w:rPr>
                <w:sz w:val="20"/>
                <w:szCs w:val="20"/>
                <w:color w:val="auto"/>
              </w:rPr>
            </w:pPr>
            <w:r>
              <w:rPr>
                <w:rFonts w:ascii="Arial" w:cs="Arial" w:eastAsia="Arial" w:hAnsi="Arial"/>
                <w:sz w:val="12"/>
                <w:szCs w:val="12"/>
                <w:b w:val="1"/>
                <w:bCs w:val="1"/>
                <w:color w:val="auto"/>
              </w:rPr>
              <w:t>TSR RANK</w:t>
            </w:r>
          </w:p>
        </w:tc>
        <w:tc>
          <w:tcPr>
            <w:tcW w:w="2640" w:type="dxa"/>
            <w:vAlign w:val="bottom"/>
            <w:tcBorders>
              <w:bottom w:val="single" w:sz="8" w:color="C1D72E"/>
            </w:tcBorders>
            <w:shd w:val="clear" w:color="auto" w:fill="C1D72E"/>
          </w:tcPr>
          <w:p>
            <w:pPr>
              <w:jc w:val="right"/>
              <w:spacing w:after="0"/>
              <w:rPr>
                <w:sz w:val="20"/>
                <w:szCs w:val="20"/>
                <w:color w:val="auto"/>
              </w:rPr>
            </w:pPr>
            <w:r>
              <w:rPr>
                <w:rFonts w:ascii="Arial" w:cs="Arial" w:eastAsia="Arial" w:hAnsi="Arial"/>
                <w:sz w:val="12"/>
                <w:szCs w:val="12"/>
                <w:b w:val="1"/>
                <w:bCs w:val="1"/>
                <w:color w:val="auto"/>
                <w:w w:val="98"/>
              </w:rPr>
              <w:t>FINAL NUMBER OF PERFORMANCE SHARES</w:t>
            </w:r>
          </w:p>
        </w:tc>
        <w:tc>
          <w:tcPr>
            <w:tcW w:w="20" w:type="dxa"/>
            <w:vAlign w:val="bottom"/>
          </w:tcPr>
          <w:p>
            <w:pPr>
              <w:spacing w:after="0"/>
              <w:rPr>
                <w:sz w:val="14"/>
                <w:szCs w:val="14"/>
                <w:color w:val="auto"/>
              </w:rPr>
            </w:pPr>
          </w:p>
        </w:tc>
      </w:tr>
      <w:tr>
        <w:trPr>
          <w:trHeight w:val="127"/>
        </w:trPr>
        <w:tc>
          <w:tcPr>
            <w:tcW w:w="2720" w:type="dxa"/>
            <w:vAlign w:val="bottom"/>
          </w:tcPr>
          <w:p>
            <w:pPr>
              <w:spacing w:after="0" w:line="128" w:lineRule="exact"/>
              <w:rPr>
                <w:sz w:val="20"/>
                <w:szCs w:val="20"/>
                <w:color w:val="auto"/>
              </w:rPr>
            </w:pPr>
            <w:r>
              <w:rPr>
                <w:rFonts w:ascii="Arial" w:cs="Arial" w:eastAsia="Arial" w:hAnsi="Arial"/>
                <w:sz w:val="12"/>
                <w:szCs w:val="12"/>
                <w:color w:val="auto"/>
              </w:rPr>
              <w:t>1st</w:t>
            </w:r>
          </w:p>
        </w:tc>
        <w:tc>
          <w:tcPr>
            <w:tcW w:w="2640" w:type="dxa"/>
            <w:vAlign w:val="bottom"/>
          </w:tcPr>
          <w:p>
            <w:pPr>
              <w:jc w:val="right"/>
              <w:spacing w:after="0" w:line="128" w:lineRule="exact"/>
              <w:rPr>
                <w:sz w:val="20"/>
                <w:szCs w:val="20"/>
                <w:color w:val="auto"/>
              </w:rPr>
            </w:pPr>
            <w:r>
              <w:rPr>
                <w:rFonts w:ascii="Arial" w:cs="Arial" w:eastAsia="Arial" w:hAnsi="Arial"/>
                <w:sz w:val="12"/>
                <w:szCs w:val="12"/>
                <w:color w:val="auto"/>
              </w:rPr>
              <w:t>2 x award</w:t>
            </w:r>
          </w:p>
        </w:tc>
        <w:tc>
          <w:tcPr>
            <w:tcW w:w="20" w:type="dxa"/>
            <w:vAlign w:val="bottom"/>
          </w:tcPr>
          <w:p>
            <w:pPr>
              <w:spacing w:after="0"/>
              <w:rPr>
                <w:sz w:val="11"/>
                <w:szCs w:val="11"/>
                <w:color w:val="auto"/>
              </w:rPr>
            </w:pPr>
          </w:p>
        </w:tc>
      </w:tr>
      <w:tr>
        <w:trPr>
          <w:trHeight w:val="133"/>
        </w:trPr>
        <w:tc>
          <w:tcPr>
            <w:tcW w:w="2720" w:type="dxa"/>
            <w:vAlign w:val="bottom"/>
          </w:tcPr>
          <w:p>
            <w:pPr>
              <w:spacing w:after="0" w:line="133" w:lineRule="exact"/>
              <w:rPr>
                <w:sz w:val="20"/>
                <w:szCs w:val="20"/>
                <w:color w:val="auto"/>
              </w:rPr>
            </w:pPr>
            <w:r>
              <w:rPr>
                <w:rFonts w:ascii="Arial" w:cs="Arial" w:eastAsia="Arial" w:hAnsi="Arial"/>
                <w:sz w:val="12"/>
                <w:szCs w:val="12"/>
                <w:color w:val="auto"/>
              </w:rPr>
              <w:t>2nd</w:t>
            </w:r>
          </w:p>
        </w:tc>
        <w:tc>
          <w:tcPr>
            <w:tcW w:w="26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1.5 x award</w:t>
            </w:r>
          </w:p>
        </w:tc>
      </w:tr>
      <w:tr>
        <w:trPr>
          <w:trHeight w:val="133"/>
        </w:trPr>
        <w:tc>
          <w:tcPr>
            <w:tcW w:w="2720" w:type="dxa"/>
            <w:vAlign w:val="bottom"/>
          </w:tcPr>
          <w:p>
            <w:pPr>
              <w:spacing w:after="0" w:line="133" w:lineRule="exact"/>
              <w:rPr>
                <w:sz w:val="20"/>
                <w:szCs w:val="20"/>
                <w:color w:val="auto"/>
              </w:rPr>
            </w:pPr>
            <w:r>
              <w:rPr>
                <w:rFonts w:ascii="Arial" w:cs="Arial" w:eastAsia="Arial" w:hAnsi="Arial"/>
                <w:sz w:val="12"/>
                <w:szCs w:val="12"/>
                <w:color w:val="auto"/>
              </w:rPr>
              <w:t>3rd</w:t>
            </w:r>
          </w:p>
        </w:tc>
        <w:tc>
          <w:tcPr>
            <w:tcW w:w="26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0.8 x award</w:t>
            </w:r>
          </w:p>
        </w:tc>
      </w:tr>
      <w:tr>
        <w:trPr>
          <w:trHeight w:val="150"/>
        </w:trPr>
        <w:tc>
          <w:tcPr>
            <w:tcW w:w="27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4th or 5th</w:t>
            </w:r>
          </w:p>
        </w:tc>
        <w:tc>
          <w:tcPr>
            <w:tcW w:w="2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Nil</w:t>
            </w:r>
          </w:p>
        </w:tc>
      </w:tr>
    </w:tbl>
    <w:p>
      <w:pPr>
        <w:spacing w:after="0" w:line="203"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During 2007, the Chief Executive was made a conditional award of performance shares under the LTIP with a face value of 2.4 times his base salary. The other Executive Directors were made a conditional award of performance shares with a face value of 2.2 times their base salary. The actual number of shares Executive Directors will receive in 2010 will depend on the Company’s TSR performance over the period 2007 to 2009.</w:t>
      </w:r>
    </w:p>
    <w:p>
      <w:pPr>
        <w:spacing w:after="0" w:line="72"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In 2005, Executive Directors were granted a conditional award of performance shares under the LTIP. The performance period was January 1, 2005 to December 31, 2007. Shell was ranked fourth but the difference with third was narrow. REMCO exercised discretion and released 65% of the LTIP award, basing the judgement on the fact that the Company exceeded targets set by the Board in the annual scorecard for each of the years in question.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For more details see the Long-term Incentive Plan table on page 99.</w:t>
      </w:r>
    </w:p>
    <w:p>
      <w:pPr>
        <w:spacing w:after="0" w:line="122"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For 2008, the level of the conditional performance awards has been increased to reinforce an emphasis on the longer term. For the Chief Executive this level will be 2.5 times base salary and for the Executive Directors 2.4 times base salary.</w:t>
      </w:r>
    </w:p>
    <w:p>
      <w:pPr>
        <w:spacing w:after="0" w:line="4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At the 2008 AGM, shareholders will be asked to approve raising the individual limit for LTIP awards to four times base salary. This will provide REMCO with the necessary flexibility to award competitive long-term incentive awards moving forward. REMCO would increase the 2009 award to the Chief Executive beyond the present limit but has no plans at current market levels to increase awards for the other Executive Directors.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SHARE PLAN</w:t>
      </w:r>
    </w:p>
    <w:p>
      <w:pPr>
        <w:spacing w:after="0" w:line="4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Awards under the RSP are made on a highly selective basis for retention and recruitment purposes. Shares are subject to a restriction period of three years and are released with the addition of dividend shares. To date Executive Directors have not been eligible to participate in the RSP.</w:t>
      </w:r>
    </w:p>
    <w:p>
      <w:pPr>
        <w:spacing w:after="0" w:line="81"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Subject to shareholder approval at the AGM, REMCO intends to use the RSP for Executive Directors. For 2008, it is planned to make RSP awards to the three Executive Directors who are not retiring over the next year, to enhance retention ahead of the forthcoming Board successions. The RSP awards have no performance conditions and will vest in 2011, subject to the Executive Directors continuous employment. REMCO will retain discretion to reduce the vesting level should either business or individual performance warrant review. The face value of the awards will be one times base salary.</w:t>
      </w:r>
    </w:p>
    <w:p>
      <w:pPr>
        <w:spacing w:after="0" w:line="200" w:lineRule="exact"/>
        <w:rPr>
          <w:sz w:val="20"/>
          <w:szCs w:val="20"/>
          <w:color w:val="auto"/>
        </w:rPr>
      </w:pPr>
    </w:p>
    <w:p>
      <w:pPr>
        <w:sectPr>
          <w:pgSz w:w="11900" w:h="16838" w:orient="portrait"/>
          <w:cols w:equalWidth="0" w:num="2">
            <w:col w:w="5360" w:space="240"/>
            <w:col w:w="5360"/>
          </w:cols>
          <w:pgMar w:left="240" w:top="415" w:right="699" w:bottom="1440" w:gutter="0" w:footer="0" w:header="0"/>
        </w:sectPr>
      </w:pPr>
    </w:p>
    <w:p>
      <w:pPr>
        <w:spacing w:after="0" w:line="397" w:lineRule="exact"/>
        <w:rPr>
          <w:sz w:val="20"/>
          <w:szCs w:val="20"/>
          <w:color w:val="auto"/>
        </w:rPr>
      </w:pPr>
    </w:p>
    <w:p>
      <w:pPr>
        <w:ind w:left="9580"/>
        <w:spacing w:after="0"/>
        <w:tabs>
          <w:tab w:leader="none" w:pos="108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1570990</wp:posOffset>
            </wp:positionV>
            <wp:extent cx="725297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DIRECTORS’ REMUNERATION REPORT </w:t>
      </w:r>
      <w:r>
        <w:rPr>
          <w:rFonts w:ascii="Arial" w:cs="Arial" w:eastAsia="Arial" w:hAnsi="Arial"/>
          <w:sz w:val="12"/>
          <w:szCs w:val="12"/>
          <w:b w:val="1"/>
          <w:bCs w:val="1"/>
          <w:color w:val="C1D72E"/>
        </w:rPr>
        <w:t>EXECUTIVE DIRECTORS’ REMUNERATION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BONUS PLAN</w:t>
      </w:r>
    </w:p>
    <w:p>
      <w:pPr>
        <w:spacing w:after="0" w:line="42"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The DBP encourages share ownership by allowing Executive Directors to invest part of their annual bonus in Royal Dutch Shell shares.</w:t>
      </w:r>
    </w:p>
    <w:p>
      <w:pPr>
        <w:spacing w:after="0" w:line="6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Under the DBP, Executive Directors can choose to invest up to 50% of their annual bonus in deferred bonus shares. From the 2006 financial year, Executive Directors have been required to defer a minimum of 25% of their bonus into deferred bonus shares.</w:t>
      </w:r>
    </w:p>
    <w:p>
      <w:pPr>
        <w:spacing w:after="0" w:line="81" w:lineRule="exact"/>
        <w:rPr>
          <w:sz w:val="20"/>
          <w:szCs w:val="20"/>
          <w:color w:val="auto"/>
        </w:rPr>
      </w:pPr>
    </w:p>
    <w:p>
      <w:pPr>
        <w:ind w:right="60"/>
        <w:spacing w:after="0" w:line="307" w:lineRule="auto"/>
        <w:rPr>
          <w:sz w:val="20"/>
          <w:szCs w:val="20"/>
          <w:color w:val="auto"/>
        </w:rPr>
      </w:pPr>
      <w:r>
        <w:rPr>
          <w:rFonts w:ascii="Arial" w:cs="Arial" w:eastAsia="Arial" w:hAnsi="Arial"/>
          <w:sz w:val="14"/>
          <w:szCs w:val="14"/>
          <w:color w:val="auto"/>
        </w:rPr>
        <w:t>Any dividends payable on these deferred bonus shares are accrued as dividend shares. Provided the Executive Director remains employed by Shell for three years following the year in which the bonus was earned, he or she will receive one matching share for every four deferred bonus and dividend shares. REMCO determined that an element of guaranteed share-matching remains appropriate to encourage share ownership. Additional performance-related matching shares can be earned depending on the performance of the TSR of the Company against the other major integrated oil companies consistent with the LTIP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080" w:type="dxa"/>
            <w:vAlign w:val="bottom"/>
            <w:shd w:val="clear" w:color="auto" w:fill="C1D72E"/>
          </w:tcPr>
          <w:p>
            <w:pPr>
              <w:spacing w:after="0"/>
              <w:rPr>
                <w:sz w:val="11"/>
                <w:szCs w:val="11"/>
                <w:color w:val="auto"/>
              </w:rPr>
            </w:pPr>
          </w:p>
        </w:tc>
        <w:tc>
          <w:tcPr>
            <w:tcW w:w="2280" w:type="dxa"/>
            <w:vAlign w:val="bottom"/>
            <w:shd w:val="clear" w:color="auto" w:fill="C1D72E"/>
          </w:tcPr>
          <w:p>
            <w:pPr>
              <w:jc w:val="right"/>
              <w:spacing w:after="0"/>
              <w:rPr>
                <w:sz w:val="20"/>
                <w:szCs w:val="20"/>
                <w:color w:val="auto"/>
              </w:rPr>
            </w:pPr>
            <w:r>
              <w:rPr>
                <w:rFonts w:ascii="Arial" w:cs="Arial" w:eastAsia="Arial" w:hAnsi="Arial"/>
                <w:sz w:val="11"/>
                <w:szCs w:val="11"/>
                <w:b w:val="1"/>
                <w:bCs w:val="1"/>
                <w:color w:val="auto"/>
              </w:rPr>
              <w:t>NUMBER OF PERFORMANCE-RELATED</w:t>
            </w:r>
          </w:p>
        </w:tc>
      </w:tr>
      <w:tr>
        <w:trPr>
          <w:trHeight w:val="142"/>
        </w:trPr>
        <w:tc>
          <w:tcPr>
            <w:tcW w:w="3080" w:type="dxa"/>
            <w:vAlign w:val="bottom"/>
            <w:tcBorders>
              <w:bottom w:val="single" w:sz="8" w:color="C1D72E"/>
            </w:tcBorders>
            <w:shd w:val="clear" w:color="auto" w:fill="C1D72E"/>
          </w:tcPr>
          <w:p>
            <w:pPr>
              <w:ind w:left="40"/>
              <w:spacing w:after="0"/>
              <w:rPr>
                <w:sz w:val="20"/>
                <w:szCs w:val="20"/>
                <w:color w:val="auto"/>
              </w:rPr>
            </w:pPr>
            <w:r>
              <w:rPr>
                <w:rFonts w:ascii="Arial" w:cs="Arial" w:eastAsia="Arial" w:hAnsi="Arial"/>
                <w:sz w:val="11"/>
                <w:szCs w:val="11"/>
                <w:b w:val="1"/>
                <w:bCs w:val="1"/>
                <w:color w:val="auto"/>
              </w:rPr>
              <w:t>TSR RANK</w:t>
            </w:r>
          </w:p>
        </w:tc>
        <w:tc>
          <w:tcPr>
            <w:tcW w:w="2280" w:type="dxa"/>
            <w:vAlign w:val="bottom"/>
            <w:tcBorders>
              <w:bottom w:val="single" w:sz="8" w:color="C1D72E"/>
            </w:tcBorders>
            <w:shd w:val="clear" w:color="auto" w:fill="C1D72E"/>
          </w:tcPr>
          <w:p>
            <w:pPr>
              <w:jc w:val="right"/>
              <w:spacing w:after="0"/>
              <w:rPr>
                <w:sz w:val="20"/>
                <w:szCs w:val="20"/>
                <w:color w:val="auto"/>
              </w:rPr>
            </w:pPr>
            <w:r>
              <w:rPr>
                <w:rFonts w:ascii="Arial" w:cs="Arial" w:eastAsia="Arial" w:hAnsi="Arial"/>
                <w:sz w:val="11"/>
                <w:szCs w:val="11"/>
                <w:b w:val="1"/>
                <w:bCs w:val="1"/>
                <w:color w:val="auto"/>
              </w:rPr>
              <w:t>MATCHING AND DIVIDEND SHARES</w:t>
            </w:r>
          </w:p>
        </w:tc>
      </w:tr>
      <w:tr>
        <w:trPr>
          <w:trHeight w:val="160"/>
        </w:trPr>
        <w:tc>
          <w:tcPr>
            <w:tcW w:w="3080" w:type="dxa"/>
            <w:vAlign w:val="bottom"/>
            <w:shd w:val="clear" w:color="auto" w:fill="D8D2C9"/>
          </w:tcPr>
          <w:p>
            <w:pPr>
              <w:spacing w:after="0"/>
              <w:rPr>
                <w:sz w:val="13"/>
                <w:szCs w:val="13"/>
                <w:color w:val="auto"/>
              </w:rPr>
            </w:pPr>
          </w:p>
        </w:tc>
        <w:tc>
          <w:tcPr>
            <w:tcW w:w="2280" w:type="dxa"/>
            <w:vAlign w:val="bottom"/>
            <w:shd w:val="clear" w:color="auto" w:fill="D8D2C9"/>
          </w:tcPr>
          <w:p>
            <w:pPr>
              <w:jc w:val="right"/>
              <w:spacing w:after="0"/>
              <w:rPr>
                <w:sz w:val="20"/>
                <w:szCs w:val="20"/>
                <w:color w:val="auto"/>
              </w:rPr>
            </w:pPr>
            <w:r>
              <w:rPr>
                <w:rFonts w:ascii="Arial" w:cs="Arial" w:eastAsia="Arial" w:hAnsi="Arial"/>
                <w:sz w:val="12"/>
                <w:szCs w:val="12"/>
                <w:color w:val="auto"/>
              </w:rPr>
              <w:t>(per every 4 deferred bonus shares)</w:t>
            </w:r>
          </w:p>
        </w:tc>
      </w:tr>
      <w:tr>
        <w:trPr>
          <w:trHeight w:val="135"/>
        </w:trPr>
        <w:tc>
          <w:tcPr>
            <w:tcW w:w="3080" w:type="dxa"/>
            <w:vAlign w:val="bottom"/>
          </w:tcPr>
          <w:p>
            <w:pPr>
              <w:ind w:left="20"/>
              <w:spacing w:after="0" w:line="136" w:lineRule="exact"/>
              <w:rPr>
                <w:sz w:val="20"/>
                <w:szCs w:val="20"/>
                <w:color w:val="auto"/>
              </w:rPr>
            </w:pPr>
            <w:r>
              <w:rPr>
                <w:rFonts w:ascii="Arial" w:cs="Arial" w:eastAsia="Arial" w:hAnsi="Arial"/>
                <w:sz w:val="12"/>
                <w:szCs w:val="12"/>
                <w:color w:val="auto"/>
              </w:rPr>
              <w:t>1st</w:t>
            </w:r>
          </w:p>
        </w:tc>
        <w:tc>
          <w:tcPr>
            <w:tcW w:w="2280" w:type="dxa"/>
            <w:vAlign w:val="bottom"/>
          </w:tcPr>
          <w:p>
            <w:pPr>
              <w:jc w:val="right"/>
              <w:spacing w:after="0" w:line="136" w:lineRule="exact"/>
              <w:rPr>
                <w:sz w:val="20"/>
                <w:szCs w:val="20"/>
                <w:color w:val="auto"/>
              </w:rPr>
            </w:pPr>
            <w:r>
              <w:rPr>
                <w:rFonts w:ascii="Arial" w:cs="Arial" w:eastAsia="Arial" w:hAnsi="Arial"/>
                <w:sz w:val="12"/>
                <w:szCs w:val="12"/>
                <w:color w:val="auto"/>
              </w:rPr>
              <w:t>3</w:t>
            </w:r>
          </w:p>
        </w:tc>
      </w:tr>
      <w:tr>
        <w:trPr>
          <w:trHeight w:val="133"/>
        </w:trPr>
        <w:tc>
          <w:tcPr>
            <w:tcW w:w="3080" w:type="dxa"/>
            <w:vAlign w:val="bottom"/>
          </w:tcPr>
          <w:p>
            <w:pPr>
              <w:ind w:left="20"/>
              <w:spacing w:after="0" w:line="133" w:lineRule="exact"/>
              <w:rPr>
                <w:sz w:val="20"/>
                <w:szCs w:val="20"/>
                <w:color w:val="auto"/>
              </w:rPr>
            </w:pPr>
            <w:r>
              <w:rPr>
                <w:rFonts w:ascii="Arial" w:cs="Arial" w:eastAsia="Arial" w:hAnsi="Arial"/>
                <w:sz w:val="12"/>
                <w:szCs w:val="12"/>
                <w:color w:val="auto"/>
              </w:rPr>
              <w:t>2nd</w:t>
            </w:r>
          </w:p>
        </w:tc>
        <w:tc>
          <w:tcPr>
            <w:tcW w:w="228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r>
      <w:tr>
        <w:trPr>
          <w:trHeight w:val="133"/>
        </w:trPr>
        <w:tc>
          <w:tcPr>
            <w:tcW w:w="3080" w:type="dxa"/>
            <w:vAlign w:val="bottom"/>
          </w:tcPr>
          <w:p>
            <w:pPr>
              <w:ind w:left="20"/>
              <w:spacing w:after="0" w:line="133" w:lineRule="exact"/>
              <w:rPr>
                <w:sz w:val="20"/>
                <w:szCs w:val="20"/>
                <w:color w:val="auto"/>
              </w:rPr>
            </w:pPr>
            <w:r>
              <w:rPr>
                <w:rFonts w:ascii="Arial" w:cs="Arial" w:eastAsia="Arial" w:hAnsi="Arial"/>
                <w:sz w:val="12"/>
                <w:szCs w:val="12"/>
                <w:color w:val="auto"/>
              </w:rPr>
              <w:t>3rd</w:t>
            </w:r>
          </w:p>
        </w:tc>
        <w:tc>
          <w:tcPr>
            <w:tcW w:w="228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r>
      <w:tr>
        <w:trPr>
          <w:trHeight w:val="131"/>
        </w:trPr>
        <w:tc>
          <w:tcPr>
            <w:tcW w:w="3080" w:type="dxa"/>
            <w:vAlign w:val="bottom"/>
            <w:tcBorders>
              <w:bottom w:val="single" w:sz="8" w:color="auto"/>
            </w:tcBorders>
          </w:tcPr>
          <w:p>
            <w:pPr>
              <w:ind w:left="20"/>
              <w:spacing w:after="0" w:line="131" w:lineRule="exact"/>
              <w:rPr>
                <w:sz w:val="20"/>
                <w:szCs w:val="20"/>
                <w:color w:val="auto"/>
              </w:rPr>
            </w:pPr>
            <w:r>
              <w:rPr>
                <w:rFonts w:ascii="Arial" w:cs="Arial" w:eastAsia="Arial" w:hAnsi="Arial"/>
                <w:sz w:val="12"/>
                <w:szCs w:val="12"/>
                <w:color w:val="auto"/>
              </w:rPr>
              <w:t>4th or 5th</w:t>
            </w:r>
          </w:p>
        </w:tc>
        <w:tc>
          <w:tcPr>
            <w:tcW w:w="2280" w:type="dxa"/>
            <w:vAlign w:val="bottom"/>
            <w:tcBorders>
              <w:bottom w:val="single" w:sz="8" w:color="auto"/>
            </w:tcBorders>
          </w:tcPr>
          <w:p>
            <w:pPr>
              <w:jc w:val="right"/>
              <w:spacing w:after="0" w:line="131" w:lineRule="exact"/>
              <w:rPr>
                <w:sz w:val="20"/>
                <w:szCs w:val="20"/>
                <w:color w:val="auto"/>
              </w:rPr>
            </w:pPr>
            <w:r>
              <w:rPr>
                <w:rFonts w:ascii="Arial" w:cs="Arial" w:eastAsia="Arial" w:hAnsi="Arial"/>
                <w:sz w:val="12"/>
                <w:szCs w:val="12"/>
                <w:color w:val="auto"/>
              </w:rPr>
              <w:t>Nil</w:t>
            </w:r>
          </w:p>
        </w:tc>
      </w:tr>
    </w:tbl>
    <w:p>
      <w:pPr>
        <w:spacing w:after="0" w:line="123"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The deferred bonus shares, dividend shares and matching shares are released three years after the end of the year in which the annual bonus was earned.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80" w:hanging="273"/>
        <w:spacing w:after="0"/>
        <w:tabs>
          <w:tab w:leader="none" w:pos="280" w:val="left"/>
        </w:tabs>
        <w:numPr>
          <w:ilvl w:val="0"/>
          <w:numId w:val="11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February 2008, DBP awards were made to Executive Directors, including additional matching shares. (See also the Deferred Bonus Plan table on page 100 for more details.)</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2005, Executive Directors were granted conditional awards of matching shares under the DBP. The performance period was January 1, 2005, to December 31, 2007. Given that the performance condition of the DBP is identical to that of the 2005 LTIP award, REMCO decided in March 2008, to release 65% of one performance-related matching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2703830</wp:posOffset>
            </wp:positionV>
            <wp:extent cx="725297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360" w:space="700"/>
            <w:col w:w="5220"/>
          </w:cols>
          <w:pgMar w:left="240" w:top="415"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DIRECTORS’ LONG-TERM INCENTIVE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310755" cy="71551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310755" cy="7155180"/>
                    </a:xfrm>
                    <a:prstGeom prst="rect">
                      <a:avLst/>
                    </a:prstGeom>
                    <a:noFill/>
                  </pic:spPr>
                </pic:pic>
              </a:graphicData>
            </a:graphic>
          </wp:anchor>
        </w:drawing>
      </w:r>
    </w:p>
    <w:p>
      <w:pPr>
        <w:spacing w:after="0" w:line="15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tables below show the LTIP, the DBP, and the share option interests of the Executive Directors in office during 2007. Awards under the LTIP for 2003 and 2004 did not vest and zero shares were released.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gridSpan w:val="6"/>
            <w:shd w:val="clear" w:color="auto" w:fill="C1D72E"/>
          </w:tcPr>
          <w:p>
            <w:pPr>
              <w:ind w:left="40"/>
              <w:spacing w:after="0"/>
              <w:rPr>
                <w:sz w:val="20"/>
                <w:szCs w:val="20"/>
                <w:color w:val="auto"/>
              </w:rPr>
            </w:pPr>
            <w:r>
              <w:rPr>
                <w:rFonts w:ascii="Arial" w:cs="Arial" w:eastAsia="Arial" w:hAnsi="Arial"/>
                <w:sz w:val="11"/>
                <w:szCs w:val="11"/>
                <w:b w:val="1"/>
                <w:bCs w:val="1"/>
                <w:color w:val="auto"/>
              </w:rPr>
              <w:t xml:space="preserve">LONG-TERM INCENTIVE PLAN </w:t>
            </w:r>
            <w:r>
              <w:rPr>
                <w:rFonts w:ascii="Arial" w:cs="Arial" w:eastAsia="Arial" w:hAnsi="Arial"/>
                <w:sz w:val="11"/>
                <w:szCs w:val="11"/>
                <w:color w:val="auto"/>
              </w:rPr>
              <w:t>(This section of the table has been audited)</w:t>
            </w:r>
          </w:p>
        </w:tc>
        <w:tc>
          <w:tcPr>
            <w:tcW w:w="780" w:type="dxa"/>
            <w:vAlign w:val="bottom"/>
            <w:shd w:val="clear" w:color="auto" w:fill="C1D72E"/>
          </w:tcPr>
          <w:p>
            <w:pPr>
              <w:spacing w:after="0"/>
              <w:rPr>
                <w:sz w:val="15"/>
                <w:szCs w:val="15"/>
                <w:color w:val="auto"/>
              </w:rPr>
            </w:pPr>
          </w:p>
        </w:tc>
        <w:tc>
          <w:tcPr>
            <w:tcW w:w="700" w:type="dxa"/>
            <w:vAlign w:val="bottom"/>
            <w:shd w:val="clear" w:color="auto" w:fill="C1D72E"/>
          </w:tcPr>
          <w:p>
            <w:pPr>
              <w:spacing w:after="0"/>
              <w:rPr>
                <w:sz w:val="15"/>
                <w:szCs w:val="15"/>
                <w:color w:val="auto"/>
              </w:rPr>
            </w:pPr>
          </w:p>
        </w:tc>
        <w:tc>
          <w:tcPr>
            <w:tcW w:w="680" w:type="dxa"/>
            <w:vAlign w:val="bottom"/>
            <w:shd w:val="clear" w:color="auto" w:fill="C1D72E"/>
          </w:tcPr>
          <w:p>
            <w:pPr>
              <w:spacing w:after="0"/>
              <w:rPr>
                <w:sz w:val="15"/>
                <w:szCs w:val="15"/>
                <w:color w:val="auto"/>
              </w:rPr>
            </w:pPr>
          </w:p>
        </w:tc>
        <w:tc>
          <w:tcPr>
            <w:tcW w:w="900" w:type="dxa"/>
            <w:vAlign w:val="bottom"/>
            <w:shd w:val="clear" w:color="auto" w:fill="C1D72E"/>
          </w:tcPr>
          <w:p>
            <w:pPr>
              <w:spacing w:after="0"/>
              <w:rPr>
                <w:sz w:val="15"/>
                <w:szCs w:val="15"/>
                <w:color w:val="auto"/>
              </w:rPr>
            </w:pPr>
          </w:p>
        </w:tc>
        <w:tc>
          <w:tcPr>
            <w:tcW w:w="700" w:type="dxa"/>
            <w:vAlign w:val="bottom"/>
            <w:shd w:val="clear" w:color="auto" w:fill="C1D72E"/>
          </w:tcPr>
          <w:p>
            <w:pPr>
              <w:spacing w:after="0"/>
              <w:rPr>
                <w:sz w:val="15"/>
                <w:szCs w:val="15"/>
                <w:color w:val="auto"/>
              </w:rPr>
            </w:pPr>
          </w:p>
        </w:tc>
        <w:tc>
          <w:tcPr>
            <w:tcW w:w="1720" w:type="dxa"/>
            <w:vAlign w:val="bottom"/>
            <w:gridSpan w:val="2"/>
            <w:shd w:val="clear" w:color="auto" w:fill="C1D72E"/>
          </w:tcPr>
          <w:p>
            <w:pPr>
              <w:jc w:val="right"/>
              <w:spacing w:after="0"/>
              <w:rPr>
                <w:sz w:val="20"/>
                <w:szCs w:val="20"/>
                <w:color w:val="auto"/>
              </w:rPr>
            </w:pPr>
            <w:r>
              <w:rPr>
                <w:rFonts w:ascii="Arial" w:cs="Arial" w:eastAsia="Arial" w:hAnsi="Arial"/>
                <w:sz w:val="11"/>
                <w:szCs w:val="11"/>
                <w:color w:val="auto"/>
              </w:rPr>
              <w:t>These columns are not audited</w:t>
            </w:r>
          </w:p>
        </w:tc>
        <w:tc>
          <w:tcPr>
            <w:tcW w:w="900" w:type="dxa"/>
            <w:vAlign w:val="bottom"/>
            <w:shd w:val="clear" w:color="auto" w:fill="C1D72E"/>
          </w:tcPr>
          <w:p>
            <w:pPr>
              <w:spacing w:after="0"/>
              <w:rPr>
                <w:sz w:val="15"/>
                <w:szCs w:val="15"/>
                <w:color w:val="auto"/>
              </w:rPr>
            </w:pPr>
          </w:p>
        </w:tc>
      </w:tr>
      <w:tr>
        <w:trPr>
          <w:trHeight w:val="117"/>
        </w:trPr>
        <w:tc>
          <w:tcPr>
            <w:tcW w:w="1060" w:type="dxa"/>
            <w:vAlign w:val="bottom"/>
            <w:shd w:val="clear" w:color="auto" w:fill="CECAC6"/>
          </w:tcPr>
          <w:p>
            <w:pPr>
              <w:spacing w:after="0"/>
              <w:rPr>
                <w:sz w:val="10"/>
                <w:szCs w:val="10"/>
                <w:color w:val="auto"/>
              </w:rPr>
            </w:pPr>
          </w:p>
        </w:tc>
        <w:tc>
          <w:tcPr>
            <w:tcW w:w="700" w:type="dxa"/>
            <w:vAlign w:val="bottom"/>
            <w:gridSpan w:val="2"/>
            <w:shd w:val="clear" w:color="auto" w:fill="CECAC6"/>
          </w:tcPr>
          <w:p>
            <w:pPr>
              <w:jc w:val="right"/>
              <w:ind w:right="24"/>
              <w:spacing w:after="0" w:line="117" w:lineRule="exact"/>
              <w:rPr>
                <w:sz w:val="20"/>
                <w:szCs w:val="20"/>
                <w:color w:val="auto"/>
              </w:rPr>
            </w:pPr>
            <w:r>
              <w:rPr>
                <w:rFonts w:ascii="Arial" w:cs="Arial" w:eastAsia="Arial" w:hAnsi="Arial"/>
                <w:sz w:val="11"/>
                <w:szCs w:val="11"/>
                <w:color w:val="auto"/>
              </w:rPr>
              <w:t>Total</w:t>
            </w:r>
          </w:p>
        </w:tc>
        <w:tc>
          <w:tcPr>
            <w:tcW w:w="920" w:type="dxa"/>
            <w:vAlign w:val="bottom"/>
            <w:shd w:val="clear" w:color="auto" w:fill="CECAC6"/>
          </w:tcPr>
          <w:p>
            <w:pPr>
              <w:jc w:val="right"/>
              <w:ind w:right="60"/>
              <w:spacing w:after="0" w:line="117" w:lineRule="exact"/>
              <w:rPr>
                <w:sz w:val="20"/>
                <w:szCs w:val="20"/>
                <w:color w:val="auto"/>
              </w:rPr>
            </w:pPr>
            <w:r>
              <w:rPr>
                <w:rFonts w:ascii="Arial" w:cs="Arial" w:eastAsia="Arial" w:hAnsi="Arial"/>
                <w:sz w:val="11"/>
                <w:szCs w:val="11"/>
                <w:color w:val="auto"/>
              </w:rPr>
              <w:t>Performance</w:t>
            </w:r>
          </w:p>
        </w:tc>
        <w:tc>
          <w:tcPr>
            <w:tcW w:w="820" w:type="dxa"/>
            <w:vAlign w:val="bottom"/>
            <w:shd w:val="clear" w:color="auto" w:fill="CECAC6"/>
          </w:tcPr>
          <w:p>
            <w:pPr>
              <w:jc w:val="right"/>
              <w:ind w:right="60"/>
              <w:spacing w:after="0" w:line="117" w:lineRule="exact"/>
              <w:rPr>
                <w:sz w:val="20"/>
                <w:szCs w:val="20"/>
                <w:color w:val="auto"/>
              </w:rPr>
            </w:pPr>
            <w:r>
              <w:rPr>
                <w:rFonts w:ascii="Arial" w:cs="Arial" w:eastAsia="Arial" w:hAnsi="Arial"/>
                <w:sz w:val="11"/>
                <w:szCs w:val="11"/>
                <w:color w:val="auto"/>
              </w:rPr>
              <w:t>Dividend</w:t>
            </w:r>
          </w:p>
        </w:tc>
        <w:tc>
          <w:tcPr>
            <w:tcW w:w="620" w:type="dxa"/>
            <w:vAlign w:val="bottom"/>
            <w:shd w:val="clear" w:color="auto" w:fill="CECAC6"/>
          </w:tcPr>
          <w:p>
            <w:pPr>
              <w:jc w:val="right"/>
              <w:ind w:right="79"/>
              <w:spacing w:after="0" w:line="117" w:lineRule="exact"/>
              <w:rPr>
                <w:sz w:val="20"/>
                <w:szCs w:val="20"/>
                <w:color w:val="auto"/>
              </w:rPr>
            </w:pPr>
            <w:r>
              <w:rPr>
                <w:rFonts w:ascii="Arial" w:cs="Arial" w:eastAsia="Arial" w:hAnsi="Arial"/>
                <w:sz w:val="11"/>
                <w:szCs w:val="11"/>
                <w:color w:val="auto"/>
              </w:rPr>
              <w:t>Market</w:t>
            </w:r>
          </w:p>
        </w:tc>
        <w:tc>
          <w:tcPr>
            <w:tcW w:w="780" w:type="dxa"/>
            <w:vAlign w:val="bottom"/>
            <w:shd w:val="clear" w:color="auto" w:fill="CECAC6"/>
          </w:tcPr>
          <w:p>
            <w:pPr>
              <w:jc w:val="right"/>
              <w:ind w:right="80"/>
              <w:spacing w:after="0" w:line="117" w:lineRule="exact"/>
              <w:rPr>
                <w:sz w:val="20"/>
                <w:szCs w:val="20"/>
                <w:color w:val="auto"/>
              </w:rPr>
            </w:pPr>
            <w:r>
              <w:rPr>
                <w:rFonts w:ascii="Arial" w:cs="Arial" w:eastAsia="Arial" w:hAnsi="Arial"/>
                <w:sz w:val="11"/>
                <w:szCs w:val="11"/>
                <w:color w:val="auto"/>
              </w:rPr>
              <w:t>Additional</w:t>
            </w:r>
          </w:p>
        </w:tc>
        <w:tc>
          <w:tcPr>
            <w:tcW w:w="700" w:type="dxa"/>
            <w:vAlign w:val="bottom"/>
            <w:shd w:val="clear" w:color="auto" w:fill="CECAC6"/>
          </w:tcPr>
          <w:p>
            <w:pPr>
              <w:jc w:val="right"/>
              <w:ind w:right="60"/>
              <w:spacing w:after="0" w:line="117" w:lineRule="exact"/>
              <w:rPr>
                <w:sz w:val="20"/>
                <w:szCs w:val="20"/>
                <w:color w:val="auto"/>
              </w:rPr>
            </w:pPr>
            <w:r>
              <w:rPr>
                <w:rFonts w:ascii="Arial" w:cs="Arial" w:eastAsia="Arial" w:hAnsi="Arial"/>
                <w:sz w:val="11"/>
                <w:szCs w:val="11"/>
                <w:color w:val="auto"/>
              </w:rPr>
              <w:t>Number of</w:t>
            </w:r>
          </w:p>
        </w:tc>
        <w:tc>
          <w:tcPr>
            <w:tcW w:w="680" w:type="dxa"/>
            <w:vAlign w:val="bottom"/>
            <w:shd w:val="clear" w:color="auto" w:fill="CECAC6"/>
          </w:tcPr>
          <w:p>
            <w:pPr>
              <w:jc w:val="right"/>
              <w:ind w:right="59"/>
              <w:spacing w:after="0" w:line="117" w:lineRule="exact"/>
              <w:rPr>
                <w:sz w:val="20"/>
                <w:szCs w:val="20"/>
                <w:color w:val="auto"/>
              </w:rPr>
            </w:pPr>
            <w:r>
              <w:rPr>
                <w:rFonts w:ascii="Arial" w:cs="Arial" w:eastAsia="Arial" w:hAnsi="Arial"/>
                <w:sz w:val="11"/>
                <w:szCs w:val="11"/>
                <w:color w:val="auto"/>
              </w:rPr>
              <w:t>Value of</w:t>
            </w:r>
          </w:p>
        </w:tc>
        <w:tc>
          <w:tcPr>
            <w:tcW w:w="900" w:type="dxa"/>
            <w:vAlign w:val="bottom"/>
            <w:shd w:val="clear" w:color="auto" w:fill="CECAC6"/>
          </w:tcPr>
          <w:p>
            <w:pPr>
              <w:jc w:val="right"/>
              <w:ind w:right="100"/>
              <w:spacing w:after="0" w:line="117" w:lineRule="exact"/>
              <w:rPr>
                <w:sz w:val="20"/>
                <w:szCs w:val="20"/>
                <w:color w:val="auto"/>
              </w:rPr>
            </w:pPr>
            <w:r>
              <w:rPr>
                <w:rFonts w:ascii="Arial" w:cs="Arial" w:eastAsia="Arial" w:hAnsi="Arial"/>
                <w:sz w:val="11"/>
                <w:szCs w:val="11"/>
                <w:color w:val="auto"/>
              </w:rPr>
              <w:t>Total</w:t>
            </w:r>
          </w:p>
        </w:tc>
        <w:tc>
          <w:tcPr>
            <w:tcW w:w="700" w:type="dxa"/>
            <w:vAlign w:val="bottom"/>
            <w:shd w:val="clear" w:color="auto" w:fill="CECAC6"/>
          </w:tcPr>
          <w:p>
            <w:pPr>
              <w:spacing w:after="0"/>
              <w:rPr>
                <w:sz w:val="10"/>
                <w:szCs w:val="10"/>
                <w:color w:val="auto"/>
              </w:rPr>
            </w:pPr>
          </w:p>
        </w:tc>
        <w:tc>
          <w:tcPr>
            <w:tcW w:w="1000" w:type="dxa"/>
            <w:vAlign w:val="bottom"/>
            <w:shd w:val="clear" w:color="auto" w:fill="CECAC6"/>
          </w:tcPr>
          <w:p>
            <w:pPr>
              <w:jc w:val="right"/>
              <w:ind w:right="79"/>
              <w:spacing w:after="0" w:line="117" w:lineRule="exact"/>
              <w:rPr>
                <w:sz w:val="20"/>
                <w:szCs w:val="20"/>
                <w:color w:val="auto"/>
              </w:rPr>
            </w:pPr>
            <w:r>
              <w:rPr>
                <w:rFonts w:ascii="Arial" w:cs="Arial" w:eastAsia="Arial" w:hAnsi="Arial"/>
                <w:sz w:val="11"/>
                <w:szCs w:val="11"/>
                <w:color w:val="auto"/>
                <w:w w:val="96"/>
              </w:rPr>
              <w:t>Expected value of</w:t>
            </w:r>
          </w:p>
        </w:tc>
        <w:tc>
          <w:tcPr>
            <w:tcW w:w="720" w:type="dxa"/>
            <w:vAlign w:val="bottom"/>
            <w:shd w:val="clear" w:color="auto" w:fill="CECAC6"/>
          </w:tcPr>
          <w:p>
            <w:pPr>
              <w:spacing w:after="0"/>
              <w:rPr>
                <w:sz w:val="10"/>
                <w:szCs w:val="10"/>
                <w:color w:val="auto"/>
              </w:rPr>
            </w:pPr>
          </w:p>
        </w:tc>
        <w:tc>
          <w:tcPr>
            <w:tcW w:w="900" w:type="dxa"/>
            <w:vAlign w:val="bottom"/>
            <w:shd w:val="clear" w:color="auto" w:fill="CECAC6"/>
          </w:tcPr>
          <w:p>
            <w:pPr>
              <w:jc w:val="right"/>
              <w:spacing w:after="0" w:line="117" w:lineRule="exact"/>
              <w:rPr>
                <w:sz w:val="20"/>
                <w:szCs w:val="20"/>
                <w:color w:val="auto"/>
              </w:rPr>
            </w:pPr>
            <w:r>
              <w:rPr>
                <w:rFonts w:ascii="Arial" w:cs="Arial" w:eastAsia="Arial" w:hAnsi="Arial"/>
                <w:sz w:val="11"/>
                <w:szCs w:val="11"/>
                <w:color w:val="auto"/>
                <w:w w:val="97"/>
              </w:rPr>
              <w:t>Theoretical gains</w:t>
            </w:r>
          </w:p>
        </w:tc>
      </w:tr>
      <w:tr>
        <w:trPr>
          <w:trHeight w:val="103"/>
        </w:trPr>
        <w:tc>
          <w:tcPr>
            <w:tcW w:w="1060" w:type="dxa"/>
            <w:vAlign w:val="bottom"/>
            <w:shd w:val="clear" w:color="auto" w:fill="CECAC6"/>
          </w:tcPr>
          <w:p>
            <w:pPr>
              <w:spacing w:after="0"/>
              <w:rPr>
                <w:sz w:val="8"/>
                <w:szCs w:val="8"/>
                <w:color w:val="auto"/>
              </w:rPr>
            </w:pPr>
          </w:p>
        </w:tc>
        <w:tc>
          <w:tcPr>
            <w:tcW w:w="700" w:type="dxa"/>
            <w:vAlign w:val="bottom"/>
            <w:gridSpan w:val="2"/>
            <w:shd w:val="clear" w:color="auto" w:fill="CECAC6"/>
          </w:tcPr>
          <w:p>
            <w:pPr>
              <w:jc w:val="right"/>
              <w:ind w:right="24"/>
              <w:spacing w:after="0" w:line="103" w:lineRule="exact"/>
              <w:rPr>
                <w:sz w:val="20"/>
                <w:szCs w:val="20"/>
                <w:color w:val="auto"/>
              </w:rPr>
            </w:pPr>
            <w:r>
              <w:rPr>
                <w:rFonts w:ascii="Arial" w:cs="Arial" w:eastAsia="Arial" w:hAnsi="Arial"/>
                <w:sz w:val="11"/>
                <w:szCs w:val="11"/>
                <w:color w:val="auto"/>
              </w:rPr>
              <w:t>number of</w:t>
            </w:r>
          </w:p>
        </w:tc>
        <w:tc>
          <w:tcPr>
            <w:tcW w:w="92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shares</w:t>
            </w:r>
          </w:p>
        </w:tc>
        <w:tc>
          <w:tcPr>
            <w:tcW w:w="82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shares</w:t>
            </w:r>
          </w:p>
        </w:tc>
        <w:tc>
          <w:tcPr>
            <w:tcW w:w="620" w:type="dxa"/>
            <w:vAlign w:val="bottom"/>
            <w:shd w:val="clear" w:color="auto" w:fill="CECAC6"/>
          </w:tcPr>
          <w:p>
            <w:pPr>
              <w:jc w:val="right"/>
              <w:ind w:right="79"/>
              <w:spacing w:after="0" w:line="103" w:lineRule="exact"/>
              <w:rPr>
                <w:sz w:val="20"/>
                <w:szCs w:val="20"/>
                <w:color w:val="auto"/>
              </w:rPr>
            </w:pPr>
            <w:r>
              <w:rPr>
                <w:rFonts w:ascii="Arial" w:cs="Arial" w:eastAsia="Arial" w:hAnsi="Arial"/>
                <w:sz w:val="11"/>
                <w:szCs w:val="11"/>
                <w:color w:val="auto"/>
              </w:rPr>
              <w:t>price at</w:t>
            </w:r>
          </w:p>
        </w:tc>
        <w:tc>
          <w:tcPr>
            <w:tcW w:w="780" w:type="dxa"/>
            <w:vAlign w:val="bottom"/>
            <w:shd w:val="clear" w:color="auto" w:fill="CECAC6"/>
          </w:tcPr>
          <w:p>
            <w:pPr>
              <w:jc w:val="right"/>
              <w:ind w:right="80"/>
              <w:spacing w:after="0" w:line="103" w:lineRule="exact"/>
              <w:rPr>
                <w:sz w:val="20"/>
                <w:szCs w:val="20"/>
                <w:color w:val="auto"/>
              </w:rPr>
            </w:pPr>
            <w:r>
              <w:rPr>
                <w:rFonts w:ascii="Arial" w:cs="Arial" w:eastAsia="Arial" w:hAnsi="Arial"/>
                <w:sz w:val="11"/>
                <w:szCs w:val="11"/>
                <w:color w:val="auto"/>
              </w:rPr>
              <w:t>shares</w:t>
            </w:r>
          </w:p>
        </w:tc>
        <w:tc>
          <w:tcPr>
            <w:tcW w:w="70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shares</w:t>
            </w:r>
          </w:p>
        </w:tc>
        <w:tc>
          <w:tcPr>
            <w:tcW w:w="680" w:type="dxa"/>
            <w:vAlign w:val="bottom"/>
            <w:shd w:val="clear" w:color="auto" w:fill="CECAC6"/>
          </w:tcPr>
          <w:p>
            <w:pPr>
              <w:jc w:val="right"/>
              <w:ind w:right="79"/>
              <w:spacing w:after="0" w:line="103" w:lineRule="exact"/>
              <w:rPr>
                <w:sz w:val="20"/>
                <w:szCs w:val="20"/>
                <w:color w:val="auto"/>
              </w:rPr>
            </w:pPr>
            <w:r>
              <w:rPr>
                <w:rFonts w:ascii="Arial" w:cs="Arial" w:eastAsia="Arial" w:hAnsi="Arial"/>
                <w:sz w:val="11"/>
                <w:szCs w:val="11"/>
                <w:color w:val="auto"/>
              </w:rPr>
              <w:t>shares at</w:t>
            </w:r>
          </w:p>
        </w:tc>
        <w:tc>
          <w:tcPr>
            <w:tcW w:w="900" w:type="dxa"/>
            <w:vAlign w:val="bottom"/>
            <w:shd w:val="clear" w:color="auto" w:fill="CECAC6"/>
          </w:tcPr>
          <w:p>
            <w:pPr>
              <w:jc w:val="right"/>
              <w:ind w:right="100"/>
              <w:spacing w:after="0" w:line="103" w:lineRule="exact"/>
              <w:rPr>
                <w:sz w:val="20"/>
                <w:szCs w:val="20"/>
                <w:color w:val="auto"/>
              </w:rPr>
            </w:pPr>
            <w:r>
              <w:rPr>
                <w:rFonts w:ascii="Arial" w:cs="Arial" w:eastAsia="Arial" w:hAnsi="Arial"/>
                <w:sz w:val="11"/>
                <w:szCs w:val="11"/>
                <w:color w:val="auto"/>
              </w:rPr>
              <w:t>number of</w:t>
            </w:r>
          </w:p>
        </w:tc>
        <w:tc>
          <w:tcPr>
            <w:tcW w:w="700" w:type="dxa"/>
            <w:vAlign w:val="bottom"/>
            <w:shd w:val="clear" w:color="auto" w:fill="CECAC6"/>
          </w:tcPr>
          <w:p>
            <w:pPr>
              <w:spacing w:after="0"/>
              <w:rPr>
                <w:sz w:val="8"/>
                <w:szCs w:val="8"/>
                <w:color w:val="auto"/>
              </w:rPr>
            </w:pPr>
          </w:p>
        </w:tc>
        <w:tc>
          <w:tcPr>
            <w:tcW w:w="1000" w:type="dxa"/>
            <w:vAlign w:val="bottom"/>
            <w:shd w:val="clear" w:color="auto" w:fill="CECAC6"/>
          </w:tcPr>
          <w:p>
            <w:pPr>
              <w:jc w:val="right"/>
              <w:ind w:right="79"/>
              <w:spacing w:after="0" w:line="103" w:lineRule="exact"/>
              <w:rPr>
                <w:sz w:val="20"/>
                <w:szCs w:val="20"/>
                <w:color w:val="auto"/>
              </w:rPr>
            </w:pPr>
            <w:r>
              <w:rPr>
                <w:rFonts w:ascii="Arial" w:cs="Arial" w:eastAsia="Arial" w:hAnsi="Arial"/>
                <w:sz w:val="11"/>
                <w:szCs w:val="11"/>
                <w:color w:val="auto"/>
              </w:rPr>
              <w:t>performance</w:t>
            </w:r>
          </w:p>
        </w:tc>
        <w:tc>
          <w:tcPr>
            <w:tcW w:w="720" w:type="dxa"/>
            <w:vAlign w:val="bottom"/>
            <w:shd w:val="clear" w:color="auto" w:fill="CECAC6"/>
          </w:tcPr>
          <w:p>
            <w:pPr>
              <w:spacing w:after="0"/>
              <w:rPr>
                <w:sz w:val="8"/>
                <w:szCs w:val="8"/>
                <w:color w:val="auto"/>
              </w:rPr>
            </w:pPr>
          </w:p>
        </w:tc>
        <w:tc>
          <w:tcPr>
            <w:tcW w:w="900" w:type="dxa"/>
            <w:vAlign w:val="bottom"/>
            <w:shd w:val="clear" w:color="auto" w:fill="CECAC6"/>
          </w:tcPr>
          <w:p>
            <w:pPr>
              <w:jc w:val="right"/>
              <w:spacing w:after="0" w:line="103" w:lineRule="exact"/>
              <w:rPr>
                <w:sz w:val="20"/>
                <w:szCs w:val="20"/>
                <w:color w:val="auto"/>
              </w:rPr>
            </w:pPr>
            <w:r>
              <w:rPr>
                <w:rFonts w:ascii="Arial" w:cs="Arial" w:eastAsia="Arial" w:hAnsi="Arial"/>
                <w:sz w:val="11"/>
                <w:szCs w:val="11"/>
                <w:color w:val="auto"/>
              </w:rPr>
              <w:t>as at Dec 31,</w:t>
            </w:r>
          </w:p>
        </w:tc>
      </w:tr>
      <w:tr>
        <w:trPr>
          <w:trHeight w:val="150"/>
        </w:trPr>
        <w:tc>
          <w:tcPr>
            <w:tcW w:w="1060" w:type="dxa"/>
            <w:vAlign w:val="bottom"/>
            <w:shd w:val="clear" w:color="auto" w:fill="CECAC6"/>
          </w:tcPr>
          <w:p>
            <w:pPr>
              <w:spacing w:after="0"/>
              <w:rPr>
                <w:sz w:val="13"/>
                <w:szCs w:val="13"/>
                <w:color w:val="auto"/>
              </w:rPr>
            </w:pPr>
          </w:p>
        </w:tc>
        <w:tc>
          <w:tcPr>
            <w:tcW w:w="640" w:type="dxa"/>
            <w:vAlign w:val="bottom"/>
            <w:shd w:val="clear" w:color="auto" w:fill="CECAC6"/>
          </w:tcPr>
          <w:p>
            <w:pPr>
              <w:jc w:val="right"/>
              <w:spacing w:after="0"/>
              <w:rPr>
                <w:sz w:val="20"/>
                <w:szCs w:val="20"/>
                <w:color w:val="auto"/>
              </w:rPr>
            </w:pPr>
            <w:r>
              <w:rPr>
                <w:rFonts w:ascii="Arial" w:cs="Arial" w:eastAsia="Arial" w:hAnsi="Arial"/>
                <w:sz w:val="11"/>
                <w:szCs w:val="11"/>
                <w:color w:val="auto"/>
              </w:rPr>
              <w:t>shares</w:t>
            </w:r>
          </w:p>
        </w:tc>
        <w:tc>
          <w:tcPr>
            <w:tcW w:w="60" w:type="dxa"/>
            <w:vAlign w:val="bottom"/>
            <w:shd w:val="clear" w:color="auto" w:fill="CECAC6"/>
          </w:tcPr>
          <w:p>
            <w:pPr>
              <w:spacing w:after="0"/>
              <w:rPr>
                <w:sz w:val="13"/>
                <w:szCs w:val="13"/>
                <w:color w:val="auto"/>
              </w:rPr>
            </w:pPr>
          </w:p>
        </w:tc>
        <w:tc>
          <w:tcPr>
            <w:tcW w:w="92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conditionally</w:t>
            </w:r>
          </w:p>
        </w:tc>
        <w:tc>
          <w:tcPr>
            <w:tcW w:w="82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accumulated</w:t>
            </w:r>
          </w:p>
        </w:tc>
        <w:tc>
          <w:tcPr>
            <w:tcW w:w="620" w:type="dxa"/>
            <w:vAlign w:val="bottom"/>
            <w:shd w:val="clear" w:color="auto" w:fill="CECAC6"/>
          </w:tcPr>
          <w:p>
            <w:pPr>
              <w:jc w:val="right"/>
              <w:ind w:right="79"/>
              <w:spacing w:after="0"/>
              <w:rPr>
                <w:sz w:val="20"/>
                <w:szCs w:val="20"/>
                <w:color w:val="auto"/>
              </w:rPr>
            </w:pPr>
            <w:r>
              <w:rPr>
                <w:rFonts w:ascii="Arial" w:cs="Arial" w:eastAsia="Arial" w:hAnsi="Arial"/>
                <w:sz w:val="11"/>
                <w:szCs w:val="11"/>
                <w:color w:val="auto"/>
              </w:rPr>
              <w:t>date of</w:t>
            </w:r>
          </w:p>
        </w:tc>
        <w:tc>
          <w:tcPr>
            <w:tcW w:w="780" w:type="dxa"/>
            <w:vAlign w:val="bottom"/>
            <w:shd w:val="clear" w:color="auto" w:fill="CECAC6"/>
          </w:tcPr>
          <w:p>
            <w:pPr>
              <w:jc w:val="right"/>
              <w:ind w:right="80"/>
              <w:spacing w:after="0"/>
              <w:rPr>
                <w:sz w:val="20"/>
                <w:szCs w:val="20"/>
                <w:color w:val="auto"/>
              </w:rPr>
            </w:pPr>
            <w:r>
              <w:rPr>
                <w:rFonts w:ascii="Arial" w:cs="Arial" w:eastAsia="Arial" w:hAnsi="Arial"/>
                <w:sz w:val="11"/>
                <w:szCs w:val="11"/>
                <w:color w:val="auto"/>
              </w:rPr>
              <w:t>awarded/</w:t>
            </w:r>
          </w:p>
        </w:tc>
        <w:tc>
          <w:tcPr>
            <w:tcW w:w="70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released</w:t>
            </w:r>
          </w:p>
        </w:tc>
        <w:tc>
          <w:tcPr>
            <w:tcW w:w="680" w:type="dxa"/>
            <w:vAlign w:val="bottom"/>
            <w:shd w:val="clear" w:color="auto" w:fill="CECAC6"/>
          </w:tcPr>
          <w:p>
            <w:pPr>
              <w:jc w:val="right"/>
              <w:ind w:right="79"/>
              <w:spacing w:after="0"/>
              <w:rPr>
                <w:sz w:val="20"/>
                <w:szCs w:val="20"/>
                <w:color w:val="auto"/>
              </w:rPr>
            </w:pPr>
            <w:r>
              <w:rPr>
                <w:rFonts w:ascii="Arial" w:cs="Arial" w:eastAsia="Arial" w:hAnsi="Arial"/>
                <w:sz w:val="11"/>
                <w:szCs w:val="11"/>
                <w:color w:val="auto"/>
              </w:rPr>
              <w:t>release</w:t>
            </w:r>
          </w:p>
        </w:tc>
        <w:tc>
          <w:tcPr>
            <w:tcW w:w="900" w:type="dxa"/>
            <w:vAlign w:val="bottom"/>
            <w:shd w:val="clear" w:color="auto" w:fill="CECAC6"/>
          </w:tcPr>
          <w:p>
            <w:pPr>
              <w:jc w:val="right"/>
              <w:ind w:right="100"/>
              <w:spacing w:after="0"/>
              <w:rPr>
                <w:sz w:val="20"/>
                <w:szCs w:val="20"/>
                <w:color w:val="auto"/>
              </w:rPr>
            </w:pPr>
            <w:r>
              <w:rPr>
                <w:rFonts w:ascii="Arial" w:cs="Arial" w:eastAsia="Arial" w:hAnsi="Arial"/>
                <w:sz w:val="11"/>
                <w:szCs w:val="11"/>
                <w:color w:val="auto"/>
              </w:rPr>
              <w:t>shares under</w:t>
            </w:r>
          </w:p>
        </w:tc>
        <w:tc>
          <w:tcPr>
            <w:tcW w:w="700" w:type="dxa"/>
            <w:vAlign w:val="bottom"/>
            <w:shd w:val="clear" w:color="auto" w:fill="CECAC6"/>
          </w:tcPr>
          <w:p>
            <w:pPr>
              <w:spacing w:after="0"/>
              <w:rPr>
                <w:sz w:val="13"/>
                <w:szCs w:val="13"/>
                <w:color w:val="auto"/>
              </w:rPr>
            </w:pPr>
          </w:p>
        </w:tc>
        <w:tc>
          <w:tcPr>
            <w:tcW w:w="1000" w:type="dxa"/>
            <w:vAlign w:val="bottom"/>
            <w:shd w:val="clear" w:color="auto" w:fill="CECAC6"/>
          </w:tcPr>
          <w:p>
            <w:pPr>
              <w:jc w:val="right"/>
              <w:ind w:right="79"/>
              <w:spacing w:after="0"/>
              <w:rPr>
                <w:sz w:val="20"/>
                <w:szCs w:val="20"/>
                <w:color w:val="auto"/>
              </w:rPr>
            </w:pPr>
            <w:r>
              <w:rPr>
                <w:rFonts w:ascii="Arial" w:cs="Arial" w:eastAsia="Arial" w:hAnsi="Arial"/>
                <w:sz w:val="11"/>
                <w:szCs w:val="11"/>
                <w:color w:val="auto"/>
              </w:rPr>
              <w:t>share award</w:t>
            </w:r>
            <w:r>
              <w:rPr>
                <w:rFonts w:ascii="Arial" w:cs="Arial" w:eastAsia="Arial" w:hAnsi="Arial"/>
                <w:sz w:val="12"/>
                <w:szCs w:val="12"/>
                <w:b w:val="1"/>
                <w:bCs w:val="1"/>
                <w:color w:val="auto"/>
              </w:rPr>
              <w:t>[B]</w:t>
            </w:r>
          </w:p>
        </w:tc>
        <w:tc>
          <w:tcPr>
            <w:tcW w:w="720" w:type="dxa"/>
            <w:vAlign w:val="bottom"/>
            <w:shd w:val="clear" w:color="auto" w:fill="CECAC6"/>
          </w:tcPr>
          <w:p>
            <w:pPr>
              <w:spacing w:after="0"/>
              <w:rPr>
                <w:sz w:val="13"/>
                <w:szCs w:val="13"/>
                <w:color w:val="auto"/>
              </w:rPr>
            </w:pPr>
          </w:p>
        </w:tc>
        <w:tc>
          <w:tcPr>
            <w:tcW w:w="900" w:type="dxa"/>
            <w:vAlign w:val="bottom"/>
            <w:shd w:val="clear" w:color="auto" w:fill="CECAC6"/>
          </w:tcPr>
          <w:p>
            <w:pPr>
              <w:jc w:val="right"/>
              <w:spacing w:after="0"/>
              <w:rPr>
                <w:sz w:val="20"/>
                <w:szCs w:val="20"/>
                <w:color w:val="auto"/>
              </w:rPr>
            </w:pPr>
            <w:r>
              <w:rPr>
                <w:rFonts w:ascii="Arial" w:cs="Arial" w:eastAsia="Arial" w:hAnsi="Arial"/>
                <w:sz w:val="11"/>
                <w:szCs w:val="11"/>
                <w:color w:val="auto"/>
              </w:rPr>
              <w:t>2007</w:t>
            </w:r>
            <w:r>
              <w:rPr>
                <w:rFonts w:ascii="Arial" w:cs="Arial" w:eastAsia="Arial" w:hAnsi="Arial"/>
                <w:sz w:val="12"/>
                <w:szCs w:val="12"/>
                <w:b w:val="1"/>
                <w:bCs w:val="1"/>
                <w:color w:val="auto"/>
              </w:rPr>
              <w:t>[C]</w:t>
            </w:r>
          </w:p>
        </w:tc>
      </w:tr>
      <w:tr>
        <w:trPr>
          <w:trHeight w:val="103"/>
        </w:trPr>
        <w:tc>
          <w:tcPr>
            <w:tcW w:w="1060" w:type="dxa"/>
            <w:vAlign w:val="bottom"/>
            <w:shd w:val="clear" w:color="auto" w:fill="CECAC6"/>
          </w:tcPr>
          <w:p>
            <w:pPr>
              <w:spacing w:after="0"/>
              <w:rPr>
                <w:sz w:val="8"/>
                <w:szCs w:val="8"/>
                <w:color w:val="auto"/>
              </w:rPr>
            </w:pPr>
          </w:p>
        </w:tc>
        <w:tc>
          <w:tcPr>
            <w:tcW w:w="640" w:type="dxa"/>
            <w:vAlign w:val="bottom"/>
            <w:shd w:val="clear" w:color="auto" w:fill="CECAC6"/>
          </w:tcPr>
          <w:p>
            <w:pPr>
              <w:jc w:val="right"/>
              <w:spacing w:after="0" w:line="103" w:lineRule="exact"/>
              <w:rPr>
                <w:sz w:val="20"/>
                <w:szCs w:val="20"/>
                <w:color w:val="auto"/>
              </w:rPr>
            </w:pPr>
            <w:r>
              <w:rPr>
                <w:rFonts w:ascii="Arial" w:cs="Arial" w:eastAsia="Arial" w:hAnsi="Arial"/>
                <w:sz w:val="11"/>
                <w:szCs w:val="11"/>
                <w:color w:val="auto"/>
              </w:rPr>
              <w:t>under award</w:t>
            </w:r>
          </w:p>
        </w:tc>
        <w:tc>
          <w:tcPr>
            <w:tcW w:w="60" w:type="dxa"/>
            <w:vAlign w:val="bottom"/>
            <w:shd w:val="clear" w:color="auto" w:fill="CECAC6"/>
          </w:tcPr>
          <w:p>
            <w:pPr>
              <w:spacing w:after="0"/>
              <w:rPr>
                <w:sz w:val="8"/>
                <w:szCs w:val="8"/>
                <w:color w:val="auto"/>
              </w:rPr>
            </w:pPr>
          </w:p>
        </w:tc>
        <w:tc>
          <w:tcPr>
            <w:tcW w:w="92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awarded</w:t>
            </w:r>
          </w:p>
        </w:tc>
        <w:tc>
          <w:tcPr>
            <w:tcW w:w="82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from grant</w:t>
            </w:r>
          </w:p>
        </w:tc>
        <w:tc>
          <w:tcPr>
            <w:tcW w:w="620" w:type="dxa"/>
            <w:vAlign w:val="bottom"/>
            <w:shd w:val="clear" w:color="auto" w:fill="CECAC6"/>
          </w:tcPr>
          <w:p>
            <w:pPr>
              <w:jc w:val="right"/>
              <w:ind w:right="79"/>
              <w:spacing w:after="0" w:line="103" w:lineRule="exact"/>
              <w:rPr>
                <w:sz w:val="20"/>
                <w:szCs w:val="20"/>
                <w:color w:val="auto"/>
              </w:rPr>
            </w:pPr>
            <w:r>
              <w:rPr>
                <w:rFonts w:ascii="Arial" w:cs="Arial" w:eastAsia="Arial" w:hAnsi="Arial"/>
                <w:sz w:val="11"/>
                <w:szCs w:val="11"/>
                <w:color w:val="auto"/>
              </w:rPr>
              <w:t>award</w:t>
            </w:r>
          </w:p>
        </w:tc>
        <w:tc>
          <w:tcPr>
            <w:tcW w:w="780" w:type="dxa"/>
            <w:vAlign w:val="bottom"/>
            <w:shd w:val="clear" w:color="auto" w:fill="CECAC6"/>
          </w:tcPr>
          <w:p>
            <w:pPr>
              <w:jc w:val="right"/>
              <w:ind w:right="80"/>
              <w:spacing w:after="0" w:line="103" w:lineRule="exact"/>
              <w:rPr>
                <w:sz w:val="20"/>
                <w:szCs w:val="20"/>
                <w:color w:val="auto"/>
              </w:rPr>
            </w:pPr>
            <w:r>
              <w:rPr>
                <w:rFonts w:ascii="Arial" w:cs="Arial" w:eastAsia="Arial" w:hAnsi="Arial"/>
                <w:sz w:val="11"/>
                <w:szCs w:val="11"/>
                <w:color w:val="auto"/>
              </w:rPr>
              <w:t>(lapsed)</w:t>
            </w:r>
          </w:p>
        </w:tc>
        <w:tc>
          <w:tcPr>
            <w:tcW w:w="700" w:type="dxa"/>
            <w:vAlign w:val="bottom"/>
            <w:shd w:val="clear" w:color="auto" w:fill="CECAC6"/>
          </w:tcPr>
          <w:p>
            <w:pPr>
              <w:jc w:val="right"/>
              <w:ind w:right="60"/>
              <w:spacing w:after="0" w:line="103" w:lineRule="exact"/>
              <w:rPr>
                <w:sz w:val="20"/>
                <w:szCs w:val="20"/>
                <w:color w:val="auto"/>
              </w:rPr>
            </w:pPr>
            <w:r>
              <w:rPr>
                <w:rFonts w:ascii="Arial" w:cs="Arial" w:eastAsia="Arial" w:hAnsi="Arial"/>
                <w:sz w:val="11"/>
                <w:szCs w:val="11"/>
                <w:color w:val="auto"/>
              </w:rPr>
              <w:t>during the</w:t>
            </w:r>
          </w:p>
        </w:tc>
        <w:tc>
          <w:tcPr>
            <w:tcW w:w="680" w:type="dxa"/>
            <w:vAlign w:val="bottom"/>
            <w:shd w:val="clear" w:color="auto" w:fill="CECAC6"/>
          </w:tcPr>
          <w:p>
            <w:pPr>
              <w:spacing w:after="0"/>
              <w:rPr>
                <w:sz w:val="8"/>
                <w:szCs w:val="8"/>
                <w:color w:val="auto"/>
              </w:rPr>
            </w:pPr>
          </w:p>
        </w:tc>
        <w:tc>
          <w:tcPr>
            <w:tcW w:w="900" w:type="dxa"/>
            <w:vAlign w:val="bottom"/>
            <w:shd w:val="clear" w:color="auto" w:fill="CECAC6"/>
          </w:tcPr>
          <w:p>
            <w:pPr>
              <w:jc w:val="right"/>
              <w:ind w:right="100"/>
              <w:spacing w:after="0" w:line="103" w:lineRule="exact"/>
              <w:rPr>
                <w:sz w:val="20"/>
                <w:szCs w:val="20"/>
                <w:color w:val="auto"/>
              </w:rPr>
            </w:pPr>
            <w:r>
              <w:rPr>
                <w:rFonts w:ascii="Arial" w:cs="Arial" w:eastAsia="Arial" w:hAnsi="Arial"/>
                <w:sz w:val="11"/>
                <w:szCs w:val="11"/>
                <w:color w:val="auto"/>
              </w:rPr>
              <w:t>award as at</w:t>
            </w:r>
          </w:p>
        </w:tc>
        <w:tc>
          <w:tcPr>
            <w:tcW w:w="700" w:type="dxa"/>
            <w:vAlign w:val="bottom"/>
            <w:shd w:val="clear" w:color="auto" w:fill="CECAC6"/>
          </w:tcPr>
          <w:p>
            <w:pPr>
              <w:spacing w:after="0"/>
              <w:rPr>
                <w:sz w:val="8"/>
                <w:szCs w:val="8"/>
                <w:color w:val="auto"/>
              </w:rPr>
            </w:pPr>
          </w:p>
        </w:tc>
        <w:tc>
          <w:tcPr>
            <w:tcW w:w="1000" w:type="dxa"/>
            <w:vAlign w:val="bottom"/>
            <w:shd w:val="clear" w:color="auto" w:fill="CECAC6"/>
          </w:tcPr>
          <w:p>
            <w:pPr>
              <w:spacing w:after="0"/>
              <w:rPr>
                <w:sz w:val="8"/>
                <w:szCs w:val="8"/>
                <w:color w:val="auto"/>
              </w:rPr>
            </w:pPr>
          </w:p>
        </w:tc>
        <w:tc>
          <w:tcPr>
            <w:tcW w:w="720" w:type="dxa"/>
            <w:vAlign w:val="bottom"/>
            <w:shd w:val="clear" w:color="auto" w:fill="CECAC6"/>
          </w:tcPr>
          <w:p>
            <w:pPr>
              <w:spacing w:after="0"/>
              <w:rPr>
                <w:sz w:val="8"/>
                <w:szCs w:val="8"/>
                <w:color w:val="auto"/>
              </w:rPr>
            </w:pPr>
          </w:p>
        </w:tc>
        <w:tc>
          <w:tcPr>
            <w:tcW w:w="900" w:type="dxa"/>
            <w:vAlign w:val="bottom"/>
            <w:shd w:val="clear" w:color="auto" w:fill="CECAC6"/>
          </w:tcPr>
          <w:p>
            <w:pPr>
              <w:spacing w:after="0"/>
              <w:rPr>
                <w:sz w:val="8"/>
                <w:szCs w:val="8"/>
                <w:color w:val="auto"/>
              </w:rPr>
            </w:pPr>
          </w:p>
        </w:tc>
      </w:tr>
      <w:tr>
        <w:trPr>
          <w:trHeight w:val="150"/>
        </w:trPr>
        <w:tc>
          <w:tcPr>
            <w:tcW w:w="1060" w:type="dxa"/>
            <w:vAlign w:val="bottom"/>
            <w:shd w:val="clear" w:color="auto" w:fill="CECAC6"/>
          </w:tcPr>
          <w:p>
            <w:pPr>
              <w:spacing w:after="0"/>
              <w:rPr>
                <w:sz w:val="13"/>
                <w:szCs w:val="13"/>
                <w:color w:val="auto"/>
              </w:rPr>
            </w:pPr>
          </w:p>
        </w:tc>
        <w:tc>
          <w:tcPr>
            <w:tcW w:w="640" w:type="dxa"/>
            <w:vAlign w:val="bottom"/>
            <w:shd w:val="clear" w:color="auto" w:fill="CECAC6"/>
          </w:tcPr>
          <w:p>
            <w:pPr>
              <w:jc w:val="right"/>
              <w:spacing w:after="0"/>
              <w:rPr>
                <w:sz w:val="20"/>
                <w:szCs w:val="20"/>
                <w:color w:val="auto"/>
              </w:rPr>
            </w:pPr>
            <w:r>
              <w:rPr>
                <w:rFonts w:ascii="Arial" w:cs="Arial" w:eastAsia="Arial" w:hAnsi="Arial"/>
                <w:sz w:val="11"/>
                <w:szCs w:val="11"/>
                <w:color w:val="auto"/>
              </w:rPr>
              <w:t>as at Jan 1,</w:t>
            </w:r>
          </w:p>
        </w:tc>
        <w:tc>
          <w:tcPr>
            <w:tcW w:w="60" w:type="dxa"/>
            <w:vAlign w:val="bottom"/>
            <w:shd w:val="clear" w:color="auto" w:fill="CECAC6"/>
          </w:tcPr>
          <w:p>
            <w:pPr>
              <w:spacing w:after="0"/>
              <w:rPr>
                <w:sz w:val="13"/>
                <w:szCs w:val="13"/>
                <w:color w:val="auto"/>
              </w:rPr>
            </w:pPr>
          </w:p>
        </w:tc>
        <w:tc>
          <w:tcPr>
            <w:tcW w:w="92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during the</w:t>
            </w:r>
          </w:p>
        </w:tc>
        <w:tc>
          <w:tcPr>
            <w:tcW w:w="82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date</w:t>
            </w:r>
            <w:r>
              <w:rPr>
                <w:rFonts w:ascii="Arial" w:cs="Arial" w:eastAsia="Arial" w:hAnsi="Arial"/>
                <w:sz w:val="12"/>
                <w:szCs w:val="12"/>
                <w:b w:val="1"/>
                <w:bCs w:val="1"/>
                <w:color w:val="auto"/>
              </w:rPr>
              <w:t>[A]</w:t>
            </w:r>
          </w:p>
        </w:tc>
        <w:tc>
          <w:tcPr>
            <w:tcW w:w="620" w:type="dxa"/>
            <w:vAlign w:val="bottom"/>
            <w:shd w:val="clear" w:color="auto" w:fill="CECAC6"/>
          </w:tcPr>
          <w:p>
            <w:pPr>
              <w:spacing w:after="0"/>
              <w:rPr>
                <w:sz w:val="13"/>
                <w:szCs w:val="13"/>
                <w:color w:val="auto"/>
              </w:rPr>
            </w:pPr>
          </w:p>
        </w:tc>
        <w:tc>
          <w:tcPr>
            <w:tcW w:w="780" w:type="dxa"/>
            <w:vAlign w:val="bottom"/>
            <w:shd w:val="clear" w:color="auto" w:fill="CECAC6"/>
          </w:tcPr>
          <w:p>
            <w:pPr>
              <w:jc w:val="right"/>
              <w:ind w:right="80"/>
              <w:spacing w:after="0"/>
              <w:rPr>
                <w:sz w:val="20"/>
                <w:szCs w:val="20"/>
                <w:color w:val="auto"/>
              </w:rPr>
            </w:pPr>
            <w:r>
              <w:rPr>
                <w:rFonts w:ascii="Arial" w:cs="Arial" w:eastAsia="Arial" w:hAnsi="Arial"/>
                <w:sz w:val="11"/>
                <w:szCs w:val="11"/>
                <w:color w:val="auto"/>
              </w:rPr>
              <w:t>during the</w:t>
            </w:r>
          </w:p>
        </w:tc>
        <w:tc>
          <w:tcPr>
            <w:tcW w:w="700" w:type="dxa"/>
            <w:vAlign w:val="bottom"/>
            <w:shd w:val="clear" w:color="auto" w:fill="CECAC6"/>
          </w:tcPr>
          <w:p>
            <w:pPr>
              <w:jc w:val="right"/>
              <w:ind w:right="60"/>
              <w:spacing w:after="0"/>
              <w:rPr>
                <w:sz w:val="20"/>
                <w:szCs w:val="20"/>
                <w:color w:val="auto"/>
              </w:rPr>
            </w:pPr>
            <w:r>
              <w:rPr>
                <w:rFonts w:ascii="Arial" w:cs="Arial" w:eastAsia="Arial" w:hAnsi="Arial"/>
                <w:sz w:val="11"/>
                <w:szCs w:val="11"/>
                <w:color w:val="auto"/>
              </w:rPr>
              <w:t>year</w:t>
            </w:r>
          </w:p>
        </w:tc>
        <w:tc>
          <w:tcPr>
            <w:tcW w:w="680" w:type="dxa"/>
            <w:vAlign w:val="bottom"/>
            <w:shd w:val="clear" w:color="auto" w:fill="CECAC6"/>
          </w:tcPr>
          <w:p>
            <w:pPr>
              <w:spacing w:after="0"/>
              <w:rPr>
                <w:sz w:val="13"/>
                <w:szCs w:val="13"/>
                <w:color w:val="auto"/>
              </w:rPr>
            </w:pPr>
          </w:p>
        </w:tc>
        <w:tc>
          <w:tcPr>
            <w:tcW w:w="900" w:type="dxa"/>
            <w:vAlign w:val="bottom"/>
            <w:shd w:val="clear" w:color="auto" w:fill="CECAC6"/>
          </w:tcPr>
          <w:p>
            <w:pPr>
              <w:jc w:val="right"/>
              <w:ind w:right="100"/>
              <w:spacing w:after="0"/>
              <w:rPr>
                <w:sz w:val="20"/>
                <w:szCs w:val="20"/>
                <w:color w:val="auto"/>
              </w:rPr>
            </w:pPr>
            <w:r>
              <w:rPr>
                <w:rFonts w:ascii="Arial" w:cs="Arial" w:eastAsia="Arial" w:hAnsi="Arial"/>
                <w:sz w:val="11"/>
                <w:szCs w:val="11"/>
                <w:color w:val="auto"/>
              </w:rPr>
              <w:t>Dec 31,</w:t>
            </w:r>
          </w:p>
        </w:tc>
        <w:tc>
          <w:tcPr>
            <w:tcW w:w="700" w:type="dxa"/>
            <w:vAlign w:val="bottom"/>
            <w:shd w:val="clear" w:color="auto" w:fill="CECAC6"/>
          </w:tcPr>
          <w:p>
            <w:pPr>
              <w:spacing w:after="0"/>
              <w:rPr>
                <w:sz w:val="13"/>
                <w:szCs w:val="13"/>
                <w:color w:val="auto"/>
              </w:rPr>
            </w:pPr>
          </w:p>
        </w:tc>
        <w:tc>
          <w:tcPr>
            <w:tcW w:w="1000" w:type="dxa"/>
            <w:vAlign w:val="bottom"/>
            <w:shd w:val="clear" w:color="auto" w:fill="CECAC6"/>
          </w:tcPr>
          <w:p>
            <w:pPr>
              <w:spacing w:after="0"/>
              <w:rPr>
                <w:sz w:val="13"/>
                <w:szCs w:val="13"/>
                <w:color w:val="auto"/>
              </w:rPr>
            </w:pPr>
          </w:p>
        </w:tc>
        <w:tc>
          <w:tcPr>
            <w:tcW w:w="720" w:type="dxa"/>
            <w:vAlign w:val="bottom"/>
            <w:shd w:val="clear" w:color="auto" w:fill="CECAC6"/>
          </w:tcPr>
          <w:p>
            <w:pPr>
              <w:spacing w:after="0"/>
              <w:rPr>
                <w:sz w:val="13"/>
                <w:szCs w:val="13"/>
                <w:color w:val="auto"/>
              </w:rPr>
            </w:pPr>
          </w:p>
        </w:tc>
        <w:tc>
          <w:tcPr>
            <w:tcW w:w="900" w:type="dxa"/>
            <w:vAlign w:val="bottom"/>
            <w:shd w:val="clear" w:color="auto" w:fill="CECAC6"/>
          </w:tcPr>
          <w:p>
            <w:pPr>
              <w:spacing w:after="0"/>
              <w:rPr>
                <w:sz w:val="13"/>
                <w:szCs w:val="13"/>
                <w:color w:val="auto"/>
              </w:rPr>
            </w:pPr>
          </w:p>
        </w:tc>
      </w:tr>
      <w:tr>
        <w:trPr>
          <w:trHeight w:val="136"/>
        </w:trPr>
        <w:tc>
          <w:tcPr>
            <w:tcW w:w="1060" w:type="dxa"/>
            <w:vAlign w:val="bottom"/>
            <w:shd w:val="clear" w:color="auto" w:fill="CECAC6"/>
          </w:tcPr>
          <w:p>
            <w:pPr>
              <w:ind w:left="40"/>
              <w:spacing w:after="0" w:line="123" w:lineRule="exact"/>
              <w:rPr>
                <w:sz w:val="20"/>
                <w:szCs w:val="20"/>
                <w:color w:val="auto"/>
              </w:rPr>
            </w:pPr>
            <w:r>
              <w:rPr>
                <w:rFonts w:ascii="Arial" w:cs="Arial" w:eastAsia="Arial" w:hAnsi="Arial"/>
                <w:sz w:val="11"/>
                <w:szCs w:val="11"/>
                <w:color w:val="auto"/>
              </w:rPr>
              <w:t>Awards</w:t>
            </w:r>
          </w:p>
        </w:tc>
        <w:tc>
          <w:tcPr>
            <w:tcW w:w="640" w:type="dxa"/>
            <w:vAlign w:val="bottom"/>
            <w:shd w:val="clear" w:color="auto" w:fill="CECAC6"/>
          </w:tcPr>
          <w:p>
            <w:pPr>
              <w:jc w:val="right"/>
              <w:spacing w:after="0" w:line="123" w:lineRule="exact"/>
              <w:rPr>
                <w:sz w:val="20"/>
                <w:szCs w:val="20"/>
                <w:color w:val="auto"/>
              </w:rPr>
            </w:pPr>
            <w:r>
              <w:rPr>
                <w:rFonts w:ascii="Arial" w:cs="Arial" w:eastAsia="Arial" w:hAnsi="Arial"/>
                <w:sz w:val="11"/>
                <w:szCs w:val="11"/>
                <w:color w:val="auto"/>
              </w:rPr>
              <w:t>2007</w:t>
            </w:r>
          </w:p>
        </w:tc>
        <w:tc>
          <w:tcPr>
            <w:tcW w:w="6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60"/>
              <w:spacing w:after="0" w:line="123" w:lineRule="exact"/>
              <w:rPr>
                <w:sz w:val="20"/>
                <w:szCs w:val="20"/>
                <w:color w:val="auto"/>
              </w:rPr>
            </w:pPr>
            <w:r>
              <w:rPr>
                <w:rFonts w:ascii="Arial" w:cs="Arial" w:eastAsia="Arial" w:hAnsi="Arial"/>
                <w:sz w:val="11"/>
                <w:szCs w:val="11"/>
                <w:color w:val="auto"/>
              </w:rPr>
              <w:t>year</w:t>
            </w:r>
          </w:p>
        </w:tc>
        <w:tc>
          <w:tcPr>
            <w:tcW w:w="82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80"/>
              <w:spacing w:after="0" w:line="123" w:lineRule="exact"/>
              <w:rPr>
                <w:sz w:val="20"/>
                <w:szCs w:val="20"/>
                <w:color w:val="auto"/>
              </w:rPr>
            </w:pPr>
            <w:r>
              <w:rPr>
                <w:rFonts w:ascii="Arial" w:cs="Arial" w:eastAsia="Arial" w:hAnsi="Arial"/>
                <w:sz w:val="11"/>
                <w:szCs w:val="11"/>
                <w:color w:val="auto"/>
              </w:rPr>
              <w:t>year</w:t>
            </w:r>
          </w:p>
        </w:tc>
        <w:tc>
          <w:tcPr>
            <w:tcW w:w="70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100"/>
              <w:spacing w:after="0" w:line="123" w:lineRule="exact"/>
              <w:rPr>
                <w:sz w:val="20"/>
                <w:szCs w:val="20"/>
                <w:color w:val="auto"/>
              </w:rPr>
            </w:pPr>
            <w:r>
              <w:rPr>
                <w:rFonts w:ascii="Arial" w:cs="Arial" w:eastAsia="Arial" w:hAnsi="Arial"/>
                <w:sz w:val="11"/>
                <w:szCs w:val="11"/>
                <w:color w:val="auto"/>
              </w:rPr>
              <w:t>2007</w:t>
            </w:r>
          </w:p>
        </w:tc>
        <w:tc>
          <w:tcPr>
            <w:tcW w:w="700" w:type="dxa"/>
            <w:vAlign w:val="bottom"/>
            <w:shd w:val="clear" w:color="auto" w:fill="CECAC6"/>
          </w:tcPr>
          <w:p>
            <w:pPr>
              <w:spacing w:after="0"/>
              <w:rPr>
                <w:sz w:val="11"/>
                <w:szCs w:val="11"/>
                <w:color w:val="auto"/>
              </w:rPr>
            </w:pPr>
          </w:p>
        </w:tc>
        <w:tc>
          <w:tcPr>
            <w:tcW w:w="1000" w:type="dxa"/>
            <w:vAlign w:val="bottom"/>
            <w:shd w:val="clear" w:color="auto" w:fill="CECAC6"/>
          </w:tcPr>
          <w:p>
            <w:pPr>
              <w:spacing w:after="0"/>
              <w:rPr>
                <w:sz w:val="11"/>
                <w:szCs w:val="11"/>
                <w:color w:val="auto"/>
              </w:rPr>
            </w:pPr>
          </w:p>
        </w:tc>
        <w:tc>
          <w:tcPr>
            <w:tcW w:w="72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r>
      <w:tr>
        <w:trPr>
          <w:trHeight w:val="133"/>
        </w:trPr>
        <w:tc>
          <w:tcPr>
            <w:tcW w:w="170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Royal Dutch Shell plc Class</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w w:val="78"/>
              </w:rPr>
              <w:t>A</w:t>
            </w:r>
          </w:p>
        </w:tc>
        <w:tc>
          <w:tcPr>
            <w:tcW w:w="920" w:type="dxa"/>
            <w:vAlign w:val="bottom"/>
            <w:tcBorders>
              <w:bottom w:val="single" w:sz="8" w:color="auto"/>
            </w:tcBorders>
          </w:tcPr>
          <w:p>
            <w:pPr>
              <w:jc w:val="right"/>
              <w:ind w:right="420"/>
              <w:spacing w:after="0" w:line="133" w:lineRule="exact"/>
              <w:rPr>
                <w:sz w:val="20"/>
                <w:szCs w:val="20"/>
                <w:color w:val="auto"/>
              </w:rPr>
            </w:pPr>
            <w:r>
              <w:rPr>
                <w:rFonts w:ascii="Arial" w:cs="Arial" w:eastAsia="Arial" w:hAnsi="Arial"/>
                <w:sz w:val="12"/>
                <w:szCs w:val="12"/>
                <w:b w:val="1"/>
                <w:bCs w:val="1"/>
                <w:color w:val="auto"/>
              </w:rPr>
              <w:t>shares</w:t>
            </w:r>
          </w:p>
        </w:tc>
        <w:tc>
          <w:tcPr>
            <w:tcW w:w="8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9"/>
              <w:spacing w:after="0" w:line="133"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r>
      <w:tr>
        <w:trPr>
          <w:trHeight w:val="134"/>
        </w:trPr>
        <w:tc>
          <w:tcPr>
            <w:tcW w:w="1760" w:type="dxa"/>
            <w:vAlign w:val="bottom"/>
            <w:gridSpan w:val="3"/>
          </w:tcPr>
          <w:p>
            <w:pPr>
              <w:spacing w:after="0" w:line="134" w:lineRule="exact"/>
              <w:rPr>
                <w:sz w:val="20"/>
                <w:szCs w:val="20"/>
                <w:color w:val="auto"/>
              </w:rPr>
            </w:pPr>
            <w:r>
              <w:rPr>
                <w:rFonts w:ascii="Arial" w:cs="Arial" w:eastAsia="Arial" w:hAnsi="Arial"/>
                <w:sz w:val="12"/>
                <w:szCs w:val="12"/>
                <w:color w:val="auto"/>
              </w:rPr>
              <w:t>Jeroen van der Veer</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156,202</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5,965</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26.12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162,167</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3,477,789</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4,793,434</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3,729,841</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5,486,674</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137,168</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10,712</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27.12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147,880</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3,389,921</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4,093,367</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2005 to 2007</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145,199</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12,706</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25.62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157,905</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3,247,560</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3,940,257</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2004 to 2006</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126,422</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13,804</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20.65</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(140,226)</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1060" w:type="dxa"/>
            <w:vAlign w:val="bottom"/>
          </w:tcPr>
          <w:p>
            <w:pPr>
              <w:spacing w:after="0" w:line="134" w:lineRule="exact"/>
              <w:rPr>
                <w:sz w:val="20"/>
                <w:szCs w:val="20"/>
                <w:color w:val="auto"/>
              </w:rPr>
            </w:pPr>
            <w:r>
              <w:rPr>
                <w:rFonts w:ascii="Arial" w:cs="Arial" w:eastAsia="Arial" w:hAnsi="Arial"/>
                <w:sz w:val="12"/>
                <w:szCs w:val="12"/>
                <w:color w:val="auto"/>
              </w:rPr>
              <w:t>Rob Routs</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80,436</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3,072</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26.12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83,508</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1,790,882</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2,468,372</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1,920,684</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2,825,366</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75,036</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5,860</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27.12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80,896</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1,854,413</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2,239,224</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2005 to 2007</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79,430</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6,950</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25.62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86,380</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1,776,555</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2,155,490</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2004 to 2006</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87,188</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9,520</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20.65</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(96,708)</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1060" w:type="dxa"/>
            <w:vAlign w:val="bottom"/>
          </w:tcPr>
          <w:p>
            <w:pPr>
              <w:spacing w:after="0" w:line="134" w:lineRule="exact"/>
              <w:rPr>
                <w:sz w:val="20"/>
                <w:szCs w:val="20"/>
                <w:color w:val="auto"/>
              </w:rPr>
            </w:pPr>
            <w:r>
              <w:rPr>
                <w:rFonts w:ascii="Arial" w:cs="Arial" w:eastAsia="Arial" w:hAnsi="Arial"/>
                <w:sz w:val="12"/>
                <w:szCs w:val="12"/>
                <w:color w:val="auto"/>
              </w:rPr>
              <w:t>Peter Voser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78,751</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3,007</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26.12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81,758</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1,753,366</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2,416,664</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1,880,434</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2,766,158</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68,952</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5,385</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27.12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74,337</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1,704,055</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2,057,665</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 to 2007</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72,989</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6,387</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25.62</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79,376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1,632,510</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1,980,721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r>
      <w:tr>
        <w:trPr>
          <w:trHeight w:val="140"/>
        </w:trPr>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Royal Dutch Shell plc Class B shares</w:t>
            </w: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1060" w:type="dxa"/>
            <w:vAlign w:val="bottom"/>
          </w:tcPr>
          <w:p>
            <w:pPr>
              <w:spacing w:after="0" w:line="134" w:lineRule="exact"/>
              <w:rPr>
                <w:sz w:val="20"/>
                <w:szCs w:val="20"/>
                <w:color w:val="auto"/>
              </w:rPr>
            </w:pPr>
            <w:r>
              <w:rPr>
                <w:rFonts w:ascii="Arial" w:cs="Arial" w:eastAsia="Arial" w:hAnsi="Arial"/>
                <w:sz w:val="12"/>
                <w:szCs w:val="12"/>
                <w:color w:val="auto"/>
              </w:rPr>
              <w:t>Malcolm Brinded</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91,730</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3,449</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17.07</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95,179</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1,334,714</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2,673,878</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1,591,393</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3,177,375</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81,191</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6,205</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19.33</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87,396</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1,430,167</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2,541,836</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2005 to 2007</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87,381</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7,470</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18.40</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94,851</w:t>
            </w:r>
          </w:p>
        </w:tc>
        <w:tc>
          <w:tcPr>
            <w:tcW w:w="700" w:type="dxa"/>
            <w:vAlign w:val="bottom"/>
          </w:tcPr>
          <w:p>
            <w:pPr>
              <w:jc w:val="right"/>
              <w:spacing w:after="0" w:line="133" w:lineRule="exact"/>
              <w:rPr>
                <w:sz w:val="20"/>
                <w:szCs w:val="20"/>
                <w:color w:val="auto"/>
              </w:rPr>
            </w:pPr>
            <w:r>
              <w:rPr>
                <w:rFonts w:ascii="Arial" w:cs="Arial" w:eastAsia="Arial" w:hAnsi="Arial"/>
                <w:sz w:val="12"/>
                <w:szCs w:val="12"/>
                <w:color w:val="auto"/>
              </w:rPr>
              <w:t>2,016,630</w:t>
            </w: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3,608,858</w:t>
            </w:r>
          </w:p>
        </w:tc>
        <w:tc>
          <w:tcPr>
            <w:tcW w:w="72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2004 to 2006</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101,538</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10,563</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13.88</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(112,101)</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1060" w:type="dxa"/>
            <w:vAlign w:val="bottom"/>
          </w:tcPr>
          <w:p>
            <w:pPr>
              <w:spacing w:after="0" w:line="134" w:lineRule="exact"/>
              <w:rPr>
                <w:sz w:val="20"/>
                <w:szCs w:val="20"/>
                <w:color w:val="auto"/>
              </w:rPr>
            </w:pPr>
            <w:r>
              <w:rPr>
                <w:rFonts w:ascii="Arial" w:cs="Arial" w:eastAsia="Arial" w:hAnsi="Arial"/>
                <w:sz w:val="12"/>
                <w:szCs w:val="12"/>
                <w:color w:val="auto"/>
              </w:rPr>
              <w:t>Peter Voser</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9"/>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2004 to 2006</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72,498</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6,354</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15.03</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(78,852)</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0</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0</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268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Royal Dutch Shell plc Class A ADRs</w:t>
            </w:r>
          </w:p>
        </w:tc>
        <w:tc>
          <w:tcPr>
            <w:tcW w:w="8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1060" w:type="dxa"/>
            <w:vAlign w:val="bottom"/>
          </w:tcPr>
          <w:p>
            <w:pPr>
              <w:spacing w:after="0" w:line="134" w:lineRule="exact"/>
              <w:rPr>
                <w:sz w:val="20"/>
                <w:szCs w:val="20"/>
                <w:color w:val="auto"/>
              </w:rPr>
            </w:pPr>
            <w:r>
              <w:rPr>
                <w:rFonts w:ascii="Arial" w:cs="Arial" w:eastAsia="Arial" w:hAnsi="Arial"/>
                <w:sz w:val="12"/>
                <w:szCs w:val="12"/>
                <w:color w:val="auto"/>
              </w:rPr>
              <w:t>Linda Cook</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39,378</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1,487</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68.02</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40,865</w:t>
            </w:r>
          </w:p>
        </w:tc>
        <w:tc>
          <w:tcPr>
            <w:tcW w:w="700" w:type="dxa"/>
            <w:vAlign w:val="bottom"/>
          </w:tcPr>
          <w:p>
            <w:pPr>
              <w:spacing w:after="0"/>
              <w:rPr>
                <w:sz w:val="11"/>
                <w:szCs w:val="11"/>
                <w:color w:val="auto"/>
              </w:rPr>
            </w:pP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2,283,146</w:t>
            </w:r>
          </w:p>
        </w:tc>
        <w:tc>
          <w:tcPr>
            <w:tcW w:w="7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2,752,666</w:t>
            </w:r>
          </w:p>
        </w:tc>
      </w:tr>
      <w:tr>
        <w:trPr>
          <w:trHeight w:val="133"/>
        </w:trPr>
        <w:tc>
          <w:tcPr>
            <w:tcW w:w="106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700" w:type="dxa"/>
            <w:vAlign w:val="bottom"/>
            <w:gridSpan w:val="2"/>
          </w:tcPr>
          <w:p>
            <w:pPr>
              <w:jc w:val="right"/>
              <w:ind w:right="24"/>
              <w:spacing w:after="0" w:line="133" w:lineRule="exact"/>
              <w:rPr>
                <w:sz w:val="20"/>
                <w:szCs w:val="20"/>
                <w:color w:val="auto"/>
              </w:rPr>
            </w:pPr>
            <w:r>
              <w:rPr>
                <w:rFonts w:ascii="Arial" w:cs="Arial" w:eastAsia="Arial" w:hAnsi="Arial"/>
                <w:sz w:val="12"/>
                <w:szCs w:val="12"/>
                <w:color w:val="auto"/>
              </w:rPr>
              <w:t>34,798</w:t>
            </w:r>
          </w:p>
        </w:tc>
        <w:tc>
          <w:tcPr>
            <w:tcW w:w="9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2,654</w:t>
            </w:r>
          </w:p>
        </w:tc>
        <w:tc>
          <w:tcPr>
            <w:tcW w:w="620" w:type="dxa"/>
            <w:vAlign w:val="bottom"/>
          </w:tcPr>
          <w:p>
            <w:pPr>
              <w:jc w:val="right"/>
              <w:ind w:right="79"/>
              <w:spacing w:after="0" w:line="133" w:lineRule="exact"/>
              <w:rPr>
                <w:sz w:val="20"/>
                <w:szCs w:val="20"/>
                <w:color w:val="auto"/>
              </w:rPr>
            </w:pPr>
            <w:r>
              <w:rPr>
                <w:rFonts w:ascii="Arial" w:cs="Arial" w:eastAsia="Arial" w:hAnsi="Arial"/>
                <w:sz w:val="12"/>
                <w:szCs w:val="12"/>
                <w:color w:val="auto"/>
              </w:rPr>
              <w:t>64.89</w:t>
            </w:r>
          </w:p>
        </w:tc>
        <w:tc>
          <w:tcPr>
            <w:tcW w:w="78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79"/>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37,452</w:t>
            </w:r>
          </w:p>
        </w:tc>
        <w:tc>
          <w:tcPr>
            <w:tcW w:w="700" w:type="dxa"/>
            <w:vAlign w:val="bottom"/>
          </w:tcPr>
          <w:p>
            <w:pPr>
              <w:spacing w:after="0"/>
              <w:rPr>
                <w:sz w:val="11"/>
                <w:szCs w:val="11"/>
                <w:color w:val="auto"/>
              </w:rPr>
            </w:pPr>
          </w:p>
        </w:tc>
        <w:tc>
          <w:tcPr>
            <w:tcW w:w="1000" w:type="dxa"/>
            <w:vAlign w:val="bottom"/>
          </w:tcPr>
          <w:p>
            <w:pPr>
              <w:jc w:val="right"/>
              <w:ind w:right="79"/>
              <w:spacing w:after="0" w:line="133" w:lineRule="exact"/>
              <w:rPr>
                <w:sz w:val="20"/>
                <w:szCs w:val="20"/>
                <w:color w:val="auto"/>
              </w:rPr>
            </w:pPr>
            <w:r>
              <w:rPr>
                <w:rFonts w:ascii="Arial" w:cs="Arial" w:eastAsia="Arial" w:hAnsi="Arial"/>
                <w:sz w:val="12"/>
                <w:szCs w:val="12"/>
                <w:color w:val="auto"/>
              </w:rPr>
              <w:t>2,057,686</w:t>
            </w:r>
          </w:p>
        </w:tc>
        <w:tc>
          <w:tcPr>
            <w:tcW w:w="7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0</w:t>
            </w:r>
          </w:p>
        </w:tc>
      </w:tr>
      <w:tr>
        <w:trPr>
          <w:trHeight w:val="146"/>
        </w:trPr>
        <w:tc>
          <w:tcPr>
            <w:tcW w:w="1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 to 2007</w:t>
            </w:r>
          </w:p>
        </w:tc>
        <w:tc>
          <w:tcPr>
            <w:tcW w:w="7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2"/>
                <w:szCs w:val="12"/>
                <w:color w:val="auto"/>
              </w:rPr>
              <w:t>36,507</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3,129</w:t>
            </w:r>
          </w:p>
        </w:tc>
        <w:tc>
          <w:tcPr>
            <w:tcW w:w="62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63.46</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39,636</w:t>
            </w:r>
          </w:p>
        </w:tc>
        <w:tc>
          <w:tcPr>
            <w:tcW w:w="7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color w:val="auto"/>
              </w:rPr>
              <w:t>1,980,721</w:t>
            </w:r>
          </w:p>
        </w:tc>
        <w:tc>
          <w:tcPr>
            <w:tcW w:w="7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4495165</wp:posOffset>
            </wp:positionH>
            <wp:positionV relativeFrom="paragraph">
              <wp:posOffset>-3001645</wp:posOffset>
            </wp:positionV>
            <wp:extent cx="8255" cy="4737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473710"/>
                    </a:xfrm>
                    <a:prstGeom prst="rect">
                      <a:avLst/>
                    </a:prstGeom>
                    <a:noFill/>
                  </pic:spPr>
                </pic:pic>
              </a:graphicData>
            </a:graphic>
          </wp:anchor>
        </w:drawing>
      </w:r>
    </w:p>
    <w:p>
      <w:pPr>
        <w:ind w:left="260" w:right="100" w:hanging="253"/>
        <w:spacing w:after="0" w:line="231" w:lineRule="auto"/>
        <w:tabs>
          <w:tab w:leader="none" w:pos="26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Dividend shares are performance related and accumulate each year at an assumed notional LTIP award of 100% and dividend payment 100%. Where an award is made dividend shares will be awarded as if shares where held from the original date.</w:t>
      </w:r>
    </w:p>
    <w:p>
      <w:pPr>
        <w:ind w:left="260" w:right="240" w:hanging="253"/>
        <w:spacing w:after="0" w:line="231" w:lineRule="auto"/>
        <w:tabs>
          <w:tab w:leader="none" w:pos="26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expected values of the conditional performance shares awards have been calculated on the basis of a Monte Carlo pricing model provided by Towers Perrin. Currently, the Monte Carlo model is considered the most appropriate way to value a plan with a relative market condition. The expected value of the 2007 awards based on this approach is equal to 85% of the face value of the conditional awards.</w:t>
      </w:r>
    </w:p>
    <w:p>
      <w:pPr>
        <w:spacing w:after="0" w:line="1" w:lineRule="exact"/>
        <w:rPr>
          <w:rFonts w:ascii="Arial" w:cs="Arial" w:eastAsia="Arial" w:hAnsi="Arial"/>
          <w:sz w:val="12"/>
          <w:szCs w:val="12"/>
          <w:color w:val="auto"/>
        </w:rPr>
      </w:pPr>
    </w:p>
    <w:p>
      <w:pPr>
        <w:ind w:left="260" w:right="200" w:hanging="253"/>
        <w:spacing w:after="0"/>
        <w:tabs>
          <w:tab w:leader="none" w:pos="26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Theoretical gains represent the value of the conditional shares awarded in previous years under the LTIP at the end of the financial year. This is calculated by multiplying the fair market value of the shares of Royal Dutch Shell, at December 31, 2007, by the number of shares under the LTIP that would vest based on the achievement of performance conditions as determined by TSR up to December 31, 2007.</w:t>
      </w:r>
    </w:p>
    <w:p>
      <w:pPr>
        <w:spacing w:after="0" w:line="88" w:lineRule="exact"/>
        <w:rPr>
          <w:sz w:val="20"/>
          <w:szCs w:val="20"/>
          <w:color w:val="auto"/>
        </w:rPr>
      </w:pPr>
    </w:p>
    <w:p>
      <w:pPr>
        <w:jc w:val="both"/>
        <w:ind w:right="180"/>
        <w:spacing w:after="0" w:line="273" w:lineRule="auto"/>
        <w:rPr>
          <w:sz w:val="20"/>
          <w:szCs w:val="20"/>
          <w:color w:val="auto"/>
        </w:rPr>
      </w:pPr>
      <w:r>
        <w:rPr>
          <w:rFonts w:ascii="Arial" w:cs="Arial" w:eastAsia="Arial" w:hAnsi="Arial"/>
          <w:sz w:val="16"/>
          <w:szCs w:val="16"/>
          <w:color w:val="auto"/>
        </w:rPr>
        <w:t>On January 29, 2008, REMCO decided that in 2008, the Chief Executive be made a conditional award of performance shares under the LTIP with a face value of 2.5 times his base salary and the other Executive Directors be made a conditional award of performance shares under the LTIP with a face value of 2.4 times their base salary. On February 1, 2008 the following shares were awarded conditionally: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60" w:type="dxa"/>
            <w:vAlign w:val="bottom"/>
            <w:shd w:val="clear" w:color="auto" w:fill="C1D72E"/>
          </w:tcPr>
          <w:p>
            <w:pPr>
              <w:spacing w:after="0"/>
              <w:rPr>
                <w:sz w:val="16"/>
                <w:szCs w:val="16"/>
                <w:color w:val="auto"/>
              </w:rPr>
            </w:pPr>
          </w:p>
        </w:tc>
        <w:tc>
          <w:tcPr>
            <w:tcW w:w="1740" w:type="dxa"/>
            <w:vAlign w:val="bottom"/>
            <w:shd w:val="clear" w:color="auto" w:fill="C1D72E"/>
          </w:tcPr>
          <w:p>
            <w:pPr>
              <w:spacing w:after="0"/>
              <w:rPr>
                <w:sz w:val="16"/>
                <w:szCs w:val="16"/>
                <w:color w:val="auto"/>
              </w:rPr>
            </w:pPr>
          </w:p>
        </w:tc>
        <w:tc>
          <w:tcPr>
            <w:tcW w:w="40" w:type="dxa"/>
            <w:vAlign w:val="bottom"/>
          </w:tcPr>
          <w:p>
            <w:pPr>
              <w:spacing w:after="0"/>
              <w:rPr>
                <w:sz w:val="16"/>
                <w:szCs w:val="16"/>
                <w:color w:val="auto"/>
              </w:rPr>
            </w:pPr>
          </w:p>
        </w:tc>
      </w:tr>
      <w:tr>
        <w:trPr>
          <w:trHeight w:val="141"/>
        </w:trPr>
        <w:tc>
          <w:tcPr>
            <w:tcW w:w="8760" w:type="dxa"/>
            <w:vAlign w:val="bottom"/>
            <w:shd w:val="clear" w:color="auto" w:fill="CECAC6"/>
          </w:tcPr>
          <w:p>
            <w:pPr>
              <w:spacing w:after="0"/>
              <w:rPr>
                <w:sz w:val="12"/>
                <w:szCs w:val="12"/>
                <w:color w:val="auto"/>
              </w:rPr>
            </w:pPr>
          </w:p>
        </w:tc>
        <w:tc>
          <w:tcPr>
            <w:tcW w:w="1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 number of shares</w:t>
            </w:r>
          </w:p>
        </w:tc>
        <w:tc>
          <w:tcPr>
            <w:tcW w:w="40" w:type="dxa"/>
            <w:vAlign w:val="bottom"/>
          </w:tcPr>
          <w:p>
            <w:pPr>
              <w:spacing w:after="0"/>
              <w:rPr>
                <w:sz w:val="12"/>
                <w:szCs w:val="12"/>
                <w:color w:val="auto"/>
              </w:rPr>
            </w:pPr>
          </w:p>
        </w:tc>
      </w:tr>
      <w:tr>
        <w:trPr>
          <w:trHeight w:val="152"/>
        </w:trPr>
        <w:tc>
          <w:tcPr>
            <w:tcW w:w="8760" w:type="dxa"/>
            <w:vAlign w:val="bottom"/>
            <w:shd w:val="clear" w:color="auto" w:fill="CECAC6"/>
          </w:tcPr>
          <w:p>
            <w:pPr>
              <w:spacing w:after="0"/>
              <w:rPr>
                <w:sz w:val="13"/>
                <w:szCs w:val="13"/>
                <w:color w:val="auto"/>
              </w:rPr>
            </w:pPr>
          </w:p>
        </w:tc>
        <w:tc>
          <w:tcPr>
            <w:tcW w:w="1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conditionally awarded</w:t>
            </w:r>
          </w:p>
        </w:tc>
        <w:tc>
          <w:tcPr>
            <w:tcW w:w="40" w:type="dxa"/>
            <w:vAlign w:val="bottom"/>
          </w:tcPr>
          <w:p>
            <w:pPr>
              <w:spacing w:after="0"/>
              <w:rPr>
                <w:sz w:val="13"/>
                <w:szCs w:val="13"/>
                <w:color w:val="auto"/>
              </w:rPr>
            </w:pPr>
          </w:p>
        </w:tc>
      </w:tr>
      <w:tr>
        <w:trPr>
          <w:trHeight w:val="193"/>
        </w:trPr>
        <w:tc>
          <w:tcPr>
            <w:tcW w:w="8760" w:type="dxa"/>
            <w:vAlign w:val="bottom"/>
          </w:tcPr>
          <w:p>
            <w:pPr>
              <w:spacing w:after="0"/>
              <w:rPr>
                <w:sz w:val="20"/>
                <w:szCs w:val="20"/>
                <w:color w:val="auto"/>
              </w:rPr>
            </w:pPr>
            <w:r>
              <w:rPr>
                <w:rFonts w:ascii="Arial" w:cs="Arial" w:eastAsia="Arial" w:hAnsi="Arial"/>
                <w:sz w:val="12"/>
                <w:szCs w:val="12"/>
                <w:color w:val="auto"/>
              </w:rPr>
              <w:t>Jeroen van der Veer</w:t>
            </w:r>
            <w:r>
              <w:rPr>
                <w:rFonts w:ascii="Arial" w:cs="Arial" w:eastAsia="Arial" w:hAnsi="Arial"/>
                <w:sz w:val="12"/>
                <w:szCs w:val="12"/>
                <w:b w:val="1"/>
                <w:bCs w:val="1"/>
                <w:color w:val="auto"/>
              </w:rPr>
              <w:t>[A]</w:t>
            </w:r>
          </w:p>
        </w:tc>
        <w:tc>
          <w:tcPr>
            <w:tcW w:w="1740" w:type="dxa"/>
            <w:vAlign w:val="bottom"/>
          </w:tcPr>
          <w:p>
            <w:pPr>
              <w:jc w:val="right"/>
              <w:spacing w:after="0"/>
              <w:rPr>
                <w:sz w:val="20"/>
                <w:szCs w:val="20"/>
                <w:color w:val="auto"/>
              </w:rPr>
            </w:pPr>
            <w:r>
              <w:rPr>
                <w:rFonts w:ascii="Arial" w:cs="Arial" w:eastAsia="Arial" w:hAnsi="Arial"/>
                <w:sz w:val="12"/>
                <w:szCs w:val="12"/>
                <w:color w:val="auto"/>
              </w:rPr>
              <w:t>192,949</w:t>
            </w:r>
          </w:p>
        </w:tc>
        <w:tc>
          <w:tcPr>
            <w:tcW w:w="40" w:type="dxa"/>
            <w:vAlign w:val="bottom"/>
          </w:tcPr>
          <w:p>
            <w:pPr>
              <w:spacing w:after="0"/>
              <w:rPr>
                <w:sz w:val="16"/>
                <w:szCs w:val="16"/>
                <w:color w:val="auto"/>
              </w:rPr>
            </w:pPr>
          </w:p>
        </w:tc>
      </w:tr>
      <w:tr>
        <w:trPr>
          <w:trHeight w:val="133"/>
        </w:trPr>
        <w:tc>
          <w:tcPr>
            <w:tcW w:w="8760" w:type="dxa"/>
            <w:vAlign w:val="bottom"/>
          </w:tcPr>
          <w:p>
            <w:pPr>
              <w:spacing w:after="0" w:line="133" w:lineRule="exact"/>
              <w:rPr>
                <w:sz w:val="20"/>
                <w:szCs w:val="20"/>
                <w:color w:val="auto"/>
              </w:rPr>
            </w:pPr>
            <w:r>
              <w:rPr>
                <w:rFonts w:ascii="Arial" w:cs="Arial" w:eastAsia="Arial" w:hAnsi="Arial"/>
                <w:sz w:val="12"/>
                <w:szCs w:val="12"/>
                <w:color w:val="auto"/>
              </w:rPr>
              <w:t>Malcolm Brinded</w:t>
            </w:r>
            <w:r>
              <w:rPr>
                <w:rFonts w:ascii="Arial" w:cs="Arial" w:eastAsia="Arial" w:hAnsi="Arial"/>
                <w:sz w:val="12"/>
                <w:szCs w:val="12"/>
                <w:b w:val="1"/>
                <w:bCs w:val="1"/>
                <w:color w:val="auto"/>
              </w:rPr>
              <w:t>[B]</w:t>
            </w:r>
          </w:p>
        </w:tc>
        <w:tc>
          <w:tcPr>
            <w:tcW w:w="1740" w:type="dxa"/>
            <w:vAlign w:val="bottom"/>
          </w:tcPr>
          <w:p>
            <w:pPr>
              <w:jc w:val="right"/>
              <w:spacing w:after="0" w:line="133" w:lineRule="exact"/>
              <w:rPr>
                <w:sz w:val="20"/>
                <w:szCs w:val="20"/>
                <w:color w:val="auto"/>
              </w:rPr>
            </w:pPr>
            <w:r>
              <w:rPr>
                <w:rFonts w:ascii="Arial" w:cs="Arial" w:eastAsia="Arial" w:hAnsi="Arial"/>
                <w:sz w:val="12"/>
                <w:szCs w:val="12"/>
                <w:color w:val="auto"/>
              </w:rPr>
              <w:t>114,201</w:t>
            </w:r>
          </w:p>
        </w:tc>
        <w:tc>
          <w:tcPr>
            <w:tcW w:w="40" w:type="dxa"/>
            <w:vAlign w:val="bottom"/>
          </w:tcPr>
          <w:p>
            <w:pPr>
              <w:spacing w:after="0"/>
              <w:rPr>
                <w:sz w:val="11"/>
                <w:szCs w:val="11"/>
                <w:color w:val="auto"/>
              </w:rPr>
            </w:pPr>
          </w:p>
        </w:tc>
      </w:tr>
      <w:tr>
        <w:trPr>
          <w:trHeight w:val="133"/>
        </w:trPr>
        <w:tc>
          <w:tcPr>
            <w:tcW w:w="8760" w:type="dxa"/>
            <w:vAlign w:val="bottom"/>
          </w:tcPr>
          <w:p>
            <w:pPr>
              <w:spacing w:after="0" w:line="133" w:lineRule="exact"/>
              <w:rPr>
                <w:sz w:val="20"/>
                <w:szCs w:val="20"/>
                <w:color w:val="auto"/>
              </w:rPr>
            </w:pPr>
            <w:r>
              <w:rPr>
                <w:rFonts w:ascii="Arial" w:cs="Arial" w:eastAsia="Arial" w:hAnsi="Arial"/>
                <w:sz w:val="12"/>
                <w:szCs w:val="12"/>
                <w:color w:val="auto"/>
              </w:rPr>
              <w:t>Linda Cook</w:t>
            </w:r>
            <w:r>
              <w:rPr>
                <w:rFonts w:ascii="Arial" w:cs="Arial" w:eastAsia="Arial" w:hAnsi="Arial"/>
                <w:sz w:val="12"/>
                <w:szCs w:val="12"/>
                <w:b w:val="1"/>
                <w:bCs w:val="1"/>
                <w:color w:val="auto"/>
              </w:rPr>
              <w:t>[C]</w:t>
            </w:r>
          </w:p>
        </w:tc>
        <w:tc>
          <w:tcPr>
            <w:tcW w:w="1740" w:type="dxa"/>
            <w:vAlign w:val="bottom"/>
          </w:tcPr>
          <w:p>
            <w:pPr>
              <w:jc w:val="right"/>
              <w:spacing w:after="0" w:line="133" w:lineRule="exact"/>
              <w:rPr>
                <w:sz w:val="20"/>
                <w:szCs w:val="20"/>
                <w:color w:val="auto"/>
              </w:rPr>
            </w:pPr>
            <w:r>
              <w:rPr>
                <w:rFonts w:ascii="Arial" w:cs="Arial" w:eastAsia="Arial" w:hAnsi="Arial"/>
                <w:sz w:val="12"/>
                <w:szCs w:val="12"/>
                <w:color w:val="auto"/>
              </w:rPr>
              <w:t>49,058</w:t>
            </w:r>
          </w:p>
        </w:tc>
        <w:tc>
          <w:tcPr>
            <w:tcW w:w="40" w:type="dxa"/>
            <w:vAlign w:val="bottom"/>
          </w:tcPr>
          <w:p>
            <w:pPr>
              <w:spacing w:after="0"/>
              <w:rPr>
                <w:sz w:val="11"/>
                <w:szCs w:val="11"/>
                <w:color w:val="auto"/>
              </w:rPr>
            </w:pPr>
          </w:p>
        </w:tc>
      </w:tr>
      <w:tr>
        <w:trPr>
          <w:trHeight w:val="133"/>
        </w:trPr>
        <w:tc>
          <w:tcPr>
            <w:tcW w:w="8760" w:type="dxa"/>
            <w:vAlign w:val="bottom"/>
          </w:tcPr>
          <w:p>
            <w:pPr>
              <w:spacing w:after="0" w:line="133" w:lineRule="exact"/>
              <w:rPr>
                <w:sz w:val="20"/>
                <w:szCs w:val="20"/>
                <w:color w:val="auto"/>
              </w:rPr>
            </w:pPr>
            <w:r>
              <w:rPr>
                <w:rFonts w:ascii="Arial" w:cs="Arial" w:eastAsia="Arial" w:hAnsi="Arial"/>
                <w:sz w:val="12"/>
                <w:szCs w:val="12"/>
                <w:color w:val="auto"/>
              </w:rPr>
              <w:t>Rob Routs</w:t>
            </w:r>
            <w:r>
              <w:rPr>
                <w:rFonts w:ascii="Arial" w:cs="Arial" w:eastAsia="Arial" w:hAnsi="Arial"/>
                <w:sz w:val="12"/>
                <w:szCs w:val="12"/>
                <w:b w:val="1"/>
                <w:bCs w:val="1"/>
                <w:color w:val="auto"/>
              </w:rPr>
              <w:t>[A]</w:t>
            </w:r>
          </w:p>
        </w:tc>
        <w:tc>
          <w:tcPr>
            <w:tcW w:w="1740" w:type="dxa"/>
            <w:vAlign w:val="bottom"/>
          </w:tcPr>
          <w:p>
            <w:pPr>
              <w:jc w:val="right"/>
              <w:spacing w:after="0" w:line="133" w:lineRule="exact"/>
              <w:rPr>
                <w:sz w:val="20"/>
                <w:szCs w:val="20"/>
                <w:color w:val="auto"/>
              </w:rPr>
            </w:pPr>
            <w:r>
              <w:rPr>
                <w:rFonts w:ascii="Arial" w:cs="Arial" w:eastAsia="Arial" w:hAnsi="Arial"/>
                <w:sz w:val="12"/>
                <w:szCs w:val="12"/>
                <w:color w:val="auto"/>
              </w:rPr>
              <w:t>100,125</w:t>
            </w:r>
          </w:p>
        </w:tc>
        <w:tc>
          <w:tcPr>
            <w:tcW w:w="40" w:type="dxa"/>
            <w:vAlign w:val="bottom"/>
          </w:tcPr>
          <w:p>
            <w:pPr>
              <w:spacing w:after="0"/>
              <w:rPr>
                <w:sz w:val="11"/>
                <w:szCs w:val="11"/>
                <w:color w:val="auto"/>
              </w:rPr>
            </w:pPr>
          </w:p>
        </w:tc>
      </w:tr>
      <w:tr>
        <w:trPr>
          <w:trHeight w:val="160"/>
        </w:trPr>
        <w:tc>
          <w:tcPr>
            <w:tcW w:w="87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Peter Voser</w:t>
            </w:r>
            <w:r>
              <w:rPr>
                <w:rFonts w:ascii="Arial" w:cs="Arial" w:eastAsia="Arial" w:hAnsi="Arial"/>
                <w:sz w:val="12"/>
                <w:szCs w:val="12"/>
                <w:b w:val="1"/>
                <w:bCs w:val="1"/>
                <w:color w:val="auto"/>
              </w:rPr>
              <w:t>[A]</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98,623</w:t>
            </w:r>
          </w:p>
        </w:tc>
        <w:tc>
          <w:tcPr>
            <w:tcW w:w="40" w:type="dxa"/>
            <w:vAlign w:val="bottom"/>
          </w:tcPr>
          <w:p>
            <w:pPr>
              <w:spacing w:after="0"/>
              <w:rPr>
                <w:sz w:val="13"/>
                <w:szCs w:val="13"/>
                <w:color w:val="auto"/>
              </w:rPr>
            </w:pPr>
          </w:p>
        </w:tc>
      </w:tr>
    </w:tbl>
    <w:p>
      <w:pPr>
        <w:spacing w:after="0" w:line="3" w:lineRule="exact"/>
        <w:rPr>
          <w:sz w:val="20"/>
          <w:szCs w:val="20"/>
          <w:color w:val="auto"/>
        </w:rPr>
      </w:pPr>
    </w:p>
    <w:p>
      <w:pPr>
        <w:ind w:left="260" w:hanging="253"/>
        <w:spacing w:after="0"/>
        <w:tabs>
          <w:tab w:leader="none" w:pos="2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Royal Dutch Shell plc Class A shares.</w:t>
      </w:r>
    </w:p>
    <w:p>
      <w:pPr>
        <w:ind w:left="260" w:hanging="253"/>
        <w:spacing w:after="0" w:line="231" w:lineRule="auto"/>
        <w:tabs>
          <w:tab w:leader="none" w:pos="2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Royal Dutch Shell plc Class B shares.</w:t>
      </w:r>
    </w:p>
    <w:p>
      <w:pPr>
        <w:ind w:left="260" w:hanging="253"/>
        <w:spacing w:after="0"/>
        <w:tabs>
          <w:tab w:leader="none" w:pos="2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Royal Dutch Shell plc Class A ADRs.</w:t>
      </w:r>
    </w:p>
    <w:p>
      <w:pPr>
        <w:spacing w:after="0" w:line="98" w:lineRule="exact"/>
        <w:rPr>
          <w:sz w:val="20"/>
          <w:szCs w:val="20"/>
          <w:color w:val="auto"/>
        </w:rPr>
      </w:pPr>
    </w:p>
    <w:p>
      <w:pPr>
        <w:ind w:right="120"/>
        <w:spacing w:after="0" w:line="362" w:lineRule="auto"/>
        <w:rPr>
          <w:sz w:val="20"/>
          <w:szCs w:val="20"/>
          <w:color w:val="auto"/>
        </w:rPr>
      </w:pPr>
      <w:r>
        <w:rPr>
          <w:rFonts w:ascii="Arial" w:cs="Arial" w:eastAsia="Arial" w:hAnsi="Arial"/>
          <w:sz w:val="14"/>
          <w:szCs w:val="14"/>
          <w:color w:val="auto"/>
        </w:rPr>
        <w:t>The 2005 award of conditional performance shares was made on August 5, 2005. The performance period for these conditional performance shares was January 1, 2005 to December 31, 2007. As a result of Shell’s performance against its peers, REMCO determined on March 11, 2008, to release 65% of these shares.</w:t>
      </w:r>
    </w:p>
    <w:p>
      <w:pPr>
        <w:spacing w:after="0" w:line="332" w:lineRule="exact"/>
        <w:rPr>
          <w:sz w:val="20"/>
          <w:szCs w:val="20"/>
          <w:color w:val="auto"/>
        </w:rPr>
      </w:pPr>
    </w:p>
    <w:p>
      <w:pPr>
        <w:jc w:val="right"/>
        <w:ind w:right="40"/>
        <w:spacing w:after="0"/>
        <w:tabs>
          <w:tab w:leader="none" w:pos="1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970280</wp:posOffset>
            </wp:positionV>
            <wp:extent cx="7252970"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40"/>
          </w:cols>
          <w:pgMar w:left="240" w:top="415" w:right="11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DIRECTORS’ REMUNERATION REPORT </w:t>
      </w:r>
      <w:r>
        <w:rPr>
          <w:rFonts w:ascii="Arial" w:cs="Arial" w:eastAsia="Arial" w:hAnsi="Arial"/>
          <w:sz w:val="12"/>
          <w:szCs w:val="12"/>
          <w:b w:val="1"/>
          <w:bCs w:val="1"/>
          <w:color w:val="C1D72E"/>
        </w:rPr>
        <w:t>EXECUTIVE DIRECTORS’ REMUNERATION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00" w:type="dxa"/>
            <w:vAlign w:val="bottom"/>
            <w:gridSpan w:val="2"/>
            <w:shd w:val="clear" w:color="auto" w:fill="C1D72E"/>
          </w:tcPr>
          <w:p>
            <w:pPr>
              <w:spacing w:after="0"/>
              <w:rPr>
                <w:sz w:val="20"/>
                <w:szCs w:val="20"/>
                <w:color w:val="auto"/>
              </w:rPr>
            </w:pPr>
            <w:r>
              <w:rPr>
                <w:rFonts w:ascii="Arial" w:cs="Arial" w:eastAsia="Arial" w:hAnsi="Arial"/>
                <w:sz w:val="12"/>
                <w:szCs w:val="12"/>
                <w:b w:val="1"/>
                <w:bCs w:val="1"/>
                <w:color w:val="auto"/>
              </w:rPr>
              <w:t xml:space="preserve">DEFERRED BONUS PLAN </w:t>
            </w:r>
            <w:r>
              <w:rPr>
                <w:rFonts w:ascii="Arial" w:cs="Arial" w:eastAsia="Arial" w:hAnsi="Arial"/>
                <w:sz w:val="12"/>
                <w:szCs w:val="12"/>
                <w:color w:val="auto"/>
              </w:rPr>
              <w:t>(This table has been audited)</w:t>
            </w:r>
          </w:p>
        </w:tc>
        <w:tc>
          <w:tcPr>
            <w:tcW w:w="1100" w:type="dxa"/>
            <w:vAlign w:val="bottom"/>
            <w:shd w:val="clear" w:color="auto" w:fill="C1D72E"/>
          </w:tcPr>
          <w:p>
            <w:pPr>
              <w:spacing w:after="0"/>
              <w:rPr>
                <w:sz w:val="12"/>
                <w:szCs w:val="12"/>
                <w:color w:val="auto"/>
              </w:rPr>
            </w:pPr>
          </w:p>
        </w:tc>
        <w:tc>
          <w:tcPr>
            <w:tcW w:w="1120" w:type="dxa"/>
            <w:vAlign w:val="bottom"/>
            <w:shd w:val="clear" w:color="auto" w:fill="C1D72E"/>
          </w:tcPr>
          <w:p>
            <w:pPr>
              <w:spacing w:after="0"/>
              <w:rPr>
                <w:sz w:val="12"/>
                <w:szCs w:val="12"/>
                <w:color w:val="auto"/>
              </w:rPr>
            </w:pPr>
          </w:p>
        </w:tc>
        <w:tc>
          <w:tcPr>
            <w:tcW w:w="1080" w:type="dxa"/>
            <w:vAlign w:val="bottom"/>
            <w:shd w:val="clear" w:color="auto" w:fill="C1D72E"/>
          </w:tcPr>
          <w:p>
            <w:pPr>
              <w:spacing w:after="0"/>
              <w:rPr>
                <w:sz w:val="12"/>
                <w:szCs w:val="12"/>
                <w:color w:val="auto"/>
              </w:rPr>
            </w:pPr>
          </w:p>
        </w:tc>
        <w:tc>
          <w:tcPr>
            <w:tcW w:w="1100" w:type="dxa"/>
            <w:vAlign w:val="bottom"/>
            <w:shd w:val="clear" w:color="auto" w:fill="C1D72E"/>
          </w:tcPr>
          <w:p>
            <w:pPr>
              <w:spacing w:after="0"/>
              <w:rPr>
                <w:sz w:val="12"/>
                <w:szCs w:val="12"/>
                <w:color w:val="auto"/>
              </w:rPr>
            </w:pPr>
          </w:p>
        </w:tc>
        <w:tc>
          <w:tcPr>
            <w:tcW w:w="980" w:type="dxa"/>
            <w:vAlign w:val="bottom"/>
            <w:shd w:val="clear" w:color="auto" w:fill="C1D72E"/>
          </w:tcPr>
          <w:p>
            <w:pPr>
              <w:spacing w:after="0"/>
              <w:rPr>
                <w:sz w:val="12"/>
                <w:szCs w:val="12"/>
                <w:color w:val="auto"/>
              </w:rPr>
            </w:pPr>
          </w:p>
        </w:tc>
        <w:tc>
          <w:tcPr>
            <w:tcW w:w="740" w:type="dxa"/>
            <w:vAlign w:val="bottom"/>
            <w:shd w:val="clear" w:color="auto" w:fill="C1D72E"/>
          </w:tcPr>
          <w:p>
            <w:pPr>
              <w:spacing w:after="0"/>
              <w:rPr>
                <w:sz w:val="12"/>
                <w:szCs w:val="12"/>
                <w:color w:val="auto"/>
              </w:rPr>
            </w:pPr>
          </w:p>
        </w:tc>
        <w:tc>
          <w:tcPr>
            <w:tcW w:w="760" w:type="dxa"/>
            <w:vAlign w:val="bottom"/>
            <w:shd w:val="clear" w:color="auto" w:fill="C1D72E"/>
          </w:tcPr>
          <w:p>
            <w:pPr>
              <w:spacing w:after="0"/>
              <w:rPr>
                <w:sz w:val="12"/>
                <w:szCs w:val="12"/>
                <w:color w:val="auto"/>
              </w:rPr>
            </w:pPr>
          </w:p>
        </w:tc>
        <w:tc>
          <w:tcPr>
            <w:tcW w:w="1040" w:type="dxa"/>
            <w:vAlign w:val="bottom"/>
            <w:shd w:val="clear" w:color="auto" w:fill="C1D72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240" w:type="dxa"/>
            <w:vAlign w:val="bottom"/>
            <w:shd w:val="clear" w:color="auto" w:fill="D8D2C9"/>
          </w:tcPr>
          <w:p>
            <w:pPr>
              <w:spacing w:after="0"/>
              <w:rPr>
                <w:sz w:val="11"/>
                <w:szCs w:val="11"/>
                <w:color w:val="auto"/>
              </w:rPr>
            </w:pPr>
          </w:p>
        </w:tc>
        <w:tc>
          <w:tcPr>
            <w:tcW w:w="1260" w:type="dxa"/>
            <w:vAlign w:val="bottom"/>
            <w:shd w:val="clear" w:color="auto" w:fill="D8D2C9"/>
          </w:tcPr>
          <w:p>
            <w:pPr>
              <w:jc w:val="right"/>
              <w:spacing w:after="0" w:line="128" w:lineRule="exact"/>
              <w:rPr>
                <w:sz w:val="20"/>
                <w:szCs w:val="20"/>
                <w:color w:val="auto"/>
              </w:rPr>
            </w:pPr>
            <w:r>
              <w:rPr>
                <w:rFonts w:ascii="Arial" w:cs="Arial" w:eastAsia="Arial" w:hAnsi="Arial"/>
                <w:sz w:val="12"/>
                <w:szCs w:val="12"/>
                <w:color w:val="auto"/>
              </w:rPr>
              <w:t>Total number of</w:t>
            </w:r>
          </w:p>
        </w:tc>
        <w:tc>
          <w:tcPr>
            <w:tcW w:w="1100" w:type="dxa"/>
            <w:vAlign w:val="bottom"/>
            <w:shd w:val="clear" w:color="auto" w:fill="D8D2C9"/>
          </w:tcPr>
          <w:p>
            <w:pPr>
              <w:jc w:val="right"/>
              <w:ind w:right="38"/>
              <w:spacing w:after="0" w:line="128" w:lineRule="exact"/>
              <w:rPr>
                <w:sz w:val="20"/>
                <w:szCs w:val="20"/>
                <w:color w:val="auto"/>
              </w:rPr>
            </w:pPr>
            <w:r>
              <w:rPr>
                <w:rFonts w:ascii="Arial" w:cs="Arial" w:eastAsia="Arial" w:hAnsi="Arial"/>
                <w:sz w:val="12"/>
                <w:szCs w:val="12"/>
                <w:color w:val="auto"/>
              </w:rPr>
              <w:t>Deferred bonus</w:t>
            </w:r>
          </w:p>
        </w:tc>
        <w:tc>
          <w:tcPr>
            <w:tcW w:w="1120" w:type="dxa"/>
            <w:vAlign w:val="bottom"/>
            <w:shd w:val="clear" w:color="auto" w:fill="D8D2C9"/>
          </w:tcPr>
          <w:p>
            <w:pPr>
              <w:jc w:val="right"/>
              <w:ind w:right="58"/>
              <w:spacing w:after="0" w:line="128" w:lineRule="exact"/>
              <w:rPr>
                <w:sz w:val="20"/>
                <w:szCs w:val="20"/>
                <w:color w:val="auto"/>
              </w:rPr>
            </w:pPr>
            <w:r>
              <w:rPr>
                <w:rFonts w:ascii="Arial" w:cs="Arial" w:eastAsia="Arial" w:hAnsi="Arial"/>
                <w:sz w:val="12"/>
                <w:szCs w:val="12"/>
                <w:color w:val="auto"/>
              </w:rPr>
              <w:t>Matching shares</w:t>
            </w:r>
          </w:p>
        </w:tc>
        <w:tc>
          <w:tcPr>
            <w:tcW w:w="1080" w:type="dxa"/>
            <w:vAlign w:val="bottom"/>
            <w:shd w:val="clear" w:color="auto" w:fill="D8D2C9"/>
          </w:tcPr>
          <w:p>
            <w:pPr>
              <w:jc w:val="right"/>
              <w:ind w:right="38"/>
              <w:spacing w:after="0" w:line="128" w:lineRule="exact"/>
              <w:rPr>
                <w:sz w:val="20"/>
                <w:szCs w:val="20"/>
                <w:color w:val="auto"/>
              </w:rPr>
            </w:pPr>
            <w:r>
              <w:rPr>
                <w:rFonts w:ascii="Arial" w:cs="Arial" w:eastAsia="Arial" w:hAnsi="Arial"/>
                <w:sz w:val="12"/>
                <w:szCs w:val="12"/>
                <w:color w:val="auto"/>
              </w:rPr>
              <w:t>Market price</w:t>
            </w:r>
          </w:p>
        </w:tc>
        <w:tc>
          <w:tcPr>
            <w:tcW w:w="1100" w:type="dxa"/>
            <w:vAlign w:val="bottom"/>
            <w:shd w:val="clear" w:color="auto" w:fill="D8D2C9"/>
          </w:tcPr>
          <w:p>
            <w:pPr>
              <w:jc w:val="right"/>
              <w:ind w:right="38"/>
              <w:spacing w:after="0" w:line="128" w:lineRule="exact"/>
              <w:rPr>
                <w:sz w:val="20"/>
                <w:szCs w:val="20"/>
                <w:color w:val="auto"/>
              </w:rPr>
            </w:pPr>
            <w:r>
              <w:rPr>
                <w:rFonts w:ascii="Arial" w:cs="Arial" w:eastAsia="Arial" w:hAnsi="Arial"/>
                <w:sz w:val="12"/>
                <w:szCs w:val="12"/>
                <w:color w:val="auto"/>
              </w:rPr>
              <w:t>Dividend shares</w:t>
            </w:r>
          </w:p>
        </w:tc>
        <w:tc>
          <w:tcPr>
            <w:tcW w:w="980" w:type="dxa"/>
            <w:vAlign w:val="bottom"/>
            <w:shd w:val="clear" w:color="auto" w:fill="D8D2C9"/>
          </w:tcPr>
          <w:p>
            <w:pPr>
              <w:jc w:val="right"/>
              <w:ind w:right="58"/>
              <w:spacing w:after="0" w:line="128" w:lineRule="exact"/>
              <w:rPr>
                <w:sz w:val="20"/>
                <w:szCs w:val="20"/>
                <w:color w:val="auto"/>
              </w:rPr>
            </w:pPr>
            <w:r>
              <w:rPr>
                <w:rFonts w:ascii="Arial" w:cs="Arial" w:eastAsia="Arial" w:hAnsi="Arial"/>
                <w:sz w:val="12"/>
                <w:szCs w:val="12"/>
                <w:color w:val="auto"/>
              </w:rPr>
              <w:t>Performance-</w:t>
            </w:r>
          </w:p>
        </w:tc>
        <w:tc>
          <w:tcPr>
            <w:tcW w:w="740" w:type="dxa"/>
            <w:vAlign w:val="bottom"/>
            <w:shd w:val="clear" w:color="auto" w:fill="D8D2C9"/>
          </w:tcPr>
          <w:p>
            <w:pPr>
              <w:jc w:val="right"/>
              <w:ind w:right="58"/>
              <w:spacing w:after="0" w:line="128" w:lineRule="exact"/>
              <w:rPr>
                <w:sz w:val="20"/>
                <w:szCs w:val="20"/>
                <w:color w:val="auto"/>
              </w:rPr>
            </w:pPr>
            <w:r>
              <w:rPr>
                <w:rFonts w:ascii="Arial" w:cs="Arial" w:eastAsia="Arial" w:hAnsi="Arial"/>
                <w:sz w:val="12"/>
                <w:szCs w:val="12"/>
                <w:color w:val="auto"/>
              </w:rPr>
              <w:t>Total</w:t>
            </w:r>
          </w:p>
        </w:tc>
        <w:tc>
          <w:tcPr>
            <w:tcW w:w="760" w:type="dxa"/>
            <w:vAlign w:val="bottom"/>
            <w:shd w:val="clear" w:color="auto" w:fill="D8D2C9"/>
          </w:tcPr>
          <w:p>
            <w:pPr>
              <w:jc w:val="right"/>
              <w:ind w:right="58"/>
              <w:spacing w:after="0" w:line="128" w:lineRule="exact"/>
              <w:rPr>
                <w:sz w:val="20"/>
                <w:szCs w:val="20"/>
                <w:color w:val="auto"/>
              </w:rPr>
            </w:pPr>
            <w:r>
              <w:rPr>
                <w:rFonts w:ascii="Arial" w:cs="Arial" w:eastAsia="Arial" w:hAnsi="Arial"/>
                <w:sz w:val="12"/>
                <w:szCs w:val="12"/>
                <w:color w:val="auto"/>
              </w:rPr>
              <w:t>Value of</w:t>
            </w:r>
          </w:p>
        </w:tc>
        <w:tc>
          <w:tcPr>
            <w:tcW w:w="1040" w:type="dxa"/>
            <w:vAlign w:val="bottom"/>
            <w:shd w:val="clear" w:color="auto" w:fill="D8D2C9"/>
          </w:tcPr>
          <w:p>
            <w:pPr>
              <w:jc w:val="right"/>
              <w:spacing w:after="0" w:line="128" w:lineRule="exact"/>
              <w:rPr>
                <w:sz w:val="20"/>
                <w:szCs w:val="20"/>
                <w:color w:val="auto"/>
              </w:rPr>
            </w:pPr>
            <w:r>
              <w:rPr>
                <w:rFonts w:ascii="Arial" w:cs="Arial" w:eastAsia="Arial" w:hAnsi="Arial"/>
                <w:sz w:val="12"/>
                <w:szCs w:val="12"/>
                <w:color w:val="auto"/>
              </w:rPr>
              <w:t>Total number of</w:t>
            </w:r>
          </w:p>
        </w:tc>
        <w:tc>
          <w:tcPr>
            <w:tcW w:w="0" w:type="dxa"/>
            <w:vAlign w:val="bottom"/>
          </w:tcPr>
          <w:p>
            <w:pPr>
              <w:spacing w:after="0"/>
              <w:rPr>
                <w:sz w:val="1"/>
                <w:szCs w:val="1"/>
                <w:color w:val="auto"/>
              </w:rPr>
            </w:pPr>
          </w:p>
        </w:tc>
      </w:tr>
      <w:tr>
        <w:trPr>
          <w:trHeight w:val="133"/>
        </w:trPr>
        <w:tc>
          <w:tcPr>
            <w:tcW w:w="2240" w:type="dxa"/>
            <w:vAlign w:val="bottom"/>
            <w:shd w:val="clear" w:color="auto" w:fill="D8D2C9"/>
          </w:tcPr>
          <w:p>
            <w:pPr>
              <w:spacing w:after="0"/>
              <w:rPr>
                <w:sz w:val="11"/>
                <w:szCs w:val="11"/>
                <w:color w:val="auto"/>
              </w:rPr>
            </w:pPr>
          </w:p>
        </w:tc>
        <w:tc>
          <w:tcPr>
            <w:tcW w:w="126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shares under</w:t>
            </w:r>
          </w:p>
        </w:tc>
        <w:tc>
          <w:tcPr>
            <w:tcW w:w="110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shares</w:t>
            </w:r>
          </w:p>
        </w:tc>
        <w:tc>
          <w:tcPr>
            <w:tcW w:w="112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conditionally</w:t>
            </w:r>
          </w:p>
        </w:tc>
        <w:tc>
          <w:tcPr>
            <w:tcW w:w="108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of deferred</w:t>
            </w:r>
          </w:p>
        </w:tc>
        <w:tc>
          <w:tcPr>
            <w:tcW w:w="110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accrued during</w:t>
            </w:r>
          </w:p>
        </w:tc>
        <w:tc>
          <w:tcPr>
            <w:tcW w:w="980" w:type="dxa"/>
            <w:vAlign w:val="bottom"/>
            <w:shd w:val="clear" w:color="auto" w:fill="D8D2C9"/>
          </w:tcPr>
          <w:p>
            <w:pPr>
              <w:jc w:val="right"/>
              <w:ind w:right="78"/>
              <w:spacing w:after="0" w:line="133" w:lineRule="exact"/>
              <w:rPr>
                <w:sz w:val="20"/>
                <w:szCs w:val="20"/>
                <w:color w:val="auto"/>
              </w:rPr>
            </w:pPr>
            <w:r>
              <w:rPr>
                <w:rFonts w:ascii="Arial" w:cs="Arial" w:eastAsia="Arial" w:hAnsi="Arial"/>
                <w:sz w:val="12"/>
                <w:szCs w:val="12"/>
                <w:color w:val="auto"/>
              </w:rPr>
              <w:t>related</w:t>
            </w:r>
          </w:p>
        </w:tc>
        <w:tc>
          <w:tcPr>
            <w:tcW w:w="74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released/</w:t>
            </w:r>
          </w:p>
        </w:tc>
        <w:tc>
          <w:tcPr>
            <w:tcW w:w="76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shares at</w:t>
            </w:r>
          </w:p>
        </w:tc>
        <w:tc>
          <w:tcPr>
            <w:tcW w:w="104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shares under</w:t>
            </w:r>
          </w:p>
        </w:tc>
        <w:tc>
          <w:tcPr>
            <w:tcW w:w="0" w:type="dxa"/>
            <w:vAlign w:val="bottom"/>
          </w:tcPr>
          <w:p>
            <w:pPr>
              <w:spacing w:after="0"/>
              <w:rPr>
                <w:sz w:val="1"/>
                <w:szCs w:val="1"/>
                <w:color w:val="auto"/>
              </w:rPr>
            </w:pPr>
          </w:p>
        </w:tc>
      </w:tr>
      <w:tr>
        <w:trPr>
          <w:trHeight w:val="133"/>
        </w:trPr>
        <w:tc>
          <w:tcPr>
            <w:tcW w:w="2240" w:type="dxa"/>
            <w:vAlign w:val="bottom"/>
            <w:shd w:val="clear" w:color="auto" w:fill="D8D2C9"/>
          </w:tcPr>
          <w:p>
            <w:pPr>
              <w:spacing w:after="0"/>
              <w:rPr>
                <w:sz w:val="11"/>
                <w:szCs w:val="11"/>
                <w:color w:val="auto"/>
              </w:rPr>
            </w:pPr>
          </w:p>
        </w:tc>
        <w:tc>
          <w:tcPr>
            <w:tcW w:w="126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award as at</w:t>
            </w:r>
          </w:p>
        </w:tc>
        <w:tc>
          <w:tcPr>
            <w:tcW w:w="110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awarded</w:t>
            </w:r>
          </w:p>
        </w:tc>
        <w:tc>
          <w:tcPr>
            <w:tcW w:w="112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awarded</w:t>
            </w:r>
          </w:p>
        </w:tc>
        <w:tc>
          <w:tcPr>
            <w:tcW w:w="108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bonus shares</w:t>
            </w:r>
          </w:p>
        </w:tc>
        <w:tc>
          <w:tcPr>
            <w:tcW w:w="110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the year[C]</w:t>
            </w:r>
          </w:p>
        </w:tc>
        <w:tc>
          <w:tcPr>
            <w:tcW w:w="980" w:type="dxa"/>
            <w:vAlign w:val="bottom"/>
            <w:shd w:val="clear" w:color="auto" w:fill="D8D2C9"/>
          </w:tcPr>
          <w:p>
            <w:pPr>
              <w:jc w:val="right"/>
              <w:ind w:right="78"/>
              <w:spacing w:after="0" w:line="133" w:lineRule="exact"/>
              <w:rPr>
                <w:sz w:val="20"/>
                <w:szCs w:val="20"/>
                <w:color w:val="auto"/>
              </w:rPr>
            </w:pPr>
            <w:r>
              <w:rPr>
                <w:rFonts w:ascii="Arial" w:cs="Arial" w:eastAsia="Arial" w:hAnsi="Arial"/>
                <w:sz w:val="12"/>
                <w:szCs w:val="12"/>
                <w:color w:val="auto"/>
              </w:rPr>
              <w:t>matching</w:t>
            </w:r>
          </w:p>
        </w:tc>
        <w:tc>
          <w:tcPr>
            <w:tcW w:w="74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(lapsed)</w:t>
            </w:r>
          </w:p>
        </w:tc>
        <w:tc>
          <w:tcPr>
            <w:tcW w:w="76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release</w:t>
            </w:r>
          </w:p>
        </w:tc>
        <w:tc>
          <w:tcPr>
            <w:tcW w:w="104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award as at</w:t>
            </w:r>
          </w:p>
        </w:tc>
        <w:tc>
          <w:tcPr>
            <w:tcW w:w="0" w:type="dxa"/>
            <w:vAlign w:val="bottom"/>
          </w:tcPr>
          <w:p>
            <w:pPr>
              <w:spacing w:after="0"/>
              <w:rPr>
                <w:sz w:val="1"/>
                <w:szCs w:val="1"/>
                <w:color w:val="auto"/>
              </w:rPr>
            </w:pPr>
          </w:p>
        </w:tc>
      </w:tr>
      <w:tr>
        <w:trPr>
          <w:trHeight w:val="133"/>
        </w:trPr>
        <w:tc>
          <w:tcPr>
            <w:tcW w:w="2240" w:type="dxa"/>
            <w:vAlign w:val="bottom"/>
            <w:vMerge w:val="restart"/>
            <w:shd w:val="clear" w:color="auto" w:fill="D8D2C9"/>
          </w:tcPr>
          <w:p>
            <w:pPr>
              <w:spacing w:after="0"/>
              <w:rPr>
                <w:sz w:val="20"/>
                <w:szCs w:val="20"/>
                <w:color w:val="auto"/>
              </w:rPr>
            </w:pPr>
            <w:r>
              <w:rPr>
                <w:rFonts w:ascii="Arial" w:cs="Arial" w:eastAsia="Arial" w:hAnsi="Arial"/>
                <w:sz w:val="12"/>
                <w:szCs w:val="12"/>
                <w:color w:val="auto"/>
              </w:rPr>
              <w:t>Awards</w:t>
            </w:r>
            <w:r>
              <w:rPr>
                <w:rFonts w:ascii="Arial" w:cs="Arial" w:eastAsia="Arial" w:hAnsi="Arial"/>
                <w:sz w:val="12"/>
                <w:szCs w:val="12"/>
                <w:b w:val="1"/>
                <w:bCs w:val="1"/>
                <w:color w:val="auto"/>
              </w:rPr>
              <w:t>[A]</w:t>
            </w:r>
          </w:p>
        </w:tc>
        <w:tc>
          <w:tcPr>
            <w:tcW w:w="126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Jan 1, 2007</w:t>
            </w:r>
          </w:p>
        </w:tc>
        <w:tc>
          <w:tcPr>
            <w:tcW w:w="110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during</w:t>
            </w:r>
          </w:p>
        </w:tc>
        <w:tc>
          <w:tcPr>
            <w:tcW w:w="112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during</w:t>
            </w:r>
          </w:p>
        </w:tc>
        <w:tc>
          <w:tcPr>
            <w:tcW w:w="1080" w:type="dxa"/>
            <w:vAlign w:val="bottom"/>
            <w:shd w:val="clear" w:color="auto" w:fill="D8D2C9"/>
          </w:tcPr>
          <w:p>
            <w:pPr>
              <w:jc w:val="right"/>
              <w:ind w:right="38"/>
              <w:spacing w:after="0" w:line="133" w:lineRule="exact"/>
              <w:rPr>
                <w:sz w:val="20"/>
                <w:szCs w:val="20"/>
                <w:color w:val="auto"/>
              </w:rPr>
            </w:pPr>
            <w:r>
              <w:rPr>
                <w:rFonts w:ascii="Arial" w:cs="Arial" w:eastAsia="Arial" w:hAnsi="Arial"/>
                <w:sz w:val="12"/>
                <w:szCs w:val="12"/>
                <w:color w:val="auto"/>
              </w:rPr>
              <w:t>and matching</w:t>
            </w:r>
          </w:p>
        </w:tc>
        <w:tc>
          <w:tcPr>
            <w:tcW w:w="1100" w:type="dxa"/>
            <w:vAlign w:val="bottom"/>
            <w:shd w:val="clear" w:color="auto" w:fill="D8D2C9"/>
          </w:tcPr>
          <w:p>
            <w:pPr>
              <w:spacing w:after="0"/>
              <w:rPr>
                <w:sz w:val="11"/>
                <w:szCs w:val="11"/>
                <w:color w:val="auto"/>
              </w:rPr>
            </w:pPr>
          </w:p>
        </w:tc>
        <w:tc>
          <w:tcPr>
            <w:tcW w:w="980" w:type="dxa"/>
            <w:vAlign w:val="bottom"/>
            <w:shd w:val="clear" w:color="auto" w:fill="D8D2C9"/>
          </w:tcPr>
          <w:p>
            <w:pPr>
              <w:jc w:val="right"/>
              <w:ind w:right="78"/>
              <w:spacing w:after="0" w:line="133" w:lineRule="exact"/>
              <w:rPr>
                <w:sz w:val="20"/>
                <w:szCs w:val="20"/>
                <w:color w:val="auto"/>
              </w:rPr>
            </w:pPr>
            <w:r>
              <w:rPr>
                <w:rFonts w:ascii="Arial" w:cs="Arial" w:eastAsia="Arial" w:hAnsi="Arial"/>
                <w:sz w:val="12"/>
                <w:szCs w:val="12"/>
                <w:color w:val="auto"/>
              </w:rPr>
              <w:t>shares</w:t>
            </w:r>
          </w:p>
        </w:tc>
        <w:tc>
          <w:tcPr>
            <w:tcW w:w="740" w:type="dxa"/>
            <w:vAlign w:val="bottom"/>
            <w:shd w:val="clear" w:color="auto" w:fill="D8D2C9"/>
          </w:tcPr>
          <w:p>
            <w:pPr>
              <w:jc w:val="right"/>
              <w:ind w:right="58"/>
              <w:spacing w:after="0" w:line="133" w:lineRule="exact"/>
              <w:rPr>
                <w:sz w:val="20"/>
                <w:szCs w:val="20"/>
                <w:color w:val="auto"/>
              </w:rPr>
            </w:pPr>
            <w:r>
              <w:rPr>
                <w:rFonts w:ascii="Arial" w:cs="Arial" w:eastAsia="Arial" w:hAnsi="Arial"/>
                <w:sz w:val="12"/>
                <w:szCs w:val="12"/>
                <w:color w:val="auto"/>
              </w:rPr>
              <w:t>during</w:t>
            </w:r>
          </w:p>
        </w:tc>
        <w:tc>
          <w:tcPr>
            <w:tcW w:w="760" w:type="dxa"/>
            <w:vAlign w:val="bottom"/>
            <w:shd w:val="clear" w:color="auto" w:fill="D8D2C9"/>
          </w:tcPr>
          <w:p>
            <w:pPr>
              <w:spacing w:after="0"/>
              <w:rPr>
                <w:sz w:val="11"/>
                <w:szCs w:val="11"/>
                <w:color w:val="auto"/>
              </w:rPr>
            </w:pPr>
          </w:p>
        </w:tc>
        <w:tc>
          <w:tcPr>
            <w:tcW w:w="1040" w:type="dxa"/>
            <w:vAlign w:val="bottom"/>
            <w:shd w:val="clear" w:color="auto" w:fill="D8D2C9"/>
          </w:tcPr>
          <w:p>
            <w:pPr>
              <w:jc w:val="right"/>
              <w:spacing w:after="0" w:line="133" w:lineRule="exact"/>
              <w:rPr>
                <w:sz w:val="20"/>
                <w:szCs w:val="20"/>
                <w:color w:val="auto"/>
              </w:rPr>
            </w:pPr>
            <w:r>
              <w:rPr>
                <w:rFonts w:ascii="Arial" w:cs="Arial" w:eastAsia="Arial" w:hAnsi="Arial"/>
                <w:sz w:val="12"/>
                <w:szCs w:val="12"/>
                <w:color w:val="auto"/>
              </w:rPr>
              <w:t>Dec 31, 2007</w:t>
            </w:r>
          </w:p>
        </w:tc>
        <w:tc>
          <w:tcPr>
            <w:tcW w:w="0" w:type="dxa"/>
            <w:vAlign w:val="bottom"/>
          </w:tcPr>
          <w:p>
            <w:pPr>
              <w:spacing w:after="0"/>
              <w:rPr>
                <w:sz w:val="1"/>
                <w:szCs w:val="1"/>
                <w:color w:val="auto"/>
              </w:rPr>
            </w:pPr>
          </w:p>
        </w:tc>
      </w:tr>
      <w:tr>
        <w:trPr>
          <w:trHeight w:val="139"/>
        </w:trPr>
        <w:tc>
          <w:tcPr>
            <w:tcW w:w="2240" w:type="dxa"/>
            <w:vAlign w:val="bottom"/>
            <w:vMerge w:val="continue"/>
            <w:shd w:val="clear" w:color="auto" w:fill="D8D2C9"/>
          </w:tcPr>
          <w:p>
            <w:pPr>
              <w:spacing w:after="0"/>
              <w:rPr>
                <w:sz w:val="12"/>
                <w:szCs w:val="12"/>
                <w:color w:val="auto"/>
              </w:rPr>
            </w:pPr>
          </w:p>
        </w:tc>
        <w:tc>
          <w:tcPr>
            <w:tcW w:w="1260" w:type="dxa"/>
            <w:vAlign w:val="bottom"/>
            <w:shd w:val="clear" w:color="auto" w:fill="D8D2C9"/>
          </w:tcPr>
          <w:p>
            <w:pPr>
              <w:spacing w:after="0"/>
              <w:rPr>
                <w:sz w:val="12"/>
                <w:szCs w:val="12"/>
                <w:color w:val="auto"/>
              </w:rPr>
            </w:pPr>
          </w:p>
        </w:tc>
        <w:tc>
          <w:tcPr>
            <w:tcW w:w="110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the year[B]</w:t>
            </w:r>
          </w:p>
        </w:tc>
        <w:tc>
          <w:tcPr>
            <w:tcW w:w="1120" w:type="dxa"/>
            <w:vAlign w:val="bottom"/>
            <w:shd w:val="clear" w:color="auto" w:fill="D8D2C9"/>
          </w:tcPr>
          <w:p>
            <w:pPr>
              <w:jc w:val="right"/>
              <w:ind w:right="58"/>
              <w:spacing w:after="0"/>
              <w:rPr>
                <w:sz w:val="20"/>
                <w:szCs w:val="20"/>
                <w:color w:val="auto"/>
              </w:rPr>
            </w:pPr>
            <w:r>
              <w:rPr>
                <w:rFonts w:ascii="Arial" w:cs="Arial" w:eastAsia="Arial" w:hAnsi="Arial"/>
                <w:sz w:val="12"/>
                <w:szCs w:val="12"/>
                <w:color w:val="auto"/>
              </w:rPr>
              <w:t>the year</w:t>
            </w:r>
          </w:p>
        </w:tc>
        <w:tc>
          <w:tcPr>
            <w:tcW w:w="108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shares at award</w:t>
            </w:r>
          </w:p>
        </w:tc>
        <w:tc>
          <w:tcPr>
            <w:tcW w:w="1100" w:type="dxa"/>
            <w:vAlign w:val="bottom"/>
            <w:shd w:val="clear" w:color="auto" w:fill="D8D2C9"/>
          </w:tcPr>
          <w:p>
            <w:pPr>
              <w:spacing w:after="0"/>
              <w:rPr>
                <w:sz w:val="12"/>
                <w:szCs w:val="12"/>
                <w:color w:val="auto"/>
              </w:rPr>
            </w:pPr>
          </w:p>
        </w:tc>
        <w:tc>
          <w:tcPr>
            <w:tcW w:w="980" w:type="dxa"/>
            <w:vAlign w:val="bottom"/>
            <w:shd w:val="clear" w:color="auto" w:fill="D8D2C9"/>
          </w:tcPr>
          <w:p>
            <w:pPr>
              <w:jc w:val="right"/>
              <w:ind w:right="78"/>
              <w:spacing w:after="0"/>
              <w:rPr>
                <w:sz w:val="20"/>
                <w:szCs w:val="20"/>
                <w:color w:val="auto"/>
              </w:rPr>
            </w:pPr>
            <w:r>
              <w:rPr>
                <w:rFonts w:ascii="Arial" w:cs="Arial" w:eastAsia="Arial" w:hAnsi="Arial"/>
                <w:sz w:val="12"/>
                <w:szCs w:val="12"/>
                <w:color w:val="auto"/>
              </w:rPr>
              <w:t>released</w:t>
            </w:r>
          </w:p>
        </w:tc>
        <w:tc>
          <w:tcPr>
            <w:tcW w:w="740" w:type="dxa"/>
            <w:vAlign w:val="bottom"/>
            <w:shd w:val="clear" w:color="auto" w:fill="D8D2C9"/>
          </w:tcPr>
          <w:p>
            <w:pPr>
              <w:jc w:val="right"/>
              <w:ind w:right="58"/>
              <w:spacing w:after="0"/>
              <w:rPr>
                <w:sz w:val="20"/>
                <w:szCs w:val="20"/>
                <w:color w:val="auto"/>
              </w:rPr>
            </w:pPr>
            <w:r>
              <w:rPr>
                <w:rFonts w:ascii="Arial" w:cs="Arial" w:eastAsia="Arial" w:hAnsi="Arial"/>
                <w:sz w:val="12"/>
                <w:szCs w:val="12"/>
                <w:color w:val="auto"/>
              </w:rPr>
              <w:t>the year</w:t>
            </w:r>
          </w:p>
        </w:tc>
        <w:tc>
          <w:tcPr>
            <w:tcW w:w="760" w:type="dxa"/>
            <w:vAlign w:val="bottom"/>
            <w:shd w:val="clear" w:color="auto" w:fill="D8D2C9"/>
          </w:tcPr>
          <w:p>
            <w:pPr>
              <w:spacing w:after="0"/>
              <w:rPr>
                <w:sz w:val="12"/>
                <w:szCs w:val="12"/>
                <w:color w:val="auto"/>
              </w:rPr>
            </w:pPr>
          </w:p>
        </w:tc>
        <w:tc>
          <w:tcPr>
            <w:tcW w:w="1040" w:type="dxa"/>
            <w:vAlign w:val="bottom"/>
            <w:shd w:val="clear" w:color="auto" w:fill="D8D2C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2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Royal Dutch Shell plc Class A shares</w:t>
            </w:r>
          </w:p>
        </w:tc>
        <w:tc>
          <w:tcPr>
            <w:tcW w:w="12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Jeroen van der Veer</w:t>
            </w: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1260" w:type="dxa"/>
            <w:vAlign w:val="bottom"/>
          </w:tcPr>
          <w:p>
            <w:pPr>
              <w:spacing w:after="0"/>
              <w:rPr>
                <w:sz w:val="11"/>
                <w:szCs w:val="11"/>
                <w:color w:val="auto"/>
              </w:rPr>
            </w:pP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39,050</w:t>
            </w:r>
          </w:p>
        </w:tc>
        <w:tc>
          <w:tcPr>
            <w:tcW w:w="11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9,762</w:t>
            </w:r>
          </w:p>
        </w:tc>
        <w:tc>
          <w:tcPr>
            <w:tcW w:w="10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26.12</w:t>
            </w:r>
          </w:p>
        </w:tc>
        <w:tc>
          <w:tcPr>
            <w:tcW w:w="11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1,864</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50,676</w:t>
            </w: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45,625</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27.32</w:t>
            </w:r>
          </w:p>
        </w:tc>
        <w:tc>
          <w:tcPr>
            <w:tcW w:w="11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1,742</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47,367</w:t>
            </w:r>
          </w:p>
        </w:tc>
        <w:tc>
          <w:tcPr>
            <w:tcW w:w="0" w:type="dxa"/>
            <w:vAlign w:val="bottom"/>
          </w:tcPr>
          <w:p>
            <w:pPr>
              <w:spacing w:after="0"/>
              <w:rPr>
                <w:sz w:val="1"/>
                <w:szCs w:val="1"/>
                <w:color w:val="auto"/>
              </w:rPr>
            </w:pPr>
          </w:p>
        </w:tc>
      </w:tr>
      <w:tr>
        <w:trPr>
          <w:trHeight w:val="139"/>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 to 2007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34,497</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25.62</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1,317</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35,814</w:t>
            </w:r>
          </w:p>
        </w:tc>
        <w:tc>
          <w:tcPr>
            <w:tcW w:w="0" w:type="dxa"/>
            <w:vAlign w:val="bottom"/>
          </w:tcPr>
          <w:p>
            <w:pPr>
              <w:spacing w:after="0"/>
              <w:rPr>
                <w:sz w:val="1"/>
                <w:szCs w:val="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Rob Routs</w:t>
            </w: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2007 to 2009</w:t>
            </w:r>
          </w:p>
        </w:tc>
        <w:tc>
          <w:tcPr>
            <w:tcW w:w="1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17,550</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4,387</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26.12</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838</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22,775</w:t>
            </w:r>
          </w:p>
        </w:tc>
        <w:tc>
          <w:tcPr>
            <w:tcW w:w="0" w:type="dxa"/>
            <w:vAlign w:val="bottom"/>
          </w:tcPr>
          <w:p>
            <w:pPr>
              <w:spacing w:after="0"/>
              <w:rPr>
                <w:sz w:val="1"/>
                <w:szCs w:val="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Peter Voser</w:t>
            </w: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1260" w:type="dxa"/>
            <w:vAlign w:val="bottom"/>
          </w:tcPr>
          <w:p>
            <w:pPr>
              <w:spacing w:after="0"/>
              <w:rPr>
                <w:sz w:val="11"/>
                <w:szCs w:val="11"/>
                <w:color w:val="auto"/>
              </w:rPr>
            </w:pP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21,477</w:t>
            </w:r>
          </w:p>
        </w:tc>
        <w:tc>
          <w:tcPr>
            <w:tcW w:w="11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5,369</w:t>
            </w:r>
          </w:p>
        </w:tc>
        <w:tc>
          <w:tcPr>
            <w:tcW w:w="10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26.12</w:t>
            </w:r>
          </w:p>
        </w:tc>
        <w:tc>
          <w:tcPr>
            <w:tcW w:w="11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1,025</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27,871</w:t>
            </w:r>
          </w:p>
        </w:tc>
        <w:tc>
          <w:tcPr>
            <w:tcW w:w="0" w:type="dxa"/>
            <w:vAlign w:val="bottom"/>
          </w:tcPr>
          <w:p>
            <w:pPr>
              <w:spacing w:after="0"/>
              <w:rPr>
                <w:sz w:val="1"/>
                <w:szCs w:val="1"/>
                <w:color w:val="auto"/>
              </w:rPr>
            </w:pPr>
          </w:p>
        </w:tc>
      </w:tr>
      <w:tr>
        <w:trPr>
          <w:trHeight w:val="139"/>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2006 to 2008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12,509</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27.32</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477</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12,986</w:t>
            </w:r>
          </w:p>
        </w:tc>
        <w:tc>
          <w:tcPr>
            <w:tcW w:w="0" w:type="dxa"/>
            <w:vAlign w:val="bottom"/>
          </w:tcPr>
          <w:p>
            <w:pPr>
              <w:spacing w:after="0"/>
              <w:rPr>
                <w:sz w:val="1"/>
                <w:szCs w:val="1"/>
                <w:color w:val="auto"/>
              </w:rPr>
            </w:pPr>
          </w:p>
        </w:tc>
      </w:tr>
      <w:tr>
        <w:trPr>
          <w:trHeight w:val="140"/>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Royal Dutch Shell plc Class B shares</w:t>
            </w:r>
          </w:p>
        </w:tc>
        <w:tc>
          <w:tcPr>
            <w:tcW w:w="1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Malcolm Brinded</w:t>
            </w: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2"/>
                <w:szCs w:val="12"/>
                <w:color w:val="auto"/>
              </w:rPr>
              <w:t>2007 to 2009</w:t>
            </w:r>
          </w:p>
        </w:tc>
        <w:tc>
          <w:tcPr>
            <w:tcW w:w="1260" w:type="dxa"/>
            <w:vAlign w:val="bottom"/>
          </w:tcPr>
          <w:p>
            <w:pPr>
              <w:spacing w:after="0"/>
              <w:rPr>
                <w:sz w:val="11"/>
                <w:szCs w:val="11"/>
                <w:color w:val="auto"/>
              </w:rPr>
            </w:pP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25,017</w:t>
            </w:r>
          </w:p>
        </w:tc>
        <w:tc>
          <w:tcPr>
            <w:tcW w:w="11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6,254</w:t>
            </w:r>
          </w:p>
        </w:tc>
        <w:tc>
          <w:tcPr>
            <w:tcW w:w="10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17.07</w:t>
            </w:r>
          </w:p>
        </w:tc>
        <w:tc>
          <w:tcPr>
            <w:tcW w:w="11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1,176</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32,447</w:t>
            </w:r>
          </w:p>
        </w:tc>
        <w:tc>
          <w:tcPr>
            <w:tcW w:w="0" w:type="dxa"/>
            <w:vAlign w:val="bottom"/>
          </w:tcPr>
          <w:p>
            <w:pPr>
              <w:spacing w:after="0"/>
              <w:rPr>
                <w:sz w:val="1"/>
                <w:szCs w:val="1"/>
                <w:color w:val="auto"/>
              </w:rPr>
            </w:pPr>
          </w:p>
        </w:tc>
      </w:tr>
      <w:tr>
        <w:trPr>
          <w:trHeight w:val="133"/>
        </w:trPr>
        <w:tc>
          <w:tcPr>
            <w:tcW w:w="2240" w:type="dxa"/>
            <w:vAlign w:val="bottom"/>
          </w:tcPr>
          <w:p>
            <w:pPr>
              <w:spacing w:after="0" w:line="133" w:lineRule="exact"/>
              <w:rPr>
                <w:sz w:val="20"/>
                <w:szCs w:val="20"/>
                <w:color w:val="auto"/>
              </w:rPr>
            </w:pPr>
            <w:r>
              <w:rPr>
                <w:rFonts w:ascii="Arial" w:cs="Arial" w:eastAsia="Arial" w:hAnsi="Arial"/>
                <w:sz w:val="12"/>
                <w:szCs w:val="12"/>
                <w:color w:val="auto"/>
              </w:rPr>
              <w:t>2006 to 2008</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29,637</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19.54</w:t>
            </w:r>
          </w:p>
        </w:tc>
        <w:tc>
          <w:tcPr>
            <w:tcW w:w="11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1,114</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30,751</w:t>
            </w:r>
          </w:p>
        </w:tc>
        <w:tc>
          <w:tcPr>
            <w:tcW w:w="0" w:type="dxa"/>
            <w:vAlign w:val="bottom"/>
          </w:tcPr>
          <w:p>
            <w:pPr>
              <w:spacing w:after="0"/>
              <w:rPr>
                <w:sz w:val="1"/>
                <w:szCs w:val="1"/>
                <w:color w:val="auto"/>
              </w:rPr>
            </w:pPr>
          </w:p>
        </w:tc>
      </w:tr>
      <w:tr>
        <w:trPr>
          <w:trHeight w:val="139"/>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2005 to 2007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22,546</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18.40</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847</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23,393</w:t>
            </w:r>
          </w:p>
        </w:tc>
        <w:tc>
          <w:tcPr>
            <w:tcW w:w="0" w:type="dxa"/>
            <w:vAlign w:val="bottom"/>
          </w:tcPr>
          <w:p>
            <w:pPr>
              <w:spacing w:after="0"/>
              <w:rPr>
                <w:sz w:val="1"/>
                <w:szCs w:val="1"/>
                <w:color w:val="auto"/>
              </w:rPr>
            </w:pPr>
          </w:p>
        </w:tc>
      </w:tr>
      <w:tr>
        <w:trPr>
          <w:trHeight w:val="140"/>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Royal Dutch Shell plc Class A ADRs</w:t>
            </w:r>
          </w:p>
        </w:tc>
        <w:tc>
          <w:tcPr>
            <w:tcW w:w="1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240" w:type="dxa"/>
            <w:vAlign w:val="bottom"/>
          </w:tcPr>
          <w:p>
            <w:pPr>
              <w:spacing w:after="0" w:line="134" w:lineRule="exact"/>
              <w:rPr>
                <w:sz w:val="20"/>
                <w:szCs w:val="20"/>
                <w:color w:val="auto"/>
              </w:rPr>
            </w:pPr>
            <w:r>
              <w:rPr>
                <w:rFonts w:ascii="Arial" w:cs="Arial" w:eastAsia="Arial" w:hAnsi="Arial"/>
                <w:sz w:val="12"/>
                <w:szCs w:val="12"/>
                <w:b w:val="1"/>
                <w:bCs w:val="1"/>
                <w:color w:val="auto"/>
              </w:rPr>
              <w:t>Linda Cook</w:t>
            </w:r>
          </w:p>
        </w:tc>
        <w:tc>
          <w:tcPr>
            <w:tcW w:w="1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2007 to 2009</w:t>
            </w:r>
          </w:p>
        </w:tc>
        <w:tc>
          <w:tcPr>
            <w:tcW w:w="1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10,740</w:t>
            </w:r>
          </w:p>
        </w:tc>
        <w:tc>
          <w:tcPr>
            <w:tcW w:w="11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2,685</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68.02</w:t>
            </w:r>
          </w:p>
        </w:tc>
        <w:tc>
          <w:tcPr>
            <w:tcW w:w="11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507</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13,932</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80" w:hanging="273"/>
        <w:spacing w:after="0"/>
        <w:tabs>
          <w:tab w:leader="none" w:pos="2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Awards made in 2005 and 2006 refer to the portion of the 2004 and 2005 annual bonus, respectively, which was deferred and the related accrued dividends and matching shares.</w:t>
      </w:r>
    </w:p>
    <w:p>
      <w:pPr>
        <w:ind w:left="280" w:right="220" w:hanging="273"/>
        <w:spacing w:after="0" w:line="231" w:lineRule="auto"/>
        <w:tabs>
          <w:tab w:leader="none" w:pos="2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Representing the proportion of the annual bonus that has been deferred and converted into notional share entitlements (deferred bonus shares), in which there is no beneficial ownership. The value of these deferred bonus shares is also included in the annual bonus figures in the Earnings of Executive Directors table on page 96.</w:t>
      </w:r>
    </w:p>
    <w:p>
      <w:pPr>
        <w:ind w:left="280" w:hanging="273"/>
        <w:spacing w:after="0"/>
        <w:tabs>
          <w:tab w:leader="none" w:pos="2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Representing dividends paid during the year on the number of shares equal to the deferred bonus shares awarded, and also matching shares on those dividend shares.</w:t>
      </w:r>
    </w:p>
    <w:p>
      <w:pPr>
        <w:spacing w:after="0" w:line="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Deferred bonus share awards resulting from the deferral of their 2007 bonuses were made on February 1, 2008. Jeroen van der Veer, Malcolm Brinded and Linda Cook elected to defer 50%, Rob Routs 40% and Peter Voser 25% of their bonuses, respectively. These elections resulted in share awards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220" w:type="dxa"/>
            <w:vAlign w:val="bottom"/>
            <w:shd w:val="clear" w:color="auto" w:fill="C1D72E"/>
          </w:tcPr>
          <w:p>
            <w:pPr>
              <w:spacing w:after="0"/>
              <w:rPr>
                <w:sz w:val="11"/>
                <w:szCs w:val="11"/>
                <w:color w:val="auto"/>
              </w:rPr>
            </w:pPr>
          </w:p>
        </w:tc>
        <w:tc>
          <w:tcPr>
            <w:tcW w:w="1640" w:type="dxa"/>
            <w:vAlign w:val="bottom"/>
            <w:shd w:val="clear" w:color="auto" w:fill="C1D72E"/>
          </w:tcPr>
          <w:p>
            <w:pPr>
              <w:spacing w:after="0"/>
              <w:rPr>
                <w:sz w:val="11"/>
                <w:szCs w:val="11"/>
                <w:color w:val="auto"/>
              </w:rPr>
            </w:pPr>
          </w:p>
        </w:tc>
        <w:tc>
          <w:tcPr>
            <w:tcW w:w="1240" w:type="dxa"/>
            <w:vAlign w:val="bottom"/>
            <w:shd w:val="clear" w:color="auto" w:fill="C1D72E"/>
          </w:tcPr>
          <w:p>
            <w:pPr>
              <w:spacing w:after="0"/>
              <w:rPr>
                <w:sz w:val="11"/>
                <w:szCs w:val="11"/>
                <w:color w:val="auto"/>
              </w:rPr>
            </w:pPr>
          </w:p>
        </w:tc>
        <w:tc>
          <w:tcPr>
            <w:tcW w:w="1320" w:type="dxa"/>
            <w:vAlign w:val="bottom"/>
            <w:shd w:val="clear" w:color="auto" w:fill="C1D72E"/>
          </w:tcPr>
          <w:p>
            <w:pPr>
              <w:spacing w:after="0"/>
              <w:rPr>
                <w:sz w:val="11"/>
                <w:szCs w:val="11"/>
                <w:color w:val="auto"/>
              </w:rPr>
            </w:pPr>
          </w:p>
        </w:tc>
      </w:tr>
      <w:tr>
        <w:trPr>
          <w:trHeight w:val="127"/>
        </w:trPr>
        <w:tc>
          <w:tcPr>
            <w:tcW w:w="7220" w:type="dxa"/>
            <w:vAlign w:val="bottom"/>
            <w:shd w:val="clear" w:color="auto" w:fill="D8D2C9"/>
          </w:tcPr>
          <w:p>
            <w:pPr>
              <w:spacing w:after="0"/>
              <w:rPr>
                <w:sz w:val="11"/>
                <w:szCs w:val="11"/>
                <w:color w:val="auto"/>
              </w:rPr>
            </w:pPr>
          </w:p>
        </w:tc>
        <w:tc>
          <w:tcPr>
            <w:tcW w:w="1640" w:type="dxa"/>
            <w:vAlign w:val="bottom"/>
            <w:shd w:val="clear" w:color="auto" w:fill="D8D2C9"/>
          </w:tcPr>
          <w:p>
            <w:pPr>
              <w:jc w:val="right"/>
              <w:ind w:right="358"/>
              <w:spacing w:after="0" w:line="128" w:lineRule="exact"/>
              <w:rPr>
                <w:sz w:val="20"/>
                <w:szCs w:val="20"/>
                <w:color w:val="auto"/>
              </w:rPr>
            </w:pPr>
            <w:r>
              <w:rPr>
                <w:rFonts w:ascii="Arial" w:cs="Arial" w:eastAsia="Arial" w:hAnsi="Arial"/>
                <w:sz w:val="12"/>
                <w:szCs w:val="12"/>
                <w:color w:val="auto"/>
              </w:rPr>
              <w:t>Deferred</w:t>
            </w:r>
          </w:p>
        </w:tc>
        <w:tc>
          <w:tcPr>
            <w:tcW w:w="1240" w:type="dxa"/>
            <w:vAlign w:val="bottom"/>
            <w:shd w:val="clear" w:color="auto" w:fill="D8D2C9"/>
          </w:tcPr>
          <w:p>
            <w:pPr>
              <w:jc w:val="right"/>
              <w:ind w:right="278"/>
              <w:spacing w:after="0" w:line="128" w:lineRule="exact"/>
              <w:rPr>
                <w:sz w:val="20"/>
                <w:szCs w:val="20"/>
                <w:color w:val="auto"/>
              </w:rPr>
            </w:pPr>
            <w:r>
              <w:rPr>
                <w:rFonts w:ascii="Arial" w:cs="Arial" w:eastAsia="Arial" w:hAnsi="Arial"/>
                <w:sz w:val="12"/>
                <w:szCs w:val="12"/>
                <w:color w:val="auto"/>
              </w:rPr>
              <w:t>Matching</w:t>
            </w:r>
          </w:p>
        </w:tc>
        <w:tc>
          <w:tcPr>
            <w:tcW w:w="1320" w:type="dxa"/>
            <w:vAlign w:val="bottom"/>
            <w:shd w:val="clear" w:color="auto" w:fill="D8D2C9"/>
          </w:tcPr>
          <w:p>
            <w:pPr>
              <w:jc w:val="right"/>
              <w:ind w:right="38"/>
              <w:spacing w:after="0" w:line="128" w:lineRule="exact"/>
              <w:rPr>
                <w:sz w:val="20"/>
                <w:szCs w:val="20"/>
                <w:color w:val="auto"/>
              </w:rPr>
            </w:pPr>
            <w:r>
              <w:rPr>
                <w:rFonts w:ascii="Arial" w:cs="Arial" w:eastAsia="Arial" w:hAnsi="Arial"/>
                <w:sz w:val="12"/>
                <w:szCs w:val="12"/>
                <w:color w:val="auto"/>
              </w:rPr>
              <w:t>Total number of</w:t>
            </w:r>
          </w:p>
        </w:tc>
      </w:tr>
      <w:tr>
        <w:trPr>
          <w:trHeight w:val="139"/>
        </w:trPr>
        <w:tc>
          <w:tcPr>
            <w:tcW w:w="7220" w:type="dxa"/>
            <w:vAlign w:val="bottom"/>
            <w:shd w:val="clear" w:color="auto" w:fill="D8D2C9"/>
          </w:tcPr>
          <w:p>
            <w:pPr>
              <w:spacing w:after="0"/>
              <w:rPr>
                <w:sz w:val="12"/>
                <w:szCs w:val="12"/>
                <w:color w:val="auto"/>
              </w:rPr>
            </w:pPr>
          </w:p>
        </w:tc>
        <w:tc>
          <w:tcPr>
            <w:tcW w:w="1640" w:type="dxa"/>
            <w:vAlign w:val="bottom"/>
            <w:shd w:val="clear" w:color="auto" w:fill="D8D2C9"/>
          </w:tcPr>
          <w:p>
            <w:pPr>
              <w:jc w:val="right"/>
              <w:ind w:right="358"/>
              <w:spacing w:after="0"/>
              <w:rPr>
                <w:sz w:val="20"/>
                <w:szCs w:val="20"/>
                <w:color w:val="auto"/>
              </w:rPr>
            </w:pPr>
            <w:r>
              <w:rPr>
                <w:rFonts w:ascii="Arial" w:cs="Arial" w:eastAsia="Arial" w:hAnsi="Arial"/>
                <w:sz w:val="12"/>
                <w:szCs w:val="12"/>
                <w:color w:val="auto"/>
              </w:rPr>
              <w:t>shares</w:t>
            </w:r>
          </w:p>
        </w:tc>
        <w:tc>
          <w:tcPr>
            <w:tcW w:w="124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shares</w:t>
            </w:r>
          </w:p>
        </w:tc>
        <w:tc>
          <w:tcPr>
            <w:tcW w:w="132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shares awarded</w:t>
            </w:r>
          </w:p>
        </w:tc>
      </w:tr>
      <w:tr>
        <w:trPr>
          <w:trHeight w:val="113"/>
        </w:trPr>
        <w:tc>
          <w:tcPr>
            <w:tcW w:w="7220" w:type="dxa"/>
            <w:vAlign w:val="bottom"/>
          </w:tcPr>
          <w:p>
            <w:pPr>
              <w:spacing w:after="0" w:line="114" w:lineRule="exact"/>
              <w:rPr>
                <w:sz w:val="20"/>
                <w:szCs w:val="20"/>
                <w:color w:val="auto"/>
              </w:rPr>
            </w:pPr>
            <w:r>
              <w:rPr>
                <w:rFonts w:ascii="Arial" w:cs="Arial" w:eastAsia="Arial" w:hAnsi="Arial"/>
                <w:sz w:val="12"/>
                <w:szCs w:val="12"/>
                <w:color w:val="auto"/>
              </w:rPr>
              <w:t>Jeroen van der Veer</w:t>
            </w:r>
            <w:r>
              <w:rPr>
                <w:rFonts w:ascii="Arial" w:cs="Arial" w:eastAsia="Arial" w:hAnsi="Arial"/>
                <w:sz w:val="12"/>
                <w:szCs w:val="12"/>
                <w:b w:val="1"/>
                <w:bCs w:val="1"/>
                <w:color w:val="auto"/>
              </w:rPr>
              <w:t>[A]</w:t>
            </w:r>
          </w:p>
        </w:tc>
        <w:tc>
          <w:tcPr>
            <w:tcW w:w="1640" w:type="dxa"/>
            <w:vAlign w:val="bottom"/>
          </w:tcPr>
          <w:p>
            <w:pPr>
              <w:jc w:val="right"/>
              <w:ind w:right="358"/>
              <w:spacing w:after="0" w:line="114" w:lineRule="exact"/>
              <w:rPr>
                <w:sz w:val="20"/>
                <w:szCs w:val="20"/>
                <w:color w:val="auto"/>
              </w:rPr>
            </w:pPr>
            <w:r>
              <w:rPr>
                <w:rFonts w:ascii="Arial" w:cs="Arial" w:eastAsia="Arial" w:hAnsi="Arial"/>
                <w:sz w:val="12"/>
                <w:szCs w:val="12"/>
                <w:color w:val="auto"/>
              </w:rPr>
              <w:t>60,200</w:t>
            </w:r>
          </w:p>
        </w:tc>
        <w:tc>
          <w:tcPr>
            <w:tcW w:w="1240" w:type="dxa"/>
            <w:vAlign w:val="bottom"/>
          </w:tcPr>
          <w:p>
            <w:pPr>
              <w:jc w:val="right"/>
              <w:ind w:right="258"/>
              <w:spacing w:after="0" w:line="114" w:lineRule="exact"/>
              <w:rPr>
                <w:sz w:val="20"/>
                <w:szCs w:val="20"/>
                <w:color w:val="auto"/>
              </w:rPr>
            </w:pPr>
            <w:r>
              <w:rPr>
                <w:rFonts w:ascii="Arial" w:cs="Arial" w:eastAsia="Arial" w:hAnsi="Arial"/>
                <w:sz w:val="12"/>
                <w:szCs w:val="12"/>
                <w:color w:val="auto"/>
              </w:rPr>
              <w:t>15,050</w:t>
            </w:r>
          </w:p>
        </w:tc>
        <w:tc>
          <w:tcPr>
            <w:tcW w:w="1320" w:type="dxa"/>
            <w:vAlign w:val="bottom"/>
          </w:tcPr>
          <w:p>
            <w:pPr>
              <w:jc w:val="right"/>
              <w:ind w:right="38"/>
              <w:spacing w:after="0" w:line="114" w:lineRule="exact"/>
              <w:rPr>
                <w:sz w:val="20"/>
                <w:szCs w:val="20"/>
                <w:color w:val="auto"/>
              </w:rPr>
            </w:pPr>
            <w:r>
              <w:rPr>
                <w:rFonts w:ascii="Arial" w:cs="Arial" w:eastAsia="Arial" w:hAnsi="Arial"/>
                <w:sz w:val="12"/>
                <w:szCs w:val="12"/>
                <w:color w:val="auto"/>
              </w:rPr>
              <w:t>75,250</w:t>
            </w:r>
          </w:p>
        </w:tc>
      </w:tr>
      <w:tr>
        <w:trPr>
          <w:trHeight w:val="133"/>
        </w:trPr>
        <w:tc>
          <w:tcPr>
            <w:tcW w:w="7220" w:type="dxa"/>
            <w:vAlign w:val="bottom"/>
          </w:tcPr>
          <w:p>
            <w:pPr>
              <w:spacing w:after="0" w:line="133" w:lineRule="exact"/>
              <w:rPr>
                <w:sz w:val="20"/>
                <w:szCs w:val="20"/>
                <w:color w:val="auto"/>
              </w:rPr>
            </w:pPr>
            <w:r>
              <w:rPr>
                <w:rFonts w:ascii="Arial" w:cs="Arial" w:eastAsia="Arial" w:hAnsi="Arial"/>
                <w:sz w:val="12"/>
                <w:szCs w:val="12"/>
                <w:color w:val="auto"/>
              </w:rPr>
              <w:t>Malcolm Brinded</w:t>
            </w:r>
            <w:r>
              <w:rPr>
                <w:rFonts w:ascii="Arial" w:cs="Arial" w:eastAsia="Arial" w:hAnsi="Arial"/>
                <w:sz w:val="12"/>
                <w:szCs w:val="12"/>
                <w:b w:val="1"/>
                <w:bCs w:val="1"/>
                <w:color w:val="auto"/>
              </w:rPr>
              <w:t>[B]</w:t>
            </w:r>
          </w:p>
        </w:tc>
        <w:tc>
          <w:tcPr>
            <w:tcW w:w="16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34,022</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8,505</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42,527</w:t>
            </w:r>
          </w:p>
        </w:tc>
      </w:tr>
      <w:tr>
        <w:trPr>
          <w:trHeight w:val="133"/>
        </w:trPr>
        <w:tc>
          <w:tcPr>
            <w:tcW w:w="7220" w:type="dxa"/>
            <w:vAlign w:val="bottom"/>
          </w:tcPr>
          <w:p>
            <w:pPr>
              <w:spacing w:after="0" w:line="133" w:lineRule="exact"/>
              <w:rPr>
                <w:sz w:val="20"/>
                <w:szCs w:val="20"/>
                <w:color w:val="auto"/>
              </w:rPr>
            </w:pPr>
            <w:r>
              <w:rPr>
                <w:rFonts w:ascii="Arial" w:cs="Arial" w:eastAsia="Arial" w:hAnsi="Arial"/>
                <w:sz w:val="12"/>
                <w:szCs w:val="12"/>
                <w:color w:val="auto"/>
              </w:rPr>
              <w:t>Linda Cook</w:t>
            </w:r>
            <w:r>
              <w:rPr>
                <w:rFonts w:ascii="Arial" w:cs="Arial" w:eastAsia="Arial" w:hAnsi="Arial"/>
                <w:sz w:val="12"/>
                <w:szCs w:val="12"/>
                <w:b w:val="1"/>
                <w:bCs w:val="1"/>
                <w:color w:val="auto"/>
              </w:rPr>
              <w:t>[C]</w:t>
            </w:r>
          </w:p>
        </w:tc>
        <w:tc>
          <w:tcPr>
            <w:tcW w:w="16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14,615</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3,653</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18,268</w:t>
            </w:r>
          </w:p>
        </w:tc>
      </w:tr>
      <w:tr>
        <w:trPr>
          <w:trHeight w:val="133"/>
        </w:trPr>
        <w:tc>
          <w:tcPr>
            <w:tcW w:w="7220" w:type="dxa"/>
            <w:vAlign w:val="bottom"/>
          </w:tcPr>
          <w:p>
            <w:pPr>
              <w:spacing w:after="0" w:line="133" w:lineRule="exact"/>
              <w:rPr>
                <w:sz w:val="20"/>
                <w:szCs w:val="20"/>
                <w:color w:val="auto"/>
              </w:rPr>
            </w:pPr>
            <w:r>
              <w:rPr>
                <w:rFonts w:ascii="Arial" w:cs="Arial" w:eastAsia="Arial" w:hAnsi="Arial"/>
                <w:sz w:val="12"/>
                <w:szCs w:val="12"/>
                <w:color w:val="auto"/>
              </w:rPr>
              <w:t>Rob Routs</w:t>
            </w:r>
            <w:r>
              <w:rPr>
                <w:rFonts w:ascii="Arial" w:cs="Arial" w:eastAsia="Arial" w:hAnsi="Arial"/>
                <w:sz w:val="12"/>
                <w:szCs w:val="12"/>
                <w:b w:val="1"/>
                <w:bCs w:val="1"/>
                <w:color w:val="auto"/>
              </w:rPr>
              <w:t>[A]</w:t>
            </w:r>
          </w:p>
        </w:tc>
        <w:tc>
          <w:tcPr>
            <w:tcW w:w="16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23,863</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5,965</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29,828</w:t>
            </w:r>
          </w:p>
        </w:tc>
      </w:tr>
      <w:tr>
        <w:trPr>
          <w:trHeight w:val="160"/>
        </w:trPr>
        <w:tc>
          <w:tcPr>
            <w:tcW w:w="7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Peter Voser</w:t>
            </w:r>
            <w:r>
              <w:rPr>
                <w:rFonts w:ascii="Arial" w:cs="Arial" w:eastAsia="Arial" w:hAnsi="Arial"/>
                <w:sz w:val="12"/>
                <w:szCs w:val="12"/>
                <w:b w:val="1"/>
                <w:bCs w:val="1"/>
                <w:color w:val="auto"/>
              </w:rPr>
              <w:t>[A]</w:t>
            </w:r>
          </w:p>
        </w:tc>
        <w:tc>
          <w:tcPr>
            <w:tcW w:w="16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14,690</w:t>
            </w: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3,672</w:t>
            </w: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18,362</w:t>
            </w:r>
          </w:p>
        </w:tc>
      </w:tr>
    </w:tbl>
    <w:p>
      <w:pPr>
        <w:spacing w:after="0" w:line="43" w:lineRule="exact"/>
        <w:rPr>
          <w:sz w:val="20"/>
          <w:szCs w:val="20"/>
          <w:color w:val="auto"/>
        </w:rPr>
      </w:pPr>
    </w:p>
    <w:p>
      <w:pPr>
        <w:ind w:left="280" w:hanging="273"/>
        <w:spacing w:after="0"/>
        <w:tabs>
          <w:tab w:leader="none" w:pos="2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Royal Dutch Shell plc Class A shares.</w:t>
      </w:r>
    </w:p>
    <w:p>
      <w:pPr>
        <w:ind w:left="280" w:hanging="273"/>
        <w:spacing w:after="0" w:line="231" w:lineRule="auto"/>
        <w:tabs>
          <w:tab w:leader="none" w:pos="2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Royal Dutch Shell plc Class B shares.</w:t>
      </w:r>
    </w:p>
    <w:p>
      <w:pPr>
        <w:ind w:left="280" w:hanging="273"/>
        <w:spacing w:after="0"/>
        <w:tabs>
          <w:tab w:leader="none" w:pos="28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Royal Dutch Shell plc Class A ADRs.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On March 11, 2008 REMCO released 65% of one performance-related matching share of the 2005 DBP award.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52970"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SHARE OPTIONS </w:t>
      </w:r>
      <w:r>
        <w:rPr>
          <w:rFonts w:ascii="Arial" w:cs="Arial" w:eastAsia="Arial" w:hAnsi="Arial"/>
          <w:sz w:val="12"/>
          <w:szCs w:val="12"/>
          <w:color w:val="auto"/>
        </w:rPr>
        <w:t>(This table has been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6664960" cy="844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64960" cy="844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0"/>
        </w:trPr>
        <w:tc>
          <w:tcPr>
            <w:tcW w:w="2500" w:type="dxa"/>
            <w:vAlign w:val="bottom"/>
            <w:shd w:val="clear" w:color="auto" w:fill="CECAC6"/>
          </w:tcPr>
          <w:p>
            <w:pPr>
              <w:spacing w:after="0"/>
              <w:rPr>
                <w:sz w:val="10"/>
                <w:szCs w:val="10"/>
                <w:color w:val="auto"/>
              </w:rPr>
            </w:pPr>
          </w:p>
        </w:tc>
        <w:tc>
          <w:tcPr>
            <w:tcW w:w="660" w:type="dxa"/>
            <w:vAlign w:val="bottom"/>
            <w:shd w:val="clear" w:color="auto" w:fill="CECAC6"/>
          </w:tcPr>
          <w:p>
            <w:pPr>
              <w:jc w:val="right"/>
              <w:ind w:right="18"/>
              <w:spacing w:after="0" w:line="121" w:lineRule="exact"/>
              <w:rPr>
                <w:sz w:val="20"/>
                <w:szCs w:val="20"/>
                <w:color w:val="auto"/>
              </w:rPr>
            </w:pPr>
            <w:r>
              <w:rPr>
                <w:rFonts w:ascii="Arial" w:cs="Arial" w:eastAsia="Arial" w:hAnsi="Arial"/>
                <w:sz w:val="12"/>
                <w:szCs w:val="12"/>
                <w:color w:val="auto"/>
              </w:rPr>
              <w:t>At Jan 1,</w:t>
            </w:r>
          </w:p>
        </w:tc>
        <w:tc>
          <w:tcPr>
            <w:tcW w:w="980" w:type="dxa"/>
            <w:vAlign w:val="bottom"/>
            <w:shd w:val="clear" w:color="auto" w:fill="CECAC6"/>
          </w:tcPr>
          <w:p>
            <w:pPr>
              <w:jc w:val="right"/>
              <w:ind w:right="78"/>
              <w:spacing w:after="0" w:line="121" w:lineRule="exact"/>
              <w:rPr>
                <w:sz w:val="20"/>
                <w:szCs w:val="20"/>
                <w:color w:val="auto"/>
              </w:rPr>
            </w:pPr>
            <w:r>
              <w:rPr>
                <w:rFonts w:ascii="Arial" w:cs="Arial" w:eastAsia="Arial" w:hAnsi="Arial"/>
                <w:sz w:val="12"/>
                <w:szCs w:val="12"/>
                <w:color w:val="auto"/>
              </w:rPr>
              <w:t>Number</w:t>
            </w:r>
          </w:p>
        </w:tc>
        <w:tc>
          <w:tcPr>
            <w:tcW w:w="700" w:type="dxa"/>
            <w:vAlign w:val="bottom"/>
            <w:shd w:val="clear" w:color="auto" w:fill="CECAC6"/>
          </w:tcPr>
          <w:p>
            <w:pPr>
              <w:jc w:val="right"/>
              <w:ind w:right="18"/>
              <w:spacing w:after="0" w:line="121" w:lineRule="exact"/>
              <w:rPr>
                <w:sz w:val="20"/>
                <w:szCs w:val="20"/>
                <w:color w:val="auto"/>
              </w:rPr>
            </w:pPr>
            <w:r>
              <w:rPr>
                <w:rFonts w:ascii="Arial" w:cs="Arial" w:eastAsia="Arial" w:hAnsi="Arial"/>
                <w:sz w:val="12"/>
                <w:szCs w:val="12"/>
                <w:color w:val="auto"/>
              </w:rPr>
              <w:t>At Dec 31,</w:t>
            </w:r>
          </w:p>
        </w:tc>
        <w:tc>
          <w:tcPr>
            <w:tcW w:w="940" w:type="dxa"/>
            <w:vAlign w:val="bottom"/>
            <w:shd w:val="clear" w:color="auto" w:fill="CECAC6"/>
          </w:tcPr>
          <w:p>
            <w:pPr>
              <w:jc w:val="right"/>
              <w:ind w:right="38"/>
              <w:spacing w:after="0" w:line="121" w:lineRule="exact"/>
              <w:rPr>
                <w:sz w:val="20"/>
                <w:szCs w:val="20"/>
                <w:color w:val="auto"/>
              </w:rPr>
            </w:pPr>
            <w:r>
              <w:rPr>
                <w:rFonts w:ascii="Arial" w:cs="Arial" w:eastAsia="Arial" w:hAnsi="Arial"/>
                <w:sz w:val="12"/>
                <w:szCs w:val="12"/>
                <w:color w:val="auto"/>
              </w:rPr>
              <w:t>Grant price</w:t>
            </w:r>
            <w:r>
              <w:rPr>
                <w:rFonts w:ascii="Arial" w:cs="Arial" w:eastAsia="Arial" w:hAnsi="Arial"/>
                <w:sz w:val="12"/>
                <w:szCs w:val="12"/>
                <w:b w:val="1"/>
                <w:bCs w:val="1"/>
                <w:color w:val="auto"/>
              </w:rPr>
              <w:t>[A]</w:t>
            </w:r>
          </w:p>
        </w:tc>
        <w:tc>
          <w:tcPr>
            <w:tcW w:w="800" w:type="dxa"/>
            <w:vAlign w:val="bottom"/>
            <w:shd w:val="clear" w:color="auto" w:fill="CECAC6"/>
          </w:tcPr>
          <w:p>
            <w:pPr>
              <w:jc w:val="right"/>
              <w:ind w:right="58"/>
              <w:spacing w:after="0" w:line="121" w:lineRule="exact"/>
              <w:rPr>
                <w:sz w:val="20"/>
                <w:szCs w:val="20"/>
                <w:color w:val="auto"/>
              </w:rPr>
            </w:pPr>
            <w:r>
              <w:rPr>
                <w:rFonts w:ascii="Arial" w:cs="Arial" w:eastAsia="Arial" w:hAnsi="Arial"/>
                <w:sz w:val="12"/>
                <w:szCs w:val="12"/>
                <w:color w:val="auto"/>
              </w:rPr>
              <w:t>Exercisable</w:t>
            </w:r>
          </w:p>
        </w:tc>
        <w:tc>
          <w:tcPr>
            <w:tcW w:w="800" w:type="dxa"/>
            <w:vAlign w:val="bottom"/>
            <w:shd w:val="clear" w:color="auto" w:fill="CECAC6"/>
          </w:tcPr>
          <w:p>
            <w:pPr>
              <w:jc w:val="right"/>
              <w:ind w:right="58"/>
              <w:spacing w:after="0" w:line="121" w:lineRule="exact"/>
              <w:rPr>
                <w:sz w:val="20"/>
                <w:szCs w:val="20"/>
                <w:color w:val="auto"/>
              </w:rPr>
            </w:pPr>
            <w:r>
              <w:rPr>
                <w:rFonts w:ascii="Arial" w:cs="Arial" w:eastAsia="Arial" w:hAnsi="Arial"/>
                <w:sz w:val="12"/>
                <w:szCs w:val="12"/>
                <w:color w:val="auto"/>
              </w:rPr>
              <w:t>Expiry date</w:t>
            </w:r>
          </w:p>
        </w:tc>
        <w:tc>
          <w:tcPr>
            <w:tcW w:w="1560" w:type="dxa"/>
            <w:vAlign w:val="bottom"/>
            <w:gridSpan w:val="2"/>
            <w:shd w:val="clear" w:color="auto" w:fill="CECAC6"/>
          </w:tcPr>
          <w:p>
            <w:pPr>
              <w:jc w:val="right"/>
              <w:ind w:right="58"/>
              <w:spacing w:after="0" w:line="121" w:lineRule="exact"/>
              <w:rPr>
                <w:sz w:val="20"/>
                <w:szCs w:val="20"/>
                <w:color w:val="auto"/>
              </w:rPr>
            </w:pPr>
            <w:r>
              <w:rPr>
                <w:rFonts w:ascii="Arial" w:cs="Arial" w:eastAsia="Arial" w:hAnsi="Arial"/>
                <w:sz w:val="12"/>
                <w:szCs w:val="12"/>
                <w:color w:val="auto"/>
              </w:rPr>
              <w:t>Realisable gains,</w:t>
            </w:r>
          </w:p>
        </w:tc>
        <w:tc>
          <w:tcPr>
            <w:tcW w:w="1560" w:type="dxa"/>
            <w:vAlign w:val="bottom"/>
            <w:gridSpan w:val="2"/>
            <w:shd w:val="clear" w:color="auto" w:fill="CECAC6"/>
          </w:tcPr>
          <w:p>
            <w:pPr>
              <w:jc w:val="right"/>
              <w:spacing w:after="0" w:line="121" w:lineRule="exact"/>
              <w:rPr>
                <w:sz w:val="20"/>
                <w:szCs w:val="20"/>
                <w:color w:val="auto"/>
              </w:rPr>
            </w:pPr>
            <w:r>
              <w:rPr>
                <w:rFonts w:ascii="Arial" w:cs="Arial" w:eastAsia="Arial" w:hAnsi="Arial"/>
                <w:sz w:val="12"/>
                <w:szCs w:val="12"/>
                <w:color w:val="auto"/>
              </w:rPr>
              <w:t>Realised gains on share</w:t>
            </w:r>
          </w:p>
        </w:tc>
      </w:tr>
      <w:tr>
        <w:trPr>
          <w:trHeight w:val="153"/>
        </w:trPr>
        <w:tc>
          <w:tcPr>
            <w:tcW w:w="2500" w:type="dxa"/>
            <w:vAlign w:val="bottom"/>
            <w:shd w:val="clear" w:color="auto" w:fill="CECAC6"/>
          </w:tcPr>
          <w:p>
            <w:pPr>
              <w:spacing w:after="0"/>
              <w:rPr>
                <w:sz w:val="13"/>
                <w:szCs w:val="13"/>
                <w:color w:val="auto"/>
              </w:rPr>
            </w:pPr>
          </w:p>
        </w:tc>
        <w:tc>
          <w:tcPr>
            <w:tcW w:w="6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9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of options</w:t>
            </w:r>
          </w:p>
        </w:tc>
        <w:tc>
          <w:tcPr>
            <w:tcW w:w="7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940" w:type="dxa"/>
            <w:vAlign w:val="bottom"/>
            <w:shd w:val="clear" w:color="auto" w:fill="CECAC6"/>
          </w:tcPr>
          <w:p>
            <w:pPr>
              <w:spacing w:after="0"/>
              <w:rPr>
                <w:sz w:val="13"/>
                <w:szCs w:val="13"/>
                <w:color w:val="auto"/>
              </w:rPr>
            </w:pPr>
          </w:p>
        </w:tc>
        <w:tc>
          <w:tcPr>
            <w:tcW w:w="8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from date</w:t>
            </w:r>
          </w:p>
        </w:tc>
        <w:tc>
          <w:tcPr>
            <w:tcW w:w="800" w:type="dxa"/>
            <w:vAlign w:val="bottom"/>
            <w:shd w:val="clear" w:color="auto" w:fill="CECAC6"/>
          </w:tcPr>
          <w:p>
            <w:pPr>
              <w:spacing w:after="0"/>
              <w:rPr>
                <w:sz w:val="13"/>
                <w:szCs w:val="13"/>
                <w:color w:val="auto"/>
              </w:rPr>
            </w:pPr>
          </w:p>
        </w:tc>
        <w:tc>
          <w:tcPr>
            <w:tcW w:w="156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as at Dec 31, 2007</w:t>
            </w:r>
            <w:r>
              <w:rPr>
                <w:rFonts w:ascii="Arial" w:cs="Arial" w:eastAsia="Arial" w:hAnsi="Arial"/>
                <w:sz w:val="12"/>
                <w:szCs w:val="12"/>
                <w:b w:val="1"/>
                <w:bCs w:val="1"/>
                <w:color w:val="auto"/>
              </w:rPr>
              <w:t>[B]</w:t>
            </w:r>
          </w:p>
        </w:tc>
        <w:tc>
          <w:tcPr>
            <w:tcW w:w="156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options exercised</w:t>
            </w:r>
            <w:r>
              <w:rPr>
                <w:rFonts w:ascii="Arial" w:cs="Arial" w:eastAsia="Arial" w:hAnsi="Arial"/>
                <w:sz w:val="12"/>
                <w:szCs w:val="12"/>
                <w:b w:val="1"/>
                <w:bCs w:val="1"/>
                <w:color w:val="auto"/>
              </w:rPr>
              <w:t>[C]</w:t>
            </w:r>
          </w:p>
        </w:tc>
      </w:tr>
      <w:tr>
        <w:trPr>
          <w:trHeight w:val="133"/>
        </w:trPr>
        <w:tc>
          <w:tcPr>
            <w:tcW w:w="250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9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exercised</w:t>
            </w:r>
          </w:p>
        </w:tc>
        <w:tc>
          <w:tcPr>
            <w:tcW w:w="700" w:type="dxa"/>
            <w:vAlign w:val="bottom"/>
            <w:shd w:val="clear" w:color="auto" w:fill="CECAC6"/>
          </w:tcPr>
          <w:p>
            <w:pPr>
              <w:spacing w:after="0"/>
              <w:rPr>
                <w:sz w:val="11"/>
                <w:szCs w:val="11"/>
                <w:color w:val="auto"/>
              </w:rPr>
            </w:pPr>
          </w:p>
        </w:tc>
        <w:tc>
          <w:tcPr>
            <w:tcW w:w="94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r>
      <w:tr>
        <w:trPr>
          <w:trHeight w:val="133"/>
        </w:trPr>
        <w:tc>
          <w:tcPr>
            <w:tcW w:w="250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98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during the year</w:t>
            </w:r>
          </w:p>
        </w:tc>
        <w:tc>
          <w:tcPr>
            <w:tcW w:w="700" w:type="dxa"/>
            <w:vAlign w:val="bottom"/>
            <w:shd w:val="clear" w:color="auto" w:fill="CECAC6"/>
          </w:tcPr>
          <w:p>
            <w:pPr>
              <w:spacing w:after="0"/>
              <w:rPr>
                <w:sz w:val="11"/>
                <w:szCs w:val="11"/>
                <w:color w:val="auto"/>
              </w:rPr>
            </w:pPr>
          </w:p>
        </w:tc>
        <w:tc>
          <w:tcPr>
            <w:tcW w:w="94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r>
      <w:tr>
        <w:trPr>
          <w:trHeight w:val="133"/>
        </w:trPr>
        <w:tc>
          <w:tcPr>
            <w:tcW w:w="316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b w:val="1"/>
                <w:bCs w:val="1"/>
                <w:color w:val="auto"/>
              </w:rPr>
              <w:t>Options Royal Dutch Shell plc Class A shares</w:t>
            </w:r>
          </w:p>
        </w:tc>
        <w:tc>
          <w:tcPr>
            <w:tcW w:w="9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r>
      <w:tr>
        <w:trPr>
          <w:trHeight w:val="134"/>
        </w:trPr>
        <w:tc>
          <w:tcPr>
            <w:tcW w:w="2500" w:type="dxa"/>
            <w:vAlign w:val="bottom"/>
          </w:tcPr>
          <w:p>
            <w:pPr>
              <w:spacing w:after="0" w:line="134" w:lineRule="exact"/>
              <w:rPr>
                <w:sz w:val="20"/>
                <w:szCs w:val="20"/>
                <w:color w:val="auto"/>
              </w:rPr>
            </w:pPr>
            <w:r>
              <w:rPr>
                <w:rFonts w:ascii="Arial" w:cs="Arial" w:eastAsia="Arial" w:hAnsi="Arial"/>
                <w:sz w:val="12"/>
                <w:szCs w:val="12"/>
                <w:color w:val="auto"/>
              </w:rPr>
              <w:t>Jeroen van der Veer</w:t>
            </w: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41,700</w:t>
            </w:r>
          </w:p>
        </w:tc>
        <w:tc>
          <w:tcPr>
            <w:tcW w:w="9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(41,700)</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20.58</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22.12.01</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21.12.08</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389,564</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559,678</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67,500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67,500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29.77</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23.03.03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22.03.10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80,000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80,000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31.30</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26.03.04</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25.03.11</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105,000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105,000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31.05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21.03.05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20.03.12</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300,000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300,000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18.41</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19.03.06</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18.03.13</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3,103,500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4,565,314</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300,000</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300,000</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20.65</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07.05.07</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06.05.14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2,431,500</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3,576,788</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500" w:type="dxa"/>
            <w:vAlign w:val="bottom"/>
          </w:tcPr>
          <w:p>
            <w:pPr>
              <w:spacing w:after="0" w:line="134" w:lineRule="exact"/>
              <w:rPr>
                <w:sz w:val="20"/>
                <w:szCs w:val="20"/>
                <w:color w:val="auto"/>
              </w:rPr>
            </w:pPr>
            <w:r>
              <w:rPr>
                <w:rFonts w:ascii="Arial" w:cs="Arial" w:eastAsia="Arial" w:hAnsi="Arial"/>
                <w:sz w:val="12"/>
                <w:szCs w:val="12"/>
                <w:color w:val="auto"/>
              </w:rPr>
              <w:t>Malcolm Brinded</w:t>
            </w: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50,000</w:t>
            </w:r>
          </w:p>
        </w:tc>
        <w:tc>
          <w:tcPr>
            <w:tcW w:w="980" w:type="dxa"/>
            <w:vAlign w:val="bottom"/>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50,000</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31.05</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21.03.05</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20.03.12</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9"/>
        </w:trPr>
        <w:tc>
          <w:tcPr>
            <w:tcW w:w="2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230,000</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230,000</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18.41</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19.03.06</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18.03.13</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2,379,350</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3,500,074</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2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Linda Cook</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212,600</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212,600</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21.34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05.11.07</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04.11.14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1,576,429</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2,318,960</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500" w:type="dxa"/>
            <w:vAlign w:val="bottom"/>
          </w:tcPr>
          <w:p>
            <w:pPr>
              <w:spacing w:after="0" w:line="134" w:lineRule="exact"/>
              <w:rPr>
                <w:sz w:val="20"/>
                <w:szCs w:val="20"/>
                <w:color w:val="auto"/>
              </w:rPr>
            </w:pPr>
            <w:r>
              <w:rPr>
                <w:rFonts w:ascii="Arial" w:cs="Arial" w:eastAsia="Arial" w:hAnsi="Arial"/>
                <w:sz w:val="12"/>
                <w:szCs w:val="12"/>
                <w:color w:val="auto"/>
              </w:rPr>
              <w:t>Rob Routs</w:t>
            </w: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36,000</w:t>
            </w:r>
          </w:p>
        </w:tc>
        <w:tc>
          <w:tcPr>
            <w:tcW w:w="980" w:type="dxa"/>
            <w:vAlign w:val="bottom"/>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36,000</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29.77</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23.03.03</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22.03.10</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50,000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50,000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31.05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21.03.05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20.03.12</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98,800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98,800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18.41</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19.03.06</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18.03.13</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1,022,086</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1,503,510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100,132</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100,132</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20.48</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19.08.06</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18.08.13</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828,592</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1,218,877</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230,000</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230,000</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20.65</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07.05.07</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06.05.14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1,864,150</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2,742,204</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Options Royal Dutch Shell plc Class B shares</w:t>
            </w: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500" w:type="dxa"/>
            <w:vAlign w:val="bottom"/>
          </w:tcPr>
          <w:p>
            <w:pPr>
              <w:spacing w:after="0" w:line="134" w:lineRule="exact"/>
              <w:rPr>
                <w:sz w:val="20"/>
                <w:szCs w:val="20"/>
                <w:color w:val="auto"/>
              </w:rPr>
            </w:pPr>
            <w:r>
              <w:rPr>
                <w:rFonts w:ascii="Arial" w:cs="Arial" w:eastAsia="Arial" w:hAnsi="Arial"/>
                <w:sz w:val="12"/>
                <w:szCs w:val="12"/>
                <w:color w:val="auto"/>
              </w:rPr>
              <w:t>Malcolm Brinded</w:t>
            </w: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10,774</w:t>
            </w:r>
          </w:p>
        </w:tc>
        <w:tc>
          <w:tcPr>
            <w:tcW w:w="9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(10,774)</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0</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15.28</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11.12.00</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10.12.07</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w:t>
            </w:r>
          </w:p>
        </w:tc>
        <w:tc>
          <w:tcPr>
            <w:tcW w:w="8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54,533</w:t>
            </w: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113,609</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39,996</w:t>
            </w:r>
          </w:p>
        </w:tc>
        <w:tc>
          <w:tcPr>
            <w:tcW w:w="9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(20,000)</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19,996</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12.63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22.12.01</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21.12.08</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165,298</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330,035</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154,132</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321,102</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52,797</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52,797</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17.58</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23.03.03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22.03.10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175,528</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350,459</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4,022</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4,022</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19.59</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13.11.03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12.11.10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5,253</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10,488</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39,968</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39,968</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19.21</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26.03.04</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25.03.11</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67,500</w:t>
            </w: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134,770</w:t>
            </w:r>
          </w:p>
        </w:tc>
        <w:tc>
          <w:tcPr>
            <w:tcW w:w="8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229,866</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229,866</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13.89</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07.05.07</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06.05.14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1,612,205</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3,218,930</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25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Peter Voser</w:t>
            </w: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229,866</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229,866</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15.04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05.11.07</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04.11.14</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1,348,206</w:t>
            </w: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2,691,829</w:t>
            </w: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0"/>
        </w:trPr>
        <w:tc>
          <w:tcPr>
            <w:tcW w:w="31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Options Royal Dutch Shell plc Class A ADRs</w:t>
            </w:r>
          </w:p>
        </w:tc>
        <w:tc>
          <w:tcPr>
            <w:tcW w:w="9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4"/>
        </w:trPr>
        <w:tc>
          <w:tcPr>
            <w:tcW w:w="2500" w:type="dxa"/>
            <w:vAlign w:val="bottom"/>
          </w:tcPr>
          <w:p>
            <w:pPr>
              <w:spacing w:after="0" w:line="134" w:lineRule="exact"/>
              <w:rPr>
                <w:sz w:val="20"/>
                <w:szCs w:val="20"/>
                <w:color w:val="auto"/>
              </w:rPr>
            </w:pPr>
            <w:r>
              <w:rPr>
                <w:rFonts w:ascii="Arial" w:cs="Arial" w:eastAsia="Arial" w:hAnsi="Arial"/>
                <w:sz w:val="12"/>
                <w:szCs w:val="12"/>
                <w:color w:val="auto"/>
              </w:rPr>
              <w:t>Linda Cook</w:t>
            </w:r>
            <w:r>
              <w:rPr>
                <w:rFonts w:ascii="Arial" w:cs="Arial" w:eastAsia="Arial" w:hAnsi="Arial"/>
                <w:sz w:val="12"/>
                <w:szCs w:val="12"/>
                <w:b w:val="1"/>
                <w:bCs w:val="1"/>
                <w:color w:val="auto"/>
              </w:rPr>
              <w:t>[D]</w:t>
            </w:r>
          </w:p>
        </w:tc>
        <w:tc>
          <w:tcPr>
            <w:tcW w:w="6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45,000</w:t>
            </w:r>
          </w:p>
        </w:tc>
        <w:tc>
          <w:tcPr>
            <w:tcW w:w="980" w:type="dxa"/>
            <w:vAlign w:val="bottom"/>
          </w:tcPr>
          <w:p>
            <w:pPr>
              <w:jc w:val="right"/>
              <w:ind w:right="78"/>
              <w:spacing w:after="0" w:line="134"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45,000</w:t>
            </w:r>
          </w:p>
        </w:tc>
        <w:tc>
          <w:tcPr>
            <w:tcW w:w="9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52.08</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01.03.01</w:t>
            </w:r>
          </w:p>
        </w:tc>
        <w:tc>
          <w:tcPr>
            <w:tcW w:w="800" w:type="dxa"/>
            <w:vAlign w:val="bottom"/>
          </w:tcPr>
          <w:p>
            <w:pPr>
              <w:jc w:val="right"/>
              <w:ind w:right="58"/>
              <w:spacing w:after="0" w:line="134" w:lineRule="exact"/>
              <w:rPr>
                <w:sz w:val="20"/>
                <w:szCs w:val="20"/>
                <w:color w:val="auto"/>
              </w:rPr>
            </w:pPr>
            <w:r>
              <w:rPr>
                <w:rFonts w:ascii="Arial" w:cs="Arial" w:eastAsia="Arial" w:hAnsi="Arial"/>
                <w:sz w:val="12"/>
                <w:szCs w:val="12"/>
                <w:color w:val="auto"/>
              </w:rPr>
              <w:t>01.03.10</w:t>
            </w:r>
          </w:p>
        </w:tc>
        <w:tc>
          <w:tcPr>
            <w:tcW w:w="780" w:type="dxa"/>
            <w:vAlign w:val="bottom"/>
          </w:tcPr>
          <w:p>
            <w:pPr>
              <w:spacing w:after="0"/>
              <w:rPr>
                <w:sz w:val="11"/>
                <w:szCs w:val="11"/>
                <w:color w:val="auto"/>
              </w:rPr>
            </w:pPr>
          </w:p>
        </w:tc>
        <w:tc>
          <w:tcPr>
            <w:tcW w:w="780" w:type="dxa"/>
            <w:vAlign w:val="bottom"/>
          </w:tcPr>
          <w:p>
            <w:pPr>
              <w:jc w:val="right"/>
              <w:ind w:right="58"/>
              <w:spacing w:after="0" w:line="134" w:lineRule="exact"/>
              <w:rPr>
                <w:sz w:val="20"/>
                <w:szCs w:val="20"/>
                <w:color w:val="auto"/>
              </w:rPr>
            </w:pPr>
            <w:r>
              <w:rPr>
                <w:rFonts w:ascii="Arial" w:cs="Arial" w:eastAsia="Arial" w:hAnsi="Arial"/>
                <w:sz w:val="12"/>
                <w:szCs w:val="12"/>
                <w:color w:val="auto"/>
              </w:rPr>
              <w:t>1,445,400</w:t>
            </w:r>
          </w:p>
        </w:tc>
        <w:tc>
          <w:tcPr>
            <w:tcW w:w="82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2,175</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2,175</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56.34</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21.04.01</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21.04.10</w:t>
            </w:r>
          </w:p>
        </w:tc>
        <w:tc>
          <w:tcPr>
            <w:tcW w:w="780" w:type="dxa"/>
            <w:vAlign w:val="bottom"/>
          </w:tcPr>
          <w:p>
            <w:pPr>
              <w:spacing w:after="0"/>
              <w:rPr>
                <w:sz w:val="11"/>
                <w:szCs w:val="11"/>
                <w:color w:val="auto"/>
              </w:rPr>
            </w:pP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60,596</w:t>
            </w:r>
          </w:p>
        </w:tc>
        <w:tc>
          <w:tcPr>
            <w:tcW w:w="8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43,750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43,750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60.75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08.03.02</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07.03.11</w:t>
            </w:r>
          </w:p>
        </w:tc>
        <w:tc>
          <w:tcPr>
            <w:tcW w:w="780" w:type="dxa"/>
            <w:vAlign w:val="bottom"/>
          </w:tcPr>
          <w:p>
            <w:pPr>
              <w:spacing w:after="0"/>
              <w:rPr>
                <w:sz w:val="11"/>
                <w:szCs w:val="11"/>
                <w:color w:val="auto"/>
              </w:rPr>
            </w:pP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1,025,938</w:t>
            </w:r>
          </w:p>
        </w:tc>
        <w:tc>
          <w:tcPr>
            <w:tcW w:w="8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2500" w:type="dxa"/>
            <w:vAlign w:val="bottom"/>
          </w:tcPr>
          <w:p>
            <w:pPr>
              <w:spacing w:after="0"/>
              <w:rPr>
                <w:sz w:val="11"/>
                <w:szCs w:val="11"/>
                <w:color w:val="auto"/>
              </w:rPr>
            </w:pPr>
          </w:p>
        </w:tc>
        <w:tc>
          <w:tcPr>
            <w:tcW w:w="6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35,000</w:t>
            </w:r>
          </w:p>
        </w:tc>
        <w:tc>
          <w:tcPr>
            <w:tcW w:w="9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35,000</w:t>
            </w:r>
          </w:p>
        </w:tc>
        <w:tc>
          <w:tcPr>
            <w:tcW w:w="9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54.35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21.03.03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20.03.12</w:t>
            </w:r>
          </w:p>
        </w:tc>
        <w:tc>
          <w:tcPr>
            <w:tcW w:w="780" w:type="dxa"/>
            <w:vAlign w:val="bottom"/>
          </w:tcPr>
          <w:p>
            <w:pPr>
              <w:spacing w:after="0"/>
              <w:rPr>
                <w:sz w:val="11"/>
                <w:szCs w:val="11"/>
                <w:color w:val="auto"/>
              </w:rPr>
            </w:pPr>
          </w:p>
        </w:tc>
        <w:tc>
          <w:tcPr>
            <w:tcW w:w="7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1,044,750</w:t>
            </w:r>
          </w:p>
        </w:tc>
        <w:tc>
          <w:tcPr>
            <w:tcW w:w="82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25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70,500</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70,500</w:t>
            </w:r>
          </w:p>
        </w:tc>
        <w:tc>
          <w:tcPr>
            <w:tcW w:w="9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40.64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19.03.04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18.03.13</w:t>
            </w:r>
          </w:p>
        </w:tc>
        <w:tc>
          <w:tcPr>
            <w:tcW w:w="7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3,070,980</w:t>
            </w: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-2908935</wp:posOffset>
            </wp:positionV>
            <wp:extent cx="282575" cy="7290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2575" cy="7290435"/>
                    </a:xfrm>
                    <a:prstGeom prst="rect">
                      <a:avLst/>
                    </a:prstGeom>
                    <a:noFill/>
                  </pic:spPr>
                </pic:pic>
              </a:graphicData>
            </a:graphic>
          </wp:anchor>
        </w:drawing>
      </w:r>
    </w:p>
    <w:p>
      <w:pPr>
        <w:spacing w:after="0" w:line="27" w:lineRule="exact"/>
        <w:rPr>
          <w:sz w:val="20"/>
          <w:szCs w:val="20"/>
          <w:color w:val="auto"/>
        </w:rPr>
      </w:pPr>
    </w:p>
    <w:p>
      <w:pPr>
        <w:ind w:left="240" w:right="80" w:hanging="233"/>
        <w:spacing w:after="0" w:line="231" w:lineRule="auto"/>
        <w:tabs>
          <w:tab w:leader="none" w:pos="2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grant price is the average of the opening and closing share prices over a period of five successive trading days prior to and including the day on which the options are granted (not at a discount).</w:t>
      </w:r>
    </w:p>
    <w:p>
      <w:pPr>
        <w:ind w:left="240" w:hanging="233"/>
        <w:spacing w:after="0" w:line="231" w:lineRule="auto"/>
        <w:tabs>
          <w:tab w:leader="none" w:pos="2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Represents the value of unexercised share options granted in previous years at the end of the financial year, calculated by taking the difference between the grant price of the option and the fair market value of the shares of Royal Dutch Shell at December 31, 2007, multiplied by the number of shares under option at December 31, 2007. The actual gain realised, if any, will depend on the market price of the Royal Dutch Shell shares at the time of exercise.</w:t>
      </w:r>
    </w:p>
    <w:p>
      <w:pPr>
        <w:spacing w:after="0" w:line="1" w:lineRule="exact"/>
        <w:rPr>
          <w:rFonts w:ascii="Arial" w:cs="Arial" w:eastAsia="Arial" w:hAnsi="Arial"/>
          <w:sz w:val="12"/>
          <w:szCs w:val="12"/>
          <w:color w:val="auto"/>
        </w:rPr>
      </w:pPr>
    </w:p>
    <w:p>
      <w:pPr>
        <w:ind w:left="240" w:hanging="233"/>
        <w:spacing w:after="0" w:line="231" w:lineRule="auto"/>
        <w:tabs>
          <w:tab w:leader="none" w:pos="2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The market prices of share options exercised during 2007 by Jeroen van der Veer and Malcolm Brinded were €29.92 and £20.34, respectively.</w:t>
      </w:r>
    </w:p>
    <w:p>
      <w:pPr>
        <w:ind w:left="240" w:hanging="233"/>
        <w:spacing w:after="0"/>
        <w:tabs>
          <w:tab w:leader="none" w:pos="240" w:val="left"/>
        </w:tabs>
        <w:numPr>
          <w:ilvl w:val="0"/>
          <w:numId w:val="124"/>
        </w:numPr>
        <w:rPr>
          <w:rFonts w:ascii="Arial" w:cs="Arial" w:eastAsia="Arial" w:hAnsi="Arial"/>
          <w:sz w:val="12"/>
          <w:szCs w:val="12"/>
          <w:color w:val="auto"/>
        </w:rPr>
      </w:pPr>
      <w:r>
        <w:rPr>
          <w:rFonts w:ascii="Arial" w:cs="Arial" w:eastAsia="Arial" w:hAnsi="Arial"/>
          <w:sz w:val="12"/>
          <w:szCs w:val="12"/>
          <w:color w:val="auto"/>
        </w:rPr>
        <w:t>In addition to amounts reported in 2006 Linda Cook realised gains from cash-delivered Stock Appreciation Rights totalling $103,187 during 2006.</w:t>
      </w:r>
    </w:p>
    <w:p>
      <w:pPr>
        <w:spacing w:after="0" w:line="89"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Shell suspended share option grants in 2005 in favour of conditional share awards under the LTIP and the DBP (see pages 97 and 98). The share options listed above relate to Royal Dutch Shell shares and have a 10 year term.</w:t>
      </w:r>
    </w:p>
    <w:p>
      <w:pPr>
        <w:spacing w:after="0" w:line="68"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price range of the Royal Dutch Shell plc Class A shares listed at the Euronext Exchange during the year was €23.72 to €31.35 and the market price at the year end was €28.75. The price range of the Royal Dutch Shell plc Class B shares listed at the London Stock Exchange during the year was £16.00 to £21.73 and the market price at year end was £20.90. The price range of the Royal Dutch Shell plc Class A ADRs listed at the NYSE during the year was $62.71 to $88.31 and the market price at year end was $84.20.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2459355</wp:posOffset>
            </wp:positionV>
            <wp:extent cx="7252970"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DIRECTORS’ REMUNERATION REPORT </w:t>
      </w:r>
      <w:r>
        <w:rPr>
          <w:rFonts w:ascii="Arial" w:cs="Arial" w:eastAsia="Arial" w:hAnsi="Arial"/>
          <w:sz w:val="12"/>
          <w:szCs w:val="12"/>
          <w:b w:val="1"/>
          <w:bCs w:val="1"/>
          <w:color w:val="C1D72E"/>
        </w:rPr>
        <w:t>EXECUTIVE DIRECTORS’ REMUNERATION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ALL-EMPLOYEE SHARE SCHEMES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ind w:right="340"/>
        <w:spacing w:after="0" w:line="285" w:lineRule="auto"/>
        <w:rPr>
          <w:sz w:val="20"/>
          <w:szCs w:val="20"/>
          <w:color w:val="auto"/>
        </w:rPr>
      </w:pPr>
      <w:r>
        <w:rPr>
          <w:rFonts w:ascii="Arial" w:cs="Arial" w:eastAsia="Arial" w:hAnsi="Arial"/>
          <w:sz w:val="13"/>
          <w:szCs w:val="13"/>
          <w:color w:val="auto"/>
        </w:rPr>
        <w:t>Executive Directors are not currently eligible to participate in the Global Employee Share Purchase Plan or in any of the all-employee share plans in their home countries.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Executive Directors are expected to build up shareholdings to the value of two times their base salary over five years. Until the targets are met, they are required to, in the course of the relevant year, acquire shares to the value of at least 50% of the after tax gain arising from any awards vesting from 2008 onwards pursuant to the Company’s executive share incentive plans. Once the targets have been met, they are required to hold the shares and maintain that level for the full period of their appointment as Executive Directors. Executive Directors can build up personal shareholdings through performance-related long-term and deferred bonus plans and by use of personal funds.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You can find details of directors’ shareholdings on page 83.</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PERFORMANCE GRAPHS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The graphs below compare, on the basis required by Schedule 7A of the Companies Act 1985, the TSR of Royal Dutch Shell and that of the companies comprising the Euronext 100 share index and the FTSE 100 share index.</w:t>
      </w:r>
    </w:p>
    <w:p>
      <w:pPr>
        <w:spacing w:after="0" w:line="73" w:lineRule="exact"/>
        <w:rPr>
          <w:sz w:val="20"/>
          <w:szCs w:val="20"/>
          <w:color w:val="auto"/>
        </w:rPr>
      </w:pPr>
    </w:p>
    <w:p>
      <w:pPr>
        <w:ind w:right="160"/>
        <w:spacing w:after="0" w:line="235" w:lineRule="auto"/>
        <w:rPr>
          <w:sz w:val="20"/>
          <w:szCs w:val="20"/>
          <w:color w:val="auto"/>
        </w:rPr>
      </w:pPr>
      <w:r>
        <w:rPr>
          <w:rFonts w:ascii="Arial" w:cs="Arial" w:eastAsia="Arial" w:hAnsi="Arial"/>
          <w:sz w:val="14"/>
          <w:szCs w:val="14"/>
          <w:color w:val="auto"/>
        </w:rPr>
        <w:t>The Board regards the Euronext 100 and the FTSE 100 share indices as an appropriate broad market equity index for comparison, as they are the leading market indices in Royal Dutch Shell’s home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125730</wp:posOffset>
            </wp:positionV>
            <wp:extent cx="3510280" cy="1181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510280" cy="118110"/>
                    </a:xfrm>
                    <a:prstGeom prst="rect">
                      <a:avLst/>
                    </a:prstGeom>
                    <a:noFill/>
                  </pic:spPr>
                </pic:pic>
              </a:graphicData>
            </a:graphic>
          </wp:anchor>
        </w:drawing>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HISTORICAL TSR PERFORMANCE OF ROYAL DUTCH SHELL plc CLASS A SHARES</w:t>
      </w:r>
    </w:p>
    <w:p>
      <w:pPr>
        <w:spacing w:after="0" w:line="153" w:lineRule="exact"/>
        <w:rPr>
          <w:sz w:val="20"/>
          <w:szCs w:val="20"/>
          <w:color w:val="auto"/>
        </w:rPr>
      </w:pPr>
    </w:p>
    <w:p>
      <w:pPr>
        <w:ind w:right="240"/>
        <w:spacing w:after="0" w:line="252" w:lineRule="auto"/>
        <w:rPr>
          <w:sz w:val="20"/>
          <w:szCs w:val="20"/>
          <w:color w:val="auto"/>
        </w:rPr>
      </w:pPr>
      <w:r>
        <w:rPr>
          <w:rFonts w:ascii="Arial" w:cs="Arial" w:eastAsia="Arial" w:hAnsi="Arial"/>
          <w:sz w:val="14"/>
          <w:szCs w:val="14"/>
          <w:color w:val="auto"/>
        </w:rPr>
        <w:t>Growth in the value of a hypothetical €100 holding [A] over five years and [B] since unification on July 20, 2005.</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Euronext 100 comparison based on 30 trading day average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3180080" cy="1920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18008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HISTORICAL TSR PERFORMANCE OF ROYAL DUTCH SHELL plc CLASS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3510280" cy="1181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510280" cy="118110"/>
                    </a:xfrm>
                    <a:prstGeom prst="rect">
                      <a:avLst/>
                    </a:prstGeom>
                    <a:noFill/>
                  </pic:spPr>
                </pic:pic>
              </a:graphicData>
            </a:graphic>
          </wp:anchor>
        </w:drawing>
      </w:r>
    </w:p>
    <w:p>
      <w:pPr>
        <w:spacing w:after="0" w:line="133"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color w:val="auto"/>
        </w:rPr>
        <w:t>Growth in the value of a hypothetical £100 holding [A] over five years and [B] since unification on July 20, 2005.</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FTSE 100 comparison based on 30 trading day average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3180080" cy="18859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18008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POLICY</w:t>
      </w:r>
    </w:p>
    <w:p>
      <w:pPr>
        <w:spacing w:after="0" w:line="6" w:lineRule="exact"/>
        <w:rPr>
          <w:sz w:val="20"/>
          <w:szCs w:val="20"/>
          <w:color w:val="auto"/>
        </w:rPr>
      </w:pPr>
    </w:p>
    <w:p>
      <w:pPr>
        <w:ind w:right="40"/>
        <w:spacing w:after="0" w:line="229" w:lineRule="auto"/>
        <w:rPr>
          <w:sz w:val="20"/>
          <w:szCs w:val="20"/>
          <w:color w:val="auto"/>
        </w:rPr>
      </w:pPr>
      <w:r>
        <w:rPr>
          <w:rFonts w:ascii="Arial" w:cs="Arial" w:eastAsia="Arial" w:hAnsi="Arial"/>
          <w:sz w:val="14"/>
          <w:szCs w:val="14"/>
          <w:color w:val="auto"/>
        </w:rPr>
        <w:t>Retirement benefit arrangements for Executive Directors are based on local market practices. Cost, affordability, sustainability, sharing of investment risks and local legislation are taken into account in the design and execution of these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DIRECTORS’ PENSION PLANS</w:t>
      </w:r>
    </w:p>
    <w:p>
      <w:pPr>
        <w:spacing w:after="0" w:line="6"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The Executive Directors participate in pension plans that apply to employees from their base countries. Under these arrangements only base salary is pensionable except in relation to Linda Cook. In line with standard US market practice, under the US plans Linda Cook’s annual bonus is also pensionable. Contribution rates for Executive Directors are the same as for other employees under these plans.</w:t>
      </w:r>
    </w:p>
    <w:p>
      <w:pPr>
        <w:spacing w:after="0" w:line="76"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There is no mandatory retirement age for Executive Directors. REMCO will agree retirement schedules with Executive Directors to retire as appropriate to plan effective executive leadership succession, taking into account applicable legislation and the individual’s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2439670</wp:posOffset>
            </wp:positionV>
            <wp:extent cx="725297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40" w:space="500"/>
            <w:col w:w="5480"/>
          </w:cols>
          <w:pgMar w:left="240" w:top="415" w:right="23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DIRECTORS’ PENSION INTERESTS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During 2007, Jeroen van der Veer, Rob Routs, Malcolm Brinded, Linda Cook and Peter Voser accrued retirement benefits under defined benefit plans. In 2007, Linda Cook also accrued retirement benefits under defined contribution schemes. Executive Directors accrued pension benefits during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2007 as detailed in the following table, which is stated both in the local currency in which the interests are accrued and in US dollars. The transfer values are calculated using the cash equivalent transfer value method in accordance with Actuarial Guidance Note 11 (GN11).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-516255</wp:posOffset>
            </wp:positionV>
            <wp:extent cx="282575" cy="61658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82575" cy="6165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420"/>
            <w:col w:w="5000"/>
          </w:cols>
          <w:pgMar w:left="240" w:top="415" w:right="1259" w:bottom="1440" w:gutter="0" w:footer="0" w:header="0"/>
          <w:type w:val="continuous"/>
        </w:sect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320" w:type="dxa"/>
            <w:vAlign w:val="bottom"/>
            <w:shd w:val="clear" w:color="auto" w:fill="C1D72E"/>
          </w:tcPr>
          <w:p>
            <w:pPr>
              <w:ind w:left="20"/>
              <w:spacing w:after="0"/>
              <w:rPr>
                <w:sz w:val="20"/>
                <w:szCs w:val="20"/>
                <w:color w:val="auto"/>
              </w:rPr>
            </w:pPr>
            <w:r>
              <w:rPr>
                <w:rFonts w:ascii="Arial" w:cs="Arial" w:eastAsia="Arial" w:hAnsi="Arial"/>
                <w:sz w:val="12"/>
                <w:szCs w:val="12"/>
                <w:b w:val="1"/>
                <w:bCs w:val="1"/>
                <w:color w:val="auto"/>
              </w:rPr>
              <w:t xml:space="preserve">PENSIONS </w:t>
            </w:r>
            <w:r>
              <w:rPr>
                <w:rFonts w:ascii="Arial" w:cs="Arial" w:eastAsia="Arial" w:hAnsi="Arial"/>
                <w:sz w:val="12"/>
                <w:szCs w:val="12"/>
                <w:color w:val="auto"/>
              </w:rPr>
              <w:t>(This table has been audited)</w:t>
            </w:r>
          </w:p>
        </w:tc>
        <w:tc>
          <w:tcPr>
            <w:tcW w:w="600" w:type="dxa"/>
            <w:vAlign w:val="bottom"/>
            <w:shd w:val="clear" w:color="auto" w:fill="C1D72E"/>
          </w:tcPr>
          <w:p>
            <w:pPr>
              <w:spacing w:after="0"/>
              <w:rPr>
                <w:sz w:val="12"/>
                <w:szCs w:val="12"/>
                <w:color w:val="auto"/>
              </w:rPr>
            </w:pPr>
          </w:p>
        </w:tc>
        <w:tc>
          <w:tcPr>
            <w:tcW w:w="1260" w:type="dxa"/>
            <w:vAlign w:val="bottom"/>
            <w:shd w:val="clear" w:color="auto" w:fill="C1D72E"/>
          </w:tcPr>
          <w:p>
            <w:pPr>
              <w:spacing w:after="0"/>
              <w:rPr>
                <w:sz w:val="12"/>
                <w:szCs w:val="12"/>
                <w:color w:val="auto"/>
              </w:rPr>
            </w:pPr>
          </w:p>
        </w:tc>
        <w:tc>
          <w:tcPr>
            <w:tcW w:w="800" w:type="dxa"/>
            <w:vAlign w:val="bottom"/>
            <w:shd w:val="clear" w:color="auto" w:fill="C1D72E"/>
          </w:tcPr>
          <w:p>
            <w:pPr>
              <w:spacing w:after="0"/>
              <w:rPr>
                <w:sz w:val="12"/>
                <w:szCs w:val="12"/>
                <w:color w:val="auto"/>
              </w:rPr>
            </w:pPr>
          </w:p>
        </w:tc>
        <w:tc>
          <w:tcPr>
            <w:tcW w:w="1060" w:type="dxa"/>
            <w:vAlign w:val="bottom"/>
            <w:shd w:val="clear" w:color="auto" w:fill="C1D72E"/>
          </w:tcPr>
          <w:p>
            <w:pPr>
              <w:spacing w:after="0"/>
              <w:rPr>
                <w:sz w:val="12"/>
                <w:szCs w:val="12"/>
                <w:color w:val="auto"/>
              </w:rPr>
            </w:pPr>
          </w:p>
        </w:tc>
        <w:tc>
          <w:tcPr>
            <w:tcW w:w="900" w:type="dxa"/>
            <w:vAlign w:val="bottom"/>
            <w:shd w:val="clear" w:color="auto" w:fill="C1D72E"/>
          </w:tcPr>
          <w:p>
            <w:pPr>
              <w:spacing w:after="0"/>
              <w:rPr>
                <w:sz w:val="12"/>
                <w:szCs w:val="12"/>
                <w:color w:val="auto"/>
              </w:rPr>
            </w:pPr>
          </w:p>
        </w:tc>
        <w:tc>
          <w:tcPr>
            <w:tcW w:w="1100" w:type="dxa"/>
            <w:vAlign w:val="bottom"/>
            <w:shd w:val="clear" w:color="auto" w:fill="C1D72E"/>
          </w:tcPr>
          <w:p>
            <w:pPr>
              <w:spacing w:after="0"/>
              <w:rPr>
                <w:sz w:val="12"/>
                <w:szCs w:val="12"/>
                <w:color w:val="auto"/>
              </w:rPr>
            </w:pPr>
          </w:p>
        </w:tc>
        <w:tc>
          <w:tcPr>
            <w:tcW w:w="1100" w:type="dxa"/>
            <w:vAlign w:val="bottom"/>
            <w:shd w:val="clear" w:color="auto" w:fill="C1D72E"/>
          </w:tcPr>
          <w:p>
            <w:pPr>
              <w:spacing w:after="0"/>
              <w:rPr>
                <w:sz w:val="12"/>
                <w:szCs w:val="12"/>
                <w:color w:val="auto"/>
              </w:rPr>
            </w:pPr>
          </w:p>
        </w:tc>
        <w:tc>
          <w:tcPr>
            <w:tcW w:w="1240" w:type="dxa"/>
            <w:vAlign w:val="bottom"/>
            <w:shd w:val="clear" w:color="auto" w:fill="C1D72E"/>
          </w:tcPr>
          <w:p>
            <w:pPr>
              <w:jc w:val="right"/>
              <w:ind w:right="18"/>
              <w:spacing w:after="0"/>
              <w:rPr>
                <w:sz w:val="20"/>
                <w:szCs w:val="20"/>
                <w:color w:val="auto"/>
              </w:rPr>
            </w:pPr>
            <w:r>
              <w:rPr>
                <w:rFonts w:ascii="Arial" w:cs="Arial" w:eastAsia="Arial" w:hAnsi="Arial"/>
                <w:sz w:val="12"/>
                <w:szCs w:val="12"/>
                <w:color w:val="auto"/>
              </w:rPr>
              <w:t>Values in thousands</w:t>
            </w:r>
          </w:p>
        </w:tc>
        <w:tc>
          <w:tcPr>
            <w:tcW w:w="0" w:type="dxa"/>
            <w:vAlign w:val="bottom"/>
          </w:tcPr>
          <w:p>
            <w:pPr>
              <w:spacing w:after="0"/>
              <w:rPr>
                <w:sz w:val="1"/>
                <w:szCs w:val="1"/>
                <w:color w:val="auto"/>
              </w:rPr>
            </w:pPr>
          </w:p>
        </w:tc>
      </w:tr>
      <w:tr>
        <w:trPr>
          <w:trHeight w:val="147"/>
        </w:trPr>
        <w:tc>
          <w:tcPr>
            <w:tcW w:w="2320" w:type="dxa"/>
            <w:vAlign w:val="bottom"/>
            <w:shd w:val="clear" w:color="auto" w:fill="CECAC6"/>
          </w:tcPr>
          <w:p>
            <w:pPr>
              <w:ind w:left="20"/>
              <w:spacing w:after="0"/>
              <w:rPr>
                <w:sz w:val="20"/>
                <w:szCs w:val="20"/>
                <w:color w:val="auto"/>
              </w:rPr>
            </w:pPr>
            <w:r>
              <w:rPr>
                <w:rFonts w:ascii="Arial" w:cs="Arial" w:eastAsia="Arial" w:hAnsi="Arial"/>
                <w:sz w:val="12"/>
                <w:szCs w:val="12"/>
                <w:color w:val="auto"/>
              </w:rPr>
              <w:t>Accrued pension</w:t>
            </w:r>
          </w:p>
        </w:tc>
        <w:tc>
          <w:tcPr>
            <w:tcW w:w="6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1060" w:type="dxa"/>
            <w:vAlign w:val="bottom"/>
            <w:shd w:val="clear" w:color="auto" w:fill="CECAC6"/>
          </w:tcPr>
          <w:p>
            <w:pPr>
              <w:spacing w:after="0"/>
              <w:rPr>
                <w:sz w:val="12"/>
                <w:szCs w:val="12"/>
                <w:color w:val="auto"/>
              </w:rPr>
            </w:pPr>
          </w:p>
        </w:tc>
        <w:tc>
          <w:tcPr>
            <w:tcW w:w="900" w:type="dxa"/>
            <w:vAlign w:val="bottom"/>
            <w:shd w:val="clear" w:color="auto" w:fill="CECAC6"/>
          </w:tcPr>
          <w:p>
            <w:pPr>
              <w:spacing w:after="0"/>
              <w:rPr>
                <w:sz w:val="12"/>
                <w:szCs w:val="12"/>
                <w:color w:val="auto"/>
              </w:rPr>
            </w:pPr>
          </w:p>
        </w:tc>
        <w:tc>
          <w:tcPr>
            <w:tcW w:w="1100" w:type="dxa"/>
            <w:vAlign w:val="bottom"/>
            <w:shd w:val="clear" w:color="auto" w:fill="CECAC6"/>
          </w:tcPr>
          <w:p>
            <w:pPr>
              <w:spacing w:after="0"/>
              <w:rPr>
                <w:sz w:val="12"/>
                <w:szCs w:val="12"/>
                <w:color w:val="auto"/>
              </w:rPr>
            </w:pPr>
          </w:p>
        </w:tc>
        <w:tc>
          <w:tcPr>
            <w:tcW w:w="1100" w:type="dxa"/>
            <w:vAlign w:val="bottom"/>
            <w:shd w:val="clear" w:color="auto" w:fill="CECAC6"/>
          </w:tcPr>
          <w:p>
            <w:pPr>
              <w:spacing w:after="0"/>
              <w:rPr>
                <w:sz w:val="12"/>
                <w:szCs w:val="12"/>
                <w:color w:val="auto"/>
              </w:rPr>
            </w:pPr>
          </w:p>
        </w:tc>
        <w:tc>
          <w:tcPr>
            <w:tcW w:w="1240" w:type="dxa"/>
            <w:vAlign w:val="bottom"/>
            <w:vMerge w:val="restart"/>
            <w:shd w:val="clear" w:color="auto" w:fill="CECAC6"/>
          </w:tcPr>
          <w:p>
            <w:pPr>
              <w:jc w:val="right"/>
              <w:ind w:right="18"/>
              <w:spacing w:after="0"/>
              <w:rPr>
                <w:sz w:val="20"/>
                <w:szCs w:val="20"/>
                <w:color w:val="auto"/>
              </w:rPr>
            </w:pPr>
            <w:r>
              <w:rPr>
                <w:rFonts w:ascii="Arial" w:cs="Arial" w:eastAsia="Arial" w:hAnsi="Arial"/>
                <w:sz w:val="12"/>
                <w:szCs w:val="12"/>
                <w:color w:val="auto"/>
              </w:rPr>
              <w:t>Accrued pension</w:t>
            </w:r>
          </w:p>
        </w:tc>
        <w:tc>
          <w:tcPr>
            <w:tcW w:w="0" w:type="dxa"/>
            <w:vAlign w:val="bottom"/>
          </w:tcPr>
          <w:p>
            <w:pPr>
              <w:spacing w:after="0"/>
              <w:rPr>
                <w:sz w:val="1"/>
                <w:szCs w:val="1"/>
                <w:color w:val="auto"/>
              </w:rPr>
            </w:pPr>
          </w:p>
        </w:tc>
      </w:tr>
      <w:tr>
        <w:trPr>
          <w:trHeight w:val="127"/>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240" w:type="dxa"/>
            <w:vAlign w:val="bottom"/>
            <w:vMerge w:val="continue"/>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234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increase over the year</w:t>
            </w:r>
          </w:p>
        </w:tc>
        <w:tc>
          <w:tcPr>
            <w:tcW w:w="0" w:type="dxa"/>
            <w:vAlign w:val="bottom"/>
          </w:tcPr>
          <w:p>
            <w:pPr>
              <w:spacing w:after="0"/>
              <w:rPr>
                <w:sz w:val="1"/>
                <w:szCs w:val="1"/>
                <w:color w:val="auto"/>
              </w:rPr>
            </w:pPr>
          </w:p>
        </w:tc>
      </w:tr>
      <w:tr>
        <w:trPr>
          <w:trHeight w:val="119"/>
        </w:trPr>
        <w:tc>
          <w:tcPr>
            <w:tcW w:w="2320" w:type="dxa"/>
            <w:vAlign w:val="bottom"/>
            <w:shd w:val="clear" w:color="auto" w:fill="CECAC6"/>
          </w:tcPr>
          <w:p>
            <w:pPr>
              <w:spacing w:after="0"/>
              <w:rPr>
                <w:sz w:val="10"/>
                <w:szCs w:val="10"/>
                <w:color w:val="auto"/>
              </w:rPr>
            </w:pPr>
          </w:p>
        </w:tc>
        <w:tc>
          <w:tcPr>
            <w:tcW w:w="600" w:type="dxa"/>
            <w:vAlign w:val="bottom"/>
            <w:shd w:val="clear" w:color="auto" w:fill="CECAC6"/>
          </w:tcPr>
          <w:p>
            <w:pPr>
              <w:spacing w:after="0"/>
              <w:rPr>
                <w:sz w:val="10"/>
                <w:szCs w:val="10"/>
                <w:color w:val="auto"/>
              </w:rPr>
            </w:pPr>
          </w:p>
        </w:tc>
        <w:tc>
          <w:tcPr>
            <w:tcW w:w="1260" w:type="dxa"/>
            <w:vAlign w:val="bottom"/>
            <w:shd w:val="clear" w:color="auto" w:fill="CECAC6"/>
          </w:tcPr>
          <w:p>
            <w:pPr>
              <w:spacing w:after="0"/>
              <w:rPr>
                <w:sz w:val="10"/>
                <w:szCs w:val="10"/>
                <w:color w:val="auto"/>
              </w:rPr>
            </w:pPr>
          </w:p>
        </w:tc>
        <w:tc>
          <w:tcPr>
            <w:tcW w:w="1860" w:type="dxa"/>
            <w:vAlign w:val="bottom"/>
            <w:gridSpan w:val="2"/>
            <w:shd w:val="clear" w:color="auto" w:fill="CECAC6"/>
          </w:tcPr>
          <w:p>
            <w:pPr>
              <w:jc w:val="right"/>
              <w:ind w:right="658"/>
              <w:spacing w:after="0" w:line="120" w:lineRule="exact"/>
              <w:rPr>
                <w:sz w:val="20"/>
                <w:szCs w:val="20"/>
                <w:color w:val="auto"/>
              </w:rPr>
            </w:pPr>
            <w:r>
              <w:rPr>
                <w:rFonts w:ascii="Arial" w:cs="Arial" w:eastAsia="Arial" w:hAnsi="Arial"/>
                <w:sz w:val="12"/>
                <w:szCs w:val="12"/>
                <w:color w:val="auto"/>
              </w:rPr>
              <w:t>At Dec 31, 2007</w:t>
            </w:r>
          </w:p>
        </w:tc>
        <w:tc>
          <w:tcPr>
            <w:tcW w:w="2000" w:type="dxa"/>
            <w:vAlign w:val="bottom"/>
            <w:gridSpan w:val="2"/>
            <w:shd w:val="clear" w:color="auto" w:fill="CECAC6"/>
          </w:tcPr>
          <w:p>
            <w:pPr>
              <w:jc w:val="right"/>
              <w:ind w:right="138"/>
              <w:spacing w:after="0" w:line="120" w:lineRule="exact"/>
              <w:rPr>
                <w:sz w:val="20"/>
                <w:szCs w:val="20"/>
                <w:color w:val="auto"/>
              </w:rPr>
            </w:pPr>
            <w:r>
              <w:rPr>
                <w:rFonts w:ascii="Arial" w:cs="Arial" w:eastAsia="Arial" w:hAnsi="Arial"/>
                <w:sz w:val="12"/>
                <w:szCs w:val="12"/>
                <w:color w:val="auto"/>
              </w:rPr>
              <w:t>Increase over the year</w:t>
            </w:r>
          </w:p>
        </w:tc>
        <w:tc>
          <w:tcPr>
            <w:tcW w:w="1100" w:type="dxa"/>
            <w:vAlign w:val="bottom"/>
            <w:shd w:val="clear" w:color="auto" w:fill="CECAC6"/>
          </w:tcPr>
          <w:p>
            <w:pPr>
              <w:spacing w:after="0"/>
              <w:rPr>
                <w:sz w:val="10"/>
                <w:szCs w:val="10"/>
                <w:color w:val="auto"/>
              </w:rPr>
            </w:pPr>
          </w:p>
        </w:tc>
        <w:tc>
          <w:tcPr>
            <w:tcW w:w="1240" w:type="dxa"/>
            <w:vAlign w:val="bottom"/>
            <w:shd w:val="clear" w:color="auto" w:fill="CECAC6"/>
          </w:tcPr>
          <w:p>
            <w:pPr>
              <w:jc w:val="right"/>
              <w:ind w:right="18"/>
              <w:spacing w:after="0" w:line="120" w:lineRule="exact"/>
              <w:rPr>
                <w:sz w:val="20"/>
                <w:szCs w:val="20"/>
                <w:color w:val="auto"/>
              </w:rPr>
            </w:pPr>
            <w:r>
              <w:rPr>
                <w:rFonts w:ascii="Arial" w:cs="Arial" w:eastAsia="Arial" w:hAnsi="Arial"/>
                <w:sz w:val="12"/>
                <w:szCs w:val="12"/>
                <w:color w:val="auto"/>
              </w:rPr>
              <w:t>(excluding inflation)</w:t>
            </w:r>
          </w:p>
        </w:tc>
        <w:tc>
          <w:tcPr>
            <w:tcW w:w="0" w:type="dxa"/>
            <w:vAlign w:val="bottom"/>
          </w:tcPr>
          <w:p>
            <w:pPr>
              <w:spacing w:after="0"/>
              <w:rPr>
                <w:sz w:val="1"/>
                <w:szCs w:val="1"/>
                <w:color w:val="auto"/>
              </w:rPr>
            </w:pPr>
          </w:p>
        </w:tc>
      </w:tr>
      <w:tr>
        <w:trPr>
          <w:trHeight w:val="153"/>
        </w:trPr>
        <w:tc>
          <w:tcPr>
            <w:tcW w:w="2320" w:type="dxa"/>
            <w:vAlign w:val="bottom"/>
            <w:shd w:val="clear" w:color="auto" w:fill="CECAC6"/>
          </w:tcPr>
          <w:p>
            <w:pPr>
              <w:spacing w:after="0"/>
              <w:rPr>
                <w:sz w:val="13"/>
                <w:szCs w:val="13"/>
                <w:color w:val="auto"/>
              </w:rPr>
            </w:pPr>
          </w:p>
        </w:tc>
        <w:tc>
          <w:tcPr>
            <w:tcW w:w="600" w:type="dxa"/>
            <w:vAlign w:val="bottom"/>
            <w:shd w:val="clear" w:color="auto" w:fill="CECAC6"/>
          </w:tcPr>
          <w:p>
            <w:pPr>
              <w:spacing w:after="0"/>
              <w:rPr>
                <w:sz w:val="13"/>
                <w:szCs w:val="13"/>
                <w:color w:val="auto"/>
              </w:rPr>
            </w:pPr>
          </w:p>
        </w:tc>
        <w:tc>
          <w:tcPr>
            <w:tcW w:w="1260" w:type="dxa"/>
            <w:vAlign w:val="bottom"/>
            <w:shd w:val="clear" w:color="auto" w:fill="CECAC6"/>
          </w:tcPr>
          <w:p>
            <w:pPr>
              <w:jc w:val="right"/>
              <w:ind w:right="38"/>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CECAC6"/>
          </w:tcPr>
          <w:p>
            <w:pPr>
              <w:spacing w:after="0"/>
              <w:rPr>
                <w:sz w:val="13"/>
                <w:szCs w:val="13"/>
                <w:color w:val="auto"/>
              </w:rPr>
            </w:pPr>
          </w:p>
        </w:tc>
        <w:tc>
          <w:tcPr>
            <w:tcW w:w="1060" w:type="dxa"/>
            <w:vAlign w:val="bottom"/>
            <w:shd w:val="clear" w:color="auto" w:fill="CECAC6"/>
          </w:tcPr>
          <w:p>
            <w:pPr>
              <w:jc w:val="right"/>
              <w:ind w:right="658"/>
              <w:spacing w:after="0"/>
              <w:rPr>
                <w:sz w:val="20"/>
                <w:szCs w:val="20"/>
                <w:color w:val="auto"/>
              </w:rPr>
            </w:pPr>
            <w:r>
              <w:rPr>
                <w:rFonts w:ascii="Arial" w:cs="Arial" w:eastAsia="Arial" w:hAnsi="Arial"/>
                <w:sz w:val="12"/>
                <w:szCs w:val="12"/>
                <w:color w:val="auto"/>
              </w:rPr>
              <w:t>$</w:t>
            </w:r>
          </w:p>
        </w:tc>
        <w:tc>
          <w:tcPr>
            <w:tcW w:w="900" w:type="dxa"/>
            <w:vAlign w:val="bottom"/>
            <w:shd w:val="clear" w:color="auto" w:fill="CECAC6"/>
          </w:tcPr>
          <w:p>
            <w:pPr>
              <w:jc w:val="right"/>
              <w:ind w:right="298"/>
              <w:spacing w:after="0"/>
              <w:rPr>
                <w:sz w:val="20"/>
                <w:szCs w:val="20"/>
                <w:color w:val="auto"/>
              </w:rPr>
            </w:pPr>
            <w:r>
              <w:rPr>
                <w:rFonts w:ascii="Arial" w:cs="Arial" w:eastAsia="Arial" w:hAnsi="Arial"/>
                <w:sz w:val="12"/>
                <w:szCs w:val="12"/>
                <w:b w:val="1"/>
                <w:bCs w:val="1"/>
                <w:color w:val="auto"/>
              </w:rPr>
              <w:t>€</w:t>
            </w:r>
          </w:p>
        </w:tc>
        <w:tc>
          <w:tcPr>
            <w:tcW w:w="11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w:t>
            </w:r>
          </w:p>
        </w:tc>
        <w:tc>
          <w:tcPr>
            <w:tcW w:w="1100" w:type="dxa"/>
            <w:vAlign w:val="bottom"/>
            <w:shd w:val="clear" w:color="auto" w:fill="CECAC6"/>
          </w:tcPr>
          <w:p>
            <w:pPr>
              <w:jc w:val="right"/>
              <w:spacing w:after="0"/>
              <w:rPr>
                <w:sz w:val="20"/>
                <w:szCs w:val="20"/>
                <w:color w:val="auto"/>
              </w:rPr>
            </w:pPr>
            <w:r>
              <w:rPr>
                <w:rFonts w:ascii="Arial" w:cs="Arial" w:eastAsia="Arial" w:hAnsi="Arial"/>
                <w:sz w:val="12"/>
                <w:szCs w:val="12"/>
                <w:b w:val="1"/>
                <w:bCs w:val="1"/>
                <w:color w:val="auto"/>
              </w:rPr>
              <w:t>€</w:t>
            </w:r>
          </w:p>
        </w:tc>
        <w:tc>
          <w:tcPr>
            <w:tcW w:w="12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320" w:type="dxa"/>
            <w:vAlign w:val="bottom"/>
          </w:tcPr>
          <w:p>
            <w:pPr>
              <w:ind w:left="20"/>
              <w:spacing w:after="0" w:line="114" w:lineRule="exact"/>
              <w:rPr>
                <w:sz w:val="20"/>
                <w:szCs w:val="20"/>
                <w:color w:val="auto"/>
              </w:rPr>
            </w:pPr>
            <w:r>
              <w:rPr>
                <w:rFonts w:ascii="Arial" w:cs="Arial" w:eastAsia="Arial" w:hAnsi="Arial"/>
                <w:sz w:val="12"/>
                <w:szCs w:val="12"/>
                <w:color w:val="auto"/>
              </w:rPr>
              <w:t>Jeroen van der Veer</w:t>
            </w:r>
            <w:r>
              <w:rPr>
                <w:rFonts w:ascii="Arial" w:cs="Arial" w:eastAsia="Arial" w:hAnsi="Arial"/>
                <w:sz w:val="12"/>
                <w:szCs w:val="12"/>
                <w:b w:val="1"/>
                <w:bCs w:val="1"/>
                <w:color w:val="auto"/>
              </w:rPr>
              <w:t>[A]</w:t>
            </w:r>
          </w:p>
        </w:tc>
        <w:tc>
          <w:tcPr>
            <w:tcW w:w="600" w:type="dxa"/>
            <w:vAlign w:val="bottom"/>
          </w:tcPr>
          <w:p>
            <w:pPr>
              <w:spacing w:after="0"/>
              <w:rPr>
                <w:sz w:val="9"/>
                <w:szCs w:val="9"/>
                <w:color w:val="auto"/>
              </w:rPr>
            </w:pPr>
          </w:p>
        </w:tc>
        <w:tc>
          <w:tcPr>
            <w:tcW w:w="1260" w:type="dxa"/>
            <w:vAlign w:val="bottom"/>
          </w:tcPr>
          <w:p>
            <w:pPr>
              <w:jc w:val="right"/>
              <w:ind w:right="38"/>
              <w:spacing w:after="0" w:line="114" w:lineRule="exact"/>
              <w:rPr>
                <w:sz w:val="20"/>
                <w:szCs w:val="20"/>
                <w:color w:val="auto"/>
              </w:rPr>
            </w:pPr>
            <w:r>
              <w:rPr>
                <w:rFonts w:ascii="Arial" w:cs="Arial" w:eastAsia="Arial" w:hAnsi="Arial"/>
                <w:sz w:val="12"/>
                <w:szCs w:val="12"/>
                <w:color w:val="auto"/>
              </w:rPr>
              <w:t>1,206.00</w:t>
            </w:r>
          </w:p>
        </w:tc>
        <w:tc>
          <w:tcPr>
            <w:tcW w:w="1860" w:type="dxa"/>
            <w:vAlign w:val="bottom"/>
            <w:gridSpan w:val="2"/>
          </w:tcPr>
          <w:p>
            <w:pPr>
              <w:jc w:val="right"/>
              <w:ind w:right="658"/>
              <w:spacing w:after="0" w:line="114" w:lineRule="exact"/>
              <w:rPr>
                <w:sz w:val="20"/>
                <w:szCs w:val="20"/>
                <w:color w:val="auto"/>
              </w:rPr>
            </w:pPr>
            <w:r>
              <w:rPr>
                <w:rFonts w:ascii="Arial" w:cs="Arial" w:eastAsia="Arial" w:hAnsi="Arial"/>
                <w:sz w:val="12"/>
                <w:szCs w:val="12"/>
                <w:color w:val="auto"/>
              </w:rPr>
              <w:t>1,774.10</w:t>
            </w:r>
          </w:p>
        </w:tc>
        <w:tc>
          <w:tcPr>
            <w:tcW w:w="900" w:type="dxa"/>
            <w:vAlign w:val="bottom"/>
          </w:tcPr>
          <w:p>
            <w:pPr>
              <w:jc w:val="right"/>
              <w:ind w:right="298"/>
              <w:spacing w:after="0" w:line="114" w:lineRule="exact"/>
              <w:rPr>
                <w:sz w:val="20"/>
                <w:szCs w:val="20"/>
                <w:color w:val="auto"/>
              </w:rPr>
            </w:pPr>
            <w:r>
              <w:rPr>
                <w:rFonts w:ascii="Arial" w:cs="Arial" w:eastAsia="Arial" w:hAnsi="Arial"/>
                <w:sz w:val="12"/>
                <w:szCs w:val="12"/>
                <w:color w:val="auto"/>
              </w:rPr>
              <w:t>142.00</w:t>
            </w:r>
          </w:p>
        </w:tc>
        <w:tc>
          <w:tcPr>
            <w:tcW w:w="1100" w:type="dxa"/>
            <w:vAlign w:val="bottom"/>
          </w:tcPr>
          <w:p>
            <w:pPr>
              <w:jc w:val="right"/>
              <w:ind w:right="138"/>
              <w:spacing w:after="0" w:line="114" w:lineRule="exact"/>
              <w:rPr>
                <w:sz w:val="20"/>
                <w:szCs w:val="20"/>
                <w:color w:val="auto"/>
              </w:rPr>
            </w:pPr>
            <w:r>
              <w:rPr>
                <w:rFonts w:ascii="Arial" w:cs="Arial" w:eastAsia="Arial" w:hAnsi="Arial"/>
                <w:sz w:val="12"/>
                <w:szCs w:val="12"/>
                <w:color w:val="auto"/>
              </w:rPr>
              <w:t>195.72</w:t>
            </w:r>
          </w:p>
        </w:tc>
        <w:tc>
          <w:tcPr>
            <w:tcW w:w="1100" w:type="dxa"/>
            <w:vAlign w:val="bottom"/>
          </w:tcPr>
          <w:p>
            <w:pPr>
              <w:jc w:val="right"/>
              <w:spacing w:after="0" w:line="114" w:lineRule="exact"/>
              <w:rPr>
                <w:sz w:val="20"/>
                <w:szCs w:val="20"/>
                <w:color w:val="auto"/>
              </w:rPr>
            </w:pPr>
            <w:r>
              <w:rPr>
                <w:rFonts w:ascii="Arial" w:cs="Arial" w:eastAsia="Arial" w:hAnsi="Arial"/>
                <w:sz w:val="12"/>
                <w:szCs w:val="12"/>
                <w:color w:val="auto"/>
              </w:rPr>
              <w:t>125.00</w:t>
            </w:r>
          </w:p>
        </w:tc>
        <w:tc>
          <w:tcPr>
            <w:tcW w:w="1240" w:type="dxa"/>
            <w:vAlign w:val="bottom"/>
          </w:tcPr>
          <w:p>
            <w:pPr>
              <w:jc w:val="right"/>
              <w:ind w:right="18"/>
              <w:spacing w:after="0" w:line="114" w:lineRule="exact"/>
              <w:rPr>
                <w:sz w:val="20"/>
                <w:szCs w:val="20"/>
                <w:color w:val="auto"/>
              </w:rPr>
            </w:pPr>
            <w:r>
              <w:rPr>
                <w:rFonts w:ascii="Arial" w:cs="Arial" w:eastAsia="Arial" w:hAnsi="Arial"/>
                <w:sz w:val="12"/>
                <w:szCs w:val="12"/>
                <w:color w:val="auto"/>
              </w:rPr>
              <w:t>172.29</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rPr>
                <w:sz w:val="20"/>
                <w:szCs w:val="20"/>
                <w:color w:val="auto"/>
              </w:rPr>
            </w:pPr>
            <w:r>
              <w:rPr>
                <w:rFonts w:ascii="Arial" w:cs="Arial" w:eastAsia="Arial" w:hAnsi="Arial"/>
                <w:sz w:val="12"/>
                <w:szCs w:val="12"/>
                <w:color w:val="auto"/>
              </w:rPr>
              <w:t>Rob Routs</w:t>
            </w:r>
            <w:r>
              <w:rPr>
                <w:rFonts w:ascii="Arial" w:cs="Arial" w:eastAsia="Arial" w:hAnsi="Arial"/>
                <w:sz w:val="12"/>
                <w:szCs w:val="12"/>
                <w:b w:val="1"/>
                <w:bCs w:val="1"/>
                <w:color w:val="auto"/>
              </w:rPr>
              <w:t>[B]</w:t>
            </w:r>
          </w:p>
        </w:tc>
        <w:tc>
          <w:tcPr>
            <w:tcW w:w="600" w:type="dxa"/>
            <w:vAlign w:val="bottom"/>
          </w:tcPr>
          <w:p>
            <w:pPr>
              <w:spacing w:after="0"/>
              <w:rPr>
                <w:sz w:val="13"/>
                <w:szCs w:val="13"/>
                <w:color w:val="auto"/>
              </w:rPr>
            </w:pP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633.00</w:t>
            </w:r>
          </w:p>
        </w:tc>
        <w:tc>
          <w:tcPr>
            <w:tcW w:w="1860" w:type="dxa"/>
            <w:vAlign w:val="bottom"/>
            <w:gridSpan w:val="2"/>
          </w:tcPr>
          <w:p>
            <w:pPr>
              <w:jc w:val="right"/>
              <w:ind w:right="658"/>
              <w:spacing w:after="0"/>
              <w:rPr>
                <w:sz w:val="20"/>
                <w:szCs w:val="20"/>
                <w:color w:val="auto"/>
              </w:rPr>
            </w:pPr>
            <w:r>
              <w:rPr>
                <w:rFonts w:ascii="Arial" w:cs="Arial" w:eastAsia="Arial" w:hAnsi="Arial"/>
                <w:sz w:val="12"/>
                <w:szCs w:val="12"/>
                <w:color w:val="auto"/>
              </w:rPr>
              <w:t>931.16</w:t>
            </w:r>
          </w:p>
        </w:tc>
        <w:tc>
          <w:tcPr>
            <w:tcW w:w="900" w:type="dxa"/>
            <w:vAlign w:val="bottom"/>
          </w:tcPr>
          <w:p>
            <w:pPr>
              <w:jc w:val="right"/>
              <w:ind w:right="298"/>
              <w:spacing w:after="0"/>
              <w:rPr>
                <w:sz w:val="20"/>
                <w:szCs w:val="20"/>
                <w:color w:val="auto"/>
              </w:rPr>
            </w:pPr>
            <w:r>
              <w:rPr>
                <w:rFonts w:ascii="Arial" w:cs="Arial" w:eastAsia="Arial" w:hAnsi="Arial"/>
                <w:sz w:val="12"/>
                <w:szCs w:val="12"/>
                <w:color w:val="auto"/>
              </w:rPr>
              <w:t>42.00</w:t>
            </w:r>
          </w:p>
        </w:tc>
        <w:tc>
          <w:tcPr>
            <w:tcW w:w="1100" w:type="dxa"/>
            <w:vAlign w:val="bottom"/>
          </w:tcPr>
          <w:p>
            <w:pPr>
              <w:jc w:val="right"/>
              <w:ind w:right="138"/>
              <w:spacing w:after="0"/>
              <w:rPr>
                <w:sz w:val="20"/>
                <w:szCs w:val="20"/>
                <w:color w:val="auto"/>
              </w:rPr>
            </w:pPr>
            <w:r>
              <w:rPr>
                <w:rFonts w:ascii="Arial" w:cs="Arial" w:eastAsia="Arial" w:hAnsi="Arial"/>
                <w:sz w:val="12"/>
                <w:szCs w:val="12"/>
                <w:color w:val="auto"/>
              </w:rPr>
              <w:t>57.89</w:t>
            </w:r>
          </w:p>
        </w:tc>
        <w:tc>
          <w:tcPr>
            <w:tcW w:w="1100" w:type="dxa"/>
            <w:vAlign w:val="bottom"/>
          </w:tcPr>
          <w:p>
            <w:pPr>
              <w:jc w:val="right"/>
              <w:spacing w:after="0"/>
              <w:rPr>
                <w:sz w:val="20"/>
                <w:szCs w:val="20"/>
                <w:color w:val="auto"/>
              </w:rPr>
            </w:pPr>
            <w:r>
              <w:rPr>
                <w:rFonts w:ascii="Arial" w:cs="Arial" w:eastAsia="Arial" w:hAnsi="Arial"/>
                <w:sz w:val="12"/>
                <w:szCs w:val="12"/>
                <w:color w:val="auto"/>
              </w:rPr>
              <w:t>33.00</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45.48</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w:t>
            </w: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ind w:left="20"/>
              <w:spacing w:after="0" w:line="133" w:lineRule="exact"/>
              <w:rPr>
                <w:sz w:val="20"/>
                <w:szCs w:val="20"/>
                <w:color w:val="auto"/>
              </w:rPr>
            </w:pPr>
            <w:r>
              <w:rPr>
                <w:rFonts w:ascii="Arial" w:cs="Arial" w:eastAsia="Arial" w:hAnsi="Arial"/>
                <w:sz w:val="12"/>
                <w:szCs w:val="12"/>
                <w:color w:val="auto"/>
              </w:rPr>
              <w:t>Malcolm Brinded</w:t>
            </w:r>
            <w:r>
              <w:rPr>
                <w:rFonts w:ascii="Arial" w:cs="Arial" w:eastAsia="Arial" w:hAnsi="Arial"/>
                <w:sz w:val="12"/>
                <w:szCs w:val="12"/>
                <w:b w:val="1"/>
                <w:bCs w:val="1"/>
                <w:color w:val="auto"/>
              </w:rPr>
              <w:t>[C]</w:t>
            </w:r>
          </w:p>
        </w:tc>
        <w:tc>
          <w:tcPr>
            <w:tcW w:w="600" w:type="dxa"/>
            <w:vAlign w:val="bottom"/>
          </w:tcPr>
          <w:p>
            <w:pPr>
              <w:spacing w:after="0"/>
              <w:rPr>
                <w:sz w:val="11"/>
                <w:szCs w:val="11"/>
                <w:color w:val="auto"/>
              </w:rPr>
            </w:pPr>
          </w:p>
        </w:tc>
        <w:tc>
          <w:tcPr>
            <w:tcW w:w="12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485.56</w:t>
            </w:r>
          </w:p>
        </w:tc>
        <w:tc>
          <w:tcPr>
            <w:tcW w:w="1860" w:type="dxa"/>
            <w:vAlign w:val="bottom"/>
            <w:gridSpan w:val="2"/>
          </w:tcPr>
          <w:p>
            <w:pPr>
              <w:jc w:val="right"/>
              <w:ind w:right="658"/>
              <w:spacing w:after="0" w:line="133" w:lineRule="exact"/>
              <w:rPr>
                <w:sz w:val="20"/>
                <w:szCs w:val="20"/>
                <w:color w:val="auto"/>
              </w:rPr>
            </w:pPr>
            <w:r>
              <w:rPr>
                <w:rFonts w:ascii="Arial" w:cs="Arial" w:eastAsia="Arial" w:hAnsi="Arial"/>
                <w:sz w:val="12"/>
                <w:szCs w:val="12"/>
                <w:color w:val="auto"/>
              </w:rPr>
              <w:t>969.46</w:t>
            </w:r>
          </w:p>
        </w:tc>
        <w:tc>
          <w:tcPr>
            <w:tcW w:w="90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23.38</w:t>
            </w:r>
          </w:p>
        </w:tc>
        <w:tc>
          <w:tcPr>
            <w:tcW w:w="11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46.84</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3.51</w:t>
            </w:r>
          </w:p>
        </w:tc>
        <w:tc>
          <w:tcPr>
            <w:tcW w:w="1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7.02</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1860" w:type="dxa"/>
            <w:vAlign w:val="bottom"/>
            <w:gridSpan w:val="2"/>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ind w:left="20"/>
              <w:spacing w:after="0" w:line="133" w:lineRule="exact"/>
              <w:rPr>
                <w:sz w:val="20"/>
                <w:szCs w:val="20"/>
                <w:color w:val="auto"/>
              </w:rPr>
            </w:pPr>
            <w:r>
              <w:rPr>
                <w:rFonts w:ascii="Arial" w:cs="Arial" w:eastAsia="Arial" w:hAnsi="Arial"/>
                <w:sz w:val="12"/>
                <w:szCs w:val="12"/>
                <w:color w:val="auto"/>
              </w:rPr>
              <w:t>Linda Cook</w:t>
            </w:r>
            <w:r>
              <w:rPr>
                <w:rFonts w:ascii="Arial" w:cs="Arial" w:eastAsia="Arial" w:hAnsi="Arial"/>
                <w:sz w:val="12"/>
                <w:szCs w:val="12"/>
                <w:b w:val="1"/>
                <w:bCs w:val="1"/>
                <w:color w:val="auto"/>
              </w:rPr>
              <w:t>[D]</w:t>
            </w:r>
          </w:p>
        </w:tc>
        <w:tc>
          <w:tcPr>
            <w:tcW w:w="6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60" w:type="dxa"/>
            <w:vAlign w:val="bottom"/>
            <w:gridSpan w:val="2"/>
          </w:tcPr>
          <w:p>
            <w:pPr>
              <w:jc w:val="right"/>
              <w:ind w:right="658"/>
              <w:spacing w:after="0" w:line="133" w:lineRule="exact"/>
              <w:rPr>
                <w:sz w:val="20"/>
                <w:szCs w:val="20"/>
                <w:color w:val="auto"/>
              </w:rPr>
            </w:pPr>
            <w:r>
              <w:rPr>
                <w:rFonts w:ascii="Arial" w:cs="Arial" w:eastAsia="Arial" w:hAnsi="Arial"/>
                <w:sz w:val="12"/>
                <w:szCs w:val="12"/>
                <w:color w:val="auto"/>
              </w:rPr>
              <w:t>1,029.86</w:t>
            </w:r>
          </w:p>
        </w:tc>
        <w:tc>
          <w:tcPr>
            <w:tcW w:w="900" w:type="dxa"/>
            <w:vAlign w:val="bottom"/>
          </w:tcPr>
          <w:p>
            <w:pPr>
              <w:spacing w:after="0"/>
              <w:rPr>
                <w:sz w:val="11"/>
                <w:szCs w:val="11"/>
                <w:color w:val="auto"/>
              </w:rPr>
            </w:pPr>
          </w:p>
        </w:tc>
        <w:tc>
          <w:tcPr>
            <w:tcW w:w="11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240.42</w:t>
            </w:r>
          </w:p>
        </w:tc>
        <w:tc>
          <w:tcPr>
            <w:tcW w:w="1100" w:type="dxa"/>
            <w:vAlign w:val="bottom"/>
          </w:tcPr>
          <w:p>
            <w:pPr>
              <w:spacing w:after="0"/>
              <w:rPr>
                <w:sz w:val="11"/>
                <w:szCs w:val="11"/>
                <w:color w:val="auto"/>
              </w:rPr>
            </w:pPr>
          </w:p>
        </w:tc>
        <w:tc>
          <w:tcPr>
            <w:tcW w:w="1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206.43</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CHF</w:t>
            </w: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298"/>
              <w:spacing w:after="0" w:line="133" w:lineRule="exact"/>
              <w:rPr>
                <w:sz w:val="20"/>
                <w:szCs w:val="20"/>
                <w:color w:val="auto"/>
              </w:rPr>
            </w:pPr>
            <w:r>
              <w:rPr>
                <w:rFonts w:ascii="Arial" w:cs="Arial" w:eastAsia="Arial" w:hAnsi="Arial"/>
                <w:sz w:val="12"/>
                <w:szCs w:val="12"/>
                <w:color w:val="auto"/>
              </w:rPr>
              <w:t>CHF</w:t>
            </w: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CHF</w:t>
            </w: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2"/>
                <w:szCs w:val="12"/>
                <w:color w:val="auto"/>
              </w:rPr>
              <w:t>Peter Voser</w:t>
            </w:r>
            <w:r>
              <w:rPr>
                <w:rFonts w:ascii="Arial" w:cs="Arial" w:eastAsia="Arial" w:hAnsi="Arial"/>
                <w:sz w:val="12"/>
                <w:szCs w:val="12"/>
                <w:b w:val="1"/>
                <w:bCs w:val="1"/>
                <w:color w:val="auto"/>
              </w:rPr>
              <w:t>[E]</w:t>
            </w:r>
          </w:p>
        </w:tc>
        <w:tc>
          <w:tcPr>
            <w:tcW w:w="6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700.80</w:t>
            </w:r>
          </w:p>
        </w:tc>
        <w:tc>
          <w:tcPr>
            <w:tcW w:w="1860" w:type="dxa"/>
            <w:vAlign w:val="bottom"/>
            <w:tcBorders>
              <w:bottom w:val="single" w:sz="8" w:color="auto"/>
            </w:tcBorders>
            <w:gridSpan w:val="2"/>
          </w:tcPr>
          <w:p>
            <w:pPr>
              <w:jc w:val="right"/>
              <w:ind w:right="658"/>
              <w:spacing w:after="0" w:line="133" w:lineRule="exact"/>
              <w:rPr>
                <w:sz w:val="20"/>
                <w:szCs w:val="20"/>
                <w:color w:val="auto"/>
              </w:rPr>
            </w:pPr>
            <w:r>
              <w:rPr>
                <w:rFonts w:ascii="Arial" w:cs="Arial" w:eastAsia="Arial" w:hAnsi="Arial"/>
                <w:sz w:val="12"/>
                <w:szCs w:val="12"/>
                <w:color w:val="auto"/>
              </w:rPr>
              <w:t>621.96</w:t>
            </w:r>
          </w:p>
        </w:tc>
        <w:tc>
          <w:tcPr>
            <w:tcW w:w="900" w:type="dxa"/>
            <w:vAlign w:val="bottom"/>
            <w:tcBorders>
              <w:bottom w:val="single" w:sz="8" w:color="auto"/>
            </w:tcBorders>
          </w:tcPr>
          <w:p>
            <w:pPr>
              <w:jc w:val="right"/>
              <w:ind w:right="298"/>
              <w:spacing w:after="0" w:line="133" w:lineRule="exact"/>
              <w:rPr>
                <w:sz w:val="20"/>
                <w:szCs w:val="20"/>
                <w:color w:val="auto"/>
              </w:rPr>
            </w:pPr>
            <w:r>
              <w:rPr>
                <w:rFonts w:ascii="Arial" w:cs="Arial" w:eastAsia="Arial" w:hAnsi="Arial"/>
                <w:sz w:val="12"/>
                <w:szCs w:val="12"/>
                <w:color w:val="auto"/>
              </w:rPr>
              <w:t>87.60</w:t>
            </w:r>
          </w:p>
        </w:tc>
        <w:tc>
          <w:tcPr>
            <w:tcW w:w="1100" w:type="dxa"/>
            <w:vAlign w:val="bottom"/>
            <w:tcBorders>
              <w:bottom w:val="single" w:sz="8" w:color="auto"/>
            </w:tcBorders>
          </w:tcPr>
          <w:p>
            <w:pPr>
              <w:jc w:val="right"/>
              <w:ind w:right="138"/>
              <w:spacing w:after="0" w:line="133" w:lineRule="exact"/>
              <w:rPr>
                <w:sz w:val="20"/>
                <w:szCs w:val="20"/>
                <w:color w:val="auto"/>
              </w:rPr>
            </w:pPr>
            <w:r>
              <w:rPr>
                <w:rFonts w:ascii="Arial" w:cs="Arial" w:eastAsia="Arial" w:hAnsi="Arial"/>
                <w:sz w:val="12"/>
                <w:szCs w:val="12"/>
                <w:color w:val="auto"/>
              </w:rPr>
              <w:t>73.36</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76.56</w:t>
            </w:r>
          </w:p>
        </w:tc>
        <w:tc>
          <w:tcPr>
            <w:tcW w:w="124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64.11</w:t>
            </w:r>
          </w:p>
        </w:tc>
        <w:tc>
          <w:tcPr>
            <w:tcW w:w="0" w:type="dxa"/>
            <w:vAlign w:val="bottom"/>
          </w:tcPr>
          <w:p>
            <w:pPr>
              <w:spacing w:after="0"/>
              <w:rPr>
                <w:sz w:val="1"/>
                <w:szCs w:val="1"/>
                <w:color w:val="auto"/>
              </w:rPr>
            </w:pPr>
          </w:p>
        </w:tc>
      </w:tr>
      <w:tr>
        <w:trPr>
          <w:trHeight w:val="360"/>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1D72E"/>
          </w:tcPr>
          <w:p>
            <w:pPr>
              <w:ind w:left="20"/>
              <w:spacing w:after="0" w:line="133" w:lineRule="exact"/>
              <w:rPr>
                <w:sz w:val="20"/>
                <w:szCs w:val="20"/>
                <w:color w:val="auto"/>
              </w:rPr>
            </w:pPr>
            <w:r>
              <w:rPr>
                <w:rFonts w:ascii="Arial" w:cs="Arial" w:eastAsia="Arial" w:hAnsi="Arial"/>
                <w:sz w:val="12"/>
                <w:szCs w:val="12"/>
                <w:b w:val="1"/>
                <w:bCs w:val="1"/>
                <w:color w:val="auto"/>
              </w:rPr>
              <w:t xml:space="preserve">PENSIONS </w:t>
            </w:r>
            <w:r>
              <w:rPr>
                <w:rFonts w:ascii="Arial" w:cs="Arial" w:eastAsia="Arial" w:hAnsi="Arial"/>
                <w:sz w:val="12"/>
                <w:szCs w:val="12"/>
                <w:color w:val="auto"/>
              </w:rPr>
              <w:t>(This table has been audited)</w:t>
            </w:r>
          </w:p>
        </w:tc>
        <w:tc>
          <w:tcPr>
            <w:tcW w:w="600" w:type="dxa"/>
            <w:vAlign w:val="bottom"/>
            <w:shd w:val="clear" w:color="auto" w:fill="C1D72E"/>
          </w:tcPr>
          <w:p>
            <w:pPr>
              <w:spacing w:after="0"/>
              <w:rPr>
                <w:sz w:val="11"/>
                <w:szCs w:val="11"/>
                <w:color w:val="auto"/>
              </w:rPr>
            </w:pPr>
          </w:p>
        </w:tc>
        <w:tc>
          <w:tcPr>
            <w:tcW w:w="1260" w:type="dxa"/>
            <w:vAlign w:val="bottom"/>
            <w:shd w:val="clear" w:color="auto" w:fill="C1D72E"/>
          </w:tcPr>
          <w:p>
            <w:pPr>
              <w:spacing w:after="0"/>
              <w:rPr>
                <w:sz w:val="11"/>
                <w:szCs w:val="11"/>
                <w:color w:val="auto"/>
              </w:rPr>
            </w:pPr>
          </w:p>
        </w:tc>
        <w:tc>
          <w:tcPr>
            <w:tcW w:w="800" w:type="dxa"/>
            <w:vAlign w:val="bottom"/>
            <w:shd w:val="clear" w:color="auto" w:fill="C1D72E"/>
          </w:tcPr>
          <w:p>
            <w:pPr>
              <w:spacing w:after="0"/>
              <w:rPr>
                <w:sz w:val="11"/>
                <w:szCs w:val="11"/>
                <w:color w:val="auto"/>
              </w:rPr>
            </w:pPr>
          </w:p>
        </w:tc>
        <w:tc>
          <w:tcPr>
            <w:tcW w:w="1060" w:type="dxa"/>
            <w:vAlign w:val="bottom"/>
            <w:shd w:val="clear" w:color="auto" w:fill="C1D72E"/>
          </w:tcPr>
          <w:p>
            <w:pPr>
              <w:spacing w:after="0"/>
              <w:rPr>
                <w:sz w:val="11"/>
                <w:szCs w:val="11"/>
                <w:color w:val="auto"/>
              </w:rPr>
            </w:pPr>
          </w:p>
        </w:tc>
        <w:tc>
          <w:tcPr>
            <w:tcW w:w="900" w:type="dxa"/>
            <w:vAlign w:val="bottom"/>
            <w:shd w:val="clear" w:color="auto" w:fill="C1D72E"/>
          </w:tcPr>
          <w:p>
            <w:pPr>
              <w:spacing w:after="0"/>
              <w:rPr>
                <w:sz w:val="11"/>
                <w:szCs w:val="11"/>
                <w:color w:val="auto"/>
              </w:rPr>
            </w:pPr>
          </w:p>
        </w:tc>
        <w:tc>
          <w:tcPr>
            <w:tcW w:w="1100" w:type="dxa"/>
            <w:vAlign w:val="bottom"/>
            <w:shd w:val="clear" w:color="auto" w:fill="C1D72E"/>
          </w:tcPr>
          <w:p>
            <w:pPr>
              <w:spacing w:after="0"/>
              <w:rPr>
                <w:sz w:val="11"/>
                <w:szCs w:val="11"/>
                <w:color w:val="auto"/>
              </w:rPr>
            </w:pPr>
          </w:p>
        </w:tc>
        <w:tc>
          <w:tcPr>
            <w:tcW w:w="1100" w:type="dxa"/>
            <w:vAlign w:val="bottom"/>
            <w:shd w:val="clear" w:color="auto" w:fill="C1D72E"/>
          </w:tcPr>
          <w:p>
            <w:pPr>
              <w:spacing w:after="0"/>
              <w:rPr>
                <w:sz w:val="11"/>
                <w:szCs w:val="11"/>
                <w:color w:val="auto"/>
              </w:rPr>
            </w:pPr>
          </w:p>
        </w:tc>
        <w:tc>
          <w:tcPr>
            <w:tcW w:w="1240" w:type="dxa"/>
            <w:vAlign w:val="bottom"/>
            <w:shd w:val="clear" w:color="auto" w:fill="C1D72E"/>
          </w:tcPr>
          <w:p>
            <w:pPr>
              <w:jc w:val="right"/>
              <w:ind w:right="18"/>
              <w:spacing w:after="0" w:line="133" w:lineRule="exact"/>
              <w:rPr>
                <w:sz w:val="20"/>
                <w:szCs w:val="20"/>
                <w:color w:val="auto"/>
              </w:rPr>
            </w:pPr>
            <w:r>
              <w:rPr>
                <w:rFonts w:ascii="Arial" w:cs="Arial" w:eastAsia="Arial" w:hAnsi="Arial"/>
                <w:sz w:val="12"/>
                <w:szCs w:val="12"/>
                <w:color w:val="auto"/>
              </w:rPr>
              <w:t>Values in thousands</w:t>
            </w:r>
          </w:p>
        </w:tc>
        <w:tc>
          <w:tcPr>
            <w:tcW w:w="0" w:type="dxa"/>
            <w:vAlign w:val="bottom"/>
          </w:tcPr>
          <w:p>
            <w:pPr>
              <w:spacing w:after="0"/>
              <w:rPr>
                <w:sz w:val="1"/>
                <w:szCs w:val="1"/>
                <w:color w:val="auto"/>
              </w:rPr>
            </w:pPr>
          </w:p>
        </w:tc>
      </w:tr>
      <w:tr>
        <w:trPr>
          <w:trHeight w:val="147"/>
        </w:trPr>
        <w:tc>
          <w:tcPr>
            <w:tcW w:w="2320" w:type="dxa"/>
            <w:vAlign w:val="bottom"/>
            <w:shd w:val="clear" w:color="auto" w:fill="CECAC6"/>
          </w:tcPr>
          <w:p>
            <w:pPr>
              <w:ind w:left="20"/>
              <w:spacing w:after="0"/>
              <w:rPr>
                <w:sz w:val="20"/>
                <w:szCs w:val="20"/>
                <w:color w:val="auto"/>
              </w:rPr>
            </w:pPr>
            <w:r>
              <w:rPr>
                <w:rFonts w:ascii="Arial" w:cs="Arial" w:eastAsia="Arial" w:hAnsi="Arial"/>
                <w:sz w:val="12"/>
                <w:szCs w:val="12"/>
                <w:color w:val="auto"/>
              </w:rPr>
              <w:t>Transfer value of accrued benefits</w:t>
            </w:r>
          </w:p>
        </w:tc>
        <w:tc>
          <w:tcPr>
            <w:tcW w:w="6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1060" w:type="dxa"/>
            <w:vAlign w:val="bottom"/>
            <w:shd w:val="clear" w:color="auto" w:fill="CECAC6"/>
          </w:tcPr>
          <w:p>
            <w:pPr>
              <w:spacing w:after="0"/>
              <w:rPr>
                <w:sz w:val="12"/>
                <w:szCs w:val="12"/>
                <w:color w:val="auto"/>
              </w:rPr>
            </w:pPr>
          </w:p>
        </w:tc>
        <w:tc>
          <w:tcPr>
            <w:tcW w:w="900" w:type="dxa"/>
            <w:vAlign w:val="bottom"/>
            <w:shd w:val="clear" w:color="auto" w:fill="CECAC6"/>
          </w:tcPr>
          <w:p>
            <w:pPr>
              <w:spacing w:after="0"/>
              <w:rPr>
                <w:sz w:val="12"/>
                <w:szCs w:val="12"/>
                <w:color w:val="auto"/>
              </w:rPr>
            </w:pPr>
          </w:p>
        </w:tc>
        <w:tc>
          <w:tcPr>
            <w:tcW w:w="1100" w:type="dxa"/>
            <w:vAlign w:val="bottom"/>
            <w:shd w:val="clear" w:color="auto" w:fill="CECAC6"/>
          </w:tcPr>
          <w:p>
            <w:pPr>
              <w:spacing w:after="0"/>
              <w:rPr>
                <w:sz w:val="12"/>
                <w:szCs w:val="12"/>
                <w:color w:val="auto"/>
              </w:rPr>
            </w:pPr>
          </w:p>
        </w:tc>
        <w:tc>
          <w:tcPr>
            <w:tcW w:w="1100" w:type="dxa"/>
            <w:vAlign w:val="bottom"/>
            <w:shd w:val="clear" w:color="auto" w:fill="CECAC6"/>
          </w:tcPr>
          <w:p>
            <w:pPr>
              <w:spacing w:after="0"/>
              <w:rPr>
                <w:sz w:val="12"/>
                <w:szCs w:val="12"/>
                <w:color w:val="auto"/>
              </w:rPr>
            </w:pPr>
          </w:p>
        </w:tc>
        <w:tc>
          <w:tcPr>
            <w:tcW w:w="1240" w:type="dxa"/>
            <w:vAlign w:val="bottom"/>
            <w:vMerge w:val="restart"/>
            <w:shd w:val="clear" w:color="auto" w:fill="CECAC6"/>
          </w:tcPr>
          <w:p>
            <w:pPr>
              <w:jc w:val="right"/>
              <w:ind w:right="18"/>
              <w:spacing w:after="0"/>
              <w:rPr>
                <w:sz w:val="20"/>
                <w:szCs w:val="20"/>
                <w:color w:val="auto"/>
              </w:rPr>
            </w:pPr>
            <w:r>
              <w:rPr>
                <w:rFonts w:ascii="Arial" w:cs="Arial" w:eastAsia="Arial" w:hAnsi="Arial"/>
                <w:sz w:val="12"/>
                <w:szCs w:val="12"/>
                <w:color w:val="auto"/>
              </w:rPr>
              <w:t>Increase in accrued</w:t>
            </w:r>
          </w:p>
        </w:tc>
        <w:tc>
          <w:tcPr>
            <w:tcW w:w="0" w:type="dxa"/>
            <w:vAlign w:val="bottom"/>
          </w:tcPr>
          <w:p>
            <w:pPr>
              <w:spacing w:after="0"/>
              <w:rPr>
                <w:sz w:val="1"/>
                <w:szCs w:val="1"/>
                <w:color w:val="auto"/>
              </w:rPr>
            </w:pPr>
          </w:p>
        </w:tc>
      </w:tr>
      <w:tr>
        <w:trPr>
          <w:trHeight w:val="127"/>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240" w:type="dxa"/>
            <w:vAlign w:val="bottom"/>
            <w:vMerge w:val="continue"/>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Increase over</w:t>
            </w:r>
          </w:p>
        </w:tc>
        <w:tc>
          <w:tcPr>
            <w:tcW w:w="110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pension over the</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the year less</w:t>
            </w:r>
          </w:p>
        </w:tc>
        <w:tc>
          <w:tcPr>
            <w:tcW w:w="234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year (excluding inflation)</w:t>
            </w:r>
          </w:p>
        </w:tc>
        <w:tc>
          <w:tcPr>
            <w:tcW w:w="0" w:type="dxa"/>
            <w:vAlign w:val="bottom"/>
          </w:tcPr>
          <w:p>
            <w:pPr>
              <w:spacing w:after="0"/>
              <w:rPr>
                <w:sz w:val="1"/>
                <w:szCs w:val="1"/>
                <w:color w:val="auto"/>
              </w:rPr>
            </w:pPr>
          </w:p>
        </w:tc>
      </w:tr>
      <w:tr>
        <w:trPr>
          <w:trHeight w:val="119"/>
        </w:trPr>
        <w:tc>
          <w:tcPr>
            <w:tcW w:w="2320" w:type="dxa"/>
            <w:vAlign w:val="bottom"/>
            <w:shd w:val="clear" w:color="auto" w:fill="CECAC6"/>
          </w:tcPr>
          <w:p>
            <w:pPr>
              <w:spacing w:after="0"/>
              <w:rPr>
                <w:sz w:val="10"/>
                <w:szCs w:val="10"/>
                <w:color w:val="auto"/>
              </w:rPr>
            </w:pPr>
          </w:p>
        </w:tc>
        <w:tc>
          <w:tcPr>
            <w:tcW w:w="600" w:type="dxa"/>
            <w:vAlign w:val="bottom"/>
            <w:shd w:val="clear" w:color="auto" w:fill="CECAC6"/>
          </w:tcPr>
          <w:p>
            <w:pPr>
              <w:spacing w:after="0"/>
              <w:rPr>
                <w:sz w:val="10"/>
                <w:szCs w:val="10"/>
                <w:color w:val="auto"/>
              </w:rPr>
            </w:pPr>
          </w:p>
        </w:tc>
        <w:tc>
          <w:tcPr>
            <w:tcW w:w="1260" w:type="dxa"/>
            <w:vAlign w:val="bottom"/>
            <w:shd w:val="clear" w:color="auto" w:fill="CECAC6"/>
          </w:tcPr>
          <w:p>
            <w:pPr>
              <w:jc w:val="right"/>
              <w:ind w:right="278"/>
              <w:spacing w:after="0" w:line="120" w:lineRule="exact"/>
              <w:rPr>
                <w:sz w:val="20"/>
                <w:szCs w:val="20"/>
                <w:color w:val="auto"/>
              </w:rPr>
            </w:pPr>
            <w:r>
              <w:rPr>
                <w:rFonts w:ascii="Arial" w:cs="Arial" w:eastAsia="Arial" w:hAnsi="Arial"/>
                <w:sz w:val="12"/>
                <w:szCs w:val="12"/>
                <w:color w:val="auto"/>
              </w:rPr>
              <w:t>At Dec 31, 2007</w:t>
            </w:r>
          </w:p>
        </w:tc>
        <w:tc>
          <w:tcPr>
            <w:tcW w:w="800" w:type="dxa"/>
            <w:vAlign w:val="bottom"/>
            <w:shd w:val="clear" w:color="auto" w:fill="CECAC6"/>
          </w:tcPr>
          <w:p>
            <w:pPr>
              <w:spacing w:after="0"/>
              <w:rPr>
                <w:sz w:val="10"/>
                <w:szCs w:val="10"/>
                <w:color w:val="auto"/>
              </w:rPr>
            </w:pPr>
          </w:p>
        </w:tc>
        <w:tc>
          <w:tcPr>
            <w:tcW w:w="1060" w:type="dxa"/>
            <w:vAlign w:val="bottom"/>
            <w:shd w:val="clear" w:color="auto" w:fill="CECAC6"/>
          </w:tcPr>
          <w:p>
            <w:pPr>
              <w:jc w:val="right"/>
              <w:ind w:right="98"/>
              <w:spacing w:after="0" w:line="120" w:lineRule="exact"/>
              <w:rPr>
                <w:sz w:val="20"/>
                <w:szCs w:val="20"/>
                <w:color w:val="auto"/>
              </w:rPr>
            </w:pPr>
            <w:r>
              <w:rPr>
                <w:rFonts w:ascii="Arial" w:cs="Arial" w:eastAsia="Arial" w:hAnsi="Arial"/>
                <w:sz w:val="12"/>
                <w:szCs w:val="12"/>
                <w:color w:val="auto"/>
              </w:rPr>
              <w:t>At Dec 31, 2006</w:t>
            </w:r>
          </w:p>
        </w:tc>
        <w:tc>
          <w:tcPr>
            <w:tcW w:w="2000" w:type="dxa"/>
            <w:vAlign w:val="bottom"/>
            <w:gridSpan w:val="2"/>
            <w:shd w:val="clear" w:color="auto" w:fill="CECAC6"/>
          </w:tcPr>
          <w:p>
            <w:pPr>
              <w:jc w:val="right"/>
              <w:ind w:right="178"/>
              <w:spacing w:after="0" w:line="120" w:lineRule="exact"/>
              <w:rPr>
                <w:sz w:val="20"/>
                <w:szCs w:val="20"/>
                <w:color w:val="auto"/>
              </w:rPr>
            </w:pPr>
            <w:r>
              <w:rPr>
                <w:rFonts w:ascii="Arial" w:cs="Arial" w:eastAsia="Arial" w:hAnsi="Arial"/>
                <w:sz w:val="12"/>
                <w:szCs w:val="12"/>
                <w:color w:val="auto"/>
              </w:rPr>
              <w:t>Director’s contribution</w:t>
            </w:r>
          </w:p>
        </w:tc>
        <w:tc>
          <w:tcPr>
            <w:tcW w:w="2340" w:type="dxa"/>
            <w:vAlign w:val="bottom"/>
            <w:gridSpan w:val="2"/>
            <w:shd w:val="clear" w:color="auto" w:fill="CECAC6"/>
          </w:tcPr>
          <w:p>
            <w:pPr>
              <w:jc w:val="right"/>
              <w:ind w:right="18"/>
              <w:spacing w:after="0" w:line="120" w:lineRule="exact"/>
              <w:rPr>
                <w:sz w:val="20"/>
                <w:szCs w:val="20"/>
                <w:color w:val="auto"/>
              </w:rPr>
            </w:pPr>
            <w:r>
              <w:rPr>
                <w:rFonts w:ascii="Arial" w:cs="Arial" w:eastAsia="Arial" w:hAnsi="Arial"/>
                <w:sz w:val="12"/>
                <w:szCs w:val="12"/>
                <w:color w:val="auto"/>
              </w:rPr>
              <w:t>less Director’s contribution</w:t>
            </w:r>
          </w:p>
        </w:tc>
        <w:tc>
          <w:tcPr>
            <w:tcW w:w="0" w:type="dxa"/>
            <w:vAlign w:val="bottom"/>
          </w:tcPr>
          <w:p>
            <w:pPr>
              <w:spacing w:after="0"/>
              <w:rPr>
                <w:sz w:val="1"/>
                <w:szCs w:val="1"/>
                <w:color w:val="auto"/>
              </w:rPr>
            </w:pPr>
          </w:p>
        </w:tc>
      </w:tr>
      <w:tr>
        <w:trPr>
          <w:trHeight w:val="153"/>
        </w:trPr>
        <w:tc>
          <w:tcPr>
            <w:tcW w:w="2320" w:type="dxa"/>
            <w:vAlign w:val="bottom"/>
            <w:shd w:val="clear" w:color="auto" w:fill="CECAC6"/>
          </w:tcPr>
          <w:p>
            <w:pPr>
              <w:spacing w:after="0"/>
              <w:rPr>
                <w:sz w:val="13"/>
                <w:szCs w:val="13"/>
                <w:color w:val="auto"/>
              </w:rPr>
            </w:pPr>
          </w:p>
        </w:tc>
        <w:tc>
          <w:tcPr>
            <w:tcW w:w="600" w:type="dxa"/>
            <w:vAlign w:val="bottom"/>
            <w:shd w:val="clear" w:color="auto" w:fill="CECAC6"/>
          </w:tcPr>
          <w:p>
            <w:pPr>
              <w:jc w:val="right"/>
              <w:spacing w:after="0"/>
              <w:rPr>
                <w:sz w:val="20"/>
                <w:szCs w:val="20"/>
                <w:color w:val="auto"/>
              </w:rPr>
            </w:pPr>
            <w:r>
              <w:rPr>
                <w:rFonts w:ascii="Arial" w:cs="Arial" w:eastAsia="Arial" w:hAnsi="Arial"/>
                <w:sz w:val="12"/>
                <w:szCs w:val="12"/>
                <w:b w:val="1"/>
                <w:bCs w:val="1"/>
                <w:color w:val="auto"/>
              </w:rPr>
              <w:t>€</w:t>
            </w:r>
          </w:p>
        </w:tc>
        <w:tc>
          <w:tcPr>
            <w:tcW w:w="126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w:t>
            </w:r>
          </w:p>
        </w:tc>
        <w:tc>
          <w:tcPr>
            <w:tcW w:w="800" w:type="dxa"/>
            <w:vAlign w:val="bottom"/>
            <w:shd w:val="clear" w:color="auto" w:fill="CECAC6"/>
          </w:tcPr>
          <w:p>
            <w:pPr>
              <w:jc w:val="right"/>
              <w:ind w:right="98"/>
              <w:spacing w:after="0"/>
              <w:rPr>
                <w:sz w:val="20"/>
                <w:szCs w:val="20"/>
                <w:color w:val="auto"/>
              </w:rPr>
            </w:pPr>
            <w:r>
              <w:rPr>
                <w:rFonts w:ascii="Arial" w:cs="Arial" w:eastAsia="Arial" w:hAnsi="Arial"/>
                <w:sz w:val="12"/>
                <w:szCs w:val="12"/>
                <w:b w:val="1"/>
                <w:bCs w:val="1"/>
                <w:color w:val="auto"/>
              </w:rPr>
              <w:t>€</w:t>
            </w:r>
          </w:p>
        </w:tc>
        <w:tc>
          <w:tcPr>
            <w:tcW w:w="106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w:t>
            </w:r>
          </w:p>
        </w:tc>
        <w:tc>
          <w:tcPr>
            <w:tcW w:w="900" w:type="dxa"/>
            <w:vAlign w:val="bottom"/>
            <w:shd w:val="clear" w:color="auto" w:fill="CECAC6"/>
          </w:tcPr>
          <w:p>
            <w:pPr>
              <w:jc w:val="right"/>
              <w:ind w:right="58"/>
              <w:spacing w:after="0"/>
              <w:rPr>
                <w:sz w:val="20"/>
                <w:szCs w:val="20"/>
                <w:color w:val="auto"/>
              </w:rPr>
            </w:pPr>
            <w:r>
              <w:rPr>
                <w:rFonts w:ascii="Arial" w:cs="Arial" w:eastAsia="Arial" w:hAnsi="Arial"/>
                <w:sz w:val="12"/>
                <w:szCs w:val="12"/>
                <w:b w:val="1"/>
                <w:bCs w:val="1"/>
                <w:color w:val="auto"/>
              </w:rPr>
              <w:t>€</w:t>
            </w:r>
          </w:p>
        </w:tc>
        <w:tc>
          <w:tcPr>
            <w:tcW w:w="11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w:t>
            </w:r>
          </w:p>
        </w:tc>
        <w:tc>
          <w:tcPr>
            <w:tcW w:w="1100" w:type="dxa"/>
            <w:vAlign w:val="bottom"/>
            <w:shd w:val="clear" w:color="auto" w:fill="CECAC6"/>
          </w:tcPr>
          <w:p>
            <w:pPr>
              <w:jc w:val="right"/>
              <w:ind w:right="338"/>
              <w:spacing w:after="0"/>
              <w:rPr>
                <w:sz w:val="20"/>
                <w:szCs w:val="20"/>
                <w:color w:val="auto"/>
              </w:rPr>
            </w:pPr>
            <w:r>
              <w:rPr>
                <w:rFonts w:ascii="Arial" w:cs="Arial" w:eastAsia="Arial" w:hAnsi="Arial"/>
                <w:sz w:val="12"/>
                <w:szCs w:val="12"/>
                <w:b w:val="1"/>
                <w:bCs w:val="1"/>
                <w:color w:val="auto"/>
              </w:rPr>
              <w:t>€</w:t>
            </w:r>
          </w:p>
        </w:tc>
        <w:tc>
          <w:tcPr>
            <w:tcW w:w="12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3"/>
        </w:trPr>
        <w:tc>
          <w:tcPr>
            <w:tcW w:w="2320" w:type="dxa"/>
            <w:vAlign w:val="bottom"/>
          </w:tcPr>
          <w:p>
            <w:pPr>
              <w:ind w:left="20"/>
              <w:spacing w:after="0" w:line="114" w:lineRule="exact"/>
              <w:rPr>
                <w:sz w:val="20"/>
                <w:szCs w:val="20"/>
                <w:color w:val="auto"/>
              </w:rPr>
            </w:pPr>
            <w:r>
              <w:rPr>
                <w:rFonts w:ascii="Arial" w:cs="Arial" w:eastAsia="Arial" w:hAnsi="Arial"/>
                <w:sz w:val="12"/>
                <w:szCs w:val="12"/>
                <w:color w:val="auto"/>
              </w:rPr>
              <w:t>Jeroen van der Veer</w:t>
            </w:r>
            <w:r>
              <w:rPr>
                <w:rFonts w:ascii="Arial" w:cs="Arial" w:eastAsia="Arial" w:hAnsi="Arial"/>
                <w:sz w:val="12"/>
                <w:szCs w:val="12"/>
                <w:b w:val="1"/>
                <w:bCs w:val="1"/>
                <w:color w:val="auto"/>
              </w:rPr>
              <w:t>[A]</w:t>
            </w:r>
          </w:p>
        </w:tc>
        <w:tc>
          <w:tcPr>
            <w:tcW w:w="600" w:type="dxa"/>
            <w:vAlign w:val="bottom"/>
          </w:tcPr>
          <w:p>
            <w:pPr>
              <w:jc w:val="right"/>
              <w:spacing w:after="0" w:line="114" w:lineRule="exact"/>
              <w:rPr>
                <w:sz w:val="20"/>
                <w:szCs w:val="20"/>
                <w:color w:val="auto"/>
              </w:rPr>
            </w:pPr>
            <w:r>
              <w:rPr>
                <w:rFonts w:ascii="Arial" w:cs="Arial" w:eastAsia="Arial" w:hAnsi="Arial"/>
                <w:sz w:val="12"/>
                <w:szCs w:val="12"/>
                <w:color w:val="auto"/>
              </w:rPr>
              <w:t>18,174.00</w:t>
            </w:r>
          </w:p>
        </w:tc>
        <w:tc>
          <w:tcPr>
            <w:tcW w:w="1260" w:type="dxa"/>
            <w:vAlign w:val="bottom"/>
          </w:tcPr>
          <w:p>
            <w:pPr>
              <w:jc w:val="right"/>
              <w:ind w:right="278"/>
              <w:spacing w:after="0" w:line="114" w:lineRule="exact"/>
              <w:rPr>
                <w:sz w:val="20"/>
                <w:szCs w:val="20"/>
                <w:color w:val="auto"/>
              </w:rPr>
            </w:pPr>
            <w:r>
              <w:rPr>
                <w:rFonts w:ascii="Arial" w:cs="Arial" w:eastAsia="Arial" w:hAnsi="Arial"/>
                <w:sz w:val="12"/>
                <w:szCs w:val="12"/>
                <w:color w:val="auto"/>
              </w:rPr>
              <w:t>26,734.34</w:t>
            </w:r>
          </w:p>
        </w:tc>
        <w:tc>
          <w:tcPr>
            <w:tcW w:w="800" w:type="dxa"/>
            <w:vAlign w:val="bottom"/>
          </w:tcPr>
          <w:p>
            <w:pPr>
              <w:jc w:val="right"/>
              <w:ind w:right="98"/>
              <w:spacing w:after="0" w:line="114" w:lineRule="exact"/>
              <w:rPr>
                <w:sz w:val="20"/>
                <w:szCs w:val="20"/>
                <w:color w:val="auto"/>
              </w:rPr>
            </w:pPr>
            <w:r>
              <w:rPr>
                <w:rFonts w:ascii="Arial" w:cs="Arial" w:eastAsia="Arial" w:hAnsi="Arial"/>
                <w:sz w:val="12"/>
                <w:szCs w:val="12"/>
                <w:color w:val="auto"/>
              </w:rPr>
              <w:t>15,757.00</w:t>
            </w:r>
          </w:p>
        </w:tc>
        <w:tc>
          <w:tcPr>
            <w:tcW w:w="1060" w:type="dxa"/>
            <w:vAlign w:val="bottom"/>
          </w:tcPr>
          <w:p>
            <w:pPr>
              <w:jc w:val="right"/>
              <w:ind w:right="98"/>
              <w:spacing w:after="0" w:line="114" w:lineRule="exact"/>
              <w:rPr>
                <w:sz w:val="20"/>
                <w:szCs w:val="20"/>
                <w:color w:val="auto"/>
              </w:rPr>
            </w:pPr>
            <w:r>
              <w:rPr>
                <w:rFonts w:ascii="Arial" w:cs="Arial" w:eastAsia="Arial" w:hAnsi="Arial"/>
                <w:sz w:val="12"/>
                <w:szCs w:val="12"/>
                <w:color w:val="auto"/>
              </w:rPr>
              <w:t>20,739.71</w:t>
            </w:r>
          </w:p>
        </w:tc>
        <w:tc>
          <w:tcPr>
            <w:tcW w:w="900" w:type="dxa"/>
            <w:vAlign w:val="bottom"/>
          </w:tcPr>
          <w:p>
            <w:pPr>
              <w:jc w:val="right"/>
              <w:ind w:right="58"/>
              <w:spacing w:after="0" w:line="114" w:lineRule="exact"/>
              <w:rPr>
                <w:sz w:val="20"/>
                <w:szCs w:val="20"/>
                <w:color w:val="auto"/>
              </w:rPr>
            </w:pPr>
            <w:r>
              <w:rPr>
                <w:rFonts w:ascii="Arial" w:cs="Arial" w:eastAsia="Arial" w:hAnsi="Arial"/>
                <w:sz w:val="12"/>
                <w:szCs w:val="12"/>
                <w:color w:val="auto"/>
              </w:rPr>
              <w:t>2,279.00</w:t>
            </w:r>
          </w:p>
        </w:tc>
        <w:tc>
          <w:tcPr>
            <w:tcW w:w="1100" w:type="dxa"/>
            <w:vAlign w:val="bottom"/>
          </w:tcPr>
          <w:p>
            <w:pPr>
              <w:jc w:val="right"/>
              <w:ind w:right="178"/>
              <w:spacing w:after="0" w:line="114" w:lineRule="exact"/>
              <w:rPr>
                <w:sz w:val="20"/>
                <w:szCs w:val="20"/>
                <w:color w:val="auto"/>
              </w:rPr>
            </w:pPr>
            <w:r>
              <w:rPr>
                <w:rFonts w:ascii="Arial" w:cs="Arial" w:eastAsia="Arial" w:hAnsi="Arial"/>
                <w:sz w:val="12"/>
                <w:szCs w:val="12"/>
                <w:color w:val="auto"/>
              </w:rPr>
              <w:t>3,141.14</w:t>
            </w:r>
          </w:p>
        </w:tc>
        <w:tc>
          <w:tcPr>
            <w:tcW w:w="1100" w:type="dxa"/>
            <w:vAlign w:val="bottom"/>
          </w:tcPr>
          <w:p>
            <w:pPr>
              <w:jc w:val="right"/>
              <w:ind w:right="318"/>
              <w:spacing w:after="0" w:line="114" w:lineRule="exact"/>
              <w:rPr>
                <w:sz w:val="20"/>
                <w:szCs w:val="20"/>
                <w:color w:val="auto"/>
              </w:rPr>
            </w:pPr>
            <w:r>
              <w:rPr>
                <w:rFonts w:ascii="Arial" w:cs="Arial" w:eastAsia="Arial" w:hAnsi="Arial"/>
                <w:sz w:val="12"/>
                <w:szCs w:val="12"/>
                <w:color w:val="auto"/>
              </w:rPr>
              <w:t>1,421.00</w:t>
            </w:r>
          </w:p>
        </w:tc>
        <w:tc>
          <w:tcPr>
            <w:tcW w:w="1240" w:type="dxa"/>
            <w:vAlign w:val="bottom"/>
          </w:tcPr>
          <w:p>
            <w:pPr>
              <w:jc w:val="right"/>
              <w:ind w:right="18"/>
              <w:spacing w:after="0" w:line="114" w:lineRule="exact"/>
              <w:rPr>
                <w:sz w:val="20"/>
                <w:szCs w:val="20"/>
                <w:color w:val="auto"/>
              </w:rPr>
            </w:pPr>
            <w:r>
              <w:rPr>
                <w:rFonts w:ascii="Arial" w:cs="Arial" w:eastAsia="Arial" w:hAnsi="Arial"/>
                <w:sz w:val="12"/>
                <w:szCs w:val="12"/>
                <w:color w:val="auto"/>
              </w:rPr>
              <w:t>1,958.56</w:t>
            </w:r>
          </w:p>
        </w:tc>
        <w:tc>
          <w:tcPr>
            <w:tcW w:w="0" w:type="dxa"/>
            <w:vAlign w:val="bottom"/>
          </w:tcPr>
          <w:p>
            <w:pPr>
              <w:spacing w:after="0"/>
              <w:rPr>
                <w:sz w:val="1"/>
                <w:szCs w:val="1"/>
                <w:color w:val="auto"/>
              </w:rPr>
            </w:pPr>
          </w:p>
        </w:tc>
      </w:tr>
      <w:tr>
        <w:trPr>
          <w:trHeight w:val="153"/>
        </w:trPr>
        <w:tc>
          <w:tcPr>
            <w:tcW w:w="2320" w:type="dxa"/>
            <w:vAlign w:val="bottom"/>
          </w:tcPr>
          <w:p>
            <w:pPr>
              <w:ind w:left="20"/>
              <w:spacing w:after="0"/>
              <w:rPr>
                <w:sz w:val="20"/>
                <w:szCs w:val="20"/>
                <w:color w:val="auto"/>
              </w:rPr>
            </w:pPr>
            <w:r>
              <w:rPr>
                <w:rFonts w:ascii="Arial" w:cs="Arial" w:eastAsia="Arial" w:hAnsi="Arial"/>
                <w:sz w:val="12"/>
                <w:szCs w:val="12"/>
                <w:color w:val="auto"/>
              </w:rPr>
              <w:t>Rob Routs</w:t>
            </w:r>
            <w:r>
              <w:rPr>
                <w:rFonts w:ascii="Arial" w:cs="Arial" w:eastAsia="Arial" w:hAnsi="Arial"/>
                <w:sz w:val="12"/>
                <w:szCs w:val="12"/>
                <w:b w:val="1"/>
                <w:bCs w:val="1"/>
                <w:color w:val="auto"/>
              </w:rPr>
              <w:t>[B]</w:t>
            </w:r>
          </w:p>
        </w:tc>
        <w:tc>
          <w:tcPr>
            <w:tcW w:w="600" w:type="dxa"/>
            <w:vAlign w:val="bottom"/>
          </w:tcPr>
          <w:p>
            <w:pPr>
              <w:jc w:val="right"/>
              <w:spacing w:after="0"/>
              <w:rPr>
                <w:sz w:val="20"/>
                <w:szCs w:val="20"/>
                <w:color w:val="auto"/>
              </w:rPr>
            </w:pPr>
            <w:r>
              <w:rPr>
                <w:rFonts w:ascii="Arial" w:cs="Arial" w:eastAsia="Arial" w:hAnsi="Arial"/>
                <w:sz w:val="12"/>
                <w:szCs w:val="12"/>
                <w:color w:val="auto"/>
              </w:rPr>
              <w:t>9,574.00</w:t>
            </w:r>
          </w:p>
        </w:tc>
        <w:tc>
          <w:tcPr>
            <w:tcW w:w="1260" w:type="dxa"/>
            <w:vAlign w:val="bottom"/>
          </w:tcPr>
          <w:p>
            <w:pPr>
              <w:jc w:val="right"/>
              <w:ind w:right="278"/>
              <w:spacing w:after="0"/>
              <w:rPr>
                <w:sz w:val="20"/>
                <w:szCs w:val="20"/>
                <w:color w:val="auto"/>
              </w:rPr>
            </w:pPr>
            <w:r>
              <w:rPr>
                <w:rFonts w:ascii="Arial" w:cs="Arial" w:eastAsia="Arial" w:hAnsi="Arial"/>
                <w:sz w:val="12"/>
                <w:szCs w:val="12"/>
                <w:color w:val="auto"/>
              </w:rPr>
              <w:t>14,083.56</w:t>
            </w:r>
          </w:p>
        </w:tc>
        <w:tc>
          <w:tcPr>
            <w:tcW w:w="800" w:type="dxa"/>
            <w:vAlign w:val="bottom"/>
          </w:tcPr>
          <w:p>
            <w:pPr>
              <w:jc w:val="right"/>
              <w:ind w:right="98"/>
              <w:spacing w:after="0"/>
              <w:rPr>
                <w:sz w:val="20"/>
                <w:szCs w:val="20"/>
                <w:color w:val="auto"/>
              </w:rPr>
            </w:pPr>
            <w:r>
              <w:rPr>
                <w:rFonts w:ascii="Arial" w:cs="Arial" w:eastAsia="Arial" w:hAnsi="Arial"/>
                <w:sz w:val="12"/>
                <w:szCs w:val="12"/>
                <w:color w:val="auto"/>
              </w:rPr>
              <w:t>8,543.00</w:t>
            </w:r>
          </w:p>
        </w:tc>
        <w:tc>
          <w:tcPr>
            <w:tcW w:w="1060" w:type="dxa"/>
            <w:vAlign w:val="bottom"/>
          </w:tcPr>
          <w:p>
            <w:pPr>
              <w:jc w:val="right"/>
              <w:ind w:right="98"/>
              <w:spacing w:after="0"/>
              <w:rPr>
                <w:sz w:val="20"/>
                <w:szCs w:val="20"/>
                <w:color w:val="auto"/>
              </w:rPr>
            </w:pPr>
            <w:r>
              <w:rPr>
                <w:rFonts w:ascii="Arial" w:cs="Arial" w:eastAsia="Arial" w:hAnsi="Arial"/>
                <w:sz w:val="12"/>
                <w:szCs w:val="12"/>
                <w:color w:val="auto"/>
              </w:rPr>
              <w:t>11,244.48</w:t>
            </w:r>
          </w:p>
        </w:tc>
        <w:tc>
          <w:tcPr>
            <w:tcW w:w="900" w:type="dxa"/>
            <w:vAlign w:val="bottom"/>
          </w:tcPr>
          <w:p>
            <w:pPr>
              <w:jc w:val="right"/>
              <w:ind w:right="58"/>
              <w:spacing w:after="0"/>
              <w:rPr>
                <w:sz w:val="20"/>
                <w:szCs w:val="20"/>
                <w:color w:val="auto"/>
              </w:rPr>
            </w:pPr>
            <w:r>
              <w:rPr>
                <w:rFonts w:ascii="Arial" w:cs="Arial" w:eastAsia="Arial" w:hAnsi="Arial"/>
                <w:sz w:val="12"/>
                <w:szCs w:val="12"/>
                <w:color w:val="auto"/>
              </w:rPr>
              <w:t>958.00</w:t>
            </w:r>
          </w:p>
        </w:tc>
        <w:tc>
          <w:tcPr>
            <w:tcW w:w="1100" w:type="dxa"/>
            <w:vAlign w:val="bottom"/>
          </w:tcPr>
          <w:p>
            <w:pPr>
              <w:jc w:val="right"/>
              <w:ind w:right="178"/>
              <w:spacing w:after="0"/>
              <w:rPr>
                <w:sz w:val="20"/>
                <w:szCs w:val="20"/>
                <w:color w:val="auto"/>
              </w:rPr>
            </w:pPr>
            <w:r>
              <w:rPr>
                <w:rFonts w:ascii="Arial" w:cs="Arial" w:eastAsia="Arial" w:hAnsi="Arial"/>
                <w:sz w:val="12"/>
                <w:szCs w:val="12"/>
                <w:color w:val="auto"/>
              </w:rPr>
              <w:t>1,320.41</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420.00</w:t>
            </w:r>
          </w:p>
        </w:tc>
        <w:tc>
          <w:tcPr>
            <w:tcW w:w="1240" w:type="dxa"/>
            <w:vAlign w:val="bottom"/>
          </w:tcPr>
          <w:p>
            <w:pPr>
              <w:jc w:val="right"/>
              <w:ind w:right="18"/>
              <w:spacing w:after="0"/>
              <w:rPr>
                <w:sz w:val="20"/>
                <w:szCs w:val="20"/>
                <w:color w:val="auto"/>
              </w:rPr>
            </w:pPr>
            <w:r>
              <w:rPr>
                <w:rFonts w:ascii="Arial" w:cs="Arial" w:eastAsia="Arial" w:hAnsi="Arial"/>
                <w:sz w:val="12"/>
                <w:szCs w:val="12"/>
                <w:color w:val="auto"/>
              </w:rPr>
              <w:t>578.89</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w:t>
            </w: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ind w:left="20"/>
              <w:spacing w:after="0" w:line="133" w:lineRule="exact"/>
              <w:rPr>
                <w:sz w:val="20"/>
                <w:szCs w:val="20"/>
                <w:color w:val="auto"/>
              </w:rPr>
            </w:pPr>
            <w:r>
              <w:rPr>
                <w:rFonts w:ascii="Arial" w:cs="Arial" w:eastAsia="Arial" w:hAnsi="Arial"/>
                <w:sz w:val="12"/>
                <w:szCs w:val="12"/>
                <w:color w:val="auto"/>
              </w:rPr>
              <w:t>Malcolm Brinded</w:t>
            </w:r>
            <w:r>
              <w:rPr>
                <w:rFonts w:ascii="Arial" w:cs="Arial" w:eastAsia="Arial" w:hAnsi="Arial"/>
                <w:sz w:val="12"/>
                <w:szCs w:val="12"/>
                <w:b w:val="1"/>
                <w:bCs w:val="1"/>
                <w:color w:val="auto"/>
              </w:rPr>
              <w:t>[C]</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12,623.70</w:t>
            </w:r>
          </w:p>
        </w:tc>
        <w:tc>
          <w:tcPr>
            <w:tcW w:w="12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25,204.48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11,707.60</w:t>
            </w:r>
            <w:r>
              <w:rPr>
                <w:rFonts w:ascii="Arial" w:cs="Arial" w:eastAsia="Arial" w:hAnsi="Arial"/>
                <w:sz w:val="12"/>
                <w:szCs w:val="12"/>
                <w:b w:val="1"/>
                <w:bCs w:val="1"/>
                <w:color w:val="auto"/>
              </w:rPr>
              <w:t>[F]</w:t>
            </w:r>
          </w:p>
        </w:tc>
        <w:tc>
          <w:tcPr>
            <w:tcW w:w="10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22,958.60</w:t>
            </w:r>
          </w:p>
        </w:tc>
        <w:tc>
          <w:tcPr>
            <w:tcW w:w="9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872.20</w:t>
            </w:r>
          </w:p>
        </w:tc>
        <w:tc>
          <w:tcPr>
            <w:tcW w:w="11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1,747.31</w:t>
            </w:r>
          </w:p>
        </w:tc>
        <w:tc>
          <w:tcPr>
            <w:tcW w:w="11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47.20[G]</w:t>
            </w:r>
          </w:p>
        </w:tc>
        <w:tc>
          <w:tcPr>
            <w:tcW w:w="1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94.56</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ind w:left="20"/>
              <w:spacing w:after="0" w:line="133" w:lineRule="exact"/>
              <w:rPr>
                <w:sz w:val="20"/>
                <w:szCs w:val="20"/>
                <w:color w:val="auto"/>
              </w:rPr>
            </w:pPr>
            <w:r>
              <w:rPr>
                <w:rFonts w:ascii="Arial" w:cs="Arial" w:eastAsia="Arial" w:hAnsi="Arial"/>
                <w:sz w:val="12"/>
                <w:szCs w:val="12"/>
                <w:color w:val="auto"/>
              </w:rPr>
              <w:t>Linda Cook</w:t>
            </w:r>
            <w:r>
              <w:rPr>
                <w:rFonts w:ascii="Arial" w:cs="Arial" w:eastAsia="Arial" w:hAnsi="Arial"/>
                <w:sz w:val="12"/>
                <w:szCs w:val="12"/>
                <w:b w:val="1"/>
                <w:bCs w:val="1"/>
                <w:color w:val="auto"/>
              </w:rPr>
              <w:t>[D]</w:t>
            </w:r>
          </w:p>
        </w:tc>
        <w:tc>
          <w:tcPr>
            <w:tcW w:w="600" w:type="dxa"/>
            <w:vAlign w:val="bottom"/>
          </w:tcPr>
          <w:p>
            <w:pPr>
              <w:spacing w:after="0"/>
              <w:rPr>
                <w:sz w:val="11"/>
                <w:szCs w:val="11"/>
                <w:color w:val="auto"/>
              </w:rPr>
            </w:pPr>
          </w:p>
        </w:tc>
        <w:tc>
          <w:tcPr>
            <w:tcW w:w="12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5,936.08</w:t>
            </w:r>
          </w:p>
        </w:tc>
        <w:tc>
          <w:tcPr>
            <w:tcW w:w="800" w:type="dxa"/>
            <w:vAlign w:val="bottom"/>
          </w:tcPr>
          <w:p>
            <w:pPr>
              <w:spacing w:after="0"/>
              <w:rPr>
                <w:sz w:val="11"/>
                <w:szCs w:val="11"/>
                <w:color w:val="auto"/>
              </w:rPr>
            </w:pPr>
          </w:p>
        </w:tc>
        <w:tc>
          <w:tcPr>
            <w:tcW w:w="10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4,566.08</w:t>
            </w:r>
          </w:p>
        </w:tc>
        <w:tc>
          <w:tcPr>
            <w:tcW w:w="900" w:type="dxa"/>
            <w:vAlign w:val="bottom"/>
          </w:tcPr>
          <w:p>
            <w:pPr>
              <w:spacing w:after="0"/>
              <w:rPr>
                <w:sz w:val="11"/>
                <w:szCs w:val="11"/>
                <w:color w:val="auto"/>
              </w:rPr>
            </w:pPr>
          </w:p>
        </w:tc>
        <w:tc>
          <w:tcPr>
            <w:tcW w:w="11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1,370.00</w:t>
            </w:r>
          </w:p>
        </w:tc>
        <w:tc>
          <w:tcPr>
            <w:tcW w:w="1100" w:type="dxa"/>
            <w:vAlign w:val="bottom"/>
          </w:tcPr>
          <w:p>
            <w:pPr>
              <w:spacing w:after="0"/>
              <w:rPr>
                <w:sz w:val="11"/>
                <w:szCs w:val="11"/>
                <w:color w:val="auto"/>
              </w:rPr>
            </w:pPr>
          </w:p>
        </w:tc>
        <w:tc>
          <w:tcPr>
            <w:tcW w:w="1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1,189.85</w:t>
            </w:r>
          </w:p>
        </w:tc>
        <w:tc>
          <w:tcPr>
            <w:tcW w:w="0" w:type="dxa"/>
            <w:vAlign w:val="bottom"/>
          </w:tcPr>
          <w:p>
            <w:pPr>
              <w:spacing w:after="0"/>
              <w:rPr>
                <w:sz w:val="1"/>
                <w:szCs w:val="1"/>
                <w:color w:val="auto"/>
              </w:rPr>
            </w:pPr>
          </w:p>
        </w:tc>
      </w:tr>
      <w:tr>
        <w:trPr>
          <w:trHeight w:val="133"/>
        </w:trPr>
        <w:tc>
          <w:tcPr>
            <w:tcW w:w="2320" w:type="dxa"/>
            <w:vAlign w:val="bottom"/>
            <w:shd w:val="clear" w:color="auto" w:fill="CECAC6"/>
          </w:tcPr>
          <w:p>
            <w:pPr>
              <w:spacing w:after="0"/>
              <w:rPr>
                <w:sz w:val="11"/>
                <w:szCs w:val="11"/>
                <w:color w:val="auto"/>
              </w:rPr>
            </w:pPr>
          </w:p>
        </w:tc>
        <w:tc>
          <w:tcPr>
            <w:tcW w:w="6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CHF</w:t>
            </w:r>
          </w:p>
        </w:tc>
        <w:tc>
          <w:tcPr>
            <w:tcW w:w="1260" w:type="dxa"/>
            <w:vAlign w:val="bottom"/>
            <w:shd w:val="clear" w:color="auto" w:fill="CECAC6"/>
          </w:tcPr>
          <w:p>
            <w:pPr>
              <w:spacing w:after="0"/>
              <w:rPr>
                <w:sz w:val="11"/>
                <w:szCs w:val="11"/>
                <w:color w:val="auto"/>
              </w:rPr>
            </w:pPr>
          </w:p>
        </w:tc>
        <w:tc>
          <w:tcPr>
            <w:tcW w:w="80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CHF</w:t>
            </w:r>
          </w:p>
        </w:tc>
        <w:tc>
          <w:tcPr>
            <w:tcW w:w="106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CHF</w:t>
            </w:r>
          </w:p>
        </w:tc>
        <w:tc>
          <w:tcPr>
            <w:tcW w:w="110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18"/>
              <w:spacing w:after="0" w:line="133" w:lineRule="exact"/>
              <w:rPr>
                <w:sz w:val="20"/>
                <w:szCs w:val="20"/>
                <w:color w:val="auto"/>
              </w:rPr>
            </w:pPr>
            <w:r>
              <w:rPr>
                <w:rFonts w:ascii="Arial" w:cs="Arial" w:eastAsia="Arial" w:hAnsi="Arial"/>
                <w:sz w:val="12"/>
                <w:szCs w:val="12"/>
                <w:color w:val="auto"/>
              </w:rPr>
              <w:t>CHF</w:t>
            </w:r>
          </w:p>
        </w:tc>
        <w:tc>
          <w:tcPr>
            <w:tcW w:w="12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Borders>
              <w:bottom w:val="single" w:sz="8" w:color="auto"/>
            </w:tcBorders>
          </w:tcPr>
          <w:p>
            <w:pPr>
              <w:ind w:left="20"/>
              <w:spacing w:after="0" w:line="133" w:lineRule="exact"/>
              <w:rPr>
                <w:sz w:val="20"/>
                <w:szCs w:val="20"/>
                <w:color w:val="auto"/>
              </w:rPr>
            </w:pPr>
            <w:r>
              <w:rPr>
                <w:rFonts w:ascii="Arial" w:cs="Arial" w:eastAsia="Arial" w:hAnsi="Arial"/>
                <w:sz w:val="12"/>
                <w:szCs w:val="12"/>
                <w:color w:val="auto"/>
              </w:rPr>
              <w:t>Peter Voser</w:t>
            </w:r>
            <w:r>
              <w:rPr>
                <w:rFonts w:ascii="Arial" w:cs="Arial" w:eastAsia="Arial" w:hAnsi="Arial"/>
                <w:sz w:val="12"/>
                <w:szCs w:val="12"/>
                <w:b w:val="1"/>
                <w:bCs w:val="1"/>
                <w:color w:val="auto"/>
              </w:rPr>
              <w:t>[E]</w:t>
            </w:r>
          </w:p>
        </w:tc>
        <w:tc>
          <w:tcPr>
            <w:tcW w:w="6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7,465.62</w:t>
            </w:r>
          </w:p>
        </w:tc>
        <w:tc>
          <w:tcPr>
            <w:tcW w:w="1260" w:type="dxa"/>
            <w:vAlign w:val="bottom"/>
            <w:tcBorders>
              <w:bottom w:val="single" w:sz="8" w:color="auto"/>
            </w:tcBorders>
          </w:tcPr>
          <w:p>
            <w:pPr>
              <w:jc w:val="right"/>
              <w:ind w:right="278"/>
              <w:spacing w:after="0" w:line="133" w:lineRule="exact"/>
              <w:rPr>
                <w:sz w:val="20"/>
                <w:szCs w:val="20"/>
                <w:color w:val="auto"/>
              </w:rPr>
            </w:pPr>
            <w:r>
              <w:rPr>
                <w:rFonts w:ascii="Arial" w:cs="Arial" w:eastAsia="Arial" w:hAnsi="Arial"/>
                <w:sz w:val="12"/>
                <w:szCs w:val="12"/>
                <w:color w:val="auto"/>
              </w:rPr>
              <w:t>6,625.74</w:t>
            </w:r>
          </w:p>
        </w:tc>
        <w:tc>
          <w:tcPr>
            <w:tcW w:w="800" w:type="dxa"/>
            <w:vAlign w:val="bottom"/>
            <w:tcBorders>
              <w:bottom w:val="single" w:sz="8" w:color="auto"/>
            </w:tcBorders>
          </w:tcPr>
          <w:p>
            <w:pPr>
              <w:jc w:val="right"/>
              <w:ind w:right="98"/>
              <w:spacing w:after="0" w:line="133" w:lineRule="exact"/>
              <w:rPr>
                <w:sz w:val="20"/>
                <w:szCs w:val="20"/>
                <w:color w:val="auto"/>
              </w:rPr>
            </w:pPr>
            <w:r>
              <w:rPr>
                <w:rFonts w:ascii="Arial" w:cs="Arial" w:eastAsia="Arial" w:hAnsi="Arial"/>
                <w:sz w:val="12"/>
                <w:szCs w:val="12"/>
                <w:color w:val="auto"/>
              </w:rPr>
              <w:t>6,279.78</w:t>
            </w:r>
          </w:p>
        </w:tc>
        <w:tc>
          <w:tcPr>
            <w:tcW w:w="1060" w:type="dxa"/>
            <w:vAlign w:val="bottom"/>
            <w:tcBorders>
              <w:bottom w:val="single" w:sz="8" w:color="auto"/>
            </w:tcBorders>
          </w:tcPr>
          <w:p>
            <w:pPr>
              <w:jc w:val="right"/>
              <w:ind w:right="98"/>
              <w:spacing w:after="0" w:line="133" w:lineRule="exact"/>
              <w:rPr>
                <w:sz w:val="20"/>
                <w:szCs w:val="20"/>
                <w:color w:val="auto"/>
              </w:rPr>
            </w:pPr>
            <w:r>
              <w:rPr>
                <w:rFonts w:ascii="Arial" w:cs="Arial" w:eastAsia="Arial" w:hAnsi="Arial"/>
                <w:sz w:val="12"/>
                <w:szCs w:val="12"/>
                <w:color w:val="auto"/>
              </w:rPr>
              <w:t>5,145.02</w:t>
            </w:r>
          </w:p>
        </w:tc>
        <w:tc>
          <w:tcPr>
            <w:tcW w:w="900" w:type="dxa"/>
            <w:vAlign w:val="bottom"/>
            <w:tcBorders>
              <w:bottom w:val="single" w:sz="8" w:color="auto"/>
            </w:tcBorders>
          </w:tcPr>
          <w:p>
            <w:pPr>
              <w:jc w:val="right"/>
              <w:ind w:right="58"/>
              <w:spacing w:after="0" w:line="133" w:lineRule="exact"/>
              <w:rPr>
                <w:sz w:val="20"/>
                <w:szCs w:val="20"/>
                <w:color w:val="auto"/>
              </w:rPr>
            </w:pPr>
            <w:r>
              <w:rPr>
                <w:rFonts w:ascii="Arial" w:cs="Arial" w:eastAsia="Arial" w:hAnsi="Arial"/>
                <w:sz w:val="12"/>
                <w:szCs w:val="12"/>
                <w:color w:val="auto"/>
              </w:rPr>
              <w:t>1,113.65</w:t>
            </w:r>
          </w:p>
        </w:tc>
        <w:tc>
          <w:tcPr>
            <w:tcW w:w="1100" w:type="dxa"/>
            <w:vAlign w:val="bottom"/>
            <w:tcBorders>
              <w:bottom w:val="single" w:sz="8" w:color="auto"/>
            </w:tcBorders>
          </w:tcPr>
          <w:p>
            <w:pPr>
              <w:jc w:val="right"/>
              <w:ind w:right="178"/>
              <w:spacing w:after="0" w:line="133" w:lineRule="exact"/>
              <w:rPr>
                <w:sz w:val="20"/>
                <w:szCs w:val="20"/>
                <w:color w:val="auto"/>
              </w:rPr>
            </w:pPr>
            <w:r>
              <w:rPr>
                <w:rFonts w:ascii="Arial" w:cs="Arial" w:eastAsia="Arial" w:hAnsi="Arial"/>
                <w:sz w:val="12"/>
                <w:szCs w:val="12"/>
                <w:color w:val="auto"/>
              </w:rPr>
              <w:t>932.59</w:t>
            </w:r>
          </w:p>
        </w:tc>
        <w:tc>
          <w:tcPr>
            <w:tcW w:w="1100" w:type="dxa"/>
            <w:vAlign w:val="bottom"/>
            <w:tcBorders>
              <w:bottom w:val="single" w:sz="8" w:color="auto"/>
            </w:tcBorders>
          </w:tcPr>
          <w:p>
            <w:pPr>
              <w:jc w:val="right"/>
              <w:ind w:right="318"/>
              <w:spacing w:after="0" w:line="133" w:lineRule="exact"/>
              <w:rPr>
                <w:sz w:val="20"/>
                <w:szCs w:val="20"/>
                <w:color w:val="auto"/>
              </w:rPr>
            </w:pPr>
            <w:r>
              <w:rPr>
                <w:rFonts w:ascii="Arial" w:cs="Arial" w:eastAsia="Arial" w:hAnsi="Arial"/>
                <w:sz w:val="12"/>
                <w:szCs w:val="12"/>
                <w:color w:val="auto"/>
              </w:rPr>
              <w:t>743.43</w:t>
            </w:r>
          </w:p>
        </w:tc>
        <w:tc>
          <w:tcPr>
            <w:tcW w:w="124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622.56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-2578735</wp:posOffset>
            </wp:positionV>
            <wp:extent cx="6588760" cy="3467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88760" cy="3467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-1132840</wp:posOffset>
            </wp:positionV>
            <wp:extent cx="6588760" cy="4311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88760" cy="431165"/>
                    </a:xfrm>
                    <a:prstGeom prst="rect">
                      <a:avLst/>
                    </a:prstGeom>
                    <a:noFill/>
                  </pic:spPr>
                </pic:pic>
              </a:graphicData>
            </a:graphic>
          </wp:anchor>
        </w:drawing>
      </w:r>
    </w:p>
    <w:p>
      <w:pPr>
        <w:spacing w:after="0" w:line="36" w:lineRule="exact"/>
        <w:rPr>
          <w:sz w:val="20"/>
          <w:szCs w:val="20"/>
          <w:color w:val="auto"/>
        </w:rPr>
      </w:pPr>
    </w:p>
    <w:p>
      <w:pPr>
        <w:ind w:left="300" w:hanging="293"/>
        <w:spacing w:after="0"/>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pension values for Jeroen van der Veer are based on a planned retirement date of June 30, 2009.</w:t>
      </w:r>
    </w:p>
    <w:p>
      <w:pPr>
        <w:ind w:left="300" w:hanging="293"/>
        <w:spacing w:after="0" w:line="231" w:lineRule="auto"/>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pension values for Rob Routs are based on a planned retirement date of December 31, 2008.</w:t>
      </w:r>
    </w:p>
    <w:p>
      <w:pPr>
        <w:ind w:left="300" w:right="720" w:hanging="293"/>
        <w:spacing w:after="0" w:line="231" w:lineRule="auto"/>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Malcolm Brinded elected to have his benefits in the SCPF restricted to the lifetime allowance with any excess provided from an unfunded defined benefit scheme, the Shell Supplementary Pension Plan. This promise of delivery is contained within the aggregate values presented in the table and is therefore not disclosed separately.</w:t>
      </w:r>
    </w:p>
    <w:p>
      <w:pPr>
        <w:ind w:left="300" w:right="540" w:hanging="293"/>
        <w:spacing w:after="0" w:line="231" w:lineRule="auto"/>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company contributed $273,869 to the Shell Provident Fund for US employees and the Senior Executive Group Deferral Plan, both of which are defined contribution plans. Including this amount, Linda Cook’s increase in accrued pension over the year is €1,063,792.</w:t>
      </w:r>
    </w:p>
    <w:p>
      <w:pPr>
        <w:jc w:val="both"/>
        <w:ind w:left="300" w:right="120" w:hanging="293"/>
        <w:spacing w:after="0" w:line="231" w:lineRule="auto"/>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transfer value funded in the Swiss pension fund equals CHF 6,006,885. It is composed of the transfer value of the accrued pension covered in the pension fund (CHF 3,712,230) and the value of the savings account (CHF 2,294,655) which was created when the salary was capped in 2006 by a change to the legal regulations. The balance of CHF 1,458,737 at December 31, 2007, will be delivered by an unfunded arrangement.</w:t>
      </w:r>
    </w:p>
    <w:p>
      <w:pPr>
        <w:spacing w:after="0" w:line="1" w:lineRule="exact"/>
        <w:rPr>
          <w:rFonts w:ascii="Arial" w:cs="Arial" w:eastAsia="Arial" w:hAnsi="Arial"/>
          <w:sz w:val="12"/>
          <w:szCs w:val="12"/>
          <w:color w:val="auto"/>
        </w:rPr>
      </w:pPr>
    </w:p>
    <w:p>
      <w:pPr>
        <w:ind w:left="300"/>
        <w:spacing w:after="0" w:line="231" w:lineRule="auto"/>
        <w:rPr>
          <w:rFonts w:ascii="Arial" w:cs="Arial" w:eastAsia="Arial" w:hAnsi="Arial"/>
          <w:sz w:val="12"/>
          <w:szCs w:val="12"/>
          <w:color w:val="auto"/>
        </w:rPr>
      </w:pPr>
      <w:r>
        <w:rPr>
          <w:rFonts w:ascii="Arial" w:cs="Arial" w:eastAsia="Arial" w:hAnsi="Arial"/>
          <w:sz w:val="12"/>
          <w:szCs w:val="12"/>
          <w:color w:val="auto"/>
        </w:rPr>
        <w:t>The transfer value of Peter Voser’s accrued pension over the year is €451,858.</w:t>
      </w:r>
    </w:p>
    <w:p>
      <w:pPr>
        <w:ind w:left="300" w:right="40" w:hanging="293"/>
        <w:spacing w:after="0" w:line="231" w:lineRule="auto"/>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assumed pension age for Malcolm Brinded has changed from 60 years and 3 months to 58 years and 9 months to reflect the age at which he may elect to retire with a full pension. Due to this change in assumption, the transfer value at the start of the year has been adjusted by £946,700. The transfer value at December 31, 2006 shown in the 2006 Directors’ Remuneration Report was £10,760,900.</w:t>
      </w:r>
    </w:p>
    <w:p>
      <w:pPr>
        <w:spacing w:after="0" w:line="1" w:lineRule="exact"/>
        <w:rPr>
          <w:rFonts w:ascii="Arial" w:cs="Arial" w:eastAsia="Arial" w:hAnsi="Arial"/>
          <w:sz w:val="12"/>
          <w:szCs w:val="12"/>
          <w:color w:val="auto"/>
        </w:rPr>
      </w:pPr>
    </w:p>
    <w:p>
      <w:pPr>
        <w:ind w:left="300" w:hanging="293"/>
        <w:spacing w:after="0"/>
        <w:tabs>
          <w:tab w:leader="none" w:pos="30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 increase in accrued pension over the year is attributable to a below inflation salary increase. The equivalent value is €68,678.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860425</wp:posOffset>
            </wp:positionV>
            <wp:extent cx="725297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DIRECTORS’ REMUNERATION REPORT </w:t>
      </w:r>
      <w:r>
        <w:rPr>
          <w:rFonts w:ascii="Arial" w:cs="Arial" w:eastAsia="Arial" w:hAnsi="Arial"/>
          <w:sz w:val="12"/>
          <w:szCs w:val="12"/>
          <w:b w:val="1"/>
          <w:bCs w:val="1"/>
          <w:color w:val="C1D72E"/>
        </w:rPr>
        <w:t>EXECUTIVE DIRECTORS’ REMUNERATION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BENEFITS AND PERQUISITES POLICY</w:t>
      </w:r>
    </w:p>
    <w:p>
      <w:pPr>
        <w:spacing w:after="0" w:line="6" w:lineRule="exact"/>
        <w:rPr>
          <w:sz w:val="20"/>
          <w:szCs w:val="20"/>
          <w:color w:val="auto"/>
        </w:rPr>
      </w:pPr>
    </w:p>
    <w:p>
      <w:pPr>
        <w:ind w:right="220"/>
        <w:spacing w:after="0" w:line="245" w:lineRule="auto"/>
        <w:rPr>
          <w:sz w:val="20"/>
          <w:szCs w:val="20"/>
          <w:color w:val="auto"/>
        </w:rPr>
      </w:pPr>
      <w:r>
        <w:rPr>
          <w:rFonts w:ascii="Arial" w:cs="Arial" w:eastAsia="Arial" w:hAnsi="Arial"/>
          <w:sz w:val="13"/>
          <w:szCs w:val="13"/>
          <w:color w:val="auto"/>
        </w:rPr>
        <w:t>Executive Directors’ occupational and other benefits as well as perquisites are established in line with those for senior executives and regular employees on the basis of local market practices. Personal loans or guarantees are not granted to Executive Directors. Executive Directors’ expenses are audited internally and reviewed by REMCO on a regular basis.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TARGET TOTAL DIRECT COMPENSATION</w:t>
      </w:r>
    </w:p>
    <w:p>
      <w:pPr>
        <w:spacing w:after="0" w:line="6" w:lineRule="exact"/>
        <w:rPr>
          <w:sz w:val="20"/>
          <w:szCs w:val="20"/>
          <w:color w:val="auto"/>
        </w:rPr>
      </w:pPr>
    </w:p>
    <w:p>
      <w:pPr>
        <w:spacing w:after="0" w:line="242" w:lineRule="auto"/>
        <w:rPr>
          <w:sz w:val="20"/>
          <w:szCs w:val="20"/>
          <w:color w:val="auto"/>
        </w:rPr>
      </w:pPr>
      <w:r>
        <w:rPr>
          <w:rFonts w:ascii="Arial" w:cs="Arial" w:eastAsia="Arial" w:hAnsi="Arial"/>
          <w:sz w:val="13"/>
          <w:szCs w:val="13"/>
          <w:color w:val="auto"/>
        </w:rPr>
        <w:t>Target total direct compensation comprises base salary, annual bonus and the expected value of long-term incentives. It excludes pension, benefits and perquisites. REMCO bases its policy and actual remuneration decisions on target total direct compensation levels that the Executive Directors are expected to receive if the expected values of each incentive are realised. The 2007 target total direct compensation levels are shown in the table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These numbers are used only to assist decision making. The actual amount of total compensation Executive Directors will realise in any year will depend on the Shell Scorecard performance in the year under review. It will also depend on the performance and market price of the Royal Dutch Shell shares at the time of release of the LTIP and DBP awards at the end of the performance period of these awards. However, REMCO endorses these on-target levels of total direct compensation and the underlying expected performance of Executive Directors.</w:t>
      </w:r>
    </w:p>
    <w:p>
      <w:pPr>
        <w:spacing w:after="0" w:line="1168" w:lineRule="exact"/>
        <w:rPr>
          <w:sz w:val="20"/>
          <w:szCs w:val="20"/>
          <w:color w:val="auto"/>
        </w:rPr>
      </w:pPr>
    </w:p>
    <w:p>
      <w:pPr>
        <w:sectPr>
          <w:pgSz w:w="11900" w:h="16838" w:orient="portrait"/>
          <w:cols w:equalWidth="0" w:num="2">
            <w:col w:w="5480" w:space="460"/>
            <w:col w:w="5480"/>
          </w:cols>
          <w:pgMar w:left="240" w:top="415" w:right="239" w:bottom="1440" w:gutter="0" w:footer="0" w:header="0"/>
        </w:sect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80" w:type="dxa"/>
            <w:vAlign w:val="bottom"/>
            <w:gridSpan w:val="4"/>
            <w:shd w:val="clear" w:color="auto" w:fill="C1D72E"/>
          </w:tcPr>
          <w:p>
            <w:pPr>
              <w:spacing w:after="0"/>
              <w:rPr>
                <w:sz w:val="20"/>
                <w:szCs w:val="20"/>
                <w:color w:val="auto"/>
              </w:rPr>
            </w:pPr>
            <w:r>
              <w:rPr>
                <w:rFonts w:ascii="Arial" w:cs="Arial" w:eastAsia="Arial" w:hAnsi="Arial"/>
                <w:sz w:val="12"/>
                <w:szCs w:val="12"/>
                <w:b w:val="1"/>
                <w:bCs w:val="1"/>
                <w:color w:val="auto"/>
              </w:rPr>
              <w:t>TARGET TOTAL DIRECT COMPENSATION OF EXECUTIVE DIRECTORS IN OFFICE as at July 1, 2007</w:t>
            </w:r>
          </w:p>
        </w:tc>
        <w:tc>
          <w:tcPr>
            <w:tcW w:w="1460" w:type="dxa"/>
            <w:vAlign w:val="bottom"/>
            <w:shd w:val="clear" w:color="auto" w:fill="C1D72E"/>
          </w:tcPr>
          <w:p>
            <w:pPr>
              <w:spacing w:after="0"/>
              <w:rPr>
                <w:sz w:val="12"/>
                <w:szCs w:val="12"/>
                <w:color w:val="auto"/>
              </w:rPr>
            </w:pPr>
          </w:p>
        </w:tc>
        <w:tc>
          <w:tcPr>
            <w:tcW w:w="1180" w:type="dxa"/>
            <w:vAlign w:val="bottom"/>
            <w:shd w:val="clear" w:color="auto" w:fill="C1D72E"/>
          </w:tcPr>
          <w:p>
            <w:pPr>
              <w:spacing w:after="0"/>
              <w:rPr>
                <w:sz w:val="12"/>
                <w:szCs w:val="12"/>
                <w:color w:val="auto"/>
              </w:rPr>
            </w:pPr>
          </w:p>
        </w:tc>
        <w:tc>
          <w:tcPr>
            <w:tcW w:w="1240" w:type="dxa"/>
            <w:vAlign w:val="bottom"/>
            <w:shd w:val="clear" w:color="auto" w:fill="C1D72E"/>
          </w:tcPr>
          <w:p>
            <w:pPr>
              <w:spacing w:after="0"/>
              <w:rPr>
                <w:sz w:val="12"/>
                <w:szCs w:val="12"/>
                <w:color w:val="auto"/>
              </w:rPr>
            </w:pPr>
          </w:p>
        </w:tc>
        <w:tc>
          <w:tcPr>
            <w:tcW w:w="960" w:type="dxa"/>
            <w:vAlign w:val="bottom"/>
            <w:shd w:val="clear" w:color="auto" w:fill="C1D72E"/>
          </w:tcPr>
          <w:p>
            <w:pPr>
              <w:spacing w:after="0"/>
              <w:rPr>
                <w:sz w:val="12"/>
                <w:szCs w:val="12"/>
                <w:color w:val="auto"/>
              </w:rPr>
            </w:pPr>
          </w:p>
        </w:tc>
      </w:tr>
      <w:tr>
        <w:trPr>
          <w:trHeight w:val="133"/>
        </w:trPr>
        <w:tc>
          <w:tcPr>
            <w:tcW w:w="1900" w:type="dxa"/>
            <w:vAlign w:val="bottom"/>
            <w:shd w:val="clear" w:color="auto" w:fill="CECAC6"/>
          </w:tcPr>
          <w:p>
            <w:pPr>
              <w:spacing w:after="0"/>
              <w:rPr>
                <w:sz w:val="11"/>
                <w:szCs w:val="11"/>
                <w:color w:val="auto"/>
              </w:rPr>
            </w:pPr>
          </w:p>
        </w:tc>
        <w:tc>
          <w:tcPr>
            <w:tcW w:w="176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Base salary €</w:t>
            </w:r>
          </w:p>
        </w:tc>
        <w:tc>
          <w:tcPr>
            <w:tcW w:w="150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On-target bonus €</w:t>
            </w:r>
          </w:p>
        </w:tc>
        <w:tc>
          <w:tcPr>
            <w:tcW w:w="142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On-target LTIP €</w:t>
            </w:r>
          </w:p>
        </w:tc>
        <w:tc>
          <w:tcPr>
            <w:tcW w:w="14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On-target DBP €</w:t>
            </w:r>
          </w:p>
        </w:tc>
        <w:tc>
          <w:tcPr>
            <w:tcW w:w="118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Total €</w:t>
            </w:r>
          </w:p>
        </w:tc>
        <w:tc>
          <w:tcPr>
            <w:tcW w:w="124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Total $</w:t>
            </w:r>
          </w:p>
        </w:tc>
        <w:tc>
          <w:tcPr>
            <w:tcW w:w="9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Total £</w:t>
            </w:r>
          </w:p>
        </w:tc>
      </w:tr>
      <w:tr>
        <w:trPr>
          <w:trHeight w:val="127"/>
        </w:trPr>
        <w:tc>
          <w:tcPr>
            <w:tcW w:w="1900" w:type="dxa"/>
            <w:vAlign w:val="bottom"/>
          </w:tcPr>
          <w:p>
            <w:pPr>
              <w:spacing w:after="0" w:line="128" w:lineRule="exact"/>
              <w:rPr>
                <w:sz w:val="20"/>
                <w:szCs w:val="20"/>
                <w:color w:val="auto"/>
              </w:rPr>
            </w:pPr>
            <w:r>
              <w:rPr>
                <w:rFonts w:ascii="Arial" w:cs="Arial" w:eastAsia="Arial" w:hAnsi="Arial"/>
                <w:sz w:val="12"/>
                <w:szCs w:val="12"/>
                <w:color w:val="auto"/>
              </w:rPr>
              <w:t>Jeroen van der Veer</w:t>
            </w:r>
          </w:p>
        </w:tc>
        <w:tc>
          <w:tcPr>
            <w:tcW w:w="17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1,850,000</w:t>
            </w:r>
          </w:p>
        </w:tc>
        <w:tc>
          <w:tcPr>
            <w:tcW w:w="150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2,220,000</w:t>
            </w:r>
          </w:p>
        </w:tc>
        <w:tc>
          <w:tcPr>
            <w:tcW w:w="14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3,800,000</w:t>
            </w:r>
          </w:p>
        </w:tc>
        <w:tc>
          <w:tcPr>
            <w:tcW w:w="146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600,000</w:t>
            </w:r>
          </w:p>
        </w:tc>
        <w:tc>
          <w:tcPr>
            <w:tcW w:w="118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8,470,000</w:t>
            </w:r>
          </w:p>
        </w:tc>
        <w:tc>
          <w:tcPr>
            <w:tcW w:w="124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11,650,000</w:t>
            </w:r>
          </w:p>
        </w:tc>
        <w:tc>
          <w:tcPr>
            <w:tcW w:w="96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5,850,000</w:t>
            </w: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Malcolm Brinded</w:t>
            </w:r>
          </w:p>
        </w:tc>
        <w:tc>
          <w:tcPr>
            <w:tcW w:w="1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1,120,000</w:t>
            </w:r>
          </w:p>
        </w:tc>
        <w:tc>
          <w:tcPr>
            <w:tcW w:w="15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1,232,000</w:t>
            </w:r>
          </w:p>
        </w:tc>
        <w:tc>
          <w:tcPr>
            <w:tcW w:w="14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2,100,000</w:t>
            </w:r>
          </w:p>
        </w:tc>
        <w:tc>
          <w:tcPr>
            <w:tcW w:w="14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350,000</w:t>
            </w:r>
          </w:p>
        </w:tc>
        <w:tc>
          <w:tcPr>
            <w:tcW w:w="118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4,802,000</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6,600,000</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3,300,000</w:t>
            </w: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Linda Cook</w:t>
            </w:r>
          </w:p>
        </w:tc>
        <w:tc>
          <w:tcPr>
            <w:tcW w:w="1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985,000</w:t>
            </w:r>
          </w:p>
        </w:tc>
        <w:tc>
          <w:tcPr>
            <w:tcW w:w="15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1,083,500</w:t>
            </w:r>
          </w:p>
        </w:tc>
        <w:tc>
          <w:tcPr>
            <w:tcW w:w="14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1,850,000</w:t>
            </w:r>
          </w:p>
        </w:tc>
        <w:tc>
          <w:tcPr>
            <w:tcW w:w="14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300,000</w:t>
            </w:r>
          </w:p>
        </w:tc>
        <w:tc>
          <w:tcPr>
            <w:tcW w:w="118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4,218,500</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5,800,000</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2,900,000</w:t>
            </w:r>
          </w:p>
        </w:tc>
      </w:tr>
      <w:tr>
        <w:trPr>
          <w:trHeight w:val="133"/>
        </w:trPr>
        <w:tc>
          <w:tcPr>
            <w:tcW w:w="1900" w:type="dxa"/>
            <w:vAlign w:val="bottom"/>
          </w:tcPr>
          <w:p>
            <w:pPr>
              <w:spacing w:after="0" w:line="133" w:lineRule="exact"/>
              <w:rPr>
                <w:sz w:val="20"/>
                <w:szCs w:val="20"/>
                <w:color w:val="auto"/>
              </w:rPr>
            </w:pPr>
            <w:r>
              <w:rPr>
                <w:rFonts w:ascii="Arial" w:cs="Arial" w:eastAsia="Arial" w:hAnsi="Arial"/>
                <w:sz w:val="12"/>
                <w:szCs w:val="12"/>
                <w:color w:val="auto"/>
              </w:rPr>
              <w:t>Rob Routs</w:t>
            </w:r>
          </w:p>
        </w:tc>
        <w:tc>
          <w:tcPr>
            <w:tcW w:w="1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1,000,000</w:t>
            </w:r>
          </w:p>
        </w:tc>
        <w:tc>
          <w:tcPr>
            <w:tcW w:w="15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1,100,000</w:t>
            </w:r>
          </w:p>
        </w:tc>
        <w:tc>
          <w:tcPr>
            <w:tcW w:w="14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1,900,000</w:t>
            </w:r>
          </w:p>
        </w:tc>
        <w:tc>
          <w:tcPr>
            <w:tcW w:w="14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300,000</w:t>
            </w:r>
          </w:p>
        </w:tc>
        <w:tc>
          <w:tcPr>
            <w:tcW w:w="118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4,300,000</w:t>
            </w:r>
          </w:p>
        </w:tc>
        <w:tc>
          <w:tcPr>
            <w:tcW w:w="12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5,950,000</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2,950,000</w:t>
            </w:r>
          </w:p>
        </w:tc>
      </w:tr>
      <w:tr>
        <w:trPr>
          <w:trHeight w:val="159"/>
        </w:trPr>
        <w:tc>
          <w:tcPr>
            <w:tcW w:w="1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Peter Voser</w:t>
            </w:r>
          </w:p>
        </w:tc>
        <w:tc>
          <w:tcPr>
            <w:tcW w:w="1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985,000</w:t>
            </w:r>
          </w:p>
        </w:tc>
        <w:tc>
          <w:tcPr>
            <w:tcW w:w="15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1,083,500</w:t>
            </w:r>
          </w:p>
        </w:tc>
        <w:tc>
          <w:tcPr>
            <w:tcW w:w="14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1,850,000</w:t>
            </w:r>
          </w:p>
        </w:tc>
        <w:tc>
          <w:tcPr>
            <w:tcW w:w="14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300,000</w:t>
            </w: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4,218,500</w:t>
            </w:r>
          </w:p>
        </w:tc>
        <w:tc>
          <w:tcPr>
            <w:tcW w:w="12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5,800,000</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2,900,000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104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Executive Directors’ contracts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-80645</wp:posOffset>
            </wp:positionV>
            <wp:extent cx="282575" cy="56076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82575" cy="560768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070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47"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Contracts for Executive Directors are governed by Dutch law. The contracts contain terms and conditions consistent with those of other Netherlands-based senior executives. The contracts end by notice of either party or automatically at retirement.</w:t>
      </w:r>
    </w:p>
    <w:p>
      <w:pPr>
        <w:spacing w:after="0" w:line="60" w:lineRule="exact"/>
        <w:rPr>
          <w:sz w:val="20"/>
          <w:szCs w:val="20"/>
          <w:color w:val="auto"/>
        </w:rPr>
      </w:pPr>
    </w:p>
    <w:p>
      <w:pPr>
        <w:ind w:right="140"/>
        <w:spacing w:after="0" w:line="273" w:lineRule="auto"/>
        <w:rPr>
          <w:sz w:val="20"/>
          <w:szCs w:val="20"/>
          <w:color w:val="auto"/>
        </w:rPr>
      </w:pPr>
      <w:r>
        <w:rPr>
          <w:rFonts w:ascii="Arial" w:cs="Arial" w:eastAsia="Arial" w:hAnsi="Arial"/>
          <w:sz w:val="12"/>
          <w:szCs w:val="12"/>
          <w:color w:val="auto"/>
        </w:rPr>
        <w:t>Standard Executive Director contracts do not contain predetermined settlements for early termination. REMCO will recommend terms and conditions for any situation that arises where a severance payment is appropriate, taking into consideration applicable law and corporate governance provisions. Temporary severance arrangements may be agreed to help the recruitment process if Executive Directors are appointed from outside Shell.</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DIRECTORS’ SERVICE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070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47"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Executive Directors do not have a contract of service with the Company. Jeroen van der Veer, Malcolm Brinded, Rob Routs and Peter Voser have employment contracts with Shell Petroleum N.V. effective from July 20, 2005. Linda Cook’s contract is with Shell Expatriate Employment US Inc. and was effective from August 1, 2005. Under Dutch law, their contracts entitle them to the statutory notice period that applies for employees in the Netherlands. This is one month for an employee and up to a maximum of four months for the employer, depending on the duration of the employment contract concerned at the time of termination.</w:t>
      </w:r>
    </w:p>
    <w:p>
      <w:pPr>
        <w:spacing w:after="0" w:line="77" w:lineRule="exact"/>
        <w:rPr>
          <w:sz w:val="20"/>
          <w:szCs w:val="20"/>
          <w:color w:val="auto"/>
        </w:rPr>
      </w:pPr>
    </w:p>
    <w:p>
      <w:pPr>
        <w:spacing w:after="0" w:line="224" w:lineRule="auto"/>
        <w:rPr>
          <w:sz w:val="20"/>
          <w:szCs w:val="20"/>
          <w:color w:val="auto"/>
        </w:rPr>
      </w:pPr>
      <w:r>
        <w:rPr>
          <w:rFonts w:ascii="Arial" w:cs="Arial" w:eastAsia="Arial" w:hAnsi="Arial"/>
          <w:sz w:val="14"/>
          <w:szCs w:val="14"/>
          <w:color w:val="auto"/>
        </w:rPr>
        <w:t>To provide stability and continuity within Shell and to the downstream business strategy, Jeroen van der Veer’s and Rob Routs’s contracts have been extended to June 30, 2009, and December 31, 2008, respectively. As is the case with Rob Routs, Jeroen van der Veer will receive a lump sum payment representing the net present value of the difference in the pension accrued under the prevailing pension fund rules and the amount which he would have accrued by June 30, 2009, had he retired as originally scheduled, at age 60. For the purpose of calculating the transfer of benefits, the planned retirement date will revert to age 60.</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Peter Voser will stand for re-election at the AGM of 2008. Jeroen van der Veer is scheduled to stand for re-election at the AGM of 2009 and Malcolm Brinded and Linda Cook are scheduled to stand for re-election at the AGM of 2010. During the year, retiring or past Executive Directors did not receive any payments on termination.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EXTERNAL 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41275</wp:posOffset>
            </wp:positionV>
            <wp:extent cx="33070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47" w:lineRule="exact"/>
        <w:rPr>
          <w:sz w:val="20"/>
          <w:szCs w:val="20"/>
          <w:color w:val="auto"/>
        </w:rPr>
      </w:pPr>
    </w:p>
    <w:p>
      <w:pPr>
        <w:ind w:right="40"/>
        <w:spacing w:after="0" w:line="269" w:lineRule="auto"/>
        <w:rPr>
          <w:sz w:val="20"/>
          <w:szCs w:val="20"/>
          <w:color w:val="auto"/>
        </w:rPr>
      </w:pPr>
      <w:r>
        <w:rPr>
          <w:rFonts w:ascii="Arial" w:cs="Arial" w:eastAsia="Arial" w:hAnsi="Arial"/>
          <w:sz w:val="12"/>
          <w:szCs w:val="12"/>
          <w:color w:val="auto"/>
        </w:rPr>
        <w:t>The Board considers external appointments to be valuable in broadening Executive Directors’ knowledge and experience. The number of outside directorships is generally limited to one. The Board must explicitly approve such appointments. The Board approved a new policy to allow Executive Directors to retain any cash payments they receive from external board directorships with effect from July 1, 2007. Prior to this Executive Directors had been able to keep payments from external directorships received in shares.</w:t>
      </w:r>
    </w:p>
    <w:p>
      <w:pPr>
        <w:spacing w:after="0" w:line="58" w:lineRule="exact"/>
        <w:rPr>
          <w:sz w:val="20"/>
          <w:szCs w:val="20"/>
          <w:color w:val="auto"/>
        </w:rPr>
      </w:pPr>
    </w:p>
    <w:p>
      <w:pPr>
        <w:jc w:val="both"/>
        <w:ind w:right="80"/>
        <w:spacing w:after="0" w:line="235" w:lineRule="auto"/>
        <w:rPr>
          <w:sz w:val="20"/>
          <w:szCs w:val="20"/>
          <w:color w:val="auto"/>
        </w:rPr>
      </w:pPr>
      <w:r>
        <w:rPr>
          <w:rFonts w:ascii="Arial" w:cs="Arial" w:eastAsia="Arial" w:hAnsi="Arial"/>
          <w:sz w:val="14"/>
          <w:szCs w:val="14"/>
          <w:color w:val="auto"/>
        </w:rPr>
        <w:t>During 2007, in his capacity as a Non-executive Director of Unilever, Jeroen van der Veer retained fees in the amounts of €22,500 and £15,502 from Unilever N.V. and Unilever plc, respectively.</w:t>
      </w:r>
    </w:p>
    <w:p>
      <w:pPr>
        <w:spacing w:after="0" w:line="73" w:lineRule="exact"/>
        <w:rPr>
          <w:sz w:val="20"/>
          <w:szCs w:val="20"/>
          <w:color w:val="auto"/>
        </w:rPr>
      </w:pPr>
    </w:p>
    <w:p>
      <w:pPr>
        <w:jc w:val="both"/>
        <w:ind w:right="400"/>
        <w:spacing w:after="0" w:line="235" w:lineRule="auto"/>
        <w:rPr>
          <w:sz w:val="20"/>
          <w:szCs w:val="20"/>
          <w:color w:val="auto"/>
        </w:rPr>
      </w:pPr>
      <w:r>
        <w:rPr>
          <w:rFonts w:ascii="Arial" w:cs="Arial" w:eastAsia="Arial" w:hAnsi="Arial"/>
          <w:sz w:val="14"/>
          <w:szCs w:val="14"/>
          <w:color w:val="auto"/>
        </w:rPr>
        <w:t>During 2007, Peter Voser received compensation for his services as a member of the Supervisory Board of UBS AG. He received 600,000 Swiss francs, delivered in UBS shares that vest over four years.</w:t>
      </w:r>
    </w:p>
    <w:p>
      <w:pPr>
        <w:spacing w:after="0" w:line="73" w:lineRule="exact"/>
        <w:rPr>
          <w:sz w:val="20"/>
          <w:szCs w:val="20"/>
          <w:color w:val="auto"/>
        </w:rPr>
      </w:pPr>
    </w:p>
    <w:p>
      <w:pPr>
        <w:spacing w:after="0"/>
        <w:rPr>
          <w:sz w:val="20"/>
          <w:szCs w:val="20"/>
          <w:color w:val="auto"/>
        </w:rPr>
      </w:pPr>
      <w:r>
        <w:rPr>
          <w:rFonts w:ascii="Arial" w:cs="Arial" w:eastAsia="Arial" w:hAnsi="Arial"/>
          <w:sz w:val="13"/>
          <w:szCs w:val="13"/>
          <w:color w:val="auto"/>
        </w:rPr>
        <w:t>During 2007, Linda Cook received compensation for her services as a Non-executive</w:t>
      </w:r>
    </w:p>
    <w:p>
      <w:pPr>
        <w:spacing w:after="0" w:line="231" w:lineRule="auto"/>
        <w:rPr>
          <w:sz w:val="20"/>
          <w:szCs w:val="20"/>
          <w:color w:val="auto"/>
        </w:rPr>
      </w:pPr>
      <w:r>
        <w:rPr>
          <w:rFonts w:ascii="Arial" w:cs="Arial" w:eastAsia="Arial" w:hAnsi="Arial"/>
          <w:sz w:val="14"/>
          <w:szCs w:val="14"/>
          <w:color w:val="auto"/>
        </w:rPr>
        <w:t>Director of The Boeing Company in the form of deferred stock units at a value of</w:t>
      </w:r>
    </w:p>
    <w:p>
      <w:pPr>
        <w:spacing w:after="0" w:line="236" w:lineRule="auto"/>
        <w:rPr>
          <w:sz w:val="20"/>
          <w:szCs w:val="20"/>
          <w:color w:val="auto"/>
        </w:rPr>
      </w:pPr>
      <w:r>
        <w:rPr>
          <w:rFonts w:ascii="Arial" w:cs="Arial" w:eastAsia="Arial" w:hAnsi="Arial"/>
          <w:sz w:val="13"/>
          <w:szCs w:val="13"/>
          <w:color w:val="auto"/>
        </w:rPr>
        <w:t>$205,000. This included a cash retainer of $75,000, which she opted to defer. Under the</w:t>
      </w:r>
    </w:p>
    <w:p>
      <w:pPr>
        <w:spacing w:after="0" w:line="235" w:lineRule="auto"/>
        <w:rPr>
          <w:sz w:val="20"/>
          <w:szCs w:val="20"/>
          <w:color w:val="auto"/>
        </w:rPr>
      </w:pPr>
      <w:r>
        <w:rPr>
          <w:rFonts w:ascii="Arial" w:cs="Arial" w:eastAsia="Arial" w:hAnsi="Arial"/>
          <w:sz w:val="13"/>
          <w:szCs w:val="13"/>
          <w:color w:val="auto"/>
        </w:rPr>
        <w:t>rules of the deferred compensation plan for Directors of Boeing, these deferred stock units</w:t>
      </w:r>
    </w:p>
    <w:p>
      <w:pPr>
        <w:spacing w:after="0"/>
        <w:rPr>
          <w:sz w:val="20"/>
          <w:szCs w:val="20"/>
          <w:color w:val="auto"/>
        </w:rPr>
      </w:pPr>
      <w:r>
        <w:rPr>
          <w:rFonts w:ascii="Arial" w:cs="Arial" w:eastAsia="Arial" w:hAnsi="Arial"/>
          <w:sz w:val="12"/>
          <w:szCs w:val="12"/>
          <w:color w:val="auto"/>
        </w:rPr>
        <w:t>will not be distributed to her as Boeing shares until after her retirement or other termination</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of Boeing Board service.</w:t>
      </w:r>
    </w:p>
    <w:p>
      <w:pPr>
        <w:spacing w:after="0" w:line="2224" w:lineRule="exact"/>
        <w:rPr>
          <w:sz w:val="20"/>
          <w:szCs w:val="20"/>
          <w:color w:val="auto"/>
        </w:rPr>
      </w:pPr>
    </w:p>
    <w:p>
      <w:pPr>
        <w:sectPr>
          <w:pgSz w:w="11900" w:h="16838" w:orient="portrait"/>
          <w:cols w:equalWidth="0" w:num="2">
            <w:col w:w="5200" w:space="440"/>
            <w:col w:w="5220"/>
          </w:cols>
          <w:pgMar w:left="240" w:top="415"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9540"/>
        <w:spacing w:after="0"/>
        <w:rPr>
          <w:sz w:val="20"/>
          <w:szCs w:val="20"/>
          <w:color w:val="auto"/>
        </w:rPr>
      </w:pPr>
      <w:r>
        <w:rPr>
          <w:rFonts w:ascii="Arial" w:cs="Arial" w:eastAsia="Arial" w:hAnsi="Arial"/>
          <w:sz w:val="11"/>
          <w:szCs w:val="11"/>
          <w:color w:val="auto"/>
        </w:rPr>
        <w:t xml:space="preserve">Royal Dutch Shell plc </w:t>
      </w:r>
      <w:r>
        <w:rPr>
          <w:rFonts w:ascii="Arial" w:cs="Arial" w:eastAsia="Arial" w:hAnsi="Arial"/>
          <w:sz w:val="11"/>
          <w:szCs w:val="11"/>
          <w:b w:val="1"/>
          <w:bCs w:val="1"/>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1392555</wp:posOffset>
            </wp:positionV>
            <wp:extent cx="725297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DIRECTORS’ REMUNERATION REPORT</w:t>
      </w:r>
    </w:p>
    <w:p>
      <w:pPr>
        <w:spacing w:after="0" w:line="196" w:lineRule="exact"/>
        <w:rPr>
          <w:sz w:val="20"/>
          <w:szCs w:val="20"/>
          <w:color w:val="auto"/>
        </w:rPr>
      </w:pPr>
    </w:p>
    <w:p>
      <w:pPr>
        <w:spacing w:after="0"/>
        <w:rPr>
          <w:sz w:val="20"/>
          <w:szCs w:val="20"/>
          <w:color w:val="auto"/>
        </w:rPr>
      </w:pPr>
      <w:r>
        <w:rPr>
          <w:rFonts w:ascii="Arial" w:cs="Arial" w:eastAsia="Arial" w:hAnsi="Arial"/>
          <w:sz w:val="36"/>
          <w:szCs w:val="36"/>
          <w:color w:val="auto"/>
        </w:rPr>
        <w:t>Non-executive Directors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color w:val="auto"/>
        </w:rPr>
        <w:t>The Board determines the fees payable to Non-executive Directors of Royal Dutch Shell, within a limit specified by the Articles of Association. The annual limit was set at £2,500,000. In 2007, the total amount of fees payable to Royal Dutch Shell Non-executive Directors was £1,360,678 ($2,726,578).</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Board reviews Non-executive Directors’ remuneration levels periodically to ensure they are aligned with other major listed companies. Adjustments will be made as appropriate during 2008.</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Personal loans or guarantees are not granted to Non-executive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From 2007, Non-executive Directors’ fees have been set in euro.</w:t>
      </w:r>
    </w:p>
    <w:p>
      <w:pPr>
        <w:spacing w:after="0" w:line="92"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The 2007 fee level for the Chairman of the Board was €750,000. All Non-executive Directors of Royal Dutch Shell were paid an annual fee of €105,000. The Senior Independent Director, Lord Kerr of Kinlochard, received an additional fee of €45,000.</w:t>
      </w:r>
    </w:p>
    <w:p>
      <w:pPr>
        <w:spacing w:after="0" w:line="73"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Committee chairman and committee fees for 2007 and 2008 are shown in the table below. Non-executive Directors were paid an additional fee of €4,500 for any Board meeting involving intercontinental travel, although there will be no payment for one meeting per year requiring intercontinental travel, held in a location other than The Hague.</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Executive Directors of Royal Dutch Shell do not receive any Directors’ fees.</w:t>
      </w:r>
    </w:p>
    <w:p>
      <w:pPr>
        <w:spacing w:after="0" w:line="200" w:lineRule="exact"/>
        <w:rPr>
          <w:sz w:val="20"/>
          <w:szCs w:val="20"/>
          <w:color w:val="auto"/>
        </w:rPr>
      </w:pPr>
    </w:p>
    <w:p>
      <w:pPr>
        <w:sectPr>
          <w:pgSz w:w="11900" w:h="16838" w:orient="portrait"/>
          <w:cols w:equalWidth="0" w:num="2">
            <w:col w:w="5480" w:space="460"/>
            <w:col w:w="5480"/>
          </w:cols>
          <w:pgMar w:left="240" w:top="415" w:right="239" w:bottom="1440" w:gutter="0" w:footer="0" w:header="0"/>
        </w:sect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400" w:type="dxa"/>
            <w:vAlign w:val="bottom"/>
            <w:shd w:val="clear" w:color="auto" w:fill="C1D72E"/>
          </w:tcPr>
          <w:p>
            <w:pPr>
              <w:spacing w:after="0"/>
              <w:rPr>
                <w:sz w:val="20"/>
                <w:szCs w:val="20"/>
                <w:color w:val="auto"/>
              </w:rPr>
            </w:pPr>
            <w:r>
              <w:rPr>
                <w:rFonts w:ascii="Arial" w:cs="Arial" w:eastAsia="Arial" w:hAnsi="Arial"/>
                <w:sz w:val="12"/>
                <w:szCs w:val="12"/>
                <w:b w:val="1"/>
                <w:bCs w:val="1"/>
                <w:color w:val="auto"/>
              </w:rPr>
              <w:t>ADDITIONAL ANNUAL COMMITTEE FEES OF NON-EXECUTIVE DIRECTORS as at December 31, 2007</w:t>
            </w:r>
          </w:p>
        </w:tc>
        <w:tc>
          <w:tcPr>
            <w:tcW w:w="2840" w:type="dxa"/>
            <w:vAlign w:val="bottom"/>
            <w:shd w:val="clear" w:color="auto" w:fill="C1D72E"/>
          </w:tcPr>
          <w:p>
            <w:pPr>
              <w:spacing w:after="0"/>
              <w:rPr>
                <w:sz w:val="12"/>
                <w:szCs w:val="12"/>
                <w:color w:val="auto"/>
              </w:rPr>
            </w:pPr>
          </w:p>
        </w:tc>
        <w:tc>
          <w:tcPr>
            <w:tcW w:w="1180" w:type="dxa"/>
            <w:vAlign w:val="bottom"/>
            <w:shd w:val="clear" w:color="auto" w:fill="C1D72E"/>
          </w:tcPr>
          <w:p>
            <w:pPr>
              <w:jc w:val="right"/>
              <w:ind w:right="118"/>
              <w:spacing w:after="0"/>
              <w:rPr>
                <w:sz w:val="20"/>
                <w:szCs w:val="20"/>
                <w:color w:val="auto"/>
              </w:rPr>
            </w:pPr>
            <w:r>
              <w:rPr>
                <w:rFonts w:ascii="Arial" w:cs="Arial" w:eastAsia="Arial" w:hAnsi="Arial"/>
                <w:sz w:val="12"/>
                <w:szCs w:val="12"/>
                <w:b w:val="1"/>
                <w:bCs w:val="1"/>
                <w:color w:val="auto"/>
              </w:rPr>
              <w:t>€</w:t>
            </w:r>
          </w:p>
        </w:tc>
      </w:tr>
      <w:tr>
        <w:trPr>
          <w:trHeight w:val="133"/>
        </w:trPr>
        <w:tc>
          <w:tcPr>
            <w:tcW w:w="7400" w:type="dxa"/>
            <w:vAlign w:val="bottom"/>
            <w:shd w:val="clear" w:color="auto" w:fill="CECAC6"/>
          </w:tcPr>
          <w:p>
            <w:pPr>
              <w:spacing w:after="0" w:line="133" w:lineRule="exact"/>
              <w:rPr>
                <w:sz w:val="20"/>
                <w:szCs w:val="20"/>
                <w:color w:val="auto"/>
              </w:rPr>
            </w:pPr>
            <w:r>
              <w:rPr>
                <w:rFonts w:ascii="Arial" w:cs="Arial" w:eastAsia="Arial" w:hAnsi="Arial"/>
                <w:sz w:val="12"/>
                <w:szCs w:val="12"/>
                <w:b w:val="1"/>
                <w:bCs w:val="1"/>
                <w:color w:val="auto"/>
              </w:rPr>
              <w:t>Committee name</w:t>
            </w:r>
          </w:p>
        </w:tc>
        <w:tc>
          <w:tcPr>
            <w:tcW w:w="2840" w:type="dxa"/>
            <w:vAlign w:val="bottom"/>
            <w:shd w:val="clear" w:color="auto" w:fill="CECAC6"/>
          </w:tcPr>
          <w:p>
            <w:pPr>
              <w:jc w:val="right"/>
              <w:ind w:right="338"/>
              <w:spacing w:after="0" w:line="133" w:lineRule="exact"/>
              <w:rPr>
                <w:sz w:val="20"/>
                <w:szCs w:val="20"/>
                <w:color w:val="auto"/>
              </w:rPr>
            </w:pPr>
            <w:r>
              <w:rPr>
                <w:rFonts w:ascii="Arial" w:cs="Arial" w:eastAsia="Arial" w:hAnsi="Arial"/>
                <w:sz w:val="12"/>
                <w:szCs w:val="12"/>
                <w:color w:val="auto"/>
              </w:rPr>
              <w:t>Chairman’s fee</w:t>
            </w:r>
            <w:r>
              <w:rPr>
                <w:rFonts w:ascii="Arial" w:cs="Arial" w:eastAsia="Arial" w:hAnsi="Arial"/>
                <w:sz w:val="12"/>
                <w:szCs w:val="12"/>
                <w:b w:val="1"/>
                <w:bCs w:val="1"/>
                <w:color w:val="auto"/>
              </w:rPr>
              <w:t>[A]</w:t>
            </w:r>
          </w:p>
        </w:tc>
        <w:tc>
          <w:tcPr>
            <w:tcW w:w="118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Member’s fee</w:t>
            </w:r>
          </w:p>
        </w:tc>
      </w:tr>
      <w:tr>
        <w:trPr>
          <w:trHeight w:val="113"/>
        </w:trPr>
        <w:tc>
          <w:tcPr>
            <w:tcW w:w="7400" w:type="dxa"/>
            <w:vAlign w:val="bottom"/>
          </w:tcPr>
          <w:p>
            <w:pPr>
              <w:spacing w:after="0" w:line="114" w:lineRule="exact"/>
              <w:rPr>
                <w:sz w:val="20"/>
                <w:szCs w:val="20"/>
                <w:color w:val="auto"/>
              </w:rPr>
            </w:pPr>
            <w:r>
              <w:rPr>
                <w:rFonts w:ascii="Arial" w:cs="Arial" w:eastAsia="Arial" w:hAnsi="Arial"/>
                <w:sz w:val="12"/>
                <w:szCs w:val="12"/>
                <w:color w:val="auto"/>
              </w:rPr>
              <w:t>Audit Committee</w:t>
            </w:r>
          </w:p>
        </w:tc>
        <w:tc>
          <w:tcPr>
            <w:tcW w:w="2840" w:type="dxa"/>
            <w:vAlign w:val="bottom"/>
          </w:tcPr>
          <w:p>
            <w:pPr>
              <w:jc w:val="right"/>
              <w:ind w:right="358"/>
              <w:spacing w:after="0" w:line="114" w:lineRule="exact"/>
              <w:rPr>
                <w:sz w:val="20"/>
                <w:szCs w:val="20"/>
                <w:color w:val="auto"/>
              </w:rPr>
            </w:pPr>
            <w:r>
              <w:rPr>
                <w:rFonts w:ascii="Arial" w:cs="Arial" w:eastAsia="Arial" w:hAnsi="Arial"/>
                <w:sz w:val="12"/>
                <w:szCs w:val="12"/>
                <w:color w:val="auto"/>
              </w:rPr>
              <w:t>37,500</w:t>
            </w:r>
          </w:p>
        </w:tc>
        <w:tc>
          <w:tcPr>
            <w:tcW w:w="1180" w:type="dxa"/>
            <w:vAlign w:val="bottom"/>
          </w:tcPr>
          <w:p>
            <w:pPr>
              <w:jc w:val="right"/>
              <w:ind w:right="118"/>
              <w:spacing w:after="0" w:line="114" w:lineRule="exact"/>
              <w:rPr>
                <w:sz w:val="20"/>
                <w:szCs w:val="20"/>
                <w:color w:val="auto"/>
              </w:rPr>
            </w:pPr>
            <w:r>
              <w:rPr>
                <w:rFonts w:ascii="Arial" w:cs="Arial" w:eastAsia="Arial" w:hAnsi="Arial"/>
                <w:sz w:val="12"/>
                <w:szCs w:val="12"/>
                <w:color w:val="auto"/>
              </w:rPr>
              <w:t>22,500</w:t>
            </w:r>
          </w:p>
        </w:tc>
      </w:tr>
      <w:tr>
        <w:trPr>
          <w:trHeight w:val="147"/>
        </w:trPr>
        <w:tc>
          <w:tcPr>
            <w:tcW w:w="7400" w:type="dxa"/>
            <w:vAlign w:val="bottom"/>
          </w:tcPr>
          <w:p>
            <w:pPr>
              <w:spacing w:after="0"/>
              <w:rPr>
                <w:sz w:val="20"/>
                <w:szCs w:val="20"/>
                <w:color w:val="auto"/>
              </w:rPr>
            </w:pPr>
            <w:r>
              <w:rPr>
                <w:rFonts w:ascii="Arial" w:cs="Arial" w:eastAsia="Arial" w:hAnsi="Arial"/>
                <w:sz w:val="12"/>
                <w:szCs w:val="12"/>
                <w:color w:val="auto"/>
              </w:rPr>
              <w:t>Remuneration Committee</w:t>
            </w:r>
          </w:p>
        </w:tc>
        <w:tc>
          <w:tcPr>
            <w:tcW w:w="2840" w:type="dxa"/>
            <w:vAlign w:val="bottom"/>
          </w:tcPr>
          <w:p>
            <w:pPr>
              <w:jc w:val="right"/>
              <w:ind w:right="358"/>
              <w:spacing w:after="0"/>
              <w:rPr>
                <w:sz w:val="20"/>
                <w:szCs w:val="20"/>
                <w:color w:val="auto"/>
              </w:rPr>
            </w:pPr>
            <w:r>
              <w:rPr>
                <w:rFonts w:ascii="Arial" w:cs="Arial" w:eastAsia="Arial" w:hAnsi="Arial"/>
                <w:sz w:val="12"/>
                <w:szCs w:val="12"/>
                <w:color w:val="auto"/>
              </w:rPr>
              <w:t>30,000</w:t>
            </w:r>
          </w:p>
        </w:tc>
        <w:tc>
          <w:tcPr>
            <w:tcW w:w="1180" w:type="dxa"/>
            <w:vAlign w:val="bottom"/>
          </w:tcPr>
          <w:p>
            <w:pPr>
              <w:jc w:val="right"/>
              <w:spacing w:after="0"/>
              <w:rPr>
                <w:sz w:val="20"/>
                <w:szCs w:val="20"/>
                <w:color w:val="auto"/>
              </w:rPr>
            </w:pPr>
            <w:r>
              <w:rPr>
                <w:rFonts w:ascii="Arial" w:cs="Arial" w:eastAsia="Arial" w:hAnsi="Arial"/>
                <w:sz w:val="12"/>
                <w:szCs w:val="12"/>
                <w:color w:val="auto"/>
              </w:rPr>
              <w:t>17,250</w:t>
            </w:r>
            <w:r>
              <w:rPr>
                <w:rFonts w:ascii="Arial" w:cs="Arial" w:eastAsia="Arial" w:hAnsi="Arial"/>
                <w:sz w:val="12"/>
                <w:szCs w:val="12"/>
                <w:b w:val="1"/>
                <w:bCs w:val="1"/>
                <w:color w:val="auto"/>
              </w:rPr>
              <w:t>[B]</w:t>
            </w:r>
          </w:p>
        </w:tc>
      </w:tr>
      <w:tr>
        <w:trPr>
          <w:trHeight w:val="119"/>
        </w:trPr>
        <w:tc>
          <w:tcPr>
            <w:tcW w:w="7400" w:type="dxa"/>
            <w:vAlign w:val="bottom"/>
          </w:tcPr>
          <w:p>
            <w:pPr>
              <w:spacing w:after="0" w:line="120" w:lineRule="exact"/>
              <w:rPr>
                <w:sz w:val="20"/>
                <w:szCs w:val="20"/>
                <w:color w:val="auto"/>
              </w:rPr>
            </w:pPr>
            <w:r>
              <w:rPr>
                <w:rFonts w:ascii="Arial" w:cs="Arial" w:eastAsia="Arial" w:hAnsi="Arial"/>
                <w:sz w:val="12"/>
                <w:szCs w:val="12"/>
                <w:color w:val="auto"/>
              </w:rPr>
              <w:t>Social Responsibility Committee</w:t>
            </w:r>
          </w:p>
        </w:tc>
        <w:tc>
          <w:tcPr>
            <w:tcW w:w="2840" w:type="dxa"/>
            <w:vAlign w:val="bottom"/>
          </w:tcPr>
          <w:p>
            <w:pPr>
              <w:jc w:val="right"/>
              <w:ind w:right="358"/>
              <w:spacing w:after="0" w:line="120" w:lineRule="exact"/>
              <w:rPr>
                <w:sz w:val="20"/>
                <w:szCs w:val="20"/>
                <w:color w:val="auto"/>
              </w:rPr>
            </w:pPr>
            <w:r>
              <w:rPr>
                <w:rFonts w:ascii="Arial" w:cs="Arial" w:eastAsia="Arial" w:hAnsi="Arial"/>
                <w:sz w:val="12"/>
                <w:szCs w:val="12"/>
                <w:color w:val="auto"/>
              </w:rPr>
              <w:t>30,000</w:t>
            </w:r>
          </w:p>
        </w:tc>
        <w:tc>
          <w:tcPr>
            <w:tcW w:w="1180" w:type="dxa"/>
            <w:vAlign w:val="bottom"/>
          </w:tcPr>
          <w:p>
            <w:pPr>
              <w:jc w:val="right"/>
              <w:ind w:right="118"/>
              <w:spacing w:after="0" w:line="120" w:lineRule="exact"/>
              <w:rPr>
                <w:sz w:val="20"/>
                <w:szCs w:val="20"/>
                <w:color w:val="auto"/>
              </w:rPr>
            </w:pPr>
            <w:r>
              <w:rPr>
                <w:rFonts w:ascii="Arial" w:cs="Arial" w:eastAsia="Arial" w:hAnsi="Arial"/>
                <w:sz w:val="12"/>
                <w:szCs w:val="12"/>
                <w:color w:val="auto"/>
              </w:rPr>
              <w:t>17,250</w:t>
            </w:r>
          </w:p>
        </w:tc>
      </w:tr>
      <w:tr>
        <w:trPr>
          <w:trHeight w:val="153"/>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Nomination and Succession Committee</w:t>
            </w:r>
          </w:p>
        </w:tc>
        <w:tc>
          <w:tcPr>
            <w:tcW w:w="2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22,500</w:t>
            </w:r>
            <w:r>
              <w:rPr>
                <w:rFonts w:ascii="Arial" w:cs="Arial" w:eastAsia="Arial" w:hAnsi="Arial"/>
                <w:sz w:val="12"/>
                <w:szCs w:val="12"/>
                <w:b w:val="1"/>
                <w:bCs w:val="1"/>
                <w:color w:val="auto"/>
              </w:rPr>
              <w:t>[B]</w:t>
            </w: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6339205</wp:posOffset>
            </wp:positionH>
            <wp:positionV relativeFrom="paragraph">
              <wp:posOffset>-430530</wp:posOffset>
            </wp:positionV>
            <wp:extent cx="8255" cy="844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4455"/>
                    </a:xfrm>
                    <a:prstGeom prst="rect">
                      <a:avLst/>
                    </a:prstGeom>
                    <a:noFill/>
                  </pic:spPr>
                </pic:pic>
              </a:graphicData>
            </a:graphic>
          </wp:anchor>
        </w:drawing>
      </w:r>
    </w:p>
    <w:p>
      <w:pPr>
        <w:spacing w:after="0" w:line="36" w:lineRule="exact"/>
        <w:rPr>
          <w:sz w:val="20"/>
          <w:szCs w:val="20"/>
          <w:color w:val="auto"/>
        </w:rPr>
      </w:pPr>
    </w:p>
    <w:p>
      <w:pPr>
        <w:ind w:left="260" w:hanging="253"/>
        <w:spacing w:after="0"/>
        <w:tabs>
          <w:tab w:leader="none" w:pos="2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The chairman of a committee of the Board does not receive an additional fee for membership of that committee.</w:t>
      </w:r>
    </w:p>
    <w:p>
      <w:pPr>
        <w:ind w:left="260" w:right="300" w:hanging="253"/>
        <w:spacing w:after="0" w:line="249" w:lineRule="auto"/>
        <w:tabs>
          <w:tab w:leader="none" w:pos="26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Jorma Ollila receives no additional payments for chairing the Nomination and Succession Committee and for being a member of the Remuneration Committee. He does have the use of an apartment when on business in The Hague.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earnings of the Non-executive Directors in office during 2007.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780" w:type="dxa"/>
            <w:vAlign w:val="bottom"/>
            <w:gridSpan w:val="7"/>
            <w:shd w:val="clear" w:color="auto" w:fill="C1D72E"/>
          </w:tcPr>
          <w:p>
            <w:pPr>
              <w:spacing w:after="0"/>
              <w:rPr>
                <w:sz w:val="20"/>
                <w:szCs w:val="20"/>
                <w:color w:val="auto"/>
              </w:rPr>
            </w:pPr>
            <w:r>
              <w:rPr>
                <w:rFonts w:ascii="Arial" w:cs="Arial" w:eastAsia="Arial" w:hAnsi="Arial"/>
                <w:sz w:val="12"/>
                <w:szCs w:val="12"/>
                <w:b w:val="1"/>
                <w:bCs w:val="1"/>
                <w:color w:val="auto"/>
              </w:rPr>
              <w:t xml:space="preserve">EARNINGS OF NON-EXECUTIVE DIRECTORS OF ROYAL DUTCH SHELL IN OFFICE DURING 2007 </w:t>
            </w:r>
            <w:r>
              <w:rPr>
                <w:rFonts w:ascii="Arial" w:cs="Arial" w:eastAsia="Arial" w:hAnsi="Arial"/>
                <w:sz w:val="12"/>
                <w:szCs w:val="12"/>
                <w:color w:val="auto"/>
              </w:rPr>
              <w:t>(This table has been audited)</w:t>
            </w:r>
          </w:p>
        </w:tc>
        <w:tc>
          <w:tcPr>
            <w:tcW w:w="1300" w:type="dxa"/>
            <w:vAlign w:val="bottom"/>
            <w:shd w:val="clear" w:color="auto" w:fill="C1D72E"/>
          </w:tcPr>
          <w:p>
            <w:pPr>
              <w:spacing w:after="0"/>
              <w:rPr>
                <w:sz w:val="12"/>
                <w:szCs w:val="12"/>
                <w:color w:val="auto"/>
              </w:rPr>
            </w:pPr>
          </w:p>
        </w:tc>
        <w:tc>
          <w:tcPr>
            <w:tcW w:w="1340" w:type="dxa"/>
            <w:vAlign w:val="bottom"/>
            <w:shd w:val="clear" w:color="auto" w:fill="C1D72E"/>
          </w:tcPr>
          <w:p>
            <w:pPr>
              <w:spacing w:after="0"/>
              <w:rPr>
                <w:sz w:val="12"/>
                <w:szCs w:val="12"/>
                <w:color w:val="auto"/>
              </w:rPr>
            </w:pPr>
          </w:p>
        </w:tc>
        <w:tc>
          <w:tcPr>
            <w:tcW w:w="1000" w:type="dxa"/>
            <w:vAlign w:val="bottom"/>
            <w:shd w:val="clear" w:color="auto" w:fill="C1D72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200" w:type="dxa"/>
            <w:vAlign w:val="bottom"/>
            <w:vMerge w:val="restart"/>
            <w:shd w:val="clear" w:color="auto" w:fill="CECAC6"/>
          </w:tcPr>
          <w:p>
            <w:pPr>
              <w:spacing w:after="0"/>
              <w:rPr>
                <w:sz w:val="20"/>
                <w:szCs w:val="20"/>
                <w:color w:val="auto"/>
              </w:rPr>
            </w:pPr>
            <w:r>
              <w:rPr>
                <w:rFonts w:ascii="Arial" w:cs="Arial" w:eastAsia="Arial" w:hAnsi="Arial"/>
                <w:sz w:val="12"/>
                <w:szCs w:val="12"/>
                <w:b w:val="1"/>
                <w:bCs w:val="1"/>
                <w:color w:val="auto"/>
              </w:rPr>
              <w:t>Royal Dutch Shell Non-executive Directors</w:t>
            </w:r>
          </w:p>
        </w:tc>
        <w:tc>
          <w:tcPr>
            <w:tcW w:w="58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700" w:type="dxa"/>
            <w:vAlign w:val="bottom"/>
            <w:vMerge w:val="restart"/>
            <w:shd w:val="clear" w:color="auto" w:fill="CECAC6"/>
          </w:tcPr>
          <w:p>
            <w:pPr>
              <w:jc w:val="right"/>
              <w:ind w:right="58"/>
              <w:spacing w:after="0"/>
              <w:rPr>
                <w:sz w:val="20"/>
                <w:szCs w:val="20"/>
                <w:color w:val="auto"/>
              </w:rPr>
            </w:pPr>
            <w:r>
              <w:rPr>
                <w:rFonts w:ascii="Arial" w:cs="Arial" w:eastAsia="Arial" w:hAnsi="Arial"/>
                <w:sz w:val="12"/>
                <w:szCs w:val="12"/>
                <w:b w:val="1"/>
                <w:bCs w:val="1"/>
                <w:color w:val="auto"/>
              </w:rPr>
              <w:t>€</w:t>
            </w:r>
          </w:p>
        </w:tc>
        <w:tc>
          <w:tcPr>
            <w:tcW w:w="1380" w:type="dxa"/>
            <w:vAlign w:val="bottom"/>
            <w:shd w:val="clear" w:color="auto" w:fill="CECAC6"/>
          </w:tcPr>
          <w:p>
            <w:pPr>
              <w:jc w:val="right"/>
              <w:ind w:right="58"/>
              <w:spacing w:after="0" w:line="128" w:lineRule="exact"/>
              <w:rPr>
                <w:sz w:val="20"/>
                <w:szCs w:val="20"/>
                <w:color w:val="auto"/>
              </w:rPr>
            </w:pPr>
            <w:r>
              <w:rPr>
                <w:rFonts w:ascii="Arial" w:cs="Arial" w:eastAsia="Arial" w:hAnsi="Arial"/>
                <w:sz w:val="12"/>
                <w:szCs w:val="12"/>
                <w:color w:val="auto"/>
              </w:rPr>
              <w:t>2007</w:t>
            </w:r>
          </w:p>
        </w:tc>
        <w:tc>
          <w:tcPr>
            <w:tcW w:w="420" w:type="dxa"/>
            <w:vAlign w:val="bottom"/>
            <w:shd w:val="clear" w:color="auto" w:fill="CECAC6"/>
          </w:tcPr>
          <w:p>
            <w:pPr>
              <w:spacing w:after="0"/>
              <w:rPr>
                <w:sz w:val="11"/>
                <w:szCs w:val="11"/>
                <w:color w:val="auto"/>
              </w:rPr>
            </w:pPr>
          </w:p>
        </w:tc>
        <w:tc>
          <w:tcPr>
            <w:tcW w:w="1300" w:type="dxa"/>
            <w:vAlign w:val="bottom"/>
            <w:shd w:val="clear" w:color="auto" w:fill="CECAC6"/>
          </w:tcPr>
          <w:p>
            <w:pPr>
              <w:spacing w:after="0"/>
              <w:rPr>
                <w:sz w:val="11"/>
                <w:szCs w:val="11"/>
                <w:color w:val="auto"/>
              </w:rPr>
            </w:pPr>
          </w:p>
        </w:tc>
        <w:tc>
          <w:tcPr>
            <w:tcW w:w="1340" w:type="dxa"/>
            <w:vAlign w:val="bottom"/>
            <w:vMerge w:val="restart"/>
            <w:shd w:val="clear" w:color="auto" w:fill="CECAC6"/>
          </w:tcPr>
          <w:p>
            <w:pPr>
              <w:jc w:val="right"/>
              <w:ind w:right="378"/>
              <w:spacing w:after="0"/>
              <w:rPr>
                <w:sz w:val="20"/>
                <w:szCs w:val="20"/>
                <w:color w:val="auto"/>
              </w:rPr>
            </w:pPr>
            <w:r>
              <w:rPr>
                <w:rFonts w:ascii="Arial" w:cs="Arial" w:eastAsia="Arial" w:hAnsi="Arial"/>
                <w:sz w:val="12"/>
                <w:szCs w:val="12"/>
                <w:b w:val="1"/>
                <w:bCs w:val="1"/>
                <w:color w:val="auto"/>
              </w:rPr>
              <w:t>€</w:t>
            </w:r>
          </w:p>
        </w:tc>
        <w:tc>
          <w:tcPr>
            <w:tcW w:w="100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39"/>
        </w:trPr>
        <w:tc>
          <w:tcPr>
            <w:tcW w:w="3200" w:type="dxa"/>
            <w:vAlign w:val="bottom"/>
            <w:vMerge w:val="continue"/>
            <w:shd w:val="clear" w:color="auto" w:fill="CECAC6"/>
          </w:tcPr>
          <w:p>
            <w:pPr>
              <w:spacing w:after="0"/>
              <w:rPr>
                <w:sz w:val="12"/>
                <w:szCs w:val="12"/>
                <w:color w:val="auto"/>
              </w:rPr>
            </w:pPr>
          </w:p>
        </w:tc>
        <w:tc>
          <w:tcPr>
            <w:tcW w:w="138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700" w:type="dxa"/>
            <w:vAlign w:val="bottom"/>
            <w:shd w:val="clear" w:color="auto" w:fill="CECAC6"/>
          </w:tcPr>
          <w:p>
            <w:pPr>
              <w:spacing w:after="0"/>
              <w:rPr>
                <w:sz w:val="12"/>
                <w:szCs w:val="12"/>
                <w:color w:val="auto"/>
              </w:rPr>
            </w:pPr>
          </w:p>
        </w:tc>
        <w:tc>
          <w:tcPr>
            <w:tcW w:w="700" w:type="dxa"/>
            <w:vAlign w:val="bottom"/>
            <w:vMerge w:val="continue"/>
            <w:shd w:val="clear" w:color="auto" w:fill="CECAC6"/>
          </w:tcPr>
          <w:p>
            <w:pPr>
              <w:spacing w:after="0"/>
              <w:rPr>
                <w:sz w:val="12"/>
                <w:szCs w:val="12"/>
                <w:color w:val="auto"/>
              </w:rPr>
            </w:pPr>
          </w:p>
        </w:tc>
        <w:tc>
          <w:tcPr>
            <w:tcW w:w="138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420" w:type="dxa"/>
            <w:vAlign w:val="bottom"/>
            <w:shd w:val="clear" w:color="auto" w:fill="CECAC6"/>
          </w:tcPr>
          <w:p>
            <w:pPr>
              <w:spacing w:after="0"/>
              <w:rPr>
                <w:sz w:val="12"/>
                <w:szCs w:val="12"/>
                <w:color w:val="auto"/>
              </w:rPr>
            </w:pPr>
          </w:p>
        </w:tc>
        <w:tc>
          <w:tcPr>
            <w:tcW w:w="1300" w:type="dxa"/>
            <w:vAlign w:val="bottom"/>
            <w:shd w:val="clear" w:color="auto" w:fill="CECAC6"/>
          </w:tcPr>
          <w:p>
            <w:pPr>
              <w:jc w:val="right"/>
              <w:ind w:right="398"/>
              <w:spacing w:after="0"/>
              <w:rPr>
                <w:sz w:val="20"/>
                <w:szCs w:val="20"/>
                <w:color w:val="auto"/>
              </w:rPr>
            </w:pPr>
            <w:r>
              <w:rPr>
                <w:rFonts w:ascii="Arial" w:cs="Arial" w:eastAsia="Arial" w:hAnsi="Arial"/>
                <w:sz w:val="12"/>
                <w:szCs w:val="12"/>
                <w:color w:val="auto"/>
              </w:rPr>
              <w:t>£</w:t>
            </w:r>
          </w:p>
        </w:tc>
        <w:tc>
          <w:tcPr>
            <w:tcW w:w="1340" w:type="dxa"/>
            <w:vAlign w:val="bottom"/>
            <w:vMerge w:val="continue"/>
            <w:shd w:val="clear" w:color="auto" w:fill="CECAC6"/>
          </w:tcPr>
          <w:p>
            <w:pPr>
              <w:spacing w:after="0"/>
              <w:rPr>
                <w:sz w:val="12"/>
                <w:szCs w:val="12"/>
                <w:color w:val="auto"/>
              </w:rPr>
            </w:pPr>
          </w:p>
        </w:tc>
        <w:tc>
          <w:tcPr>
            <w:tcW w:w="10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7"/>
        </w:trPr>
        <w:tc>
          <w:tcPr>
            <w:tcW w:w="3200" w:type="dxa"/>
            <w:vAlign w:val="bottom"/>
          </w:tcPr>
          <w:p>
            <w:pPr>
              <w:spacing w:after="0" w:line="128" w:lineRule="exact"/>
              <w:rPr>
                <w:sz w:val="20"/>
                <w:szCs w:val="20"/>
                <w:color w:val="auto"/>
              </w:rPr>
            </w:pPr>
            <w:r>
              <w:rPr>
                <w:rFonts w:ascii="Arial" w:cs="Arial" w:eastAsia="Arial" w:hAnsi="Arial"/>
                <w:sz w:val="12"/>
                <w:szCs w:val="12"/>
                <w:color w:val="auto"/>
              </w:rPr>
              <w:t>Maarten van den Bergh</w:t>
            </w:r>
          </w:p>
        </w:tc>
        <w:tc>
          <w:tcPr>
            <w:tcW w:w="580" w:type="dxa"/>
            <w:vAlign w:val="bottom"/>
          </w:tcPr>
          <w:p>
            <w:pPr>
              <w:spacing w:after="0"/>
              <w:rPr>
                <w:sz w:val="11"/>
                <w:szCs w:val="11"/>
                <w:color w:val="auto"/>
              </w:rPr>
            </w:pPr>
          </w:p>
        </w:tc>
        <w:tc>
          <w:tcPr>
            <w:tcW w:w="80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84,087</w:t>
            </w:r>
          </w:p>
        </w:tc>
        <w:tc>
          <w:tcPr>
            <w:tcW w:w="1400" w:type="dxa"/>
            <w:vAlign w:val="bottom"/>
            <w:gridSpan w:val="2"/>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122,250</w:t>
            </w:r>
          </w:p>
        </w:tc>
        <w:tc>
          <w:tcPr>
            <w:tcW w:w="138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168,497</w:t>
            </w:r>
          </w:p>
        </w:tc>
        <w:tc>
          <w:tcPr>
            <w:tcW w:w="420" w:type="dxa"/>
            <w:vAlign w:val="bottom"/>
          </w:tcPr>
          <w:p>
            <w:pPr>
              <w:spacing w:after="0"/>
              <w:rPr>
                <w:sz w:val="11"/>
                <w:szCs w:val="11"/>
                <w:color w:val="auto"/>
              </w:rPr>
            </w:pPr>
          </w:p>
        </w:tc>
        <w:tc>
          <w:tcPr>
            <w:tcW w:w="1300" w:type="dxa"/>
            <w:vAlign w:val="bottom"/>
          </w:tcPr>
          <w:p>
            <w:pPr>
              <w:jc w:val="right"/>
              <w:ind w:right="398"/>
              <w:spacing w:after="0" w:line="128" w:lineRule="exact"/>
              <w:rPr>
                <w:sz w:val="20"/>
                <w:szCs w:val="20"/>
                <w:color w:val="auto"/>
              </w:rPr>
            </w:pPr>
            <w:r>
              <w:rPr>
                <w:rFonts w:ascii="Arial" w:cs="Arial" w:eastAsia="Arial" w:hAnsi="Arial"/>
                <w:sz w:val="12"/>
                <w:szCs w:val="12"/>
                <w:color w:val="auto"/>
              </w:rPr>
              <w:t>77,858</w:t>
            </w:r>
          </w:p>
        </w:tc>
        <w:tc>
          <w:tcPr>
            <w:tcW w:w="134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114,219</w:t>
            </w:r>
          </w:p>
        </w:tc>
        <w:tc>
          <w:tcPr>
            <w:tcW w:w="10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144,473</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Nina Henderson</w:t>
            </w:r>
          </w:p>
        </w:tc>
        <w:tc>
          <w:tcPr>
            <w:tcW w:w="580" w:type="dxa"/>
            <w:vAlign w:val="bottom"/>
          </w:tcPr>
          <w:p>
            <w:pPr>
              <w:spacing w:after="0"/>
              <w:rPr>
                <w:sz w:val="11"/>
                <w:szCs w:val="11"/>
                <w:color w:val="auto"/>
              </w:rPr>
            </w:pP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108,849</w:t>
            </w:r>
          </w:p>
        </w:tc>
        <w:tc>
          <w:tcPr>
            <w:tcW w:w="1400" w:type="dxa"/>
            <w:vAlign w:val="bottom"/>
            <w:gridSpan w:val="2"/>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158,250</w:t>
            </w:r>
          </w:p>
        </w:tc>
        <w:tc>
          <w:tcPr>
            <w:tcW w:w="13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218,116</w:t>
            </w:r>
          </w:p>
        </w:tc>
        <w:tc>
          <w:tcPr>
            <w:tcW w:w="42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117,133</w:t>
            </w:r>
          </w:p>
        </w:tc>
        <w:tc>
          <w:tcPr>
            <w:tcW w:w="13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171,836</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217,353</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Sir Peter Job</w:t>
            </w:r>
          </w:p>
        </w:tc>
        <w:tc>
          <w:tcPr>
            <w:tcW w:w="580" w:type="dxa"/>
            <w:vAlign w:val="bottom"/>
          </w:tcPr>
          <w:p>
            <w:pPr>
              <w:spacing w:after="0"/>
              <w:rPr>
                <w:sz w:val="11"/>
                <w:szCs w:val="11"/>
                <w:color w:val="auto"/>
              </w:rPr>
            </w:pP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92,107</w:t>
            </w:r>
          </w:p>
        </w:tc>
        <w:tc>
          <w:tcPr>
            <w:tcW w:w="1400" w:type="dxa"/>
            <w:vAlign w:val="bottom"/>
            <w:gridSpan w:val="2"/>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133,910</w:t>
            </w:r>
          </w:p>
        </w:tc>
        <w:tc>
          <w:tcPr>
            <w:tcW w:w="13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184,568</w:t>
            </w:r>
          </w:p>
        </w:tc>
        <w:tc>
          <w:tcPr>
            <w:tcW w:w="42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81,351</w:t>
            </w:r>
          </w:p>
        </w:tc>
        <w:tc>
          <w:tcPr>
            <w:tcW w:w="13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119,344</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150,956</w:t>
            </w:r>
          </w:p>
        </w:tc>
        <w:tc>
          <w:tcPr>
            <w:tcW w:w="0" w:type="dxa"/>
            <w:vAlign w:val="bottom"/>
          </w:tcPr>
          <w:p>
            <w:pPr>
              <w:spacing w:after="0"/>
              <w:rPr>
                <w:sz w:val="1"/>
                <w:szCs w:val="1"/>
                <w:color w:val="auto"/>
              </w:rPr>
            </w:pPr>
          </w:p>
        </w:tc>
      </w:tr>
      <w:tr>
        <w:trPr>
          <w:trHeight w:val="119"/>
        </w:trPr>
        <w:tc>
          <w:tcPr>
            <w:tcW w:w="3200" w:type="dxa"/>
            <w:vAlign w:val="bottom"/>
          </w:tcPr>
          <w:p>
            <w:pPr>
              <w:spacing w:after="0" w:line="120" w:lineRule="exact"/>
              <w:rPr>
                <w:sz w:val="20"/>
                <w:szCs w:val="20"/>
                <w:color w:val="auto"/>
              </w:rPr>
            </w:pPr>
            <w:r>
              <w:rPr>
                <w:rFonts w:ascii="Arial" w:cs="Arial" w:eastAsia="Arial" w:hAnsi="Arial"/>
                <w:sz w:val="12"/>
                <w:szCs w:val="12"/>
                <w:color w:val="auto"/>
              </w:rPr>
              <w:t>Lord Kerr of Kinlochard</w:t>
            </w:r>
          </w:p>
        </w:tc>
        <w:tc>
          <w:tcPr>
            <w:tcW w:w="580" w:type="dxa"/>
            <w:vAlign w:val="bottom"/>
          </w:tcPr>
          <w:p>
            <w:pPr>
              <w:spacing w:after="0"/>
              <w:rPr>
                <w:sz w:val="10"/>
                <w:szCs w:val="10"/>
                <w:color w:val="auto"/>
              </w:rPr>
            </w:pPr>
          </w:p>
        </w:tc>
        <w:tc>
          <w:tcPr>
            <w:tcW w:w="8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123,293</w:t>
            </w:r>
          </w:p>
        </w:tc>
        <w:tc>
          <w:tcPr>
            <w:tcW w:w="1400" w:type="dxa"/>
            <w:vAlign w:val="bottom"/>
            <w:gridSpan w:val="2"/>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179,250</w:t>
            </w:r>
          </w:p>
        </w:tc>
        <w:tc>
          <w:tcPr>
            <w:tcW w:w="138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247,060</w:t>
            </w:r>
          </w:p>
        </w:tc>
        <w:tc>
          <w:tcPr>
            <w:tcW w:w="420" w:type="dxa"/>
            <w:vAlign w:val="bottom"/>
          </w:tcPr>
          <w:p>
            <w:pPr>
              <w:spacing w:after="0"/>
              <w:rPr>
                <w:sz w:val="10"/>
                <w:szCs w:val="10"/>
                <w:color w:val="auto"/>
              </w:rPr>
            </w:pPr>
          </w:p>
        </w:tc>
        <w:tc>
          <w:tcPr>
            <w:tcW w:w="1300" w:type="dxa"/>
            <w:vAlign w:val="bottom"/>
          </w:tcPr>
          <w:p>
            <w:pPr>
              <w:jc w:val="right"/>
              <w:ind w:right="398"/>
              <w:spacing w:after="0" w:line="120" w:lineRule="exact"/>
              <w:rPr>
                <w:sz w:val="20"/>
                <w:szCs w:val="20"/>
                <w:color w:val="auto"/>
              </w:rPr>
            </w:pPr>
            <w:r>
              <w:rPr>
                <w:rFonts w:ascii="Arial" w:cs="Arial" w:eastAsia="Arial" w:hAnsi="Arial"/>
                <w:sz w:val="12"/>
                <w:szCs w:val="12"/>
                <w:color w:val="auto"/>
              </w:rPr>
              <w:t>119,282</w:t>
            </w:r>
          </w:p>
        </w:tc>
        <w:tc>
          <w:tcPr>
            <w:tcW w:w="1340" w:type="dxa"/>
            <w:vAlign w:val="bottom"/>
          </w:tcPr>
          <w:p>
            <w:pPr>
              <w:jc w:val="right"/>
              <w:ind w:right="378"/>
              <w:spacing w:after="0" w:line="120" w:lineRule="exact"/>
              <w:rPr>
                <w:sz w:val="20"/>
                <w:szCs w:val="20"/>
                <w:color w:val="auto"/>
              </w:rPr>
            </w:pPr>
            <w:r>
              <w:rPr>
                <w:rFonts w:ascii="Arial" w:cs="Arial" w:eastAsia="Arial" w:hAnsi="Arial"/>
                <w:sz w:val="12"/>
                <w:szCs w:val="12"/>
                <w:color w:val="auto"/>
              </w:rPr>
              <w:t>174,989</w:t>
            </w:r>
          </w:p>
        </w:tc>
        <w:tc>
          <w:tcPr>
            <w:tcW w:w="10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221,341</w:t>
            </w:r>
          </w:p>
        </w:tc>
        <w:tc>
          <w:tcPr>
            <w:tcW w:w="0" w:type="dxa"/>
            <w:vAlign w:val="bottom"/>
          </w:tcPr>
          <w:p>
            <w:pPr>
              <w:spacing w:after="0"/>
              <w:rPr>
                <w:sz w:val="1"/>
                <w:szCs w:val="1"/>
                <w:color w:val="auto"/>
              </w:rPr>
            </w:pPr>
          </w:p>
        </w:tc>
      </w:tr>
      <w:tr>
        <w:trPr>
          <w:trHeight w:val="147"/>
        </w:trPr>
        <w:tc>
          <w:tcPr>
            <w:tcW w:w="3200" w:type="dxa"/>
            <w:vAlign w:val="bottom"/>
          </w:tcPr>
          <w:p>
            <w:pPr>
              <w:spacing w:after="0"/>
              <w:rPr>
                <w:sz w:val="20"/>
                <w:szCs w:val="20"/>
                <w:color w:val="auto"/>
              </w:rPr>
            </w:pPr>
            <w:r>
              <w:rPr>
                <w:rFonts w:ascii="Arial" w:cs="Arial" w:eastAsia="Arial" w:hAnsi="Arial"/>
                <w:sz w:val="12"/>
                <w:szCs w:val="12"/>
                <w:color w:val="auto"/>
              </w:rPr>
              <w:t>Wim Kok</w:t>
            </w:r>
            <w:r>
              <w:rPr>
                <w:rFonts w:ascii="Arial" w:cs="Arial" w:eastAsia="Arial" w:hAnsi="Arial"/>
                <w:sz w:val="12"/>
                <w:szCs w:val="12"/>
                <w:b w:val="1"/>
                <w:bCs w:val="1"/>
                <w:color w:val="auto"/>
              </w:rPr>
              <w:t>[A]</w:t>
            </w:r>
          </w:p>
        </w:tc>
        <w:tc>
          <w:tcPr>
            <w:tcW w:w="580" w:type="dxa"/>
            <w:vAlign w:val="bottom"/>
          </w:tcPr>
          <w:p>
            <w:pPr>
              <w:spacing w:after="0"/>
              <w:rPr>
                <w:sz w:val="12"/>
                <w:szCs w:val="12"/>
                <w:color w:val="auto"/>
              </w:rPr>
            </w:pP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99,396</w:t>
            </w:r>
          </w:p>
        </w:tc>
        <w:tc>
          <w:tcPr>
            <w:tcW w:w="700" w:type="dxa"/>
            <w:vAlign w:val="bottom"/>
            <w:shd w:val="clear" w:color="auto" w:fill="E4E3E1"/>
          </w:tcPr>
          <w:p>
            <w:pPr>
              <w:spacing w:after="0"/>
              <w:rPr>
                <w:sz w:val="12"/>
                <w:szCs w:val="12"/>
                <w:color w:val="auto"/>
              </w:rPr>
            </w:pPr>
          </w:p>
        </w:tc>
        <w:tc>
          <w:tcPr>
            <w:tcW w:w="7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144,507</w:t>
            </w:r>
          </w:p>
        </w:tc>
        <w:tc>
          <w:tcPr>
            <w:tcW w:w="138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199,173</w:t>
            </w:r>
          </w:p>
        </w:tc>
        <w:tc>
          <w:tcPr>
            <w:tcW w:w="420" w:type="dxa"/>
            <w:vAlign w:val="bottom"/>
          </w:tcPr>
          <w:p>
            <w:pPr>
              <w:spacing w:after="0"/>
              <w:rPr>
                <w:sz w:val="12"/>
                <w:szCs w:val="12"/>
                <w:color w:val="auto"/>
              </w:rPr>
            </w:pPr>
          </w:p>
        </w:tc>
        <w:tc>
          <w:tcPr>
            <w:tcW w:w="1300" w:type="dxa"/>
            <w:vAlign w:val="bottom"/>
          </w:tcPr>
          <w:p>
            <w:pPr>
              <w:jc w:val="right"/>
              <w:ind w:right="398"/>
              <w:spacing w:after="0"/>
              <w:rPr>
                <w:sz w:val="20"/>
                <w:szCs w:val="20"/>
                <w:color w:val="auto"/>
              </w:rPr>
            </w:pPr>
            <w:r>
              <w:rPr>
                <w:rFonts w:ascii="Arial" w:cs="Arial" w:eastAsia="Arial" w:hAnsi="Arial"/>
                <w:sz w:val="12"/>
                <w:szCs w:val="12"/>
                <w:color w:val="auto"/>
              </w:rPr>
              <w:t>84,845</w:t>
            </w:r>
          </w:p>
        </w:tc>
        <w:tc>
          <w:tcPr>
            <w:tcW w:w="1340" w:type="dxa"/>
            <w:vAlign w:val="bottom"/>
          </w:tcPr>
          <w:p>
            <w:pPr>
              <w:jc w:val="right"/>
              <w:ind w:right="378"/>
              <w:spacing w:after="0"/>
              <w:rPr>
                <w:sz w:val="20"/>
                <w:szCs w:val="20"/>
                <w:color w:val="auto"/>
              </w:rPr>
            </w:pPr>
            <w:r>
              <w:rPr>
                <w:rFonts w:ascii="Arial" w:cs="Arial" w:eastAsia="Arial" w:hAnsi="Arial"/>
                <w:sz w:val="12"/>
                <w:szCs w:val="12"/>
                <w:color w:val="auto"/>
              </w:rPr>
              <w:t>124,469</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157,439</w:t>
            </w:r>
          </w:p>
        </w:tc>
        <w:tc>
          <w:tcPr>
            <w:tcW w:w="0" w:type="dxa"/>
            <w:vAlign w:val="bottom"/>
          </w:tcPr>
          <w:p>
            <w:pPr>
              <w:spacing w:after="0"/>
              <w:rPr>
                <w:sz w:val="1"/>
                <w:szCs w:val="1"/>
                <w:color w:val="auto"/>
              </w:rPr>
            </w:pPr>
          </w:p>
        </w:tc>
      </w:tr>
      <w:tr>
        <w:trPr>
          <w:trHeight w:val="119"/>
        </w:trPr>
        <w:tc>
          <w:tcPr>
            <w:tcW w:w="3200" w:type="dxa"/>
            <w:vAlign w:val="bottom"/>
          </w:tcPr>
          <w:p>
            <w:pPr>
              <w:spacing w:after="0" w:line="120" w:lineRule="exact"/>
              <w:rPr>
                <w:sz w:val="20"/>
                <w:szCs w:val="20"/>
                <w:color w:val="auto"/>
              </w:rPr>
            </w:pPr>
            <w:r>
              <w:rPr>
                <w:rFonts w:ascii="Arial" w:cs="Arial" w:eastAsia="Arial" w:hAnsi="Arial"/>
                <w:sz w:val="12"/>
                <w:szCs w:val="12"/>
                <w:color w:val="auto"/>
              </w:rPr>
              <w:t>Nick Land</w:t>
            </w:r>
          </w:p>
        </w:tc>
        <w:tc>
          <w:tcPr>
            <w:tcW w:w="580" w:type="dxa"/>
            <w:vAlign w:val="bottom"/>
          </w:tcPr>
          <w:p>
            <w:pPr>
              <w:spacing w:after="0"/>
              <w:rPr>
                <w:sz w:val="10"/>
                <w:szCs w:val="10"/>
                <w:color w:val="auto"/>
              </w:rPr>
            </w:pPr>
          </w:p>
        </w:tc>
        <w:tc>
          <w:tcPr>
            <w:tcW w:w="8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88,303</w:t>
            </w:r>
          </w:p>
        </w:tc>
        <w:tc>
          <w:tcPr>
            <w:tcW w:w="700" w:type="dxa"/>
            <w:vAlign w:val="bottom"/>
            <w:shd w:val="clear" w:color="auto" w:fill="E4E3E1"/>
          </w:tcPr>
          <w:p>
            <w:pPr>
              <w:spacing w:after="0"/>
              <w:rPr>
                <w:sz w:val="10"/>
                <w:szCs w:val="10"/>
                <w:color w:val="auto"/>
              </w:rPr>
            </w:pPr>
          </w:p>
        </w:tc>
        <w:tc>
          <w:tcPr>
            <w:tcW w:w="7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128,379</w:t>
            </w:r>
          </w:p>
        </w:tc>
        <w:tc>
          <w:tcPr>
            <w:tcW w:w="138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176,944</w:t>
            </w:r>
          </w:p>
        </w:tc>
        <w:tc>
          <w:tcPr>
            <w:tcW w:w="420" w:type="dxa"/>
            <w:vAlign w:val="bottom"/>
          </w:tcPr>
          <w:p>
            <w:pPr>
              <w:spacing w:after="0"/>
              <w:rPr>
                <w:sz w:val="10"/>
                <w:szCs w:val="10"/>
                <w:color w:val="auto"/>
              </w:rPr>
            </w:pPr>
          </w:p>
        </w:tc>
        <w:tc>
          <w:tcPr>
            <w:tcW w:w="1300" w:type="dxa"/>
            <w:vAlign w:val="bottom"/>
          </w:tcPr>
          <w:p>
            <w:pPr>
              <w:jc w:val="right"/>
              <w:ind w:right="398"/>
              <w:spacing w:after="0" w:line="120" w:lineRule="exact"/>
              <w:rPr>
                <w:sz w:val="20"/>
                <w:szCs w:val="20"/>
                <w:color w:val="auto"/>
              </w:rPr>
            </w:pPr>
            <w:r>
              <w:rPr>
                <w:rFonts w:ascii="Arial" w:cs="Arial" w:eastAsia="Arial" w:hAnsi="Arial"/>
                <w:sz w:val="12"/>
                <w:szCs w:val="12"/>
                <w:color w:val="auto"/>
              </w:rPr>
              <w:t>42,725</w:t>
            </w:r>
          </w:p>
        </w:tc>
        <w:tc>
          <w:tcPr>
            <w:tcW w:w="1340" w:type="dxa"/>
            <w:vAlign w:val="bottom"/>
          </w:tcPr>
          <w:p>
            <w:pPr>
              <w:jc w:val="right"/>
              <w:ind w:right="378"/>
              <w:spacing w:after="0" w:line="120" w:lineRule="exact"/>
              <w:rPr>
                <w:sz w:val="20"/>
                <w:szCs w:val="20"/>
                <w:color w:val="auto"/>
              </w:rPr>
            </w:pPr>
            <w:r>
              <w:rPr>
                <w:rFonts w:ascii="Arial" w:cs="Arial" w:eastAsia="Arial" w:hAnsi="Arial"/>
                <w:sz w:val="12"/>
                <w:szCs w:val="12"/>
                <w:color w:val="auto"/>
              </w:rPr>
              <w:t>62,679</w:t>
            </w:r>
          </w:p>
        </w:tc>
        <w:tc>
          <w:tcPr>
            <w:tcW w:w="10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79,281</w:t>
            </w:r>
          </w:p>
        </w:tc>
        <w:tc>
          <w:tcPr>
            <w:tcW w:w="0" w:type="dxa"/>
            <w:vAlign w:val="bottom"/>
          </w:tcPr>
          <w:p>
            <w:pPr>
              <w:spacing w:after="0"/>
              <w:rPr>
                <w:sz w:val="1"/>
                <w:szCs w:val="1"/>
                <w:color w:val="auto"/>
              </w:rPr>
            </w:pPr>
          </w:p>
        </w:tc>
      </w:tr>
      <w:tr>
        <w:trPr>
          <w:trHeight w:val="147"/>
        </w:trPr>
        <w:tc>
          <w:tcPr>
            <w:tcW w:w="3200" w:type="dxa"/>
            <w:vAlign w:val="bottom"/>
          </w:tcPr>
          <w:p>
            <w:pPr>
              <w:spacing w:after="0"/>
              <w:rPr>
                <w:sz w:val="20"/>
                <w:szCs w:val="20"/>
                <w:color w:val="auto"/>
              </w:rPr>
            </w:pPr>
            <w:r>
              <w:rPr>
                <w:rFonts w:ascii="Arial" w:cs="Arial" w:eastAsia="Arial" w:hAnsi="Arial"/>
                <w:sz w:val="12"/>
                <w:szCs w:val="12"/>
                <w:color w:val="auto"/>
              </w:rPr>
              <w:t>Aarnout Loudon</w:t>
            </w:r>
            <w:r>
              <w:rPr>
                <w:rFonts w:ascii="Arial" w:cs="Arial" w:eastAsia="Arial" w:hAnsi="Arial"/>
                <w:sz w:val="12"/>
                <w:szCs w:val="12"/>
                <w:b w:val="1"/>
                <w:bCs w:val="1"/>
                <w:color w:val="auto"/>
              </w:rPr>
              <w:t>[B]</w:t>
            </w:r>
          </w:p>
        </w:tc>
        <w:tc>
          <w:tcPr>
            <w:tcW w:w="580" w:type="dxa"/>
            <w:vAlign w:val="bottom"/>
          </w:tcPr>
          <w:p>
            <w:pPr>
              <w:spacing w:after="0"/>
              <w:rPr>
                <w:sz w:val="12"/>
                <w:szCs w:val="12"/>
                <w:color w:val="auto"/>
              </w:rPr>
            </w:pP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38,295</w:t>
            </w:r>
          </w:p>
        </w:tc>
        <w:tc>
          <w:tcPr>
            <w:tcW w:w="700" w:type="dxa"/>
            <w:vAlign w:val="bottom"/>
            <w:shd w:val="clear" w:color="auto" w:fill="E4E3E1"/>
          </w:tcPr>
          <w:p>
            <w:pPr>
              <w:spacing w:after="0"/>
              <w:rPr>
                <w:sz w:val="12"/>
                <w:szCs w:val="12"/>
                <w:color w:val="auto"/>
              </w:rPr>
            </w:pPr>
          </w:p>
        </w:tc>
        <w:tc>
          <w:tcPr>
            <w:tcW w:w="7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55,675</w:t>
            </w:r>
          </w:p>
        </w:tc>
        <w:tc>
          <w:tcPr>
            <w:tcW w:w="138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76,737</w:t>
            </w:r>
          </w:p>
        </w:tc>
        <w:tc>
          <w:tcPr>
            <w:tcW w:w="420" w:type="dxa"/>
            <w:vAlign w:val="bottom"/>
          </w:tcPr>
          <w:p>
            <w:pPr>
              <w:spacing w:after="0"/>
              <w:rPr>
                <w:sz w:val="12"/>
                <w:szCs w:val="12"/>
                <w:color w:val="auto"/>
              </w:rPr>
            </w:pPr>
          </w:p>
        </w:tc>
        <w:tc>
          <w:tcPr>
            <w:tcW w:w="1300" w:type="dxa"/>
            <w:vAlign w:val="bottom"/>
          </w:tcPr>
          <w:p>
            <w:pPr>
              <w:jc w:val="right"/>
              <w:ind w:right="398"/>
              <w:spacing w:after="0"/>
              <w:rPr>
                <w:sz w:val="20"/>
                <w:szCs w:val="20"/>
                <w:color w:val="auto"/>
              </w:rPr>
            </w:pPr>
            <w:r>
              <w:rPr>
                <w:rFonts w:ascii="Arial" w:cs="Arial" w:eastAsia="Arial" w:hAnsi="Arial"/>
                <w:sz w:val="12"/>
                <w:szCs w:val="12"/>
                <w:color w:val="auto"/>
              </w:rPr>
              <w:t>97,821</w:t>
            </w:r>
          </w:p>
        </w:tc>
        <w:tc>
          <w:tcPr>
            <w:tcW w:w="1340" w:type="dxa"/>
            <w:vAlign w:val="bottom"/>
          </w:tcPr>
          <w:p>
            <w:pPr>
              <w:jc w:val="right"/>
              <w:ind w:right="378"/>
              <w:spacing w:after="0"/>
              <w:rPr>
                <w:sz w:val="20"/>
                <w:szCs w:val="20"/>
                <w:color w:val="auto"/>
              </w:rPr>
            </w:pPr>
            <w:r>
              <w:rPr>
                <w:rFonts w:ascii="Arial" w:cs="Arial" w:eastAsia="Arial" w:hAnsi="Arial"/>
                <w:sz w:val="12"/>
                <w:szCs w:val="12"/>
                <w:color w:val="auto"/>
              </w:rPr>
              <w:t>143,506</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181,518</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Christine Morin-Postel</w:t>
            </w:r>
          </w:p>
        </w:tc>
        <w:tc>
          <w:tcPr>
            <w:tcW w:w="580" w:type="dxa"/>
            <w:vAlign w:val="bottom"/>
          </w:tcPr>
          <w:p>
            <w:pPr>
              <w:spacing w:after="0"/>
              <w:rPr>
                <w:sz w:val="11"/>
                <w:szCs w:val="11"/>
                <w:color w:val="auto"/>
              </w:rPr>
            </w:pP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87,698</w:t>
            </w:r>
          </w:p>
        </w:tc>
        <w:tc>
          <w:tcPr>
            <w:tcW w:w="700" w:type="dxa"/>
            <w:vAlign w:val="bottom"/>
            <w:shd w:val="clear" w:color="auto" w:fill="E4E3E1"/>
          </w:tcPr>
          <w:p>
            <w:pPr>
              <w:spacing w:after="0"/>
              <w:rPr>
                <w:sz w:val="11"/>
                <w:szCs w:val="11"/>
                <w:color w:val="auto"/>
              </w:rPr>
            </w:pPr>
          </w:p>
        </w:tc>
        <w:tc>
          <w:tcPr>
            <w:tcW w:w="7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127,500</w:t>
            </w:r>
          </w:p>
        </w:tc>
        <w:tc>
          <w:tcPr>
            <w:tcW w:w="13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175,733</w:t>
            </w:r>
          </w:p>
        </w:tc>
        <w:tc>
          <w:tcPr>
            <w:tcW w:w="42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84,845</w:t>
            </w:r>
          </w:p>
        </w:tc>
        <w:tc>
          <w:tcPr>
            <w:tcW w:w="13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124,469</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157,439</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Jorma Ollila</w:t>
            </w:r>
          </w:p>
        </w:tc>
        <w:tc>
          <w:tcPr>
            <w:tcW w:w="580" w:type="dxa"/>
            <w:vAlign w:val="bottom"/>
          </w:tcPr>
          <w:p>
            <w:pPr>
              <w:spacing w:after="0"/>
              <w:rPr>
                <w:sz w:val="11"/>
                <w:szCs w:val="11"/>
                <w:color w:val="auto"/>
              </w:rPr>
            </w:pP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515,872</w:t>
            </w:r>
          </w:p>
        </w:tc>
        <w:tc>
          <w:tcPr>
            <w:tcW w:w="700" w:type="dxa"/>
            <w:vAlign w:val="bottom"/>
            <w:shd w:val="clear" w:color="auto" w:fill="E4E3E1"/>
          </w:tcPr>
          <w:p>
            <w:pPr>
              <w:spacing w:after="0"/>
              <w:rPr>
                <w:sz w:val="11"/>
                <w:szCs w:val="11"/>
                <w:color w:val="auto"/>
              </w:rPr>
            </w:pPr>
          </w:p>
        </w:tc>
        <w:tc>
          <w:tcPr>
            <w:tcW w:w="7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750,000</w:t>
            </w:r>
          </w:p>
        </w:tc>
        <w:tc>
          <w:tcPr>
            <w:tcW w:w="13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1,033,724</w:t>
            </w:r>
          </w:p>
        </w:tc>
        <w:tc>
          <w:tcPr>
            <w:tcW w:w="42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292,771</w:t>
            </w:r>
          </w:p>
        </w:tc>
        <w:tc>
          <w:tcPr>
            <w:tcW w:w="13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429,501</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543,268</w:t>
            </w:r>
          </w:p>
        </w:tc>
        <w:tc>
          <w:tcPr>
            <w:tcW w:w="0" w:type="dxa"/>
            <w:vAlign w:val="bottom"/>
          </w:tcPr>
          <w:p>
            <w:pPr>
              <w:spacing w:after="0"/>
              <w:rPr>
                <w:sz w:val="1"/>
                <w:szCs w:val="1"/>
                <w:color w:val="auto"/>
              </w:rPr>
            </w:pPr>
          </w:p>
        </w:tc>
      </w:tr>
      <w:tr>
        <w:trPr>
          <w:trHeight w:val="139"/>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Lawrence Ricciardi</w:t>
            </w:r>
          </w:p>
        </w:tc>
        <w:tc>
          <w:tcPr>
            <w:tcW w:w="5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122,778</w:t>
            </w:r>
          </w:p>
        </w:tc>
        <w:tc>
          <w:tcPr>
            <w:tcW w:w="700" w:type="dxa"/>
            <w:vAlign w:val="bottom"/>
            <w:tcBorders>
              <w:bottom w:val="single" w:sz="8" w:color="auto"/>
            </w:tcBorders>
            <w:shd w:val="clear" w:color="auto" w:fill="E4E3E1"/>
          </w:tcPr>
          <w:p>
            <w:pPr>
              <w:spacing w:after="0"/>
              <w:rPr>
                <w:sz w:val="12"/>
                <w:szCs w:val="12"/>
                <w:color w:val="auto"/>
              </w:rPr>
            </w:pPr>
          </w:p>
        </w:tc>
        <w:tc>
          <w:tcPr>
            <w:tcW w:w="7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178,500</w:t>
            </w:r>
          </w:p>
        </w:tc>
        <w:tc>
          <w:tcPr>
            <w:tcW w:w="138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246,026</w:t>
            </w:r>
          </w:p>
        </w:tc>
        <w:tc>
          <w:tcPr>
            <w:tcW w:w="4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115,867</w:t>
            </w:r>
          </w:p>
        </w:tc>
        <w:tc>
          <w:tcPr>
            <w:tcW w:w="13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169,979</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215,003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-1022985</wp:posOffset>
            </wp:positionV>
            <wp:extent cx="8255" cy="168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168910"/>
                    </a:xfrm>
                    <a:prstGeom prst="rect">
                      <a:avLst/>
                    </a:prstGeom>
                    <a:noFill/>
                  </pic:spPr>
                </pic:pic>
              </a:graphicData>
            </a:graphic>
          </wp:anchor>
        </w:drawing>
      </w:r>
    </w:p>
    <w:p>
      <w:pPr>
        <w:spacing w:after="0" w:line="36" w:lineRule="exact"/>
        <w:rPr>
          <w:sz w:val="20"/>
          <w:szCs w:val="20"/>
          <w:color w:val="auto"/>
        </w:rPr>
      </w:pPr>
    </w:p>
    <w:p>
      <w:pPr>
        <w:ind w:left="260" w:hanging="253"/>
        <w:spacing w:after="0"/>
        <w:tabs>
          <w:tab w:leader="none" w:pos="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Includes a compulsory company contribution to Dutch medical insurance.</w:t>
      </w:r>
    </w:p>
    <w:p>
      <w:pPr>
        <w:ind w:left="260" w:hanging="253"/>
        <w:spacing w:after="0"/>
        <w:tabs>
          <w:tab w:leader="none" w:pos="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Aarnout Loudon retired from the Board of Royal Dutch Shell on May 15,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106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12" w:name="page113"/>
    <w:bookmarkEnd w:id="11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358775</wp:posOffset>
            </wp:positionV>
            <wp:extent cx="282575" cy="72821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2575" cy="7282180"/>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NON-EXECUTIVE DIRECTORS’ PENSION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070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47"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Non-executive Directors do not accrue any retirement benefits as a result of their Non-executive directorships with the Company. During his service as an employee and a Managing Director for Shell, Maarten van den Bergh accrued retirement benefits under the Stichting Shell Pensioenfonds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PENSIONS </w:t>
      </w:r>
      <w:r>
        <w:rPr>
          <w:rFonts w:ascii="Arial" w:cs="Arial" w:eastAsia="Arial" w:hAnsi="Arial"/>
          <w:sz w:val="12"/>
          <w:szCs w:val="12"/>
          <w:color w:val="auto"/>
        </w:rPr>
        <w:t>(This table has been audited)</w:t>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color w:val="auto"/>
        </w:rPr>
        <w:t>Accrued pension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(SSPF) and the Shell Petroleum Company Limited Managing Directors’ Pension Scheme</w:t>
      </w:r>
      <w:r>
        <w:rPr>
          <w:rFonts w:ascii="Arial" w:cs="Arial" w:eastAsia="Arial" w:hAnsi="Arial"/>
          <w:sz w:val="13"/>
          <w:szCs w:val="13"/>
          <w:color w:val="auto"/>
        </w:rPr>
        <w:t>[A]</w:t>
      </w:r>
      <w:r>
        <w:rPr>
          <w:rFonts w:ascii="Arial" w:cs="Arial" w:eastAsia="Arial" w:hAnsi="Arial"/>
          <w:sz w:val="14"/>
          <w:szCs w:val="14"/>
          <w:color w:val="auto"/>
        </w:rPr>
        <w:t>, an unfunded defined benefit plan. The values of his pension benefits during 2007 are detailed in the following tables, which are stated in euro and in US dollar. The transfer values are calculated using the cash equivalent transfer value method in accordance with GN11. Maarten van den Bergh currently receives a pension from both these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-3576320</wp:posOffset>
            </wp:positionH>
            <wp:positionV relativeFrom="paragraph">
              <wp:posOffset>389890</wp:posOffset>
            </wp:positionV>
            <wp:extent cx="6884670" cy="43116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84670" cy="431165"/>
                    </a:xfrm>
                    <a:prstGeom prst="rect">
                      <a:avLst/>
                    </a:prstGeom>
                    <a:noFill/>
                  </pic:spPr>
                </pic:pic>
              </a:graphicData>
            </a:graphic>
          </wp:anchor>
        </w:drawing>
      </w:r>
    </w:p>
    <w:p>
      <w:pPr>
        <w:spacing w:after="0" w:line="880" w:lineRule="exact"/>
        <w:rPr>
          <w:sz w:val="20"/>
          <w:szCs w:val="20"/>
          <w:color w:val="auto"/>
        </w:rPr>
      </w:pPr>
    </w:p>
    <w:p>
      <w:pPr>
        <w:sectPr>
          <w:pgSz w:w="11900" w:h="16838" w:orient="portrait"/>
          <w:cols w:equalWidth="0" w:num="2">
            <w:col w:w="5180" w:space="460"/>
            <w:col w:w="5220"/>
          </w:cols>
          <w:pgMar w:left="240" w:top="415" w:right="79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35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26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At Dec 31, 2007</w:t>
            </w:r>
          </w:p>
        </w:tc>
        <w:tc>
          <w:tcPr>
            <w:tcW w:w="780" w:type="dxa"/>
            <w:vAlign w:val="bottom"/>
            <w:shd w:val="clear" w:color="auto" w:fill="CECAC6"/>
          </w:tcPr>
          <w:p>
            <w:pPr>
              <w:spacing w:after="0"/>
              <w:rPr>
                <w:sz w:val="11"/>
                <w:szCs w:val="11"/>
                <w:color w:val="auto"/>
              </w:rPr>
            </w:pPr>
          </w:p>
        </w:tc>
        <w:tc>
          <w:tcPr>
            <w:tcW w:w="2320" w:type="dxa"/>
            <w:vAlign w:val="bottom"/>
            <w:gridSpan w:val="2"/>
            <w:shd w:val="clear" w:color="auto" w:fill="CECAC6"/>
          </w:tcPr>
          <w:p>
            <w:pPr>
              <w:jc w:val="right"/>
              <w:ind w:right="618"/>
              <w:spacing w:after="0" w:line="128" w:lineRule="exact"/>
              <w:rPr>
                <w:sz w:val="20"/>
                <w:szCs w:val="20"/>
                <w:color w:val="auto"/>
              </w:rPr>
            </w:pPr>
            <w:r>
              <w:rPr>
                <w:rFonts w:ascii="Arial" w:cs="Arial" w:eastAsia="Arial" w:hAnsi="Arial"/>
                <w:sz w:val="12"/>
                <w:szCs w:val="12"/>
                <w:color w:val="auto"/>
              </w:rPr>
              <w:t>Increase over the year</w:t>
            </w:r>
          </w:p>
        </w:tc>
        <w:tc>
          <w:tcPr>
            <w:tcW w:w="1980" w:type="dxa"/>
            <w:vAlign w:val="bottom"/>
            <w:gridSpan w:val="2"/>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Increase over the year</w:t>
            </w:r>
          </w:p>
        </w:tc>
        <w:tc>
          <w:tcPr>
            <w:tcW w:w="0" w:type="dxa"/>
            <w:vAlign w:val="bottom"/>
          </w:tcPr>
          <w:p>
            <w:pPr>
              <w:spacing w:after="0"/>
              <w:rPr>
                <w:sz w:val="1"/>
                <w:szCs w:val="1"/>
                <w:color w:val="auto"/>
              </w:rPr>
            </w:pPr>
          </w:p>
        </w:tc>
      </w:tr>
      <w:tr>
        <w:trPr>
          <w:trHeight w:val="147"/>
        </w:trPr>
        <w:tc>
          <w:tcPr>
            <w:tcW w:w="2350" w:type="dxa"/>
            <w:vAlign w:val="bottom"/>
          </w:tcPr>
          <w:p>
            <w:pPr>
              <w:spacing w:after="0"/>
              <w:rPr>
                <w:sz w:val="12"/>
                <w:szCs w:val="12"/>
                <w:color w:val="auto"/>
              </w:rPr>
            </w:pPr>
          </w:p>
        </w:tc>
        <w:tc>
          <w:tcPr>
            <w:tcW w:w="690" w:type="dxa"/>
            <w:vAlign w:val="bottom"/>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140" w:type="dxa"/>
            <w:vAlign w:val="bottom"/>
            <w:shd w:val="clear" w:color="auto" w:fill="CECAC6"/>
          </w:tcPr>
          <w:p>
            <w:pPr>
              <w:spacing w:after="0"/>
              <w:rPr>
                <w:sz w:val="12"/>
                <w:szCs w:val="12"/>
                <w:color w:val="auto"/>
              </w:rPr>
            </w:pPr>
          </w:p>
        </w:tc>
        <w:tc>
          <w:tcPr>
            <w:tcW w:w="198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(excluding inflation)</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39"/>
        </w:trPr>
        <w:tc>
          <w:tcPr>
            <w:tcW w:w="2350" w:type="dxa"/>
            <w:vAlign w:val="bottom"/>
          </w:tcPr>
          <w:p>
            <w:pPr>
              <w:spacing w:after="0" w:line="133" w:lineRule="exact"/>
              <w:rPr>
                <w:sz w:val="20"/>
                <w:szCs w:val="20"/>
                <w:color w:val="auto"/>
              </w:rPr>
            </w:pPr>
            <w:r>
              <w:rPr>
                <w:rFonts w:ascii="Arial" w:cs="Arial" w:eastAsia="Arial" w:hAnsi="Arial"/>
                <w:sz w:val="12"/>
                <w:szCs w:val="12"/>
                <w:color w:val="auto"/>
              </w:rPr>
              <w:t>Values in thousands</w:t>
            </w:r>
          </w:p>
        </w:tc>
        <w:tc>
          <w:tcPr>
            <w:tcW w:w="690" w:type="dxa"/>
            <w:vAlign w:val="bottom"/>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120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26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78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758"/>
              <w:spacing w:after="0" w:line="133" w:lineRule="exact"/>
              <w:rPr>
                <w:sz w:val="20"/>
                <w:szCs w:val="20"/>
                <w:color w:val="auto"/>
              </w:rPr>
            </w:pPr>
            <w:r>
              <w:rPr>
                <w:rFonts w:ascii="Arial" w:cs="Arial" w:eastAsia="Arial" w:hAnsi="Arial"/>
                <w:sz w:val="12"/>
                <w:szCs w:val="12"/>
                <w:color w:val="auto"/>
              </w:rPr>
              <w:t>€</w:t>
            </w:r>
          </w:p>
        </w:tc>
        <w:tc>
          <w:tcPr>
            <w:tcW w:w="1140" w:type="dxa"/>
            <w:vAlign w:val="bottom"/>
            <w:shd w:val="clear" w:color="auto" w:fill="CECAC6"/>
          </w:tcPr>
          <w:p>
            <w:pPr>
              <w:jc w:val="right"/>
              <w:ind w:right="618"/>
              <w:spacing w:after="0" w:line="133" w:lineRule="exact"/>
              <w:rPr>
                <w:sz w:val="20"/>
                <w:szCs w:val="20"/>
                <w:color w:val="auto"/>
              </w:rPr>
            </w:pPr>
            <w:r>
              <w:rPr>
                <w:rFonts w:ascii="Arial" w:cs="Arial" w:eastAsia="Arial" w:hAnsi="Arial"/>
                <w:sz w:val="12"/>
                <w:szCs w:val="12"/>
                <w:color w:val="auto"/>
              </w:rPr>
              <w:t>$</w:t>
            </w:r>
          </w:p>
        </w:tc>
        <w:tc>
          <w:tcPr>
            <w:tcW w:w="92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35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Maarten van den Bergh</w:t>
            </w:r>
          </w:p>
        </w:tc>
        <w:tc>
          <w:tcPr>
            <w:tcW w:w="69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178"/>
              <w:spacing w:after="0" w:line="133" w:lineRule="exact"/>
              <w:rPr>
                <w:sz w:val="20"/>
                <w:szCs w:val="20"/>
                <w:color w:val="auto"/>
              </w:rPr>
            </w:pPr>
            <w:r>
              <w:rPr>
                <w:rFonts w:ascii="Arial" w:cs="Arial" w:eastAsia="Arial" w:hAnsi="Arial"/>
                <w:sz w:val="12"/>
                <w:szCs w:val="12"/>
                <w:color w:val="auto"/>
              </w:rPr>
              <w:t>670.32</w:t>
            </w:r>
          </w:p>
        </w:tc>
        <w:tc>
          <w:tcPr>
            <w:tcW w:w="1260" w:type="dxa"/>
            <w:vAlign w:val="bottom"/>
            <w:tcBorders>
              <w:bottom w:val="single" w:sz="8" w:color="auto"/>
            </w:tcBorders>
          </w:tcPr>
          <w:p>
            <w:pPr>
              <w:jc w:val="right"/>
              <w:ind w:right="118"/>
              <w:spacing w:after="0" w:line="133" w:lineRule="exact"/>
              <w:rPr>
                <w:sz w:val="20"/>
                <w:szCs w:val="20"/>
                <w:color w:val="auto"/>
              </w:rPr>
            </w:pPr>
            <w:r>
              <w:rPr>
                <w:rFonts w:ascii="Arial" w:cs="Arial" w:eastAsia="Arial" w:hAnsi="Arial"/>
                <w:sz w:val="12"/>
                <w:szCs w:val="12"/>
                <w:color w:val="auto"/>
              </w:rPr>
              <w:t>986.06</w:t>
            </w:r>
          </w:p>
        </w:tc>
        <w:tc>
          <w:tcPr>
            <w:tcW w:w="7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758"/>
              <w:spacing w:after="0" w:line="133" w:lineRule="exact"/>
              <w:rPr>
                <w:sz w:val="20"/>
                <w:szCs w:val="20"/>
                <w:color w:val="auto"/>
              </w:rPr>
            </w:pPr>
            <w:r>
              <w:rPr>
                <w:rFonts w:ascii="Arial" w:cs="Arial" w:eastAsia="Arial" w:hAnsi="Arial"/>
                <w:sz w:val="12"/>
                <w:szCs w:val="12"/>
                <w:color w:val="auto"/>
              </w:rPr>
              <w:t>12.95</w:t>
            </w:r>
          </w:p>
        </w:tc>
        <w:tc>
          <w:tcPr>
            <w:tcW w:w="1140" w:type="dxa"/>
            <w:vAlign w:val="bottom"/>
            <w:tcBorders>
              <w:bottom w:val="single" w:sz="8" w:color="auto"/>
            </w:tcBorders>
          </w:tcPr>
          <w:p>
            <w:pPr>
              <w:jc w:val="right"/>
              <w:ind w:right="618"/>
              <w:spacing w:after="0" w:line="133" w:lineRule="exact"/>
              <w:rPr>
                <w:sz w:val="20"/>
                <w:szCs w:val="20"/>
                <w:color w:val="auto"/>
              </w:rPr>
            </w:pPr>
            <w:r>
              <w:rPr>
                <w:rFonts w:ascii="Arial" w:cs="Arial" w:eastAsia="Arial" w:hAnsi="Arial"/>
                <w:sz w:val="12"/>
                <w:szCs w:val="12"/>
                <w:color w:val="auto"/>
              </w:rPr>
              <w:t>17.84</w:t>
            </w:r>
          </w:p>
        </w:tc>
        <w:tc>
          <w:tcPr>
            <w:tcW w:w="920" w:type="dxa"/>
            <w:vAlign w:val="bottom"/>
            <w:tcBorders>
              <w:bottom w:val="single" w:sz="8" w:color="auto"/>
            </w:tcBorders>
          </w:tcPr>
          <w:p>
            <w:pPr>
              <w:jc w:val="right"/>
              <w:ind w:right="258"/>
              <w:spacing w:after="0" w:line="133" w:lineRule="exact"/>
              <w:rPr>
                <w:sz w:val="20"/>
                <w:szCs w:val="20"/>
                <w:color w:val="auto"/>
              </w:rPr>
            </w:pPr>
            <w:r>
              <w:rPr>
                <w:rFonts w:ascii="Arial" w:cs="Arial" w:eastAsia="Arial" w:hAnsi="Arial"/>
                <w:sz w:val="12"/>
                <w:szCs w:val="12"/>
                <w:color w:val="auto"/>
              </w:rPr>
              <w:t>0.16</w:t>
            </w:r>
          </w:p>
        </w:tc>
        <w:tc>
          <w:tcPr>
            <w:tcW w:w="106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0.22</w:t>
            </w:r>
          </w:p>
        </w:tc>
        <w:tc>
          <w:tcPr>
            <w:tcW w:w="0" w:type="dxa"/>
            <w:vAlign w:val="bottom"/>
          </w:tcPr>
          <w:p>
            <w:pPr>
              <w:spacing w:after="0"/>
              <w:rPr>
                <w:sz w:val="1"/>
                <w:szCs w:val="1"/>
                <w:color w:val="auto"/>
              </w:rPr>
            </w:pPr>
          </w:p>
        </w:tc>
      </w:tr>
      <w:tr>
        <w:trPr>
          <w:trHeight w:val="353"/>
        </w:trPr>
        <w:tc>
          <w:tcPr>
            <w:tcW w:w="2350" w:type="dxa"/>
            <w:vAlign w:val="bottom"/>
          </w:tcPr>
          <w:p>
            <w:pPr>
              <w:spacing w:after="0"/>
              <w:rPr>
                <w:sz w:val="24"/>
                <w:szCs w:val="24"/>
                <w:color w:val="auto"/>
              </w:rPr>
            </w:pPr>
          </w:p>
        </w:tc>
        <w:tc>
          <w:tcPr>
            <w:tcW w:w="69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350" w:type="dxa"/>
            <w:vAlign w:val="bottom"/>
            <w:shd w:val="clear" w:color="auto" w:fill="CECAC6"/>
          </w:tcPr>
          <w:p>
            <w:pPr>
              <w:spacing w:after="0"/>
              <w:rPr>
                <w:sz w:val="20"/>
                <w:szCs w:val="20"/>
                <w:color w:val="auto"/>
              </w:rPr>
            </w:pPr>
            <w:r>
              <w:rPr>
                <w:rFonts w:ascii="Arial" w:cs="Arial" w:eastAsia="Arial" w:hAnsi="Arial"/>
                <w:sz w:val="12"/>
                <w:szCs w:val="12"/>
                <w:color w:val="auto"/>
              </w:rPr>
              <w:t>Transfer value of accrued benefits</w:t>
            </w:r>
          </w:p>
        </w:tc>
        <w:tc>
          <w:tcPr>
            <w:tcW w:w="69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140" w:type="dxa"/>
            <w:vAlign w:val="bottom"/>
            <w:vMerge w:val="restart"/>
            <w:shd w:val="clear" w:color="auto" w:fill="CECAC6"/>
          </w:tcPr>
          <w:p>
            <w:pPr>
              <w:jc w:val="right"/>
              <w:ind w:right="178"/>
              <w:spacing w:after="0"/>
              <w:rPr>
                <w:sz w:val="20"/>
                <w:szCs w:val="20"/>
                <w:color w:val="auto"/>
              </w:rPr>
            </w:pPr>
            <w:r>
              <w:rPr>
                <w:rFonts w:ascii="Arial" w:cs="Arial" w:eastAsia="Arial" w:hAnsi="Arial"/>
                <w:sz w:val="12"/>
                <w:szCs w:val="12"/>
                <w:color w:val="auto"/>
              </w:rPr>
              <w:t>Increase over</w:t>
            </w:r>
          </w:p>
        </w:tc>
        <w:tc>
          <w:tcPr>
            <w:tcW w:w="1980" w:type="dxa"/>
            <w:vAlign w:val="bottom"/>
            <w:gridSpan w:val="2"/>
            <w:vMerge w:val="restart"/>
            <w:shd w:val="clear" w:color="auto" w:fill="CECAC6"/>
          </w:tcPr>
          <w:p>
            <w:pPr>
              <w:jc w:val="right"/>
              <w:ind w:right="38"/>
              <w:spacing w:after="0"/>
              <w:rPr>
                <w:sz w:val="20"/>
                <w:szCs w:val="20"/>
                <w:color w:val="auto"/>
              </w:rPr>
            </w:pPr>
            <w:r>
              <w:rPr>
                <w:rFonts w:ascii="Arial" w:cs="Arial" w:eastAsia="Arial" w:hAnsi="Arial"/>
                <w:sz w:val="12"/>
                <w:szCs w:val="12"/>
                <w:color w:val="auto"/>
              </w:rPr>
              <w:t>Increase in accrued</w:t>
            </w:r>
          </w:p>
        </w:tc>
        <w:tc>
          <w:tcPr>
            <w:tcW w:w="0" w:type="dxa"/>
            <w:vAlign w:val="bottom"/>
          </w:tcPr>
          <w:p>
            <w:pPr>
              <w:spacing w:after="0"/>
              <w:rPr>
                <w:sz w:val="1"/>
                <w:szCs w:val="1"/>
                <w:color w:val="auto"/>
              </w:rPr>
            </w:pPr>
          </w:p>
        </w:tc>
      </w:tr>
      <w:tr>
        <w:trPr>
          <w:trHeight w:val="127"/>
        </w:trPr>
        <w:tc>
          <w:tcPr>
            <w:tcW w:w="2350" w:type="dxa"/>
            <w:vAlign w:val="bottom"/>
            <w:shd w:val="clear" w:color="auto" w:fill="CECAC6"/>
          </w:tcPr>
          <w:p>
            <w:pPr>
              <w:spacing w:after="0"/>
              <w:rPr>
                <w:sz w:val="11"/>
                <w:szCs w:val="11"/>
                <w:color w:val="auto"/>
              </w:rPr>
            </w:pPr>
          </w:p>
        </w:tc>
        <w:tc>
          <w:tcPr>
            <w:tcW w:w="69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40" w:type="dxa"/>
            <w:vAlign w:val="bottom"/>
            <w:vMerge w:val="continue"/>
            <w:shd w:val="clear" w:color="auto" w:fill="CECAC6"/>
          </w:tcPr>
          <w:p>
            <w:pPr>
              <w:spacing w:after="0"/>
              <w:rPr>
                <w:sz w:val="11"/>
                <w:szCs w:val="11"/>
                <w:color w:val="auto"/>
              </w:rPr>
            </w:pPr>
          </w:p>
        </w:tc>
        <w:tc>
          <w:tcPr>
            <w:tcW w:w="1980" w:type="dxa"/>
            <w:vAlign w:val="bottom"/>
            <w:gridSpan w:val="2"/>
            <w:vMerge w:val="continue"/>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350" w:type="dxa"/>
            <w:vAlign w:val="bottom"/>
            <w:shd w:val="clear" w:color="auto" w:fill="CECAC6"/>
          </w:tcPr>
          <w:p>
            <w:pPr>
              <w:spacing w:after="0"/>
              <w:rPr>
                <w:sz w:val="10"/>
                <w:szCs w:val="10"/>
                <w:color w:val="auto"/>
              </w:rPr>
            </w:pPr>
          </w:p>
        </w:tc>
        <w:tc>
          <w:tcPr>
            <w:tcW w:w="690" w:type="dxa"/>
            <w:vAlign w:val="bottom"/>
            <w:shd w:val="clear" w:color="auto" w:fill="CECAC6"/>
          </w:tcPr>
          <w:p>
            <w:pPr>
              <w:spacing w:after="0"/>
              <w:rPr>
                <w:sz w:val="10"/>
                <w:szCs w:val="10"/>
                <w:color w:val="auto"/>
              </w:rPr>
            </w:pPr>
          </w:p>
        </w:tc>
        <w:tc>
          <w:tcPr>
            <w:tcW w:w="260" w:type="dxa"/>
            <w:vAlign w:val="bottom"/>
            <w:shd w:val="clear" w:color="auto" w:fill="CECAC6"/>
          </w:tcPr>
          <w:p>
            <w:pPr>
              <w:spacing w:after="0"/>
              <w:rPr>
                <w:sz w:val="10"/>
                <w:szCs w:val="10"/>
                <w:color w:val="auto"/>
              </w:rPr>
            </w:pPr>
          </w:p>
        </w:tc>
        <w:tc>
          <w:tcPr>
            <w:tcW w:w="1200" w:type="dxa"/>
            <w:vAlign w:val="bottom"/>
            <w:shd w:val="clear" w:color="auto" w:fill="CECAC6"/>
          </w:tcPr>
          <w:p>
            <w:pPr>
              <w:spacing w:after="0"/>
              <w:rPr>
                <w:sz w:val="10"/>
                <w:szCs w:val="10"/>
                <w:color w:val="auto"/>
              </w:rPr>
            </w:pPr>
          </w:p>
        </w:tc>
        <w:tc>
          <w:tcPr>
            <w:tcW w:w="1260" w:type="dxa"/>
            <w:vAlign w:val="bottom"/>
            <w:shd w:val="clear" w:color="auto" w:fill="CECAC6"/>
          </w:tcPr>
          <w:p>
            <w:pPr>
              <w:spacing w:after="0"/>
              <w:rPr>
                <w:sz w:val="10"/>
                <w:szCs w:val="10"/>
                <w:color w:val="auto"/>
              </w:rPr>
            </w:pPr>
          </w:p>
        </w:tc>
        <w:tc>
          <w:tcPr>
            <w:tcW w:w="780" w:type="dxa"/>
            <w:vAlign w:val="bottom"/>
            <w:shd w:val="clear" w:color="auto" w:fill="CECAC6"/>
          </w:tcPr>
          <w:p>
            <w:pPr>
              <w:spacing w:after="0"/>
              <w:rPr>
                <w:sz w:val="10"/>
                <w:szCs w:val="10"/>
                <w:color w:val="auto"/>
              </w:rPr>
            </w:pPr>
          </w:p>
        </w:tc>
        <w:tc>
          <w:tcPr>
            <w:tcW w:w="1180" w:type="dxa"/>
            <w:vAlign w:val="bottom"/>
            <w:shd w:val="clear" w:color="auto" w:fill="CECAC6"/>
          </w:tcPr>
          <w:p>
            <w:pPr>
              <w:spacing w:after="0"/>
              <w:rPr>
                <w:sz w:val="10"/>
                <w:szCs w:val="10"/>
                <w:color w:val="auto"/>
              </w:rPr>
            </w:pPr>
          </w:p>
        </w:tc>
        <w:tc>
          <w:tcPr>
            <w:tcW w:w="1140" w:type="dxa"/>
            <w:vAlign w:val="bottom"/>
            <w:shd w:val="clear" w:color="auto" w:fill="CECAC6"/>
          </w:tcPr>
          <w:p>
            <w:pPr>
              <w:jc w:val="right"/>
              <w:ind w:right="178"/>
              <w:spacing w:after="0" w:line="120" w:lineRule="exact"/>
              <w:rPr>
                <w:sz w:val="20"/>
                <w:szCs w:val="20"/>
                <w:color w:val="auto"/>
              </w:rPr>
            </w:pPr>
            <w:r>
              <w:rPr>
                <w:rFonts w:ascii="Arial" w:cs="Arial" w:eastAsia="Arial" w:hAnsi="Arial"/>
                <w:sz w:val="12"/>
                <w:szCs w:val="12"/>
                <w:color w:val="auto"/>
              </w:rPr>
              <w:t>the year less</w:t>
            </w:r>
          </w:p>
        </w:tc>
        <w:tc>
          <w:tcPr>
            <w:tcW w:w="920" w:type="dxa"/>
            <w:vAlign w:val="bottom"/>
            <w:shd w:val="clear" w:color="auto" w:fill="CECAC6"/>
          </w:tcPr>
          <w:p>
            <w:pPr>
              <w:spacing w:after="0"/>
              <w:rPr>
                <w:sz w:val="10"/>
                <w:szCs w:val="10"/>
                <w:color w:val="auto"/>
              </w:rPr>
            </w:pPr>
          </w:p>
        </w:tc>
        <w:tc>
          <w:tcPr>
            <w:tcW w:w="1060" w:type="dxa"/>
            <w:vAlign w:val="bottom"/>
            <w:shd w:val="clear" w:color="auto" w:fill="CECAC6"/>
          </w:tcPr>
          <w:p>
            <w:pPr>
              <w:jc w:val="right"/>
              <w:ind w:right="38"/>
              <w:spacing w:after="0" w:line="120" w:lineRule="exact"/>
              <w:rPr>
                <w:sz w:val="20"/>
                <w:szCs w:val="20"/>
                <w:color w:val="auto"/>
              </w:rPr>
            </w:pPr>
            <w:r>
              <w:rPr>
                <w:rFonts w:ascii="Arial" w:cs="Arial" w:eastAsia="Arial" w:hAnsi="Arial"/>
                <w:sz w:val="12"/>
                <w:szCs w:val="12"/>
                <w:color w:val="auto"/>
              </w:rPr>
              <w:t>pension over the</w:t>
            </w:r>
          </w:p>
        </w:tc>
        <w:tc>
          <w:tcPr>
            <w:tcW w:w="0" w:type="dxa"/>
            <w:vAlign w:val="bottom"/>
          </w:tcPr>
          <w:p>
            <w:pPr>
              <w:spacing w:after="0"/>
              <w:rPr>
                <w:sz w:val="1"/>
                <w:szCs w:val="1"/>
                <w:color w:val="auto"/>
              </w:rPr>
            </w:pPr>
          </w:p>
        </w:tc>
      </w:tr>
      <w:tr>
        <w:trPr>
          <w:trHeight w:val="133"/>
        </w:trPr>
        <w:tc>
          <w:tcPr>
            <w:tcW w:w="2350" w:type="dxa"/>
            <w:vAlign w:val="bottom"/>
            <w:shd w:val="clear" w:color="auto" w:fill="CECAC6"/>
          </w:tcPr>
          <w:p>
            <w:pPr>
              <w:spacing w:after="0"/>
              <w:rPr>
                <w:sz w:val="11"/>
                <w:szCs w:val="11"/>
                <w:color w:val="auto"/>
              </w:rPr>
            </w:pPr>
          </w:p>
        </w:tc>
        <w:tc>
          <w:tcPr>
            <w:tcW w:w="69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232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Director’s contributions</w:t>
            </w:r>
            <w:r>
              <w:rPr>
                <w:rFonts w:ascii="Arial" w:cs="Arial" w:eastAsia="Arial" w:hAnsi="Arial"/>
                <w:sz w:val="12"/>
                <w:szCs w:val="12"/>
                <w:b w:val="1"/>
                <w:bCs w:val="1"/>
                <w:color w:val="auto"/>
              </w:rPr>
              <w:t>[B]</w:t>
            </w:r>
          </w:p>
        </w:tc>
        <w:tc>
          <w:tcPr>
            <w:tcW w:w="1980" w:type="dxa"/>
            <w:vAlign w:val="bottom"/>
            <w:gridSpan w:val="2"/>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year (excluding inflation)</w:t>
            </w:r>
          </w:p>
        </w:tc>
        <w:tc>
          <w:tcPr>
            <w:tcW w:w="0" w:type="dxa"/>
            <w:vAlign w:val="bottom"/>
          </w:tcPr>
          <w:p>
            <w:pPr>
              <w:spacing w:after="0"/>
              <w:rPr>
                <w:sz w:val="1"/>
                <w:szCs w:val="1"/>
                <w:color w:val="auto"/>
              </w:rPr>
            </w:pPr>
          </w:p>
        </w:tc>
      </w:tr>
      <w:tr>
        <w:trPr>
          <w:trHeight w:val="147"/>
        </w:trPr>
        <w:tc>
          <w:tcPr>
            <w:tcW w:w="2350" w:type="dxa"/>
            <w:vAlign w:val="bottom"/>
            <w:shd w:val="clear" w:color="auto" w:fill="CECAC6"/>
          </w:tcPr>
          <w:p>
            <w:pPr>
              <w:spacing w:after="0"/>
              <w:rPr>
                <w:sz w:val="12"/>
                <w:szCs w:val="12"/>
                <w:color w:val="auto"/>
              </w:rPr>
            </w:pPr>
          </w:p>
        </w:tc>
        <w:tc>
          <w:tcPr>
            <w:tcW w:w="69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12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At Dec 31, 2007</w:t>
            </w:r>
          </w:p>
        </w:tc>
        <w:tc>
          <w:tcPr>
            <w:tcW w:w="204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At Dec 31, 2006</w:t>
            </w:r>
            <w:r>
              <w:rPr>
                <w:rFonts w:ascii="Arial" w:cs="Arial" w:eastAsia="Arial" w:hAnsi="Arial"/>
                <w:sz w:val="12"/>
                <w:szCs w:val="12"/>
                <w:b w:val="1"/>
                <w:bCs w:val="1"/>
                <w:color w:val="auto"/>
              </w:rPr>
              <w:t>[A]</w:t>
            </w:r>
          </w:p>
        </w:tc>
        <w:tc>
          <w:tcPr>
            <w:tcW w:w="1180" w:type="dxa"/>
            <w:vAlign w:val="bottom"/>
            <w:shd w:val="clear" w:color="auto" w:fill="CECAC6"/>
          </w:tcPr>
          <w:p>
            <w:pPr>
              <w:spacing w:after="0"/>
              <w:rPr>
                <w:sz w:val="12"/>
                <w:szCs w:val="12"/>
                <w:color w:val="auto"/>
              </w:rPr>
            </w:pPr>
          </w:p>
        </w:tc>
        <w:tc>
          <w:tcPr>
            <w:tcW w:w="1140" w:type="dxa"/>
            <w:vAlign w:val="bottom"/>
            <w:shd w:val="clear" w:color="auto" w:fill="CECAC6"/>
          </w:tcPr>
          <w:p>
            <w:pPr>
              <w:spacing w:after="0"/>
              <w:rPr>
                <w:sz w:val="12"/>
                <w:szCs w:val="12"/>
                <w:color w:val="auto"/>
              </w:rPr>
            </w:pPr>
          </w:p>
        </w:tc>
        <w:tc>
          <w:tcPr>
            <w:tcW w:w="198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less Director’s contributions</w:t>
            </w:r>
            <w:r>
              <w:rPr>
                <w:rFonts w:ascii="Arial" w:cs="Arial" w:eastAsia="Arial" w:hAnsi="Arial"/>
                <w:sz w:val="12"/>
                <w:szCs w:val="12"/>
                <w:b w:val="1"/>
                <w:bCs w:val="1"/>
                <w:color w:val="auto"/>
              </w:rPr>
              <w:t>[B]</w:t>
            </w:r>
          </w:p>
        </w:tc>
        <w:tc>
          <w:tcPr>
            <w:tcW w:w="0" w:type="dxa"/>
            <w:vAlign w:val="bottom"/>
          </w:tcPr>
          <w:p>
            <w:pPr>
              <w:spacing w:after="0"/>
              <w:rPr>
                <w:sz w:val="1"/>
                <w:szCs w:val="1"/>
                <w:color w:val="auto"/>
              </w:rPr>
            </w:pPr>
          </w:p>
        </w:tc>
      </w:tr>
      <w:tr>
        <w:trPr>
          <w:trHeight w:val="139"/>
        </w:trPr>
        <w:tc>
          <w:tcPr>
            <w:tcW w:w="2350" w:type="dxa"/>
            <w:vAlign w:val="bottom"/>
            <w:shd w:val="clear" w:color="auto" w:fill="CECAC6"/>
          </w:tcPr>
          <w:p>
            <w:pPr>
              <w:spacing w:after="0"/>
              <w:rPr>
                <w:sz w:val="20"/>
                <w:szCs w:val="20"/>
                <w:color w:val="auto"/>
              </w:rPr>
            </w:pPr>
            <w:r>
              <w:rPr>
                <w:rFonts w:ascii="Arial" w:cs="Arial" w:eastAsia="Arial" w:hAnsi="Arial"/>
                <w:sz w:val="12"/>
                <w:szCs w:val="12"/>
                <w:color w:val="auto"/>
              </w:rPr>
              <w:t>Values in thousands</w:t>
            </w:r>
          </w:p>
        </w:tc>
        <w:tc>
          <w:tcPr>
            <w:tcW w:w="690" w:type="dxa"/>
            <w:vAlign w:val="bottom"/>
            <w:shd w:val="clear" w:color="auto" w:fill="CECAC6"/>
          </w:tcPr>
          <w:p>
            <w:pPr>
              <w:spacing w:after="0"/>
              <w:rPr>
                <w:sz w:val="12"/>
                <w:szCs w:val="12"/>
                <w:color w:val="auto"/>
              </w:rPr>
            </w:pPr>
          </w:p>
        </w:tc>
        <w:tc>
          <w:tcPr>
            <w:tcW w:w="2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12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w:t>
            </w:r>
          </w:p>
        </w:tc>
        <w:tc>
          <w:tcPr>
            <w:tcW w:w="126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w:t>
            </w:r>
          </w:p>
        </w:tc>
        <w:tc>
          <w:tcPr>
            <w:tcW w:w="7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w:t>
            </w:r>
          </w:p>
        </w:tc>
        <w:tc>
          <w:tcPr>
            <w:tcW w:w="11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w:t>
            </w:r>
          </w:p>
        </w:tc>
        <w:tc>
          <w:tcPr>
            <w:tcW w:w="11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w:t>
            </w:r>
          </w:p>
        </w:tc>
        <w:tc>
          <w:tcPr>
            <w:tcW w:w="9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w:t>
            </w:r>
          </w:p>
        </w:tc>
        <w:tc>
          <w:tcPr>
            <w:tcW w:w="10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235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Maarten van den Bergh</w:t>
            </w:r>
          </w:p>
        </w:tc>
        <w:tc>
          <w:tcPr>
            <w:tcW w:w="950" w:type="dxa"/>
            <w:vAlign w:val="bottom"/>
            <w:tcBorders>
              <w:bottom w:val="single" w:sz="8" w:color="auto"/>
            </w:tcBorders>
            <w:gridSpan w:val="2"/>
          </w:tcPr>
          <w:p>
            <w:pPr>
              <w:jc w:val="right"/>
              <w:ind w:right="58"/>
              <w:spacing w:after="0" w:line="133" w:lineRule="exact"/>
              <w:rPr>
                <w:sz w:val="20"/>
                <w:szCs w:val="20"/>
                <w:color w:val="auto"/>
              </w:rPr>
            </w:pPr>
            <w:r>
              <w:rPr>
                <w:rFonts w:ascii="Arial" w:cs="Arial" w:eastAsia="Arial" w:hAnsi="Arial"/>
                <w:sz w:val="12"/>
                <w:szCs w:val="12"/>
                <w:color w:val="auto"/>
              </w:rPr>
              <w:t>9,897.02</w:t>
            </w:r>
          </w:p>
        </w:tc>
        <w:tc>
          <w:tcPr>
            <w:tcW w:w="1200" w:type="dxa"/>
            <w:vAlign w:val="bottom"/>
            <w:tcBorders>
              <w:bottom w:val="single" w:sz="8" w:color="auto"/>
            </w:tcBorders>
          </w:tcPr>
          <w:p>
            <w:pPr>
              <w:jc w:val="right"/>
              <w:ind w:right="138"/>
              <w:spacing w:after="0" w:line="133" w:lineRule="exact"/>
              <w:rPr>
                <w:sz w:val="20"/>
                <w:szCs w:val="20"/>
                <w:color w:val="auto"/>
              </w:rPr>
            </w:pPr>
            <w:r>
              <w:rPr>
                <w:rFonts w:ascii="Arial" w:cs="Arial" w:eastAsia="Arial" w:hAnsi="Arial"/>
                <w:sz w:val="12"/>
                <w:szCs w:val="12"/>
                <w:color w:val="auto"/>
              </w:rPr>
              <w:t>14,558.73</w:t>
            </w:r>
          </w:p>
        </w:tc>
        <w:tc>
          <w:tcPr>
            <w:tcW w:w="1260" w:type="dxa"/>
            <w:vAlign w:val="bottom"/>
            <w:tcBorders>
              <w:bottom w:val="single" w:sz="8" w:color="auto"/>
            </w:tcBorders>
          </w:tcPr>
          <w:p>
            <w:pPr>
              <w:jc w:val="right"/>
              <w:ind w:right="318"/>
              <w:spacing w:after="0" w:line="133" w:lineRule="exact"/>
              <w:rPr>
                <w:sz w:val="20"/>
                <w:szCs w:val="20"/>
                <w:color w:val="auto"/>
              </w:rPr>
            </w:pPr>
            <w:r>
              <w:rPr>
                <w:rFonts w:ascii="Arial" w:cs="Arial" w:eastAsia="Arial" w:hAnsi="Arial"/>
                <w:sz w:val="12"/>
                <w:szCs w:val="12"/>
                <w:color w:val="auto"/>
              </w:rPr>
              <w:t>10,216.40</w:t>
            </w: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13,447.05</w:t>
            </w:r>
          </w:p>
        </w:tc>
        <w:tc>
          <w:tcPr>
            <w:tcW w:w="1180" w:type="dxa"/>
            <w:vAlign w:val="bottom"/>
            <w:tcBorders>
              <w:bottom w:val="single" w:sz="8" w:color="auto"/>
            </w:tcBorders>
          </w:tcPr>
          <w:p>
            <w:pPr>
              <w:jc w:val="right"/>
              <w:ind w:right="78"/>
              <w:spacing w:after="0" w:line="133" w:lineRule="exact"/>
              <w:rPr>
                <w:sz w:val="20"/>
                <w:szCs w:val="20"/>
                <w:color w:val="auto"/>
              </w:rPr>
            </w:pPr>
            <w:r>
              <w:rPr>
                <w:rFonts w:ascii="Arial" w:cs="Arial" w:eastAsia="Arial" w:hAnsi="Arial"/>
                <w:sz w:val="12"/>
                <w:szCs w:val="12"/>
                <w:color w:val="auto"/>
              </w:rPr>
              <w:t>(194.96)</w:t>
            </w:r>
          </w:p>
        </w:tc>
        <w:tc>
          <w:tcPr>
            <w:tcW w:w="1140" w:type="dxa"/>
            <w:vAlign w:val="bottom"/>
            <w:tcBorders>
              <w:bottom w:val="single" w:sz="8" w:color="auto"/>
            </w:tcBorders>
          </w:tcPr>
          <w:p>
            <w:pPr>
              <w:jc w:val="right"/>
              <w:ind w:right="138"/>
              <w:spacing w:after="0" w:line="133" w:lineRule="exact"/>
              <w:rPr>
                <w:sz w:val="20"/>
                <w:szCs w:val="20"/>
                <w:color w:val="auto"/>
              </w:rPr>
            </w:pPr>
            <w:r>
              <w:rPr>
                <w:rFonts w:ascii="Arial" w:cs="Arial" w:eastAsia="Arial" w:hAnsi="Arial"/>
                <w:sz w:val="12"/>
                <w:szCs w:val="12"/>
                <w:color w:val="auto"/>
              </w:rPr>
              <w:t>(268.71)</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(16.88)</w:t>
            </w:r>
          </w:p>
        </w:tc>
        <w:tc>
          <w:tcPr>
            <w:tcW w:w="10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(23.26)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-523875</wp:posOffset>
            </wp:positionV>
            <wp:extent cx="6884670" cy="43116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84670" cy="431165"/>
                    </a:xfrm>
                    <a:prstGeom prst="rect">
                      <a:avLst/>
                    </a:prstGeom>
                    <a:noFill/>
                  </pic:spPr>
                </pic:pic>
              </a:graphicData>
            </a:graphic>
          </wp:anchor>
        </w:drawing>
      </w:r>
    </w:p>
    <w:p>
      <w:pPr>
        <w:spacing w:after="0" w:line="41" w:lineRule="exact"/>
        <w:rPr>
          <w:sz w:val="20"/>
          <w:szCs w:val="20"/>
          <w:color w:val="auto"/>
        </w:rPr>
      </w:pPr>
    </w:p>
    <w:p>
      <w:pPr>
        <w:ind w:left="260" w:right="120" w:hanging="253"/>
        <w:spacing w:after="0" w:line="231" w:lineRule="auto"/>
        <w:tabs>
          <w:tab w:leader="none" w:pos="2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values relating to the Shell Petroleum Company Limited Managing Directors’ Pension Scheme accrued in sterling and have been converted to euro at the corresponding rate of exchange. These values include SSPF benefits which were not reported in prior years.</w:t>
      </w:r>
    </w:p>
    <w:p>
      <w:pPr>
        <w:ind w:left="260" w:hanging="253"/>
        <w:spacing w:after="0"/>
        <w:tabs>
          <w:tab w:leader="none" w:pos="2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net increase in pension and transfer value excluding inflation are negative due to the price inflation for the year being higher than the 3% pension increase granted during the period.</w:t>
      </w:r>
    </w:p>
    <w:p>
      <w:pPr>
        <w:sectPr>
          <w:pgSz w:w="11900" w:h="16838" w:orient="portrait"/>
          <w:cols w:equalWidth="0" w:num="1">
            <w:col w:w="10860"/>
          </w:cols>
          <w:pgMar w:left="240" w:top="415" w:right="79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APPOINTMENTS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3070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47"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In accordance with the Combined Code (see also page 86), Non-executive Directors are appointed for specified terms of office, subject to the provisions of the Articles of Association regarding their election and re-election at the Annual General Meetings. Sir Peter Job and Lawrence Ricciardi will stand for re-election at the AGM of 2008. Non-executive Directors’ appointments are subject to three months’ notice and there is no compensation provision for early termination.</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You can obtain a copy of the standard letter of appointment for Non-executive Directors from the Company Secretary.</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OF DIRECTORS AND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33070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0708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Shell paid and/or accrued a total amount of compensation of $36,524,815</w:t>
      </w:r>
      <w:r>
        <w:rPr>
          <w:rFonts w:ascii="Arial" w:cs="Arial" w:eastAsia="Arial" w:hAnsi="Arial"/>
          <w:sz w:val="12"/>
          <w:szCs w:val="12"/>
          <w:color w:val="auto"/>
        </w:rPr>
        <w:t>[A]</w:t>
      </w:r>
      <w:r>
        <w:rPr>
          <w:rFonts w:ascii="Arial" w:cs="Arial" w:eastAsia="Arial" w:hAnsi="Arial"/>
          <w:sz w:val="14"/>
          <w:szCs w:val="14"/>
          <w:color w:val="auto"/>
        </w:rPr>
        <w:t xml:space="preserve"> (2006:</w:t>
      </w:r>
    </w:p>
    <w:p>
      <w:pPr>
        <w:ind w:right="60"/>
        <w:spacing w:after="0" w:line="224" w:lineRule="auto"/>
        <w:rPr>
          <w:sz w:val="20"/>
          <w:szCs w:val="20"/>
          <w:color w:val="auto"/>
        </w:rPr>
      </w:pPr>
      <w:r>
        <w:rPr>
          <w:rFonts w:ascii="Arial" w:cs="Arial" w:eastAsia="Arial" w:hAnsi="Arial"/>
          <w:sz w:val="14"/>
          <w:szCs w:val="14"/>
          <w:color w:val="auto"/>
        </w:rPr>
        <w:t>$21,576,166) for services in all capacities that Directors and Senior Management of the Company provided during the fiscal year ended December 31, 2007. In addition the Company accrued a total amount of $7,075,010 (excluding inflation), to provide pension, retirement and similar benefits for Directors and Senior Management during the fiscal year ended December 31, 2007.</w:t>
      </w:r>
    </w:p>
    <w:p>
      <w:pPr>
        <w:spacing w:after="0" w:line="76"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You can find biographies of the Directors and Senior Management on pages 80 to 81 and 175,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Michiel Brandjes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rPr>
          <w:sz w:val="20"/>
          <w:szCs w:val="20"/>
          <w:color w:val="auto"/>
        </w:rPr>
      </w:pPr>
      <w:r>
        <w:rPr>
          <w:rFonts w:ascii="Arial" w:cs="Arial" w:eastAsia="Arial" w:hAnsi="Arial"/>
          <w:sz w:val="14"/>
          <w:szCs w:val="14"/>
          <w:color w:val="auto"/>
        </w:rPr>
        <w:t>March 12, 2008</w:t>
      </w:r>
    </w:p>
    <w:p>
      <w:pPr>
        <w:spacing w:after="0" w:line="40" w:lineRule="exact"/>
        <w:rPr>
          <w:sz w:val="20"/>
          <w:szCs w:val="20"/>
          <w:color w:val="auto"/>
        </w:rPr>
      </w:pPr>
    </w:p>
    <w:p>
      <w:pPr>
        <w:ind w:left="200" w:right="680" w:hanging="194"/>
        <w:spacing w:after="0" w:line="249" w:lineRule="auto"/>
        <w:tabs>
          <w:tab w:leader="none" w:pos="200" w:val="left"/>
        </w:tabs>
        <w:numPr>
          <w:ilvl w:val="0"/>
          <w:numId w:val="129"/>
        </w:numPr>
        <w:rPr>
          <w:rFonts w:ascii="Arial" w:cs="Arial" w:eastAsia="Arial" w:hAnsi="Arial"/>
          <w:sz w:val="12"/>
          <w:szCs w:val="12"/>
          <w:color w:val="auto"/>
        </w:rPr>
      </w:pPr>
      <w:r>
        <w:rPr>
          <w:rFonts w:ascii="Arial" w:cs="Arial" w:eastAsia="Arial" w:hAnsi="Arial"/>
          <w:sz w:val="12"/>
          <w:szCs w:val="12"/>
          <w:color w:val="auto"/>
        </w:rPr>
        <w:t>In 2007, the Board added four members to Senior Management (see Control of Registrants on page 175 for the full details).</w:t>
      </w:r>
    </w:p>
    <w:p>
      <w:pPr>
        <w:spacing w:after="0" w:line="200" w:lineRule="exact"/>
        <w:rPr>
          <w:sz w:val="20"/>
          <w:szCs w:val="20"/>
          <w:color w:val="auto"/>
        </w:rPr>
      </w:pPr>
    </w:p>
    <w:p>
      <w:pPr>
        <w:sectPr>
          <w:pgSz w:w="11900" w:h="16838" w:orient="portrait"/>
          <w:cols w:equalWidth="0" w:num="2">
            <w:col w:w="5000" w:space="640"/>
            <w:col w:w="5220"/>
          </w:cols>
          <w:pgMar w:left="240" w:top="415"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9540"/>
        <w:spacing w:after="0"/>
        <w:rPr>
          <w:sz w:val="20"/>
          <w:szCs w:val="20"/>
          <w:color w:val="auto"/>
        </w:rPr>
      </w:pPr>
      <w:r>
        <w:rPr>
          <w:rFonts w:ascii="Arial" w:cs="Arial" w:eastAsia="Arial" w:hAnsi="Arial"/>
          <w:sz w:val="11"/>
          <w:szCs w:val="11"/>
          <w:color w:val="auto"/>
        </w:rPr>
        <w:t xml:space="preserve">Royal Dutch Shell plc </w:t>
      </w:r>
      <w:r>
        <w:rPr>
          <w:rFonts w:ascii="Arial" w:cs="Arial" w:eastAsia="Arial" w:hAnsi="Arial"/>
          <w:sz w:val="11"/>
          <w:szCs w:val="11"/>
          <w:b w:val="1"/>
          <w:bCs w:val="1"/>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1257300</wp:posOffset>
            </wp:positionV>
            <wp:extent cx="725297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13" w:name="page114"/>
    <w:bookmarkEnd w:id="11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7252970" cy="85871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2970" cy="858710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353695</wp:posOffset>
            </wp:positionV>
            <wp:extent cx="6436360" cy="84328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436360" cy="843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2060" w:type="dxa"/>
        <w:tblCellMar>
          <w:top w:w="0" w:type="dxa"/>
          <w:left w:w="0" w:type="dxa"/>
          <w:bottom w:w="0" w:type="dxa"/>
          <w:right w:w="0" w:type="dxa"/>
        </w:tblCellMar>
      </w:tblPr>
      <w:tr>
        <w:trPr>
          <w:trHeight w:val="204"/>
        </w:trPr>
        <w:tc>
          <w:tcPr>
            <w:tcW w:w="2200" w:type="dxa"/>
            <w:vAlign w:val="bottom"/>
          </w:tcPr>
          <w:p>
            <w:pPr>
              <w:spacing w:after="0"/>
              <w:rPr>
                <w:sz w:val="20"/>
                <w:szCs w:val="20"/>
                <w:color w:val="auto"/>
              </w:rPr>
            </w:pPr>
            <w:r>
              <w:rPr>
                <w:rFonts w:ascii="Arial" w:cs="Arial" w:eastAsia="Arial" w:hAnsi="Arial"/>
                <w:sz w:val="16"/>
                <w:szCs w:val="16"/>
                <w:b w:val="1"/>
                <w:bCs w:val="1"/>
                <w:color w:val="auto"/>
              </w:rPr>
              <w:t>REPORTS OF THE</w:t>
            </w:r>
          </w:p>
        </w:tc>
        <w:tc>
          <w:tcPr>
            <w:tcW w:w="240" w:type="dxa"/>
            <w:vAlign w:val="bottom"/>
          </w:tcPr>
          <w:p>
            <w:pPr>
              <w:jc w:val="right"/>
              <w:spacing w:after="0"/>
              <w:rPr>
                <w:rFonts w:ascii="Arial" w:cs="Arial" w:eastAsia="Arial" w:hAnsi="Arial"/>
                <w:sz w:val="14"/>
                <w:szCs w:val="14"/>
                <w:b w:val="1"/>
                <w:bCs w:val="1"/>
                <w:color w:val="0000EE"/>
                <w:w w:val="93"/>
              </w:rPr>
            </w:pPr>
            <w:hyperlink w:anchor="page116">
              <w:r>
                <w:rPr>
                  <w:rFonts w:ascii="Arial" w:cs="Arial" w:eastAsia="Arial" w:hAnsi="Arial"/>
                  <w:sz w:val="14"/>
                  <w:szCs w:val="14"/>
                  <w:b w:val="1"/>
                  <w:bCs w:val="1"/>
                  <w:color w:val="0000EE"/>
                  <w:w w:val="93"/>
                </w:rPr>
                <w:t>110</w:t>
              </w:r>
            </w:hyperlink>
          </w:p>
        </w:tc>
        <w:tc>
          <w:tcPr>
            <w:tcW w:w="3140" w:type="dxa"/>
            <w:vAlign w:val="bottom"/>
            <w:gridSpan w:val="4"/>
          </w:tcPr>
          <w:p>
            <w:pPr>
              <w:ind w:left="140"/>
              <w:spacing w:after="0"/>
              <w:rPr>
                <w:rFonts w:ascii="Arial" w:cs="Arial" w:eastAsia="Arial" w:hAnsi="Arial"/>
                <w:sz w:val="14"/>
                <w:szCs w:val="14"/>
                <w:color w:val="0000EE"/>
              </w:rPr>
            </w:pPr>
            <w:hyperlink w:anchor="page116">
              <w:r>
                <w:rPr>
                  <w:rFonts w:ascii="Arial" w:cs="Arial" w:eastAsia="Arial" w:hAnsi="Arial"/>
                  <w:sz w:val="14"/>
                  <w:szCs w:val="14"/>
                  <w:color w:val="0000EE"/>
                </w:rPr>
                <w:t>Reports of the Independent Auditors</w:t>
              </w:r>
            </w:hyperlink>
          </w:p>
        </w:tc>
      </w:tr>
      <w:tr>
        <w:trPr>
          <w:trHeight w:val="214"/>
        </w:trPr>
        <w:tc>
          <w:tcPr>
            <w:tcW w:w="2200" w:type="dxa"/>
            <w:vAlign w:val="bottom"/>
          </w:tcPr>
          <w:p>
            <w:pPr>
              <w:spacing w:after="0"/>
              <w:rPr>
                <w:sz w:val="20"/>
                <w:szCs w:val="20"/>
                <w:color w:val="auto"/>
              </w:rPr>
            </w:pPr>
            <w:r>
              <w:rPr>
                <w:rFonts w:ascii="Arial" w:cs="Arial" w:eastAsia="Arial" w:hAnsi="Arial"/>
                <w:sz w:val="16"/>
                <w:szCs w:val="16"/>
                <w:b w:val="1"/>
                <w:bCs w:val="1"/>
                <w:color w:val="auto"/>
              </w:rPr>
              <w:t>INDEPENDENT AUDITORS</w:t>
            </w:r>
          </w:p>
        </w:tc>
        <w:tc>
          <w:tcPr>
            <w:tcW w:w="24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20" w:type="dxa"/>
            <w:vAlign w:val="bottom"/>
          </w:tcPr>
          <w:p>
            <w:pPr>
              <w:spacing w:after="0"/>
              <w:rPr>
                <w:sz w:val="18"/>
                <w:szCs w:val="18"/>
                <w:color w:val="auto"/>
              </w:rPr>
            </w:pPr>
          </w:p>
        </w:tc>
      </w:tr>
      <w:tr>
        <w:trPr>
          <w:trHeight w:val="298"/>
        </w:trPr>
        <w:tc>
          <w:tcPr>
            <w:tcW w:w="2200" w:type="dxa"/>
            <w:vAlign w:val="bottom"/>
          </w:tcPr>
          <w:p>
            <w:pPr>
              <w:spacing w:after="0"/>
              <w:rPr>
                <w:sz w:val="20"/>
                <w:szCs w:val="20"/>
                <w:color w:val="auto"/>
              </w:rPr>
            </w:pPr>
            <w:r>
              <w:rPr>
                <w:rFonts w:ascii="Arial" w:cs="Arial" w:eastAsia="Arial" w:hAnsi="Arial"/>
                <w:sz w:val="16"/>
                <w:szCs w:val="16"/>
                <w:b w:val="1"/>
                <w:bCs w:val="1"/>
                <w:color w:val="auto"/>
              </w:rPr>
              <w:t>CONSOLIDATED</w:t>
            </w:r>
          </w:p>
        </w:tc>
        <w:tc>
          <w:tcPr>
            <w:tcW w:w="240" w:type="dxa"/>
            <w:vAlign w:val="bottom"/>
            <w:tcBorders>
              <w:bottom w:val="single" w:sz="8" w:color="0000EE"/>
            </w:tcBorders>
          </w:tcPr>
          <w:p>
            <w:pPr>
              <w:jc w:val="right"/>
              <w:spacing w:after="0"/>
              <w:rPr>
                <w:rFonts w:ascii="Arial" w:cs="Arial" w:eastAsia="Arial" w:hAnsi="Arial"/>
                <w:sz w:val="14"/>
                <w:szCs w:val="14"/>
                <w:b w:val="1"/>
                <w:bCs w:val="1"/>
                <w:color w:val="0000EE"/>
                <w:w w:val="93"/>
              </w:rPr>
            </w:pPr>
            <w:hyperlink w:anchor="page118">
              <w:r>
                <w:rPr>
                  <w:rFonts w:ascii="Arial" w:cs="Arial" w:eastAsia="Arial" w:hAnsi="Arial"/>
                  <w:sz w:val="14"/>
                  <w:szCs w:val="14"/>
                  <w:b w:val="1"/>
                  <w:bCs w:val="1"/>
                  <w:color w:val="0000EE"/>
                  <w:w w:val="93"/>
                </w:rPr>
                <w:t>112</w:t>
              </w:r>
            </w:hyperlink>
          </w:p>
        </w:tc>
        <w:tc>
          <w:tcPr>
            <w:tcW w:w="140" w:type="dxa"/>
            <w:vAlign w:val="bottom"/>
          </w:tcPr>
          <w:p>
            <w:pPr>
              <w:spacing w:after="0"/>
              <w:rPr>
                <w:sz w:val="24"/>
                <w:szCs w:val="24"/>
                <w:color w:val="auto"/>
              </w:rPr>
            </w:pPr>
          </w:p>
        </w:tc>
        <w:tc>
          <w:tcPr>
            <w:tcW w:w="2200" w:type="dxa"/>
            <w:vAlign w:val="bottom"/>
            <w:tcBorders>
              <w:bottom w:val="single" w:sz="8" w:color="0000EE"/>
            </w:tcBorders>
          </w:tcPr>
          <w:p>
            <w:pPr>
              <w:spacing w:after="0"/>
              <w:rPr>
                <w:rFonts w:ascii="Arial" w:cs="Arial" w:eastAsia="Arial" w:hAnsi="Arial"/>
                <w:sz w:val="14"/>
                <w:szCs w:val="14"/>
                <w:color w:val="0000EE"/>
              </w:rPr>
            </w:pPr>
            <w:hyperlink w:anchor="page118">
              <w:r>
                <w:rPr>
                  <w:rFonts w:ascii="Arial" w:cs="Arial" w:eastAsia="Arial" w:hAnsi="Arial"/>
                  <w:sz w:val="14"/>
                  <w:szCs w:val="14"/>
                  <w:color w:val="0000EE"/>
                </w:rPr>
                <w:t>Consolidated Financial Statements</w:t>
              </w:r>
            </w:hyperlink>
          </w:p>
        </w:tc>
        <w:tc>
          <w:tcPr>
            <w:tcW w:w="800" w:type="dxa"/>
            <w:vAlign w:val="bottom"/>
            <w:gridSpan w:val="2"/>
          </w:tcPr>
          <w:p>
            <w:pPr>
              <w:spacing w:after="0"/>
              <w:rPr>
                <w:sz w:val="24"/>
                <w:szCs w:val="24"/>
                <w:color w:val="auto"/>
              </w:rPr>
            </w:pPr>
          </w:p>
        </w:tc>
      </w:tr>
      <w:tr>
        <w:trPr>
          <w:trHeight w:val="166"/>
        </w:trPr>
        <w:tc>
          <w:tcPr>
            <w:tcW w:w="2200" w:type="dxa"/>
            <w:vAlign w:val="bottom"/>
          </w:tcPr>
          <w:p>
            <w:pPr>
              <w:spacing w:after="0" w:line="147" w:lineRule="exact"/>
              <w:rPr>
                <w:sz w:val="20"/>
                <w:szCs w:val="20"/>
                <w:color w:val="auto"/>
              </w:rPr>
            </w:pPr>
            <w:r>
              <w:rPr>
                <w:rFonts w:ascii="Arial" w:cs="Arial" w:eastAsia="Arial" w:hAnsi="Arial"/>
                <w:sz w:val="16"/>
                <w:szCs w:val="16"/>
                <w:b w:val="1"/>
                <w:bCs w:val="1"/>
                <w:color w:val="auto"/>
              </w:rPr>
              <w:t>FINANCIAL STATEMENTS</w:t>
            </w:r>
          </w:p>
        </w:tc>
        <w:tc>
          <w:tcPr>
            <w:tcW w:w="240" w:type="dxa"/>
            <w:vAlign w:val="bottom"/>
            <w:tcBorders>
              <w:bottom w:val="single" w:sz="8" w:color="0000EE"/>
            </w:tcBorders>
          </w:tcPr>
          <w:p>
            <w:pPr>
              <w:jc w:val="right"/>
              <w:spacing w:after="0" w:line="153" w:lineRule="exact"/>
              <w:rPr>
                <w:rFonts w:ascii="Arial" w:cs="Arial" w:eastAsia="Arial" w:hAnsi="Arial"/>
                <w:sz w:val="14"/>
                <w:szCs w:val="14"/>
                <w:b w:val="1"/>
                <w:bCs w:val="1"/>
                <w:color w:val="0000EE"/>
                <w:w w:val="93"/>
              </w:rPr>
            </w:pPr>
            <w:hyperlink w:anchor="page123">
              <w:r>
                <w:rPr>
                  <w:rFonts w:ascii="Arial" w:cs="Arial" w:eastAsia="Arial" w:hAnsi="Arial"/>
                  <w:sz w:val="14"/>
                  <w:szCs w:val="14"/>
                  <w:b w:val="1"/>
                  <w:bCs w:val="1"/>
                  <w:color w:val="0000EE"/>
                  <w:w w:val="93"/>
                </w:rPr>
                <w:t>117</w:t>
              </w:r>
            </w:hyperlink>
          </w:p>
        </w:tc>
        <w:tc>
          <w:tcPr>
            <w:tcW w:w="140" w:type="dxa"/>
            <w:vAlign w:val="bottom"/>
          </w:tcPr>
          <w:p>
            <w:pPr>
              <w:spacing w:after="0"/>
              <w:rPr>
                <w:sz w:val="14"/>
                <w:szCs w:val="14"/>
                <w:color w:val="auto"/>
              </w:rPr>
            </w:pPr>
          </w:p>
        </w:tc>
        <w:tc>
          <w:tcPr>
            <w:tcW w:w="3000" w:type="dxa"/>
            <w:vAlign w:val="bottom"/>
            <w:tcBorders>
              <w:bottom w:val="single" w:sz="8" w:color="0000EE"/>
            </w:tcBorders>
            <w:gridSpan w:val="3"/>
          </w:tcPr>
          <w:p>
            <w:pPr>
              <w:spacing w:after="0" w:line="153" w:lineRule="exact"/>
              <w:rPr>
                <w:rFonts w:ascii="Arial" w:cs="Arial" w:eastAsia="Arial" w:hAnsi="Arial"/>
                <w:sz w:val="14"/>
                <w:szCs w:val="14"/>
                <w:color w:val="0000EE"/>
              </w:rPr>
            </w:pPr>
            <w:hyperlink w:anchor="page123">
              <w:r>
                <w:rPr>
                  <w:rFonts w:ascii="Arial" w:cs="Arial" w:eastAsia="Arial" w:hAnsi="Arial"/>
                  <w:sz w:val="14"/>
                  <w:szCs w:val="14"/>
                  <w:color w:val="0000EE"/>
                </w:rPr>
                <w:t>Notes to the Consolidated Financial Statements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4793615</wp:posOffset>
            </wp:positionV>
            <wp:extent cx="725297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4"/>
          <w:szCs w:val="34"/>
          <w:color w:val="auto"/>
        </w:rPr>
        <w:t>Reports of the Independent Auditors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ON THE ANNUAL REPORT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52" w:lineRule="exact"/>
        <w:rPr>
          <w:sz w:val="20"/>
          <w:szCs w:val="20"/>
          <w:color w:val="auto"/>
        </w:rPr>
      </w:pPr>
    </w:p>
    <w:p>
      <w:pPr>
        <w:ind w:right="380"/>
        <w:spacing w:after="0" w:line="243" w:lineRule="auto"/>
        <w:rPr>
          <w:sz w:val="20"/>
          <w:szCs w:val="20"/>
          <w:color w:val="auto"/>
        </w:rPr>
      </w:pPr>
      <w:r>
        <w:rPr>
          <w:rFonts w:ascii="Arial" w:cs="Arial" w:eastAsia="Arial" w:hAnsi="Arial"/>
          <w:sz w:val="14"/>
          <w:szCs w:val="14"/>
          <w:b w:val="1"/>
          <w:bCs w:val="1"/>
          <w:color w:val="auto"/>
        </w:rPr>
        <w:t>INDEPENDENT AUDITOR’S REPORT TO THE MEMBERS OF ROYAL DUTCH SHELL PLC</w:t>
      </w:r>
    </w:p>
    <w:p>
      <w:pPr>
        <w:spacing w:after="0" w:line="238" w:lineRule="auto"/>
        <w:rPr>
          <w:sz w:val="20"/>
          <w:szCs w:val="20"/>
          <w:color w:val="auto"/>
        </w:rPr>
      </w:pPr>
      <w:r>
        <w:rPr>
          <w:rFonts w:ascii="Arial" w:cs="Arial" w:eastAsia="Arial" w:hAnsi="Arial"/>
          <w:sz w:val="13"/>
          <w:szCs w:val="13"/>
          <w:color w:val="auto"/>
        </w:rPr>
        <w:t>We have audited the Consolidated and Parent Company Financial Statements (the “Financial Statements”) of Royal Dutch Shell plc for the year ended 31 December, 2007. The Consolidated Financial Statements comprise the Consolidated Statement of Income, the Consolidated Balance Sheet, the Consolidated Statement of Changes in Equity, the Consolidated Statement of Cash Flows and the related Notes to the Consolidated Financial Statements. The Parent Company Financial Statements comprise the Statement of Income, the Balance Sheet, the Statement of Changes in Equity and the Statement of Cash Flows and the related Notes to the Parent Company Financial Statements. The Financial Statements have been prepared under the accounting policies set out in the respective notes to the Financial Statements. We have also audited the information in the Directors’ Remuneration Report that is described as having been audited.</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RESPECTIVE RESPONSIBILITIES OF DIRECTORS AND AUDITORS</w:t>
      </w:r>
    </w:p>
    <w:p>
      <w:pPr>
        <w:spacing w:after="0" w:line="6" w:lineRule="exact"/>
        <w:rPr>
          <w:sz w:val="20"/>
          <w:szCs w:val="20"/>
          <w:color w:val="auto"/>
        </w:rPr>
      </w:pPr>
    </w:p>
    <w:p>
      <w:pPr>
        <w:ind w:right="220"/>
        <w:spacing w:after="0" w:line="226" w:lineRule="auto"/>
        <w:rPr>
          <w:sz w:val="20"/>
          <w:szCs w:val="20"/>
          <w:color w:val="auto"/>
        </w:rPr>
      </w:pPr>
      <w:r>
        <w:rPr>
          <w:rFonts w:ascii="Arial" w:cs="Arial" w:eastAsia="Arial" w:hAnsi="Arial"/>
          <w:sz w:val="14"/>
          <w:szCs w:val="14"/>
          <w:color w:val="auto"/>
        </w:rPr>
        <w:t>The directors’ responsibilities for preparing the Annual Report, the Directors’ Remuneration Report and the Financial Statements in accordance with applicable law and International Financial Reporting Standards (IFRSs) as adopted by the European Union are set out in the Statement of Directors’ Responsibilities.</w:t>
      </w:r>
    </w:p>
    <w:p>
      <w:pPr>
        <w:spacing w:after="0" w:line="181"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Our responsibility is to audit the Financial Statements and the part of the Directors’ Remuneration Report to be audited in accordance with relevant legal and regulatory requirements and International Standards on Auditing (UK and Ireland). This report, including the opinion, has been prepared for and only for the Company’s members as a body in accordance with Section 235 of the Companies Act 1985 and for no other purpose. We do not, in giving this opinion, accept or assume responsibility for any other purpose or to any other person to whom this report is shown or into whose hands it may come save where expressly agreed by our prior consent in writing.</w:t>
      </w:r>
    </w:p>
    <w:p>
      <w:pPr>
        <w:spacing w:after="0" w:line="183" w:lineRule="exact"/>
        <w:rPr>
          <w:sz w:val="20"/>
          <w:szCs w:val="20"/>
          <w:color w:val="auto"/>
        </w:rPr>
      </w:pPr>
    </w:p>
    <w:p>
      <w:pPr>
        <w:ind w:right="80"/>
        <w:spacing w:after="0" w:line="241" w:lineRule="auto"/>
        <w:rPr>
          <w:sz w:val="20"/>
          <w:szCs w:val="20"/>
          <w:color w:val="auto"/>
        </w:rPr>
      </w:pPr>
      <w:r>
        <w:rPr>
          <w:rFonts w:ascii="Arial" w:cs="Arial" w:eastAsia="Arial" w:hAnsi="Arial"/>
          <w:sz w:val="13"/>
          <w:szCs w:val="13"/>
          <w:color w:val="auto"/>
        </w:rPr>
        <w:t>We report to you our opinion as to whether the Financial Statements give a true and fair view and whether the Financial Statements and the part of the Directors’ Remuneration Report to be audited have been properly prepared in accordance with the Companies Act 1985 and, as regards the Consolidated Financial Statements, Article 4 of the IAS Regulation. We also report to you whether in our opinion the information given in the Directors’ Report is consistent with the Financial Statements. We also report to you if, in our opinion, the company has not kept proper accounting records, if we have not received all the information and explanations we require for our audit, or if information specified by law regarding directors’ remuneration and other transactions is not disclosed.</w:t>
      </w:r>
    </w:p>
    <w:p>
      <w:pPr>
        <w:spacing w:after="0" w:line="181" w:lineRule="exact"/>
        <w:rPr>
          <w:sz w:val="20"/>
          <w:szCs w:val="20"/>
          <w:color w:val="auto"/>
        </w:rPr>
      </w:pPr>
    </w:p>
    <w:p>
      <w:pPr>
        <w:ind w:right="60"/>
        <w:spacing w:after="0" w:line="226" w:lineRule="auto"/>
        <w:rPr>
          <w:sz w:val="20"/>
          <w:szCs w:val="20"/>
          <w:color w:val="auto"/>
        </w:rPr>
      </w:pPr>
      <w:r>
        <w:rPr>
          <w:rFonts w:ascii="Arial" w:cs="Arial" w:eastAsia="Arial" w:hAnsi="Arial"/>
          <w:sz w:val="14"/>
          <w:szCs w:val="14"/>
          <w:color w:val="auto"/>
        </w:rPr>
        <w:t>We review whether the Corporate Governance Statement reflects Royal Dutch Shell’s compliance with the nine provisions of the Combined Code 2006 specified for our review by the Listing Rules of the Financial Services Authority, and we report if it does not. We are not required to consider whether the board’s statements on internal control cover all risks and controls, or form an opinion on the effectiveness of Shell’s corporate governance procedures or its risk and control procedures.</w:t>
      </w:r>
    </w:p>
    <w:p>
      <w:pPr>
        <w:spacing w:after="0" w:line="183" w:lineRule="exact"/>
        <w:rPr>
          <w:sz w:val="20"/>
          <w:szCs w:val="20"/>
          <w:color w:val="auto"/>
        </w:rPr>
      </w:pPr>
    </w:p>
    <w:p>
      <w:pPr>
        <w:ind w:right="60"/>
        <w:spacing w:after="0" w:line="273" w:lineRule="auto"/>
        <w:rPr>
          <w:sz w:val="20"/>
          <w:szCs w:val="20"/>
          <w:color w:val="auto"/>
        </w:rPr>
      </w:pPr>
      <w:r>
        <w:rPr>
          <w:rFonts w:ascii="Arial" w:cs="Arial" w:eastAsia="Arial" w:hAnsi="Arial"/>
          <w:sz w:val="12"/>
          <w:szCs w:val="12"/>
          <w:color w:val="auto"/>
        </w:rPr>
        <w:t>We read other information contained in the Annual Report and consider whether it is consistent with the audited Financial Statements. The other information comprises only the Unification of Royal Dutch and Shell Transport, Selected financial data, the Chairman’s message, the Chief Executive’s review, the Operating and Financial Review, the Board of Royal Dutch Shell plc, the Report of the Directors, the Corporate Governance Report, the unaudited part of the</w:t>
      </w:r>
    </w:p>
    <w:p>
      <w:pPr>
        <w:spacing w:after="0" w:line="200" w:lineRule="exact"/>
        <w:rPr>
          <w:sz w:val="20"/>
          <w:szCs w:val="20"/>
          <w:color w:val="auto"/>
        </w:rPr>
      </w:pPr>
    </w:p>
    <w:p>
      <w:pPr>
        <w:spacing w:after="0" w:line="205" w:lineRule="exact"/>
        <w:rPr>
          <w:sz w:val="20"/>
          <w:szCs w:val="20"/>
          <w:color w:val="auto"/>
        </w:rPr>
      </w:pPr>
    </w:p>
    <w:p>
      <w:pPr>
        <w:ind w:left="340" w:hanging="333"/>
        <w:spacing w:after="0"/>
        <w:tabs>
          <w:tab w:leader="none" w:pos="340" w:val="left"/>
        </w:tabs>
        <w:numPr>
          <w:ilvl w:val="0"/>
          <w:numId w:val="13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Directors’ Remuneration Report, the Supplementary Information, the Additional shareholder information and the Exhibits. We consider the implications for our report if we become aware of any apparent misstatements or material inconsistencies with the Financial Statements. Our responsibilities do not extend to any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AUDIT OPINION</w:t>
      </w:r>
    </w:p>
    <w:p>
      <w:pPr>
        <w:spacing w:after="0" w:line="6" w:lineRule="exact"/>
        <w:rPr>
          <w:sz w:val="20"/>
          <w:szCs w:val="20"/>
          <w:color w:val="auto"/>
        </w:rPr>
      </w:pPr>
    </w:p>
    <w:p>
      <w:pPr>
        <w:ind w:right="80"/>
        <w:spacing w:after="0"/>
        <w:rPr>
          <w:sz w:val="20"/>
          <w:szCs w:val="20"/>
          <w:color w:val="auto"/>
        </w:rPr>
      </w:pPr>
      <w:r>
        <w:rPr>
          <w:rFonts w:ascii="Arial" w:cs="Arial" w:eastAsia="Arial" w:hAnsi="Arial"/>
          <w:sz w:val="13"/>
          <w:szCs w:val="13"/>
          <w:color w:val="auto"/>
        </w:rPr>
        <w:t>We conducted our audit in accordance with International Standards on Auditing (UK and Ireland) issued by the Auditing Practices Board. An audit includes examination, on a test basis, of evidence relevant to the amounts and disclosures in the Financial Statements and the part of the Directors’ Remuneration Report to be audited. It also includes an assessment of the significant estimates and judgments made by the directors in the preparation of the Financial Statements, and of whether the accounting policies are appropriate to the Shell group’s and parent company’s circumstances, consistently applied and adequately disclosed.</w:t>
      </w:r>
    </w:p>
    <w:p>
      <w:pPr>
        <w:spacing w:after="0" w:line="180" w:lineRule="exact"/>
        <w:rPr>
          <w:sz w:val="20"/>
          <w:szCs w:val="20"/>
          <w:color w:val="auto"/>
        </w:rPr>
      </w:pPr>
    </w:p>
    <w:p>
      <w:pPr>
        <w:ind w:right="60"/>
        <w:spacing w:after="0" w:line="225" w:lineRule="auto"/>
        <w:rPr>
          <w:sz w:val="20"/>
          <w:szCs w:val="20"/>
          <w:color w:val="auto"/>
        </w:rPr>
      </w:pPr>
      <w:r>
        <w:rPr>
          <w:rFonts w:ascii="Arial" w:cs="Arial" w:eastAsia="Arial" w:hAnsi="Arial"/>
          <w:sz w:val="14"/>
          <w:szCs w:val="14"/>
          <w:color w:val="auto"/>
        </w:rPr>
        <w:t>We planned and performed our audit so as to obtain all the information and explanations which we considered necessary in order to provide us with sufficient evidence to give reasonable assurance that the Financial Statements and the part of the Directors’ Remuneration Report to be audited are free from material misstatement, whether caused by fraud or other irregularity or error. In forming our opinion we also evaluated the overall adequacy of the presentation of information in the Financial Statements and the part of the Directors’ Remuneration Report to be 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w:t>
      </w:r>
    </w:p>
    <w:p>
      <w:pPr>
        <w:spacing w:after="0" w:line="226" w:lineRule="auto"/>
        <w:rPr>
          <w:sz w:val="20"/>
          <w:szCs w:val="20"/>
          <w:color w:val="auto"/>
        </w:rPr>
      </w:pPr>
      <w:r>
        <w:rPr>
          <w:rFonts w:ascii="Arial" w:cs="Arial" w:eastAsia="Arial" w:hAnsi="Arial"/>
          <w:sz w:val="14"/>
          <w:szCs w:val="14"/>
          <w:color w:val="auto"/>
        </w:rPr>
        <w:t>In our opinion:</w:t>
      </w:r>
    </w:p>
    <w:p>
      <w:pPr>
        <w:ind w:left="220" w:right="40" w:hanging="218"/>
        <w:spacing w:after="0" w:line="254" w:lineRule="auto"/>
        <w:tabs>
          <w:tab w:leader="none" w:pos="220" w:val="left"/>
        </w:tabs>
        <w:numPr>
          <w:ilvl w:val="0"/>
          <w:numId w:val="131"/>
        </w:numPr>
        <w:rPr>
          <w:rFonts w:ascii="Arial" w:cs="Arial" w:eastAsia="Arial" w:hAnsi="Arial"/>
          <w:sz w:val="12"/>
          <w:szCs w:val="12"/>
          <w:b w:val="1"/>
          <w:bCs w:val="1"/>
          <w:color w:val="auto"/>
        </w:rPr>
      </w:pPr>
      <w:r>
        <w:rPr>
          <w:rFonts w:ascii="Arial" w:cs="Arial" w:eastAsia="Arial" w:hAnsi="Arial"/>
          <w:sz w:val="12"/>
          <w:szCs w:val="12"/>
          <w:color w:val="auto"/>
        </w:rPr>
        <w:t>the Financial Statements give a true and fair view, in accordance with International Financial Reporting Standards as adopted by the European Union, of the state of the Shell group’s and the parent company’s affairs as at 31 December, 2007, and of the Shell group’s and the parent company’s income, changes in equity and cash flows for the year then ended;</w:t>
      </w:r>
    </w:p>
    <w:p>
      <w:pPr>
        <w:spacing w:after="0" w:line="1" w:lineRule="exact"/>
        <w:rPr>
          <w:rFonts w:ascii="Arial" w:cs="Arial" w:eastAsia="Arial" w:hAnsi="Arial"/>
          <w:sz w:val="12"/>
          <w:szCs w:val="12"/>
          <w:b w:val="1"/>
          <w:bCs w:val="1"/>
          <w:color w:val="auto"/>
        </w:rPr>
      </w:pPr>
    </w:p>
    <w:p>
      <w:pPr>
        <w:ind w:left="220" w:hanging="218"/>
        <w:spacing w:after="0" w:line="235" w:lineRule="auto"/>
        <w:tabs>
          <w:tab w:leader="none" w:pos="220" w:val="left"/>
        </w:tabs>
        <w:numPr>
          <w:ilvl w:val="0"/>
          <w:numId w:val="131"/>
        </w:numPr>
        <w:rPr>
          <w:rFonts w:ascii="Arial" w:cs="Arial" w:eastAsia="Arial" w:hAnsi="Arial"/>
          <w:sz w:val="13"/>
          <w:szCs w:val="13"/>
          <w:b w:val="1"/>
          <w:bCs w:val="1"/>
          <w:color w:val="auto"/>
        </w:rPr>
      </w:pPr>
      <w:r>
        <w:rPr>
          <w:rFonts w:ascii="Arial" w:cs="Arial" w:eastAsia="Arial" w:hAnsi="Arial"/>
          <w:sz w:val="13"/>
          <w:szCs w:val="13"/>
          <w:color w:val="auto"/>
        </w:rPr>
        <w:t>the Financial Statements and the part of the Directors’ Remuneration Report to be audited have been properly prepared in accordance with the Companies Act 1985 and, as regards the Consolidated Financial Statements, Article 4 of the IAS Regulation; and</w:t>
      </w:r>
    </w:p>
    <w:p>
      <w:pPr>
        <w:ind w:left="220" w:hanging="218"/>
        <w:spacing w:after="0"/>
        <w:tabs>
          <w:tab w:leader="none" w:pos="220" w:val="left"/>
        </w:tabs>
        <w:numPr>
          <w:ilvl w:val="0"/>
          <w:numId w:val="131"/>
        </w:numPr>
        <w:rPr>
          <w:rFonts w:ascii="Arial" w:cs="Arial" w:eastAsia="Arial" w:hAnsi="Arial"/>
          <w:sz w:val="13"/>
          <w:szCs w:val="13"/>
          <w:b w:val="1"/>
          <w:bCs w:val="1"/>
          <w:color w:val="auto"/>
        </w:rPr>
      </w:pPr>
      <w:r>
        <w:rPr>
          <w:rFonts w:ascii="Arial" w:cs="Arial" w:eastAsia="Arial" w:hAnsi="Arial"/>
          <w:sz w:val="13"/>
          <w:szCs w:val="13"/>
          <w:color w:val="auto"/>
        </w:rPr>
        <w:t>the information given in the Directors’ Report is consistent with the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0" w:lineRule="auto"/>
        <w:rPr>
          <w:sz w:val="20"/>
          <w:szCs w:val="20"/>
          <w:color w:val="auto"/>
        </w:rPr>
      </w:pPr>
      <w:r>
        <w:rPr>
          <w:rFonts w:ascii="Arial" w:cs="Arial" w:eastAsia="Arial" w:hAnsi="Arial"/>
          <w:sz w:val="14"/>
          <w:szCs w:val="14"/>
          <w:color w:val="auto"/>
        </w:rPr>
        <w:t>Chartered Accountants and Registered Auditors</w:t>
      </w:r>
    </w:p>
    <w:p>
      <w:pPr>
        <w:spacing w:after="0"/>
        <w:rPr>
          <w:sz w:val="20"/>
          <w:szCs w:val="20"/>
          <w:color w:val="auto"/>
        </w:rPr>
      </w:pPr>
      <w:r>
        <w:rPr>
          <w:rFonts w:ascii="Arial" w:cs="Arial" w:eastAsia="Arial" w:hAnsi="Arial"/>
          <w:sz w:val="14"/>
          <w:szCs w:val="14"/>
          <w:color w:val="auto"/>
        </w:rPr>
        <w:t>London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Notes</w:t>
      </w:r>
    </w:p>
    <w:p>
      <w:pPr>
        <w:spacing w:after="0" w:line="9" w:lineRule="exact"/>
        <w:rPr>
          <w:sz w:val="20"/>
          <w:szCs w:val="20"/>
          <w:color w:val="auto"/>
        </w:rPr>
      </w:pPr>
    </w:p>
    <w:p>
      <w:pPr>
        <w:ind w:left="240" w:right="40" w:hanging="238"/>
        <w:spacing w:after="0" w:line="231" w:lineRule="auto"/>
        <w:tabs>
          <w:tab w:leader="none" w:pos="2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The maintenance and integrity of the Royal Dutch Shell plc website is the responsibility of the directors; the work carried out by the auditors does not involve consideration of these matters and, accordingly, the auditors accept no responsibility for any changes that may have occurred to the financial statements since they were initially presented on the website.</w:t>
      </w:r>
    </w:p>
    <w:p>
      <w:pPr>
        <w:spacing w:after="0" w:line="1" w:lineRule="exact"/>
        <w:rPr>
          <w:rFonts w:ascii="Arial" w:cs="Arial" w:eastAsia="Arial" w:hAnsi="Arial"/>
          <w:sz w:val="12"/>
          <w:szCs w:val="12"/>
          <w:color w:val="auto"/>
        </w:rPr>
      </w:pPr>
    </w:p>
    <w:p>
      <w:pPr>
        <w:ind w:left="240" w:right="280" w:hanging="238"/>
        <w:spacing w:after="0" w:line="249" w:lineRule="auto"/>
        <w:tabs>
          <w:tab w:leader="none" w:pos="240" w:val="left"/>
        </w:tabs>
        <w:numPr>
          <w:ilvl w:val="0"/>
          <w:numId w:val="132"/>
        </w:numPr>
        <w:rPr>
          <w:rFonts w:ascii="Arial" w:cs="Arial" w:eastAsia="Arial" w:hAnsi="Arial"/>
          <w:sz w:val="12"/>
          <w:szCs w:val="12"/>
          <w:color w:val="auto"/>
        </w:rPr>
      </w:pPr>
      <w:r>
        <w:rPr>
          <w:rFonts w:ascii="Arial" w:cs="Arial" w:eastAsia="Arial" w:hAnsi="Arial"/>
          <w:sz w:val="12"/>
          <w:szCs w:val="12"/>
          <w:color w:val="auto"/>
        </w:rPr>
        <w:t>Legislation in the United Kingdom governing the preparation and dissemination of financial statements may differ from legislation in other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1325245</wp:posOffset>
            </wp:positionV>
            <wp:extent cx="7252970"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80"/>
          </w:cols>
          <w:pgMar w:left="240" w:top="415" w:right="23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358775</wp:posOffset>
            </wp:positionV>
            <wp:extent cx="282575" cy="761238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2575" cy="7612380"/>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ON THE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1635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25" w:lineRule="exact"/>
        <w:rPr>
          <w:sz w:val="20"/>
          <w:szCs w:val="20"/>
          <w:color w:val="auto"/>
        </w:rPr>
      </w:pPr>
    </w:p>
    <w:p>
      <w:pPr>
        <w:ind w:right="440"/>
        <w:spacing w:after="0" w:line="269" w:lineRule="auto"/>
        <w:rPr>
          <w:sz w:val="20"/>
          <w:szCs w:val="20"/>
          <w:color w:val="auto"/>
        </w:rPr>
      </w:pPr>
      <w:r>
        <w:rPr>
          <w:rFonts w:ascii="Arial" w:cs="Arial" w:eastAsia="Arial" w:hAnsi="Arial"/>
          <w:sz w:val="14"/>
          <w:szCs w:val="14"/>
          <w:b w:val="1"/>
          <w:bCs w:val="1"/>
          <w:color w:val="auto"/>
        </w:rPr>
        <w:t>TO THE BOARD OF DIRECTORS AND SHAREHOLDERS OF ROYAL DUTCH SHELL PLC</w:t>
      </w:r>
    </w:p>
    <w:p>
      <w:pPr>
        <w:spacing w:after="0" w:line="1" w:lineRule="exact"/>
        <w:rPr>
          <w:sz w:val="20"/>
          <w:szCs w:val="20"/>
          <w:color w:val="auto"/>
        </w:rPr>
      </w:pPr>
    </w:p>
    <w:p>
      <w:pPr>
        <w:spacing w:after="0" w:line="279" w:lineRule="auto"/>
        <w:rPr>
          <w:sz w:val="20"/>
          <w:szCs w:val="20"/>
          <w:color w:val="auto"/>
        </w:rPr>
      </w:pPr>
      <w:r>
        <w:rPr>
          <w:rFonts w:ascii="Arial" w:cs="Arial" w:eastAsia="Arial" w:hAnsi="Arial"/>
          <w:sz w:val="13"/>
          <w:szCs w:val="13"/>
          <w:color w:val="auto"/>
        </w:rPr>
        <w:t>In our opinion, the accompanying Consolidated Statement of Income and the related Consolidated Balance Sheet, Consolidated Statement of Changes in Equity and Consolidated Statement of Cash Flows present fairly, in all material respects, the financial position of Royal Dutch Shell plc and its subsidiaries at December 31, 2007, and December 31, 2006, and the results of their operations and cash flows for each of the three years in the period ended December 31, 2007, in conformity with International Financial Reporting Standards (IFRSs) as issued by the International Accounting Standards Board. Also, in our opinion the Company maintained, in all material respects, effective internal control over financial reporting as of December 31, 2007,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issued by the COSO. The Company’s management are responsible for these financial statements, for maintaining effective internal control over financial reporting and for its assessment of the effectiveness of internal control over financial reporting, included in the accompanying Corporate Governance Report as set out on page 91. Our responsibility is to express opinions on these financial statements and on the Company’s internal control over financial reporting based on our audits which were integrated audits in 2007 and 2006.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6" w:lineRule="exact"/>
        <w:rPr>
          <w:sz w:val="20"/>
          <w:szCs w:val="20"/>
          <w:color w:val="auto"/>
        </w:rPr>
      </w:pPr>
    </w:p>
    <w:p>
      <w:pPr>
        <w:ind w:right="40"/>
        <w:spacing w:after="0" w:line="307"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(iii) provide reasonable assurance regarding prevention or timely detection of unauthorised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London</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360"/>
        <w:spacing w:after="0" w:line="306" w:lineRule="auto"/>
        <w:rPr>
          <w:sz w:val="20"/>
          <w:szCs w:val="20"/>
          <w:color w:val="auto"/>
        </w:rPr>
      </w:pPr>
      <w:r>
        <w:rPr>
          <w:rFonts w:ascii="Arial" w:cs="Arial" w:eastAsia="Arial" w:hAnsi="Arial"/>
          <w:sz w:val="13"/>
          <w:szCs w:val="13"/>
          <w:b w:val="1"/>
          <w:bCs w:val="1"/>
          <w:color w:val="auto"/>
        </w:rPr>
        <w:t>Note that the report set out above is included for the purpose of Royal Dutch Shell’s Annual Report on Form 20-F for 2007 only and does not form part of Royal Dutch Shell’s Annual Report and Accounts for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1858645</wp:posOffset>
            </wp:positionV>
            <wp:extent cx="7252970"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4980" w:space="420"/>
            <w:col w:w="5000"/>
          </w:cols>
          <w:pgMar w:left="240" w:top="415" w:right="12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Index to the Consolidated Financial Statements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960" w:type="dxa"/>
            <w:vAlign w:val="bottom"/>
            <w:tcBorders>
              <w:bottom w:val="single" w:sz="8" w:color="0000EE"/>
            </w:tcBorders>
            <w:gridSpan w:val="9"/>
          </w:tcPr>
          <w:p>
            <w:pPr>
              <w:spacing w:after="0"/>
              <w:rPr>
                <w:rFonts w:ascii="Arial" w:cs="Arial" w:eastAsia="Arial" w:hAnsi="Arial"/>
                <w:sz w:val="12"/>
                <w:szCs w:val="12"/>
                <w:color w:val="0000EE"/>
              </w:rPr>
            </w:pPr>
            <w:hyperlink w:anchor="page119">
              <w:r>
                <w:rPr>
                  <w:rFonts w:ascii="Arial" w:cs="Arial" w:eastAsia="Arial" w:hAnsi="Arial"/>
                  <w:sz w:val="12"/>
                  <w:szCs w:val="12"/>
                  <w:color w:val="0000EE"/>
                </w:rPr>
                <w:t>Consolidated Statement of Income</w:t>
              </w:r>
            </w:hyperlink>
          </w:p>
        </w:tc>
        <w:tc>
          <w:tcPr>
            <w:tcW w:w="2660" w:type="dxa"/>
            <w:vAlign w:val="bottom"/>
            <w:tcBorders>
              <w:bottom w:val="single" w:sz="8" w:color="7DD0E0"/>
            </w:tcBorders>
            <w:gridSpan w:val="12"/>
          </w:tcPr>
          <w:p>
            <w:pPr>
              <w:spacing w:after="0"/>
              <w:rPr>
                <w:sz w:val="12"/>
                <w:szCs w:val="12"/>
                <w:color w:val="auto"/>
              </w:rPr>
            </w:pPr>
          </w:p>
        </w:tc>
        <w:tc>
          <w:tcPr>
            <w:tcW w:w="860" w:type="dxa"/>
            <w:vAlign w:val="bottom"/>
            <w:tcBorders>
              <w:bottom w:val="single" w:sz="8" w:color="7DD0E0"/>
            </w:tcBorders>
          </w:tcPr>
          <w:p>
            <w:pPr>
              <w:jc w:val="right"/>
              <w:spacing w:after="0"/>
              <w:rPr>
                <w:sz w:val="20"/>
                <w:szCs w:val="20"/>
                <w:color w:val="auto"/>
              </w:rPr>
            </w:pPr>
            <w:r>
              <w:rPr>
                <w:rFonts w:ascii="Arial" w:cs="Arial" w:eastAsia="Arial" w:hAnsi="Arial"/>
                <w:sz w:val="12"/>
                <w:szCs w:val="12"/>
                <w:color w:val="auto"/>
              </w:rPr>
              <w:t>113</w:t>
            </w:r>
          </w:p>
        </w:tc>
      </w:tr>
      <w:tr>
        <w:trPr>
          <w:trHeight w:val="140"/>
        </w:trPr>
        <w:tc>
          <w:tcPr>
            <w:tcW w:w="1740" w:type="dxa"/>
            <w:vAlign w:val="bottom"/>
            <w:tcBorders>
              <w:bottom w:val="single" w:sz="8" w:color="0000EE"/>
            </w:tcBorders>
            <w:gridSpan w:val="7"/>
          </w:tcPr>
          <w:p>
            <w:pPr>
              <w:spacing w:after="0" w:line="133" w:lineRule="exact"/>
              <w:rPr>
                <w:rFonts w:ascii="Arial" w:cs="Arial" w:eastAsia="Arial" w:hAnsi="Arial"/>
                <w:sz w:val="12"/>
                <w:szCs w:val="12"/>
                <w:color w:val="0000EE"/>
              </w:rPr>
            </w:pPr>
            <w:hyperlink w:anchor="page120">
              <w:r>
                <w:rPr>
                  <w:rFonts w:ascii="Arial" w:cs="Arial" w:eastAsia="Arial" w:hAnsi="Arial"/>
                  <w:sz w:val="12"/>
                  <w:szCs w:val="12"/>
                  <w:color w:val="0000EE"/>
                </w:rPr>
                <w:t>Consolidated Balance Sheet</w:t>
              </w:r>
            </w:hyperlink>
          </w:p>
        </w:tc>
        <w:tc>
          <w:tcPr>
            <w:tcW w:w="2880" w:type="dxa"/>
            <w:vAlign w:val="bottom"/>
            <w:tcBorders>
              <w:bottom w:val="single" w:sz="8" w:color="7DD0E0"/>
            </w:tcBorders>
            <w:gridSpan w:val="14"/>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114</w:t>
            </w:r>
          </w:p>
        </w:tc>
      </w:tr>
      <w:tr>
        <w:trPr>
          <w:trHeight w:val="140"/>
        </w:trPr>
        <w:tc>
          <w:tcPr>
            <w:tcW w:w="2520" w:type="dxa"/>
            <w:vAlign w:val="bottom"/>
            <w:tcBorders>
              <w:bottom w:val="single" w:sz="8" w:color="0000EE"/>
            </w:tcBorders>
            <w:gridSpan w:val="11"/>
          </w:tcPr>
          <w:p>
            <w:pPr>
              <w:spacing w:after="0" w:line="133" w:lineRule="exact"/>
              <w:rPr>
                <w:rFonts w:ascii="Arial" w:cs="Arial" w:eastAsia="Arial" w:hAnsi="Arial"/>
                <w:sz w:val="12"/>
                <w:szCs w:val="12"/>
                <w:color w:val="0000EE"/>
              </w:rPr>
            </w:pPr>
            <w:hyperlink w:anchor="page121">
              <w:r>
                <w:rPr>
                  <w:rFonts w:ascii="Arial" w:cs="Arial" w:eastAsia="Arial" w:hAnsi="Arial"/>
                  <w:sz w:val="12"/>
                  <w:szCs w:val="12"/>
                  <w:color w:val="0000EE"/>
                </w:rPr>
                <w:t>Consolidated Statement of Changes in Equity</w:t>
              </w:r>
            </w:hyperlink>
          </w:p>
        </w:tc>
        <w:tc>
          <w:tcPr>
            <w:tcW w:w="2100" w:type="dxa"/>
            <w:vAlign w:val="bottom"/>
            <w:tcBorders>
              <w:bottom w:val="single" w:sz="8" w:color="7DD0E0"/>
            </w:tcBorders>
            <w:gridSpan w:val="10"/>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115</w:t>
            </w:r>
          </w:p>
        </w:tc>
      </w:tr>
      <w:tr>
        <w:trPr>
          <w:trHeight w:val="140"/>
        </w:trPr>
        <w:tc>
          <w:tcPr>
            <w:tcW w:w="2260" w:type="dxa"/>
            <w:vAlign w:val="bottom"/>
            <w:tcBorders>
              <w:bottom w:val="single" w:sz="8" w:color="0000EE"/>
            </w:tcBorders>
            <w:gridSpan w:val="10"/>
          </w:tcPr>
          <w:p>
            <w:pPr>
              <w:spacing w:after="0" w:line="133" w:lineRule="exact"/>
              <w:rPr>
                <w:rFonts w:ascii="Arial" w:cs="Arial" w:eastAsia="Arial" w:hAnsi="Arial"/>
                <w:sz w:val="12"/>
                <w:szCs w:val="12"/>
                <w:color w:val="0000EE"/>
              </w:rPr>
            </w:pPr>
            <w:hyperlink w:anchor="page122">
              <w:r>
                <w:rPr>
                  <w:rFonts w:ascii="Arial" w:cs="Arial" w:eastAsia="Arial" w:hAnsi="Arial"/>
                  <w:sz w:val="12"/>
                  <w:szCs w:val="12"/>
                  <w:color w:val="0000EE"/>
                </w:rPr>
                <w:t>Consolidated Statement of Cash Flows</w:t>
              </w:r>
            </w:hyperlink>
          </w:p>
        </w:tc>
        <w:tc>
          <w:tcPr>
            <w:tcW w:w="2360" w:type="dxa"/>
            <w:vAlign w:val="bottom"/>
            <w:tcBorders>
              <w:bottom w:val="single" w:sz="8" w:color="7DD0E0"/>
            </w:tcBorders>
            <w:gridSpan w:val="11"/>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116</w:t>
            </w:r>
          </w:p>
        </w:tc>
      </w:tr>
      <w:tr>
        <w:trPr>
          <w:trHeight w:val="140"/>
        </w:trPr>
        <w:tc>
          <w:tcPr>
            <w:tcW w:w="2640" w:type="dxa"/>
            <w:vAlign w:val="bottom"/>
            <w:tcBorders>
              <w:bottom w:val="single" w:sz="8" w:color="0000EE"/>
            </w:tcBorders>
            <w:gridSpan w:val="12"/>
          </w:tcPr>
          <w:p>
            <w:pPr>
              <w:spacing w:after="0" w:line="133" w:lineRule="exact"/>
              <w:rPr>
                <w:rFonts w:ascii="Arial" w:cs="Arial" w:eastAsia="Arial" w:hAnsi="Arial"/>
                <w:sz w:val="12"/>
                <w:szCs w:val="12"/>
                <w:color w:val="0000EE"/>
              </w:rPr>
            </w:pPr>
            <w:hyperlink w:anchor="page123">
              <w:r>
                <w:rPr>
                  <w:rFonts w:ascii="Arial" w:cs="Arial" w:eastAsia="Arial" w:hAnsi="Arial"/>
                  <w:sz w:val="12"/>
                  <w:szCs w:val="12"/>
                  <w:color w:val="0000EE"/>
                </w:rPr>
                <w:t>Notes to the Consolidated Financial Statements</w:t>
              </w:r>
            </w:hyperlink>
          </w:p>
        </w:tc>
        <w:tc>
          <w:tcPr>
            <w:tcW w:w="1980" w:type="dxa"/>
            <w:vAlign w:val="bottom"/>
            <w:tcBorders>
              <w:bottom w:val="single" w:sz="8" w:color="7DD0E0"/>
            </w:tcBorders>
            <w:gridSpan w:val="9"/>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117</w:t>
            </w: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23">
              <w:r>
                <w:rPr>
                  <w:rFonts w:ascii="Arial" w:cs="Arial" w:eastAsia="Arial" w:hAnsi="Arial"/>
                  <w:sz w:val="12"/>
                  <w:szCs w:val="12"/>
                  <w:color w:val="0000EE"/>
                </w:rPr>
                <w:t>Note 1:</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23">
              <w:r>
                <w:rPr>
                  <w:rFonts w:ascii="Arial" w:cs="Arial" w:eastAsia="Arial" w:hAnsi="Arial"/>
                  <w:sz w:val="12"/>
                  <w:szCs w:val="12"/>
                  <w:color w:val="0000EE"/>
                </w:rPr>
                <w:t>Basis of preparation</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117</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23">
              <w:r>
                <w:rPr>
                  <w:rFonts w:ascii="Arial" w:cs="Arial" w:eastAsia="Arial" w:hAnsi="Arial"/>
                  <w:sz w:val="12"/>
                  <w:szCs w:val="12"/>
                  <w:color w:val="0000EE"/>
                </w:rPr>
                <w:t>Note 2:</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23">
              <w:r>
                <w:rPr>
                  <w:rFonts w:ascii="Arial" w:cs="Arial" w:eastAsia="Arial" w:hAnsi="Arial"/>
                  <w:sz w:val="12"/>
                  <w:szCs w:val="12"/>
                  <w:color w:val="0000EE"/>
                </w:rPr>
                <w:t>Accounting policies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117</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28">
              <w:r>
                <w:rPr>
                  <w:rFonts w:ascii="Arial" w:cs="Arial" w:eastAsia="Arial" w:hAnsi="Arial"/>
                  <w:sz w:val="12"/>
                  <w:szCs w:val="12"/>
                  <w:color w:val="0000EE"/>
                </w:rPr>
                <w:t>Note 3:</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28">
              <w:r>
                <w:rPr>
                  <w:rFonts w:ascii="Arial" w:cs="Arial" w:eastAsia="Arial" w:hAnsi="Arial"/>
                  <w:sz w:val="12"/>
                  <w:szCs w:val="12"/>
                  <w:color w:val="0000EE"/>
                </w:rPr>
                <w:t>Key accounting estimates and judgements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122</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Note 4:</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Revenue</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125</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7DD0E0"/>
          </w:tcPr>
          <w:p>
            <w:pPr>
              <w:spacing w:after="0"/>
              <w:rPr>
                <w:sz w:val="2"/>
                <w:szCs w:val="2"/>
                <w:color w:val="auto"/>
              </w:rPr>
            </w:pPr>
          </w:p>
        </w:tc>
        <w:tc>
          <w:tcPr>
            <w:tcW w:w="60" w:type="dxa"/>
            <w:vAlign w:val="bottom"/>
            <w:shd w:val="clear" w:color="auto" w:fill="7DD0E0"/>
          </w:tcPr>
          <w:p>
            <w:pPr>
              <w:spacing w:after="0"/>
              <w:rPr>
                <w:sz w:val="2"/>
                <w:szCs w:val="2"/>
                <w:color w:val="auto"/>
              </w:rPr>
            </w:pPr>
          </w:p>
        </w:tc>
        <w:tc>
          <w:tcPr>
            <w:tcW w:w="260" w:type="dxa"/>
            <w:vAlign w:val="bottom"/>
            <w:tcBorders>
              <w:right w:val="single" w:sz="8" w:color="7DD0E0"/>
            </w:tcBorders>
            <w:shd w:val="clear" w:color="auto" w:fill="7DD0E0"/>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Note 5:</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1">
              <w:r>
                <w:rPr>
                  <w:rFonts w:ascii="Arial" w:cs="Arial" w:eastAsia="Arial" w:hAnsi="Arial"/>
                  <w:sz w:val="12"/>
                  <w:szCs w:val="12"/>
                  <w:color w:val="0000EE"/>
                </w:rPr>
                <w:t>Interest and other income and interest expense</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125</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7DD0E0"/>
            </w:tcBorders>
            <w:shd w:val="clear" w:color="auto" w:fill="0000EE"/>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2">
              <w:r>
                <w:rPr>
                  <w:rFonts w:ascii="Arial" w:cs="Arial" w:eastAsia="Arial" w:hAnsi="Arial"/>
                  <w:sz w:val="12"/>
                  <w:szCs w:val="12"/>
                  <w:color w:val="0000EE"/>
                </w:rPr>
                <w:t>Note 6:</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2">
              <w:r>
                <w:rPr>
                  <w:rFonts w:ascii="Arial" w:cs="Arial" w:eastAsia="Arial" w:hAnsi="Arial"/>
                  <w:sz w:val="12"/>
                  <w:szCs w:val="12"/>
                  <w:color w:val="0000EE"/>
                </w:rPr>
                <w:t>Employees, Directors and Senior Management compensation</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126</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2">
              <w:r>
                <w:rPr>
                  <w:rFonts w:ascii="Arial" w:cs="Arial" w:eastAsia="Arial" w:hAnsi="Arial"/>
                  <w:sz w:val="12"/>
                  <w:szCs w:val="12"/>
                  <w:color w:val="0000EE"/>
                </w:rPr>
                <w:t>Note 7:</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2">
              <w:r>
                <w:rPr>
                  <w:rFonts w:ascii="Arial" w:cs="Arial" w:eastAsia="Arial" w:hAnsi="Arial"/>
                  <w:sz w:val="12"/>
                  <w:szCs w:val="12"/>
                  <w:color w:val="0000EE"/>
                </w:rPr>
                <w:t>Research and development</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126</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Note 8:</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Depreciation, depletion and amortisation</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127</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600" w:type="dxa"/>
            <w:vAlign w:val="bottom"/>
            <w:gridSpan w:val="3"/>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Note 9:</w:t>
              </w:r>
            </w:hyperlink>
          </w:p>
        </w:tc>
        <w:tc>
          <w:tcPr>
            <w:tcW w:w="4020" w:type="dxa"/>
            <w:vAlign w:val="bottom"/>
            <w:gridSpan w:val="18"/>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Discontinued operations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127</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7DD0E0"/>
            </w:tcBorders>
            <w:shd w:val="clear" w:color="auto" w:fill="0000EE"/>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40"/>
        </w:trPr>
        <w:tc>
          <w:tcPr>
            <w:tcW w:w="480" w:type="dxa"/>
            <w:vAlign w:val="bottom"/>
            <w:gridSpan w:val="2"/>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Note 10:</w:t>
              </w:r>
            </w:hyperlink>
          </w:p>
        </w:tc>
        <w:tc>
          <w:tcPr>
            <w:tcW w:w="120" w:type="dxa"/>
            <w:vAlign w:val="bottom"/>
          </w:tcPr>
          <w:p>
            <w:pPr>
              <w:spacing w:after="0"/>
              <w:rPr>
                <w:sz w:val="12"/>
                <w:szCs w:val="12"/>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33">
              <w:r>
                <w:rPr>
                  <w:rFonts w:ascii="Arial" w:cs="Arial" w:eastAsia="Arial" w:hAnsi="Arial"/>
                  <w:sz w:val="12"/>
                  <w:szCs w:val="12"/>
                  <w:color w:val="0000EE"/>
                </w:rPr>
                <w:t>Segment information</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127</w:t>
            </w:r>
          </w:p>
        </w:tc>
      </w:tr>
      <w:tr>
        <w:trPr>
          <w:trHeight w:val="133"/>
        </w:trPr>
        <w:tc>
          <w:tcPr>
            <w:tcW w:w="480" w:type="dxa"/>
            <w:vAlign w:val="bottom"/>
            <w:tcBorders>
              <w:top w:val="single" w:sz="8" w:color="0000EE"/>
            </w:tcBorders>
            <w:gridSpan w:val="2"/>
          </w:tcPr>
          <w:p>
            <w:pPr>
              <w:spacing w:after="0" w:line="133" w:lineRule="exact"/>
              <w:rPr>
                <w:rFonts w:ascii="Arial" w:cs="Arial" w:eastAsia="Arial" w:hAnsi="Arial"/>
                <w:sz w:val="12"/>
                <w:szCs w:val="12"/>
                <w:color w:val="0000EE"/>
              </w:rPr>
            </w:pPr>
            <w:hyperlink w:anchor="page136">
              <w:r>
                <w:rPr>
                  <w:rFonts w:ascii="Arial" w:cs="Arial" w:eastAsia="Arial" w:hAnsi="Arial"/>
                  <w:sz w:val="12"/>
                  <w:szCs w:val="12"/>
                  <w:color w:val="0000EE"/>
                </w:rPr>
                <w:t>Note 11:</w:t>
              </w:r>
            </w:hyperlink>
          </w:p>
        </w:tc>
        <w:tc>
          <w:tcPr>
            <w:tcW w:w="120" w:type="dxa"/>
            <w:vAlign w:val="bottom"/>
            <w:tcBorders>
              <w:top w:val="single" w:sz="8" w:color="7DD0E0"/>
            </w:tcBorders>
          </w:tcPr>
          <w:p>
            <w:pPr>
              <w:spacing w:after="0"/>
              <w:rPr>
                <w:sz w:val="11"/>
                <w:szCs w:val="11"/>
                <w:color w:val="auto"/>
              </w:rPr>
            </w:pPr>
          </w:p>
        </w:tc>
        <w:tc>
          <w:tcPr>
            <w:tcW w:w="1140" w:type="dxa"/>
            <w:vAlign w:val="bottom"/>
            <w:tcBorders>
              <w:top w:val="single" w:sz="8" w:color="0000EE"/>
            </w:tcBorders>
            <w:gridSpan w:val="4"/>
          </w:tcPr>
          <w:p>
            <w:pPr>
              <w:spacing w:after="0" w:line="133" w:lineRule="exact"/>
              <w:rPr>
                <w:rFonts w:ascii="Arial" w:cs="Arial" w:eastAsia="Arial" w:hAnsi="Arial"/>
                <w:sz w:val="12"/>
                <w:szCs w:val="12"/>
                <w:color w:val="0000EE"/>
              </w:rPr>
            </w:pPr>
            <w:hyperlink w:anchor="page136">
              <w:r>
                <w:rPr>
                  <w:rFonts w:ascii="Arial" w:cs="Arial" w:eastAsia="Arial" w:hAnsi="Arial"/>
                  <w:sz w:val="12"/>
                  <w:szCs w:val="12"/>
                  <w:color w:val="0000EE"/>
                </w:rPr>
                <w:t>Intangible assets</w:t>
              </w:r>
            </w:hyperlink>
          </w:p>
        </w:tc>
        <w:tc>
          <w:tcPr>
            <w:tcW w:w="2880" w:type="dxa"/>
            <w:vAlign w:val="bottom"/>
            <w:tcBorders>
              <w:top w:val="single" w:sz="8" w:color="7DD0E0"/>
            </w:tcBorders>
            <w:gridSpan w:val="14"/>
          </w:tcPr>
          <w:p>
            <w:pPr>
              <w:spacing w:after="0"/>
              <w:rPr>
                <w:sz w:val="11"/>
                <w:szCs w:val="11"/>
                <w:color w:val="auto"/>
              </w:rPr>
            </w:pPr>
          </w:p>
        </w:tc>
        <w:tc>
          <w:tcPr>
            <w:tcW w:w="860" w:type="dxa"/>
            <w:vAlign w:val="bottom"/>
            <w:tcBorders>
              <w:top w:val="single" w:sz="8" w:color="7DD0E0"/>
            </w:tcBorders>
          </w:tcPr>
          <w:p>
            <w:pPr>
              <w:jc w:val="right"/>
              <w:spacing w:after="0" w:line="133" w:lineRule="exact"/>
              <w:rPr>
                <w:sz w:val="20"/>
                <w:szCs w:val="20"/>
                <w:color w:val="auto"/>
              </w:rPr>
            </w:pPr>
            <w:r>
              <w:rPr>
                <w:rFonts w:ascii="Arial" w:cs="Arial" w:eastAsia="Arial" w:hAnsi="Arial"/>
                <w:sz w:val="12"/>
                <w:szCs w:val="12"/>
                <w:color w:val="auto"/>
              </w:rPr>
              <w:t>130</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37">
              <w:r>
                <w:rPr>
                  <w:rFonts w:ascii="Arial" w:cs="Arial" w:eastAsia="Arial" w:hAnsi="Arial"/>
                  <w:sz w:val="12"/>
                  <w:szCs w:val="12"/>
                  <w:color w:val="0000EE"/>
                </w:rPr>
                <w:t>Note 12:</w:t>
              </w:r>
            </w:hyperlink>
          </w:p>
        </w:tc>
        <w:tc>
          <w:tcPr>
            <w:tcW w:w="120" w:type="dxa"/>
            <w:vAlign w:val="bottom"/>
            <w:tcBorders>
              <w:bottom w:val="single" w:sz="8" w:color="7DD0E0"/>
            </w:tcBorders>
          </w:tcPr>
          <w:p>
            <w:pPr>
              <w:spacing w:after="0"/>
              <w:rPr>
                <w:sz w:val="12"/>
                <w:szCs w:val="12"/>
                <w:color w:val="auto"/>
              </w:rPr>
            </w:pPr>
          </w:p>
        </w:tc>
        <w:tc>
          <w:tcPr>
            <w:tcW w:w="1660" w:type="dxa"/>
            <w:vAlign w:val="bottom"/>
            <w:tcBorders>
              <w:bottom w:val="single" w:sz="8" w:color="0000EE"/>
            </w:tcBorders>
            <w:gridSpan w:val="7"/>
          </w:tcPr>
          <w:p>
            <w:pPr>
              <w:spacing w:after="0" w:line="133" w:lineRule="exact"/>
              <w:rPr>
                <w:rFonts w:ascii="Arial" w:cs="Arial" w:eastAsia="Arial" w:hAnsi="Arial"/>
                <w:sz w:val="12"/>
                <w:szCs w:val="12"/>
                <w:color w:val="0000EE"/>
              </w:rPr>
            </w:pPr>
            <w:hyperlink w:anchor="page137">
              <w:r>
                <w:rPr>
                  <w:rFonts w:ascii="Arial" w:cs="Arial" w:eastAsia="Arial" w:hAnsi="Arial"/>
                  <w:sz w:val="12"/>
                  <w:szCs w:val="12"/>
                  <w:color w:val="0000EE"/>
                </w:rPr>
                <w:t>Property, plant and equipment</w:t>
              </w:r>
            </w:hyperlink>
          </w:p>
        </w:tc>
        <w:tc>
          <w:tcPr>
            <w:tcW w:w="2360" w:type="dxa"/>
            <w:vAlign w:val="bottom"/>
            <w:tcBorders>
              <w:bottom w:val="single" w:sz="8" w:color="7DD0E0"/>
            </w:tcBorders>
            <w:gridSpan w:val="11"/>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131</w:t>
            </w:r>
          </w:p>
        </w:tc>
      </w:tr>
      <w:tr>
        <w:trPr>
          <w:trHeight w:val="140"/>
        </w:trPr>
        <w:tc>
          <w:tcPr>
            <w:tcW w:w="480" w:type="dxa"/>
            <w:vAlign w:val="bottom"/>
            <w:gridSpan w:val="2"/>
          </w:tcPr>
          <w:p>
            <w:pPr>
              <w:spacing w:after="0" w:line="133" w:lineRule="exact"/>
              <w:rPr>
                <w:rFonts w:ascii="Arial" w:cs="Arial" w:eastAsia="Arial" w:hAnsi="Arial"/>
                <w:sz w:val="12"/>
                <w:szCs w:val="12"/>
                <w:color w:val="0000EE"/>
              </w:rPr>
            </w:pPr>
            <w:hyperlink w:anchor="page140">
              <w:r>
                <w:rPr>
                  <w:rFonts w:ascii="Arial" w:cs="Arial" w:eastAsia="Arial" w:hAnsi="Arial"/>
                  <w:sz w:val="12"/>
                  <w:szCs w:val="12"/>
                  <w:color w:val="0000EE"/>
                </w:rPr>
                <w:t>Note 13:</w:t>
              </w:r>
            </w:hyperlink>
          </w:p>
        </w:tc>
        <w:tc>
          <w:tcPr>
            <w:tcW w:w="120" w:type="dxa"/>
            <w:vAlign w:val="bottom"/>
          </w:tcPr>
          <w:p>
            <w:pPr>
              <w:spacing w:after="0"/>
              <w:rPr>
                <w:sz w:val="12"/>
                <w:szCs w:val="12"/>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40">
              <w:r>
                <w:rPr>
                  <w:rFonts w:ascii="Arial" w:cs="Arial" w:eastAsia="Arial" w:hAnsi="Arial"/>
                  <w:sz w:val="12"/>
                  <w:szCs w:val="12"/>
                  <w:color w:val="0000EE"/>
                </w:rPr>
                <w:t>Related parties: associated companies and joint ventures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134</w:t>
            </w:r>
          </w:p>
        </w:tc>
      </w:tr>
      <w:tr>
        <w:trPr>
          <w:trHeight w:val="140"/>
        </w:trPr>
        <w:tc>
          <w:tcPr>
            <w:tcW w:w="480" w:type="dxa"/>
            <w:vAlign w:val="bottom"/>
            <w:tcBorders>
              <w:top w:val="single" w:sz="8" w:color="0000EE"/>
            </w:tcBorders>
            <w:gridSpan w:val="2"/>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Note 14:</w:t>
              </w:r>
            </w:hyperlink>
          </w:p>
        </w:tc>
        <w:tc>
          <w:tcPr>
            <w:tcW w:w="120" w:type="dxa"/>
            <w:vAlign w:val="bottom"/>
            <w:tcBorders>
              <w:top w:val="single" w:sz="8" w:color="7DD0E0"/>
            </w:tcBorders>
          </w:tcPr>
          <w:p>
            <w:pPr>
              <w:spacing w:after="0"/>
              <w:rPr>
                <w:sz w:val="12"/>
                <w:szCs w:val="12"/>
                <w:color w:val="auto"/>
              </w:rPr>
            </w:pPr>
          </w:p>
        </w:tc>
        <w:tc>
          <w:tcPr>
            <w:tcW w:w="3140" w:type="dxa"/>
            <w:vAlign w:val="bottom"/>
            <w:tcBorders>
              <w:top w:val="single" w:sz="8" w:color="0000EE"/>
            </w:tcBorders>
            <w:gridSpan w:val="16"/>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Investments: financial assets</w:t>
              </w:r>
            </w:hyperlink>
          </w:p>
        </w:tc>
        <w:tc>
          <w:tcPr>
            <w:tcW w:w="880" w:type="dxa"/>
            <w:vAlign w:val="bottom"/>
            <w:tcBorders>
              <w:top w:val="single" w:sz="8" w:color="7DD0E0"/>
            </w:tcBorders>
            <w:gridSpan w:val="2"/>
          </w:tcPr>
          <w:p>
            <w:pPr>
              <w:spacing w:after="0"/>
              <w:rPr>
                <w:sz w:val="12"/>
                <w:szCs w:val="12"/>
                <w:color w:val="auto"/>
              </w:rPr>
            </w:pPr>
          </w:p>
        </w:tc>
        <w:tc>
          <w:tcPr>
            <w:tcW w:w="860" w:type="dxa"/>
            <w:vAlign w:val="bottom"/>
            <w:tcBorders>
              <w:top w:val="single" w:sz="8" w:color="7DD0E0"/>
            </w:tcBorders>
          </w:tcPr>
          <w:p>
            <w:pPr>
              <w:jc w:val="right"/>
              <w:spacing w:after="0" w:line="133" w:lineRule="exact"/>
              <w:rPr>
                <w:sz w:val="20"/>
                <w:szCs w:val="20"/>
                <w:color w:val="auto"/>
              </w:rPr>
            </w:pPr>
            <w:r>
              <w:rPr>
                <w:rFonts w:ascii="Arial" w:cs="Arial" w:eastAsia="Arial" w:hAnsi="Arial"/>
                <w:sz w:val="12"/>
                <w:szCs w:val="12"/>
                <w:color w:val="auto"/>
              </w:rPr>
              <w:t>135</w:t>
            </w:r>
          </w:p>
        </w:tc>
      </w:tr>
      <w:tr>
        <w:trPr>
          <w:trHeight w:val="140"/>
        </w:trPr>
        <w:tc>
          <w:tcPr>
            <w:tcW w:w="480" w:type="dxa"/>
            <w:vAlign w:val="bottom"/>
            <w:tcBorders>
              <w:top w:val="single" w:sz="8" w:color="0000EE"/>
            </w:tcBorders>
            <w:gridSpan w:val="2"/>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Note 15:</w:t>
              </w:r>
            </w:hyperlink>
          </w:p>
        </w:tc>
        <w:tc>
          <w:tcPr>
            <w:tcW w:w="120" w:type="dxa"/>
            <w:vAlign w:val="bottom"/>
            <w:tcBorders>
              <w:top w:val="single" w:sz="8" w:color="7DD0E0"/>
            </w:tcBorders>
          </w:tcPr>
          <w:p>
            <w:pPr>
              <w:spacing w:after="0"/>
              <w:rPr>
                <w:sz w:val="12"/>
                <w:szCs w:val="12"/>
                <w:color w:val="auto"/>
              </w:rPr>
            </w:pPr>
          </w:p>
        </w:tc>
        <w:tc>
          <w:tcPr>
            <w:tcW w:w="1660" w:type="dxa"/>
            <w:vAlign w:val="bottom"/>
            <w:tcBorders>
              <w:top w:val="single" w:sz="8" w:color="0000EE"/>
            </w:tcBorders>
            <w:gridSpan w:val="7"/>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Other non-current assets</w:t>
              </w:r>
            </w:hyperlink>
          </w:p>
        </w:tc>
        <w:tc>
          <w:tcPr>
            <w:tcW w:w="2360" w:type="dxa"/>
            <w:vAlign w:val="bottom"/>
            <w:tcBorders>
              <w:top w:val="single" w:sz="8" w:color="7DD0E0"/>
            </w:tcBorders>
            <w:gridSpan w:val="11"/>
          </w:tcPr>
          <w:p>
            <w:pPr>
              <w:spacing w:after="0"/>
              <w:rPr>
                <w:sz w:val="12"/>
                <w:szCs w:val="12"/>
                <w:color w:val="auto"/>
              </w:rPr>
            </w:pPr>
          </w:p>
        </w:tc>
        <w:tc>
          <w:tcPr>
            <w:tcW w:w="860" w:type="dxa"/>
            <w:vAlign w:val="bottom"/>
            <w:tcBorders>
              <w:top w:val="single" w:sz="8" w:color="7DD0E0"/>
            </w:tcBorders>
          </w:tcPr>
          <w:p>
            <w:pPr>
              <w:jc w:val="right"/>
              <w:spacing w:after="0" w:line="133" w:lineRule="exact"/>
              <w:rPr>
                <w:sz w:val="20"/>
                <w:szCs w:val="20"/>
                <w:color w:val="auto"/>
              </w:rPr>
            </w:pPr>
            <w:r>
              <w:rPr>
                <w:rFonts w:ascii="Arial" w:cs="Arial" w:eastAsia="Arial" w:hAnsi="Arial"/>
                <w:sz w:val="12"/>
                <w:szCs w:val="12"/>
                <w:color w:val="auto"/>
              </w:rPr>
              <w:t>135</w:t>
            </w:r>
          </w:p>
        </w:tc>
      </w:tr>
      <w:tr>
        <w:trPr>
          <w:trHeight w:val="133"/>
        </w:trPr>
        <w:tc>
          <w:tcPr>
            <w:tcW w:w="480" w:type="dxa"/>
            <w:vAlign w:val="bottom"/>
            <w:tcBorders>
              <w:top w:val="single" w:sz="8" w:color="0000EE"/>
            </w:tcBorders>
            <w:gridSpan w:val="2"/>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Note 16:</w:t>
              </w:r>
            </w:hyperlink>
          </w:p>
        </w:tc>
        <w:tc>
          <w:tcPr>
            <w:tcW w:w="120" w:type="dxa"/>
            <w:vAlign w:val="bottom"/>
            <w:tcBorders>
              <w:top w:val="single" w:sz="8" w:color="7DD0E0"/>
            </w:tcBorders>
          </w:tcPr>
          <w:p>
            <w:pPr>
              <w:spacing w:after="0"/>
              <w:rPr>
                <w:sz w:val="11"/>
                <w:szCs w:val="11"/>
                <w:color w:val="auto"/>
              </w:rPr>
            </w:pPr>
          </w:p>
        </w:tc>
        <w:tc>
          <w:tcPr>
            <w:tcW w:w="1360" w:type="dxa"/>
            <w:vAlign w:val="bottom"/>
            <w:tcBorders>
              <w:top w:val="single" w:sz="8" w:color="0000EE"/>
            </w:tcBorders>
            <w:gridSpan w:val="6"/>
          </w:tcPr>
          <w:p>
            <w:pPr>
              <w:spacing w:after="0" w:line="133" w:lineRule="exact"/>
              <w:rPr>
                <w:rFonts w:ascii="Arial" w:cs="Arial" w:eastAsia="Arial" w:hAnsi="Arial"/>
                <w:sz w:val="12"/>
                <w:szCs w:val="12"/>
                <w:color w:val="0000EE"/>
              </w:rPr>
            </w:pPr>
            <w:hyperlink w:anchor="page141">
              <w:r>
                <w:rPr>
                  <w:rFonts w:ascii="Arial" w:cs="Arial" w:eastAsia="Arial" w:hAnsi="Arial"/>
                  <w:sz w:val="12"/>
                  <w:szCs w:val="12"/>
                  <w:color w:val="0000EE"/>
                </w:rPr>
                <w:t>Inventories</w:t>
              </w:r>
            </w:hyperlink>
          </w:p>
        </w:tc>
        <w:tc>
          <w:tcPr>
            <w:tcW w:w="2660" w:type="dxa"/>
            <w:vAlign w:val="bottom"/>
            <w:tcBorders>
              <w:top w:val="single" w:sz="8" w:color="7DD0E0"/>
            </w:tcBorders>
            <w:gridSpan w:val="12"/>
          </w:tcPr>
          <w:p>
            <w:pPr>
              <w:spacing w:after="0"/>
              <w:rPr>
                <w:sz w:val="11"/>
                <w:szCs w:val="11"/>
                <w:color w:val="auto"/>
              </w:rPr>
            </w:pPr>
          </w:p>
        </w:tc>
        <w:tc>
          <w:tcPr>
            <w:tcW w:w="860" w:type="dxa"/>
            <w:vAlign w:val="bottom"/>
            <w:tcBorders>
              <w:top w:val="single" w:sz="8" w:color="7DD0E0"/>
            </w:tcBorders>
          </w:tcPr>
          <w:p>
            <w:pPr>
              <w:jc w:val="right"/>
              <w:spacing w:after="0" w:line="133" w:lineRule="exact"/>
              <w:rPr>
                <w:sz w:val="20"/>
                <w:szCs w:val="20"/>
                <w:color w:val="auto"/>
              </w:rPr>
            </w:pPr>
            <w:r>
              <w:rPr>
                <w:rFonts w:ascii="Arial" w:cs="Arial" w:eastAsia="Arial" w:hAnsi="Arial"/>
                <w:sz w:val="12"/>
                <w:szCs w:val="12"/>
                <w:color w:val="auto"/>
              </w:rPr>
              <w:t>135</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7DD0E0"/>
          </w:tcPr>
          <w:p>
            <w:pPr>
              <w:spacing w:after="0"/>
              <w:rPr>
                <w:sz w:val="2"/>
                <w:szCs w:val="2"/>
                <w:color w:val="auto"/>
              </w:rPr>
            </w:pPr>
          </w:p>
        </w:tc>
        <w:tc>
          <w:tcPr>
            <w:tcW w:w="60" w:type="dxa"/>
            <w:vAlign w:val="bottom"/>
            <w:shd w:val="clear" w:color="auto" w:fill="7DD0E0"/>
          </w:tcPr>
          <w:p>
            <w:pPr>
              <w:spacing w:after="0"/>
              <w:rPr>
                <w:sz w:val="2"/>
                <w:szCs w:val="2"/>
                <w:color w:val="auto"/>
              </w:rPr>
            </w:pPr>
          </w:p>
        </w:tc>
        <w:tc>
          <w:tcPr>
            <w:tcW w:w="260" w:type="dxa"/>
            <w:vAlign w:val="bottom"/>
            <w:tcBorders>
              <w:right w:val="single" w:sz="8" w:color="7DD0E0"/>
            </w:tcBorders>
            <w:shd w:val="clear" w:color="auto" w:fill="7DD0E0"/>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480" w:type="dxa"/>
            <w:vAlign w:val="bottom"/>
            <w:gridSpan w:val="2"/>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Note 17:</w:t>
              </w:r>
            </w:hyperlink>
          </w:p>
        </w:tc>
        <w:tc>
          <w:tcPr>
            <w:tcW w:w="120" w:type="dxa"/>
            <w:vAlign w:val="bottom"/>
          </w:tcPr>
          <w:p>
            <w:pPr>
              <w:spacing w:after="0"/>
              <w:rPr>
                <w:sz w:val="11"/>
                <w:szCs w:val="11"/>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Accounts receivable</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136</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33"/>
        </w:trPr>
        <w:tc>
          <w:tcPr>
            <w:tcW w:w="480" w:type="dxa"/>
            <w:vAlign w:val="bottom"/>
            <w:gridSpan w:val="2"/>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Note 18:</w:t>
              </w:r>
            </w:hyperlink>
          </w:p>
        </w:tc>
        <w:tc>
          <w:tcPr>
            <w:tcW w:w="120" w:type="dxa"/>
            <w:vAlign w:val="bottom"/>
          </w:tcPr>
          <w:p>
            <w:pPr>
              <w:spacing w:after="0"/>
              <w:rPr>
                <w:sz w:val="11"/>
                <w:szCs w:val="11"/>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Cash and cash equivalents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136</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Note 19:</w:t>
              </w:r>
            </w:hyperlink>
          </w:p>
        </w:tc>
        <w:tc>
          <w:tcPr>
            <w:tcW w:w="120" w:type="dxa"/>
            <w:vAlign w:val="bottom"/>
            <w:tcBorders>
              <w:bottom w:val="single" w:sz="8" w:color="7DD0E0"/>
            </w:tcBorders>
          </w:tcPr>
          <w:p>
            <w:pPr>
              <w:spacing w:after="0"/>
              <w:rPr>
                <w:sz w:val="12"/>
                <w:szCs w:val="12"/>
                <w:color w:val="auto"/>
              </w:rPr>
            </w:pPr>
          </w:p>
        </w:tc>
        <w:tc>
          <w:tcPr>
            <w:tcW w:w="1660" w:type="dxa"/>
            <w:vAlign w:val="bottom"/>
            <w:tcBorders>
              <w:bottom w:val="single" w:sz="8" w:color="0000EE"/>
            </w:tcBorders>
            <w:gridSpan w:val="7"/>
          </w:tcPr>
          <w:p>
            <w:pPr>
              <w:spacing w:after="0" w:line="133" w:lineRule="exact"/>
              <w:rPr>
                <w:rFonts w:ascii="Arial" w:cs="Arial" w:eastAsia="Arial" w:hAnsi="Arial"/>
                <w:sz w:val="12"/>
                <w:szCs w:val="12"/>
                <w:color w:val="0000EE"/>
              </w:rPr>
            </w:pPr>
            <w:hyperlink w:anchor="page142">
              <w:r>
                <w:rPr>
                  <w:rFonts w:ascii="Arial" w:cs="Arial" w:eastAsia="Arial" w:hAnsi="Arial"/>
                  <w:sz w:val="12"/>
                  <w:szCs w:val="12"/>
                  <w:color w:val="0000EE"/>
                </w:rPr>
                <w:t>Debt and lease arrangements</w:t>
              </w:r>
            </w:hyperlink>
          </w:p>
        </w:tc>
        <w:tc>
          <w:tcPr>
            <w:tcW w:w="2360" w:type="dxa"/>
            <w:vAlign w:val="bottom"/>
            <w:tcBorders>
              <w:bottom w:val="single" w:sz="8" w:color="7DD0E0"/>
            </w:tcBorders>
            <w:gridSpan w:val="11"/>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136</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45">
              <w:r>
                <w:rPr>
                  <w:rFonts w:ascii="Arial" w:cs="Arial" w:eastAsia="Arial" w:hAnsi="Arial"/>
                  <w:sz w:val="12"/>
                  <w:szCs w:val="12"/>
                  <w:color w:val="0000EE"/>
                </w:rPr>
                <w:t>Note 20:</w:t>
              </w:r>
            </w:hyperlink>
          </w:p>
        </w:tc>
        <w:tc>
          <w:tcPr>
            <w:tcW w:w="120" w:type="dxa"/>
            <w:vAlign w:val="bottom"/>
            <w:tcBorders>
              <w:bottom w:val="single" w:sz="8" w:color="7DD0E0"/>
            </w:tcBorders>
          </w:tcPr>
          <w:p>
            <w:pPr>
              <w:spacing w:after="0"/>
              <w:rPr>
                <w:sz w:val="12"/>
                <w:szCs w:val="12"/>
                <w:color w:val="auto"/>
              </w:rPr>
            </w:pPr>
          </w:p>
        </w:tc>
        <w:tc>
          <w:tcPr>
            <w:tcW w:w="600" w:type="dxa"/>
            <w:vAlign w:val="bottom"/>
            <w:tcBorders>
              <w:bottom w:val="single" w:sz="8" w:color="0000EE"/>
            </w:tcBorders>
          </w:tcPr>
          <w:p>
            <w:pPr>
              <w:spacing w:after="0" w:line="133" w:lineRule="exact"/>
              <w:rPr>
                <w:rFonts w:ascii="Arial" w:cs="Arial" w:eastAsia="Arial" w:hAnsi="Arial"/>
                <w:sz w:val="12"/>
                <w:szCs w:val="12"/>
                <w:color w:val="0000EE"/>
              </w:rPr>
            </w:pPr>
            <w:hyperlink w:anchor="page145">
              <w:r>
                <w:rPr>
                  <w:rFonts w:ascii="Arial" w:cs="Arial" w:eastAsia="Arial" w:hAnsi="Arial"/>
                  <w:sz w:val="12"/>
                  <w:szCs w:val="12"/>
                  <w:color w:val="0000EE"/>
                </w:rPr>
                <w:t>Taxation</w:t>
              </w:r>
            </w:hyperlink>
          </w:p>
        </w:tc>
        <w:tc>
          <w:tcPr>
            <w:tcW w:w="3420" w:type="dxa"/>
            <w:vAlign w:val="bottom"/>
            <w:tcBorders>
              <w:bottom w:val="single" w:sz="8" w:color="7DD0E0"/>
            </w:tcBorders>
            <w:gridSpan w:val="17"/>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139</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47">
              <w:r>
                <w:rPr>
                  <w:rFonts w:ascii="Arial" w:cs="Arial" w:eastAsia="Arial" w:hAnsi="Arial"/>
                  <w:sz w:val="12"/>
                  <w:szCs w:val="12"/>
                  <w:color w:val="0000EE"/>
                </w:rPr>
                <w:t>Note 21:</w:t>
              </w:r>
            </w:hyperlink>
          </w:p>
        </w:tc>
        <w:tc>
          <w:tcPr>
            <w:tcW w:w="120" w:type="dxa"/>
            <w:vAlign w:val="bottom"/>
            <w:tcBorders>
              <w:bottom w:val="single" w:sz="8" w:color="7DD0E0"/>
            </w:tcBorders>
          </w:tcPr>
          <w:p>
            <w:pPr>
              <w:spacing w:after="0"/>
              <w:rPr>
                <w:sz w:val="12"/>
                <w:szCs w:val="12"/>
                <w:color w:val="auto"/>
              </w:rPr>
            </w:pPr>
          </w:p>
        </w:tc>
        <w:tc>
          <w:tcPr>
            <w:tcW w:w="1140" w:type="dxa"/>
            <w:vAlign w:val="bottom"/>
            <w:tcBorders>
              <w:bottom w:val="single" w:sz="8" w:color="0000EE"/>
            </w:tcBorders>
            <w:gridSpan w:val="4"/>
          </w:tcPr>
          <w:p>
            <w:pPr>
              <w:spacing w:after="0" w:line="133" w:lineRule="exact"/>
              <w:rPr>
                <w:rFonts w:ascii="Arial" w:cs="Arial" w:eastAsia="Arial" w:hAnsi="Arial"/>
                <w:sz w:val="12"/>
                <w:szCs w:val="12"/>
                <w:color w:val="0000EE"/>
              </w:rPr>
            </w:pPr>
            <w:hyperlink w:anchor="page147">
              <w:r>
                <w:rPr>
                  <w:rFonts w:ascii="Arial" w:cs="Arial" w:eastAsia="Arial" w:hAnsi="Arial"/>
                  <w:sz w:val="12"/>
                  <w:szCs w:val="12"/>
                  <w:color w:val="0000EE"/>
                </w:rPr>
                <w:t>Retirement benefits</w:t>
              </w:r>
            </w:hyperlink>
          </w:p>
        </w:tc>
        <w:tc>
          <w:tcPr>
            <w:tcW w:w="2880" w:type="dxa"/>
            <w:vAlign w:val="bottom"/>
            <w:tcBorders>
              <w:bottom w:val="single" w:sz="8" w:color="7DD0E0"/>
            </w:tcBorders>
            <w:gridSpan w:val="14"/>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141</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49">
              <w:r>
                <w:rPr>
                  <w:rFonts w:ascii="Arial" w:cs="Arial" w:eastAsia="Arial" w:hAnsi="Arial"/>
                  <w:sz w:val="12"/>
                  <w:szCs w:val="12"/>
                  <w:color w:val="0000EE"/>
                </w:rPr>
                <w:t>Note 22:</w:t>
              </w:r>
            </w:hyperlink>
          </w:p>
        </w:tc>
        <w:tc>
          <w:tcPr>
            <w:tcW w:w="120" w:type="dxa"/>
            <w:vAlign w:val="bottom"/>
            <w:tcBorders>
              <w:bottom w:val="single" w:sz="8" w:color="7DD0E0"/>
            </w:tcBorders>
          </w:tcPr>
          <w:p>
            <w:pPr>
              <w:spacing w:after="0"/>
              <w:rPr>
                <w:sz w:val="12"/>
                <w:szCs w:val="12"/>
                <w:color w:val="auto"/>
              </w:rPr>
            </w:pPr>
          </w:p>
        </w:tc>
        <w:tc>
          <w:tcPr>
            <w:tcW w:w="1140" w:type="dxa"/>
            <w:vAlign w:val="bottom"/>
            <w:tcBorders>
              <w:bottom w:val="single" w:sz="8" w:color="0000EE"/>
            </w:tcBorders>
            <w:gridSpan w:val="4"/>
          </w:tcPr>
          <w:p>
            <w:pPr>
              <w:spacing w:after="0" w:line="133" w:lineRule="exact"/>
              <w:rPr>
                <w:rFonts w:ascii="Arial" w:cs="Arial" w:eastAsia="Arial" w:hAnsi="Arial"/>
                <w:sz w:val="12"/>
                <w:szCs w:val="12"/>
                <w:color w:val="0000EE"/>
              </w:rPr>
            </w:pPr>
            <w:hyperlink w:anchor="page149">
              <w:r>
                <w:rPr>
                  <w:rFonts w:ascii="Arial" w:cs="Arial" w:eastAsia="Arial" w:hAnsi="Arial"/>
                  <w:sz w:val="12"/>
                  <w:szCs w:val="12"/>
                  <w:color w:val="0000EE"/>
                </w:rPr>
                <w:t>Other provisions</w:t>
              </w:r>
            </w:hyperlink>
          </w:p>
        </w:tc>
        <w:tc>
          <w:tcPr>
            <w:tcW w:w="2880" w:type="dxa"/>
            <w:vAlign w:val="bottom"/>
            <w:tcBorders>
              <w:bottom w:val="single" w:sz="8" w:color="7DD0E0"/>
            </w:tcBorders>
            <w:gridSpan w:val="14"/>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143</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Note 23:</w:t>
              </w:r>
            </w:hyperlink>
          </w:p>
        </w:tc>
        <w:tc>
          <w:tcPr>
            <w:tcW w:w="120" w:type="dxa"/>
            <w:vAlign w:val="bottom"/>
            <w:tcBorders>
              <w:bottom w:val="single" w:sz="8" w:color="7DD0E0"/>
            </w:tcBorders>
          </w:tcPr>
          <w:p>
            <w:pPr>
              <w:spacing w:after="0"/>
              <w:rPr>
                <w:sz w:val="12"/>
                <w:szCs w:val="12"/>
                <w:color w:val="auto"/>
              </w:rPr>
            </w:pPr>
          </w:p>
        </w:tc>
        <w:tc>
          <w:tcPr>
            <w:tcW w:w="1660" w:type="dxa"/>
            <w:vAlign w:val="bottom"/>
            <w:tcBorders>
              <w:bottom w:val="single" w:sz="8" w:color="0000EE"/>
            </w:tcBorders>
            <w:gridSpan w:val="7"/>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Other non-current liabilities</w:t>
              </w:r>
            </w:hyperlink>
          </w:p>
        </w:tc>
        <w:tc>
          <w:tcPr>
            <w:tcW w:w="2360" w:type="dxa"/>
            <w:vAlign w:val="bottom"/>
            <w:tcBorders>
              <w:bottom w:val="single" w:sz="8" w:color="7DD0E0"/>
            </w:tcBorders>
            <w:gridSpan w:val="11"/>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144</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Note 24:</w:t>
              </w:r>
            </w:hyperlink>
          </w:p>
        </w:tc>
        <w:tc>
          <w:tcPr>
            <w:tcW w:w="120" w:type="dxa"/>
            <w:vAlign w:val="bottom"/>
            <w:tcBorders>
              <w:bottom w:val="single" w:sz="8" w:color="7DD0E0"/>
            </w:tcBorders>
          </w:tcPr>
          <w:p>
            <w:pPr>
              <w:spacing w:after="0"/>
              <w:rPr>
                <w:sz w:val="12"/>
                <w:szCs w:val="12"/>
                <w:color w:val="auto"/>
              </w:rPr>
            </w:pPr>
          </w:p>
        </w:tc>
        <w:tc>
          <w:tcPr>
            <w:tcW w:w="2220" w:type="dxa"/>
            <w:vAlign w:val="bottom"/>
            <w:tcBorders>
              <w:bottom w:val="single" w:sz="8" w:color="0000EE"/>
            </w:tcBorders>
            <w:gridSpan w:val="11"/>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Accounts payable and accrued liabilities</w:t>
              </w:r>
            </w:hyperlink>
          </w:p>
        </w:tc>
        <w:tc>
          <w:tcPr>
            <w:tcW w:w="1800" w:type="dxa"/>
            <w:vAlign w:val="bottom"/>
            <w:tcBorders>
              <w:bottom w:val="single" w:sz="8" w:color="7DD0E0"/>
            </w:tcBorders>
            <w:gridSpan w:val="7"/>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144</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Note 25:</w:t>
              </w:r>
            </w:hyperlink>
          </w:p>
        </w:tc>
        <w:tc>
          <w:tcPr>
            <w:tcW w:w="120" w:type="dxa"/>
            <w:vAlign w:val="bottom"/>
            <w:tcBorders>
              <w:bottom w:val="single" w:sz="8" w:color="7DD0E0"/>
            </w:tcBorders>
          </w:tcPr>
          <w:p>
            <w:pPr>
              <w:spacing w:after="0"/>
              <w:rPr>
                <w:sz w:val="12"/>
                <w:szCs w:val="12"/>
                <w:color w:val="auto"/>
              </w:rPr>
            </w:pPr>
          </w:p>
        </w:tc>
        <w:tc>
          <w:tcPr>
            <w:tcW w:w="1220" w:type="dxa"/>
            <w:vAlign w:val="bottom"/>
            <w:tcBorders>
              <w:bottom w:val="single" w:sz="8" w:color="0000EE"/>
            </w:tcBorders>
            <w:gridSpan w:val="5"/>
          </w:tcPr>
          <w:p>
            <w:pPr>
              <w:spacing w:after="0" w:line="133" w:lineRule="exact"/>
              <w:rPr>
                <w:rFonts w:ascii="Arial" w:cs="Arial" w:eastAsia="Arial" w:hAnsi="Arial"/>
                <w:sz w:val="12"/>
                <w:szCs w:val="12"/>
                <w:color w:val="0000EE"/>
              </w:rPr>
            </w:pPr>
            <w:hyperlink w:anchor="page150">
              <w:r>
                <w:rPr>
                  <w:rFonts w:ascii="Arial" w:cs="Arial" w:eastAsia="Arial" w:hAnsi="Arial"/>
                  <w:sz w:val="12"/>
                  <w:szCs w:val="12"/>
                  <w:color w:val="0000EE"/>
                </w:rPr>
                <w:t>Ordinary share capital</w:t>
              </w:r>
            </w:hyperlink>
          </w:p>
        </w:tc>
        <w:tc>
          <w:tcPr>
            <w:tcW w:w="2800" w:type="dxa"/>
            <w:vAlign w:val="bottom"/>
            <w:tcBorders>
              <w:bottom w:val="single" w:sz="8" w:color="7DD0E0"/>
            </w:tcBorders>
            <w:gridSpan w:val="13"/>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144</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1">
              <w:r>
                <w:rPr>
                  <w:rFonts w:ascii="Arial" w:cs="Arial" w:eastAsia="Arial" w:hAnsi="Arial"/>
                  <w:sz w:val="12"/>
                  <w:szCs w:val="12"/>
                  <w:color w:val="0000EE"/>
                </w:rPr>
                <w:t>Note 26:</w:t>
              </w:r>
            </w:hyperlink>
          </w:p>
        </w:tc>
        <w:tc>
          <w:tcPr>
            <w:tcW w:w="120" w:type="dxa"/>
            <w:vAlign w:val="bottom"/>
            <w:tcBorders>
              <w:bottom w:val="single" w:sz="8" w:color="7DD0E0"/>
            </w:tcBorders>
          </w:tcPr>
          <w:p>
            <w:pPr>
              <w:spacing w:after="0"/>
              <w:rPr>
                <w:sz w:val="12"/>
                <w:szCs w:val="12"/>
                <w:color w:val="auto"/>
              </w:rPr>
            </w:pPr>
          </w:p>
        </w:tc>
        <w:tc>
          <w:tcPr>
            <w:tcW w:w="2840" w:type="dxa"/>
            <w:vAlign w:val="bottom"/>
            <w:tcBorders>
              <w:bottom w:val="single" w:sz="8" w:color="0000EE"/>
            </w:tcBorders>
            <w:gridSpan w:val="14"/>
          </w:tcPr>
          <w:p>
            <w:pPr>
              <w:spacing w:after="0" w:line="133" w:lineRule="exact"/>
              <w:rPr>
                <w:rFonts w:ascii="Arial" w:cs="Arial" w:eastAsia="Arial" w:hAnsi="Arial"/>
                <w:sz w:val="12"/>
                <w:szCs w:val="12"/>
                <w:color w:val="0000EE"/>
              </w:rPr>
            </w:pPr>
            <w:hyperlink w:anchor="page151">
              <w:r>
                <w:rPr>
                  <w:rFonts w:ascii="Arial" w:cs="Arial" w:eastAsia="Arial" w:hAnsi="Arial"/>
                  <w:sz w:val="12"/>
                  <w:szCs w:val="12"/>
                  <w:color w:val="0000EE"/>
                </w:rPr>
                <w:t>Financial instruments and other derivative contracts</w:t>
              </w:r>
            </w:hyperlink>
          </w:p>
        </w:tc>
        <w:tc>
          <w:tcPr>
            <w:tcW w:w="1180" w:type="dxa"/>
            <w:vAlign w:val="bottom"/>
            <w:tcBorders>
              <w:bottom w:val="single" w:sz="8" w:color="7DD0E0"/>
            </w:tcBorders>
            <w:gridSpan w:val="4"/>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145</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5">
              <w:r>
                <w:rPr>
                  <w:rFonts w:ascii="Arial" w:cs="Arial" w:eastAsia="Arial" w:hAnsi="Arial"/>
                  <w:sz w:val="12"/>
                  <w:szCs w:val="12"/>
                  <w:color w:val="0000EE"/>
                </w:rPr>
                <w:t>Note 27:</w:t>
              </w:r>
            </w:hyperlink>
          </w:p>
        </w:tc>
        <w:tc>
          <w:tcPr>
            <w:tcW w:w="120" w:type="dxa"/>
            <w:vAlign w:val="bottom"/>
            <w:tcBorders>
              <w:bottom w:val="single" w:sz="8" w:color="7DD0E0"/>
            </w:tcBorders>
          </w:tcPr>
          <w:p>
            <w:pPr>
              <w:spacing w:after="0"/>
              <w:rPr>
                <w:sz w:val="12"/>
                <w:szCs w:val="12"/>
                <w:color w:val="auto"/>
              </w:rPr>
            </w:pPr>
          </w:p>
        </w:tc>
        <w:tc>
          <w:tcPr>
            <w:tcW w:w="2980" w:type="dxa"/>
            <w:vAlign w:val="bottom"/>
            <w:tcBorders>
              <w:bottom w:val="single" w:sz="8" w:color="0000EE"/>
            </w:tcBorders>
            <w:gridSpan w:val="15"/>
          </w:tcPr>
          <w:p>
            <w:pPr>
              <w:spacing w:after="0" w:line="133" w:lineRule="exact"/>
              <w:rPr>
                <w:rFonts w:ascii="Arial" w:cs="Arial" w:eastAsia="Arial" w:hAnsi="Arial"/>
                <w:sz w:val="12"/>
                <w:szCs w:val="12"/>
                <w:color w:val="0000EE"/>
              </w:rPr>
            </w:pPr>
            <w:hyperlink w:anchor="page155">
              <w:r>
                <w:rPr>
                  <w:rFonts w:ascii="Arial" w:cs="Arial" w:eastAsia="Arial" w:hAnsi="Arial"/>
                  <w:sz w:val="12"/>
                  <w:szCs w:val="12"/>
                  <w:color w:val="0000EE"/>
                </w:rPr>
                <w:t>Share-based compensation plans and treasury shares</w:t>
              </w:r>
            </w:hyperlink>
          </w:p>
        </w:tc>
        <w:tc>
          <w:tcPr>
            <w:tcW w:w="1040" w:type="dxa"/>
            <w:vAlign w:val="bottom"/>
            <w:tcBorders>
              <w:bottom w:val="single" w:sz="8" w:color="7DD0E0"/>
            </w:tcBorders>
            <w:gridSpan w:val="3"/>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149</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8">
              <w:r>
                <w:rPr>
                  <w:rFonts w:ascii="Arial" w:cs="Arial" w:eastAsia="Arial" w:hAnsi="Arial"/>
                  <w:sz w:val="12"/>
                  <w:szCs w:val="12"/>
                  <w:color w:val="0000EE"/>
                </w:rPr>
                <w:t>Note 28:</w:t>
              </w:r>
            </w:hyperlink>
          </w:p>
        </w:tc>
        <w:tc>
          <w:tcPr>
            <w:tcW w:w="120" w:type="dxa"/>
            <w:vAlign w:val="bottom"/>
            <w:tcBorders>
              <w:bottom w:val="single" w:sz="8" w:color="7DD0E0"/>
            </w:tcBorders>
          </w:tcPr>
          <w:p>
            <w:pPr>
              <w:spacing w:after="0"/>
              <w:rPr>
                <w:sz w:val="12"/>
                <w:szCs w:val="12"/>
                <w:color w:val="auto"/>
              </w:rPr>
            </w:pPr>
          </w:p>
        </w:tc>
        <w:tc>
          <w:tcPr>
            <w:tcW w:w="880" w:type="dxa"/>
            <w:vAlign w:val="bottom"/>
            <w:tcBorders>
              <w:bottom w:val="single" w:sz="8" w:color="0000EE"/>
            </w:tcBorders>
            <w:gridSpan w:val="3"/>
          </w:tcPr>
          <w:p>
            <w:pPr>
              <w:spacing w:after="0" w:line="133" w:lineRule="exact"/>
              <w:rPr>
                <w:rFonts w:ascii="Arial" w:cs="Arial" w:eastAsia="Arial" w:hAnsi="Arial"/>
                <w:sz w:val="12"/>
                <w:szCs w:val="12"/>
                <w:color w:val="0000EE"/>
              </w:rPr>
            </w:pPr>
            <w:hyperlink w:anchor="page158">
              <w:r>
                <w:rPr>
                  <w:rFonts w:ascii="Arial" w:cs="Arial" w:eastAsia="Arial" w:hAnsi="Arial"/>
                  <w:sz w:val="12"/>
                  <w:szCs w:val="12"/>
                  <w:color w:val="0000EE"/>
                </w:rPr>
                <w:t>Minority interest</w:t>
              </w:r>
            </w:hyperlink>
          </w:p>
        </w:tc>
        <w:tc>
          <w:tcPr>
            <w:tcW w:w="3140" w:type="dxa"/>
            <w:vAlign w:val="bottom"/>
            <w:tcBorders>
              <w:bottom w:val="single" w:sz="8" w:color="7DD0E0"/>
            </w:tcBorders>
            <w:gridSpan w:val="15"/>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152</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9">
              <w:r>
                <w:rPr>
                  <w:rFonts w:ascii="Arial" w:cs="Arial" w:eastAsia="Arial" w:hAnsi="Arial"/>
                  <w:sz w:val="12"/>
                  <w:szCs w:val="12"/>
                  <w:color w:val="0000EE"/>
                </w:rPr>
                <w:t>Note 29:</w:t>
              </w:r>
            </w:hyperlink>
          </w:p>
        </w:tc>
        <w:tc>
          <w:tcPr>
            <w:tcW w:w="120" w:type="dxa"/>
            <w:vAlign w:val="bottom"/>
            <w:tcBorders>
              <w:bottom w:val="single" w:sz="8" w:color="7DD0E0"/>
            </w:tcBorders>
          </w:tcPr>
          <w:p>
            <w:pPr>
              <w:spacing w:after="0"/>
              <w:rPr>
                <w:sz w:val="12"/>
                <w:szCs w:val="12"/>
                <w:color w:val="auto"/>
              </w:rPr>
            </w:pPr>
          </w:p>
        </w:tc>
        <w:tc>
          <w:tcPr>
            <w:tcW w:w="82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59">
              <w:r>
                <w:rPr>
                  <w:rFonts w:ascii="Arial" w:cs="Arial" w:eastAsia="Arial" w:hAnsi="Arial"/>
                  <w:sz w:val="12"/>
                  <w:szCs w:val="12"/>
                  <w:color w:val="0000EE"/>
                </w:rPr>
                <w:t>Other reserves</w:t>
              </w:r>
            </w:hyperlink>
          </w:p>
        </w:tc>
        <w:tc>
          <w:tcPr>
            <w:tcW w:w="3200" w:type="dxa"/>
            <w:vAlign w:val="bottom"/>
            <w:tcBorders>
              <w:bottom w:val="single" w:sz="8" w:color="7DD0E0"/>
            </w:tcBorders>
            <w:gridSpan w:val="16"/>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153</w:t>
            </w:r>
          </w:p>
        </w:tc>
      </w:tr>
      <w:tr>
        <w:trPr>
          <w:trHeight w:val="133"/>
        </w:trPr>
        <w:tc>
          <w:tcPr>
            <w:tcW w:w="480" w:type="dxa"/>
            <w:vAlign w:val="bottom"/>
            <w:gridSpan w:val="2"/>
          </w:tcPr>
          <w:p>
            <w:pPr>
              <w:spacing w:after="0" w:line="133" w:lineRule="exact"/>
              <w:rPr>
                <w:rFonts w:ascii="Arial" w:cs="Arial" w:eastAsia="Arial" w:hAnsi="Arial"/>
                <w:sz w:val="12"/>
                <w:szCs w:val="12"/>
                <w:color w:val="0000EE"/>
              </w:rPr>
            </w:pPr>
            <w:hyperlink w:anchor="page160">
              <w:r>
                <w:rPr>
                  <w:rFonts w:ascii="Arial" w:cs="Arial" w:eastAsia="Arial" w:hAnsi="Arial"/>
                  <w:sz w:val="12"/>
                  <w:szCs w:val="12"/>
                  <w:color w:val="0000EE"/>
                </w:rPr>
                <w:t>Note 30:</w:t>
              </w:r>
            </w:hyperlink>
          </w:p>
        </w:tc>
        <w:tc>
          <w:tcPr>
            <w:tcW w:w="120" w:type="dxa"/>
            <w:vAlign w:val="bottom"/>
          </w:tcPr>
          <w:p>
            <w:pPr>
              <w:spacing w:after="0"/>
              <w:rPr>
                <w:sz w:val="11"/>
                <w:szCs w:val="11"/>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60">
              <w:r>
                <w:rPr>
                  <w:rFonts w:ascii="Arial" w:cs="Arial" w:eastAsia="Arial" w:hAnsi="Arial"/>
                  <w:sz w:val="12"/>
                  <w:szCs w:val="12"/>
                  <w:color w:val="0000EE"/>
                </w:rPr>
                <w:t>Dividends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154</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7DD0E0"/>
          </w:tcPr>
          <w:p>
            <w:pPr>
              <w:spacing w:after="0"/>
              <w:rPr>
                <w:sz w:val="2"/>
                <w:szCs w:val="2"/>
                <w:color w:val="auto"/>
              </w:rPr>
            </w:pPr>
          </w:p>
        </w:tc>
        <w:tc>
          <w:tcPr>
            <w:tcW w:w="60" w:type="dxa"/>
            <w:vAlign w:val="bottom"/>
            <w:shd w:val="clear" w:color="auto" w:fill="7DD0E0"/>
          </w:tcPr>
          <w:p>
            <w:pPr>
              <w:spacing w:after="0"/>
              <w:rPr>
                <w:sz w:val="2"/>
                <w:szCs w:val="2"/>
                <w:color w:val="auto"/>
              </w:rPr>
            </w:pPr>
          </w:p>
        </w:tc>
        <w:tc>
          <w:tcPr>
            <w:tcW w:w="260" w:type="dxa"/>
            <w:vAlign w:val="bottom"/>
            <w:tcBorders>
              <w:right w:val="single" w:sz="8" w:color="7DD0E0"/>
            </w:tcBorders>
            <w:shd w:val="clear" w:color="auto" w:fill="7DD0E0"/>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40"/>
        </w:trPr>
        <w:tc>
          <w:tcPr>
            <w:tcW w:w="480" w:type="dxa"/>
            <w:vAlign w:val="bottom"/>
            <w:gridSpan w:val="2"/>
          </w:tcPr>
          <w:p>
            <w:pPr>
              <w:spacing w:after="0" w:line="133" w:lineRule="exact"/>
              <w:rPr>
                <w:rFonts w:ascii="Arial" w:cs="Arial" w:eastAsia="Arial" w:hAnsi="Arial"/>
                <w:sz w:val="12"/>
                <w:szCs w:val="12"/>
                <w:color w:val="0000EE"/>
              </w:rPr>
            </w:pPr>
            <w:hyperlink w:anchor="page161">
              <w:r>
                <w:rPr>
                  <w:rFonts w:ascii="Arial" w:cs="Arial" w:eastAsia="Arial" w:hAnsi="Arial"/>
                  <w:sz w:val="12"/>
                  <w:szCs w:val="12"/>
                  <w:color w:val="0000EE"/>
                </w:rPr>
                <w:t>Note 31:</w:t>
              </w:r>
            </w:hyperlink>
          </w:p>
        </w:tc>
        <w:tc>
          <w:tcPr>
            <w:tcW w:w="120" w:type="dxa"/>
            <w:vAlign w:val="bottom"/>
          </w:tcPr>
          <w:p>
            <w:pPr>
              <w:spacing w:after="0"/>
              <w:rPr>
                <w:sz w:val="12"/>
                <w:szCs w:val="12"/>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61">
              <w:r>
                <w:rPr>
                  <w:rFonts w:ascii="Arial" w:cs="Arial" w:eastAsia="Arial" w:hAnsi="Arial"/>
                  <w:sz w:val="12"/>
                  <w:szCs w:val="12"/>
                  <w:color w:val="0000EE"/>
                </w:rPr>
                <w:t>Consolidated Statement of Cash Flows</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155</w:t>
            </w:r>
          </w:p>
        </w:tc>
      </w:tr>
      <w:tr>
        <w:trPr>
          <w:trHeight w:val="140"/>
        </w:trPr>
        <w:tc>
          <w:tcPr>
            <w:tcW w:w="480" w:type="dxa"/>
            <w:vAlign w:val="bottom"/>
            <w:tcBorders>
              <w:top w:val="single" w:sz="8" w:color="0000EE"/>
              <w:bottom w:val="single" w:sz="8" w:color="0000EE"/>
            </w:tcBorders>
            <w:gridSpan w:val="2"/>
          </w:tcPr>
          <w:p>
            <w:pPr>
              <w:spacing w:after="0" w:line="133" w:lineRule="exact"/>
              <w:rPr>
                <w:rFonts w:ascii="Arial" w:cs="Arial" w:eastAsia="Arial" w:hAnsi="Arial"/>
                <w:sz w:val="12"/>
                <w:szCs w:val="12"/>
                <w:color w:val="0000EE"/>
              </w:rPr>
            </w:pPr>
            <w:hyperlink w:anchor="page163">
              <w:r>
                <w:rPr>
                  <w:rFonts w:ascii="Arial" w:cs="Arial" w:eastAsia="Arial" w:hAnsi="Arial"/>
                  <w:sz w:val="12"/>
                  <w:szCs w:val="12"/>
                  <w:color w:val="0000EE"/>
                </w:rPr>
                <w:t>Note 32:</w:t>
              </w:r>
            </w:hyperlink>
          </w:p>
        </w:tc>
        <w:tc>
          <w:tcPr>
            <w:tcW w:w="120" w:type="dxa"/>
            <w:vAlign w:val="bottom"/>
            <w:tcBorders>
              <w:top w:val="single" w:sz="8" w:color="7DD0E0"/>
              <w:bottom w:val="single" w:sz="8" w:color="7DD0E0"/>
            </w:tcBorders>
          </w:tcPr>
          <w:p>
            <w:pPr>
              <w:spacing w:after="0"/>
              <w:rPr>
                <w:sz w:val="12"/>
                <w:szCs w:val="12"/>
                <w:color w:val="auto"/>
              </w:rPr>
            </w:pPr>
          </w:p>
        </w:tc>
        <w:tc>
          <w:tcPr>
            <w:tcW w:w="1140" w:type="dxa"/>
            <w:vAlign w:val="bottom"/>
            <w:tcBorders>
              <w:top w:val="single" w:sz="8" w:color="0000EE"/>
              <w:bottom w:val="single" w:sz="8" w:color="0000EE"/>
            </w:tcBorders>
            <w:gridSpan w:val="4"/>
          </w:tcPr>
          <w:p>
            <w:pPr>
              <w:spacing w:after="0" w:line="133" w:lineRule="exact"/>
              <w:rPr>
                <w:rFonts w:ascii="Arial" w:cs="Arial" w:eastAsia="Arial" w:hAnsi="Arial"/>
                <w:sz w:val="12"/>
                <w:szCs w:val="12"/>
                <w:color w:val="0000EE"/>
              </w:rPr>
            </w:pPr>
            <w:hyperlink w:anchor="page163">
              <w:r>
                <w:rPr>
                  <w:rFonts w:ascii="Arial" w:cs="Arial" w:eastAsia="Arial" w:hAnsi="Arial"/>
                  <w:sz w:val="12"/>
                  <w:szCs w:val="12"/>
                  <w:color w:val="0000EE"/>
                </w:rPr>
                <w:t>Legal proceedings</w:t>
              </w:r>
            </w:hyperlink>
          </w:p>
        </w:tc>
        <w:tc>
          <w:tcPr>
            <w:tcW w:w="1000" w:type="dxa"/>
            <w:vAlign w:val="bottom"/>
            <w:tcBorders>
              <w:top w:val="single" w:sz="8" w:color="0000EE"/>
              <w:bottom w:val="single" w:sz="8" w:color="7DD0E0"/>
            </w:tcBorders>
            <w:gridSpan w:val="6"/>
          </w:tcPr>
          <w:p>
            <w:pPr>
              <w:spacing w:after="0"/>
              <w:rPr>
                <w:sz w:val="12"/>
                <w:szCs w:val="12"/>
                <w:color w:val="auto"/>
              </w:rPr>
            </w:pPr>
          </w:p>
        </w:tc>
        <w:tc>
          <w:tcPr>
            <w:tcW w:w="1880" w:type="dxa"/>
            <w:vAlign w:val="bottom"/>
            <w:tcBorders>
              <w:top w:val="single" w:sz="8" w:color="7DD0E0"/>
              <w:bottom w:val="single" w:sz="8" w:color="7DD0E0"/>
            </w:tcBorders>
            <w:gridSpan w:val="8"/>
          </w:tcPr>
          <w:p>
            <w:pPr>
              <w:spacing w:after="0"/>
              <w:rPr>
                <w:sz w:val="12"/>
                <w:szCs w:val="12"/>
                <w:color w:val="auto"/>
              </w:rPr>
            </w:pPr>
          </w:p>
        </w:tc>
        <w:tc>
          <w:tcPr>
            <w:tcW w:w="860" w:type="dxa"/>
            <w:vAlign w:val="bottom"/>
            <w:tcBorders>
              <w:top w:val="single" w:sz="8" w:color="7DD0E0"/>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157</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64">
              <w:r>
                <w:rPr>
                  <w:rFonts w:ascii="Arial" w:cs="Arial" w:eastAsia="Arial" w:hAnsi="Arial"/>
                  <w:sz w:val="12"/>
                  <w:szCs w:val="12"/>
                  <w:color w:val="0000EE"/>
                </w:rPr>
                <w:t>Note 33:</w:t>
              </w:r>
            </w:hyperlink>
          </w:p>
        </w:tc>
        <w:tc>
          <w:tcPr>
            <w:tcW w:w="120" w:type="dxa"/>
            <w:vAlign w:val="bottom"/>
            <w:tcBorders>
              <w:bottom w:val="single" w:sz="8" w:color="7DD0E0"/>
            </w:tcBorders>
          </w:tcPr>
          <w:p>
            <w:pPr>
              <w:spacing w:after="0"/>
              <w:rPr>
                <w:sz w:val="12"/>
                <w:szCs w:val="12"/>
                <w:color w:val="auto"/>
              </w:rPr>
            </w:pPr>
          </w:p>
        </w:tc>
        <w:tc>
          <w:tcPr>
            <w:tcW w:w="1140" w:type="dxa"/>
            <w:vAlign w:val="bottom"/>
            <w:tcBorders>
              <w:bottom w:val="single" w:sz="8" w:color="0000EE"/>
            </w:tcBorders>
            <w:gridSpan w:val="4"/>
          </w:tcPr>
          <w:p>
            <w:pPr>
              <w:spacing w:after="0" w:line="133" w:lineRule="exact"/>
              <w:rPr>
                <w:rFonts w:ascii="Arial" w:cs="Arial" w:eastAsia="Arial" w:hAnsi="Arial"/>
                <w:sz w:val="12"/>
                <w:szCs w:val="12"/>
                <w:color w:val="0000EE"/>
                <w:w w:val="99"/>
              </w:rPr>
            </w:pPr>
            <w:hyperlink w:anchor="page164">
              <w:r>
                <w:rPr>
                  <w:rFonts w:ascii="Arial" w:cs="Arial" w:eastAsia="Arial" w:hAnsi="Arial"/>
                  <w:sz w:val="12"/>
                  <w:szCs w:val="12"/>
                  <w:color w:val="0000EE"/>
                  <w:w w:val="99"/>
                </w:rPr>
                <w:t>Shell group audit fee</w:t>
              </w:r>
            </w:hyperlink>
          </w:p>
        </w:tc>
        <w:tc>
          <w:tcPr>
            <w:tcW w:w="2880" w:type="dxa"/>
            <w:vAlign w:val="bottom"/>
            <w:tcBorders>
              <w:bottom w:val="single" w:sz="8" w:color="7DD0E0"/>
            </w:tcBorders>
            <w:gridSpan w:val="14"/>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158</w:t>
            </w:r>
          </w:p>
        </w:tc>
      </w:tr>
      <w:tr>
        <w:trPr>
          <w:trHeight w:val="133"/>
        </w:trPr>
        <w:tc>
          <w:tcPr>
            <w:tcW w:w="480" w:type="dxa"/>
            <w:vAlign w:val="bottom"/>
            <w:gridSpan w:val="2"/>
          </w:tcPr>
          <w:p>
            <w:pPr>
              <w:spacing w:after="0" w:line="133" w:lineRule="exact"/>
              <w:rPr>
                <w:rFonts w:ascii="Arial" w:cs="Arial" w:eastAsia="Arial" w:hAnsi="Arial"/>
                <w:sz w:val="12"/>
                <w:szCs w:val="12"/>
                <w:color w:val="0000EE"/>
              </w:rPr>
            </w:pPr>
            <w:hyperlink w:anchor="page164">
              <w:r>
                <w:rPr>
                  <w:rFonts w:ascii="Arial" w:cs="Arial" w:eastAsia="Arial" w:hAnsi="Arial"/>
                  <w:sz w:val="12"/>
                  <w:szCs w:val="12"/>
                  <w:color w:val="0000EE"/>
                </w:rPr>
                <w:t>Note 34:</w:t>
              </w:r>
            </w:hyperlink>
          </w:p>
        </w:tc>
        <w:tc>
          <w:tcPr>
            <w:tcW w:w="120" w:type="dxa"/>
            <w:vAlign w:val="bottom"/>
          </w:tcPr>
          <w:p>
            <w:pPr>
              <w:spacing w:after="0"/>
              <w:rPr>
                <w:sz w:val="11"/>
                <w:szCs w:val="11"/>
                <w:color w:val="auto"/>
              </w:rPr>
            </w:pPr>
          </w:p>
        </w:tc>
        <w:tc>
          <w:tcPr>
            <w:tcW w:w="4020" w:type="dxa"/>
            <w:vAlign w:val="bottom"/>
            <w:gridSpan w:val="18"/>
          </w:tcPr>
          <w:p>
            <w:pPr>
              <w:spacing w:after="0" w:line="133" w:lineRule="exact"/>
              <w:rPr>
                <w:rFonts w:ascii="Arial" w:cs="Arial" w:eastAsia="Arial" w:hAnsi="Arial"/>
                <w:sz w:val="12"/>
                <w:szCs w:val="12"/>
                <w:color w:val="0000EE"/>
              </w:rPr>
            </w:pPr>
            <w:hyperlink w:anchor="page164">
              <w:r>
                <w:rPr>
                  <w:rFonts w:ascii="Arial" w:cs="Arial" w:eastAsia="Arial" w:hAnsi="Arial"/>
                  <w:sz w:val="12"/>
                  <w:szCs w:val="12"/>
                  <w:color w:val="0000EE"/>
                </w:rPr>
                <w:t>Earnings per share</w:t>
              </w:r>
            </w:hyperlink>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158</w:t>
            </w:r>
          </w:p>
        </w:tc>
      </w:tr>
      <w:tr>
        <w:trPr>
          <w:trHeight w:val="27"/>
        </w:trPr>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7DD0E0"/>
          </w:tcPr>
          <w:p>
            <w:pPr>
              <w:spacing w:after="0"/>
              <w:rPr>
                <w:sz w:val="2"/>
                <w:szCs w:val="2"/>
                <w:color w:val="auto"/>
              </w:rPr>
            </w:pPr>
          </w:p>
        </w:tc>
        <w:tc>
          <w:tcPr>
            <w:tcW w:w="140" w:type="dxa"/>
            <w:vAlign w:val="bottom"/>
            <w:tcBorders>
              <w:right w:val="single" w:sz="8" w:color="7DD0E0"/>
            </w:tcBorders>
            <w:shd w:val="clear" w:color="auto" w:fill="7DD0E0"/>
          </w:tcPr>
          <w:p>
            <w:pPr>
              <w:spacing w:after="0"/>
              <w:rPr>
                <w:sz w:val="2"/>
                <w:szCs w:val="2"/>
                <w:color w:val="auto"/>
              </w:rPr>
            </w:pPr>
          </w:p>
        </w:tc>
        <w:tc>
          <w:tcPr>
            <w:tcW w:w="300" w:type="dxa"/>
            <w:vAlign w:val="bottom"/>
            <w:tcBorders>
              <w:right w:val="single" w:sz="8" w:color="7DD0E0"/>
            </w:tcBorders>
            <w:shd w:val="clear" w:color="auto" w:fill="7DD0E0"/>
          </w:tcPr>
          <w:p>
            <w:pPr>
              <w:spacing w:after="0"/>
              <w:rPr>
                <w:sz w:val="2"/>
                <w:szCs w:val="2"/>
                <w:color w:val="auto"/>
              </w:rPr>
            </w:pPr>
          </w:p>
        </w:tc>
        <w:tc>
          <w:tcPr>
            <w:tcW w:w="260" w:type="dxa"/>
            <w:vAlign w:val="bottom"/>
            <w:shd w:val="clear" w:color="auto" w:fill="7DD0E0"/>
          </w:tcPr>
          <w:p>
            <w:pPr>
              <w:spacing w:after="0"/>
              <w:rPr>
                <w:sz w:val="2"/>
                <w:szCs w:val="2"/>
                <w:color w:val="auto"/>
              </w:rPr>
            </w:pPr>
          </w:p>
        </w:tc>
        <w:tc>
          <w:tcPr>
            <w:tcW w:w="120" w:type="dxa"/>
            <w:vAlign w:val="bottom"/>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80" w:type="dxa"/>
            <w:vAlign w:val="bottom"/>
            <w:tcBorders>
              <w:right w:val="single" w:sz="8" w:color="7DD0E0"/>
            </w:tcBorders>
            <w:shd w:val="clear" w:color="auto" w:fill="7DD0E0"/>
          </w:tcPr>
          <w:p>
            <w:pPr>
              <w:spacing w:after="0"/>
              <w:rPr>
                <w:sz w:val="2"/>
                <w:szCs w:val="2"/>
                <w:color w:val="auto"/>
              </w:rPr>
            </w:pPr>
          </w:p>
        </w:tc>
        <w:tc>
          <w:tcPr>
            <w:tcW w:w="100" w:type="dxa"/>
            <w:vAlign w:val="bottom"/>
            <w:shd w:val="clear" w:color="auto" w:fill="7DD0E0"/>
          </w:tcPr>
          <w:p>
            <w:pPr>
              <w:spacing w:after="0"/>
              <w:rPr>
                <w:sz w:val="2"/>
                <w:szCs w:val="2"/>
                <w:color w:val="auto"/>
              </w:rPr>
            </w:pPr>
          </w:p>
        </w:tc>
        <w:tc>
          <w:tcPr>
            <w:tcW w:w="320" w:type="dxa"/>
            <w:vAlign w:val="bottom"/>
            <w:tcBorders>
              <w:right w:val="single" w:sz="8" w:color="7DD0E0"/>
            </w:tcBorders>
            <w:shd w:val="clear" w:color="auto" w:fill="7DD0E0"/>
          </w:tcPr>
          <w:p>
            <w:pPr>
              <w:spacing w:after="0"/>
              <w:rPr>
                <w:sz w:val="2"/>
                <w:szCs w:val="2"/>
                <w:color w:val="auto"/>
              </w:rPr>
            </w:pPr>
          </w:p>
        </w:tc>
        <w:tc>
          <w:tcPr>
            <w:tcW w:w="200" w:type="dxa"/>
            <w:vAlign w:val="bottom"/>
            <w:shd w:val="clear" w:color="auto" w:fill="7DD0E0"/>
          </w:tcPr>
          <w:p>
            <w:pPr>
              <w:spacing w:after="0"/>
              <w:rPr>
                <w:sz w:val="2"/>
                <w:szCs w:val="2"/>
                <w:color w:val="auto"/>
              </w:rPr>
            </w:pPr>
          </w:p>
        </w:tc>
        <w:tc>
          <w:tcPr>
            <w:tcW w:w="140" w:type="dxa"/>
            <w:vAlign w:val="bottom"/>
            <w:shd w:val="clear" w:color="auto" w:fill="7DD0E0"/>
          </w:tcPr>
          <w:p>
            <w:pPr>
              <w:spacing w:after="0"/>
              <w:rPr>
                <w:sz w:val="2"/>
                <w:szCs w:val="2"/>
                <w:color w:val="auto"/>
              </w:rPr>
            </w:pPr>
          </w:p>
        </w:tc>
        <w:tc>
          <w:tcPr>
            <w:tcW w:w="160" w:type="dxa"/>
            <w:vAlign w:val="bottom"/>
            <w:shd w:val="clear" w:color="auto" w:fill="7DD0E0"/>
          </w:tcPr>
          <w:p>
            <w:pPr>
              <w:spacing w:after="0"/>
              <w:rPr>
                <w:sz w:val="2"/>
                <w:szCs w:val="2"/>
                <w:color w:val="auto"/>
              </w:rPr>
            </w:pPr>
          </w:p>
        </w:tc>
        <w:tc>
          <w:tcPr>
            <w:tcW w:w="240" w:type="dxa"/>
            <w:vAlign w:val="bottom"/>
            <w:shd w:val="clear" w:color="auto" w:fill="7DD0E0"/>
          </w:tcPr>
          <w:p>
            <w:pPr>
              <w:spacing w:after="0"/>
              <w:rPr>
                <w:sz w:val="2"/>
                <w:szCs w:val="2"/>
                <w:color w:val="auto"/>
              </w:rPr>
            </w:pPr>
          </w:p>
        </w:tc>
        <w:tc>
          <w:tcPr>
            <w:tcW w:w="640" w:type="dxa"/>
            <w:vAlign w:val="bottom"/>
            <w:shd w:val="clear" w:color="auto" w:fill="7DD0E0"/>
          </w:tcPr>
          <w:p>
            <w:pPr>
              <w:spacing w:after="0"/>
              <w:rPr>
                <w:sz w:val="2"/>
                <w:szCs w:val="2"/>
                <w:color w:val="auto"/>
              </w:rPr>
            </w:pPr>
          </w:p>
        </w:tc>
        <w:tc>
          <w:tcPr>
            <w:tcW w:w="860" w:type="dxa"/>
            <w:vAlign w:val="bottom"/>
            <w:shd w:val="clear" w:color="auto" w:fill="7DD0E0"/>
          </w:tcPr>
          <w:p>
            <w:pPr>
              <w:spacing w:after="0"/>
              <w:rPr>
                <w:sz w:val="2"/>
                <w:szCs w:val="2"/>
                <w:color w:val="auto"/>
              </w:rPr>
            </w:pP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65">
              <w:r>
                <w:rPr>
                  <w:rFonts w:ascii="Arial" w:cs="Arial" w:eastAsia="Arial" w:hAnsi="Arial"/>
                  <w:sz w:val="12"/>
                  <w:szCs w:val="12"/>
                  <w:color w:val="0000EE"/>
                </w:rPr>
                <w:t>Note 35:</w:t>
              </w:r>
            </w:hyperlink>
          </w:p>
        </w:tc>
        <w:tc>
          <w:tcPr>
            <w:tcW w:w="120" w:type="dxa"/>
            <w:vAlign w:val="bottom"/>
            <w:tcBorders>
              <w:bottom w:val="single" w:sz="8" w:color="7DD0E0"/>
            </w:tcBorders>
          </w:tcPr>
          <w:p>
            <w:pPr>
              <w:spacing w:after="0"/>
              <w:rPr>
                <w:sz w:val="12"/>
                <w:szCs w:val="12"/>
                <w:color w:val="auto"/>
              </w:rPr>
            </w:pPr>
          </w:p>
        </w:tc>
        <w:tc>
          <w:tcPr>
            <w:tcW w:w="2640" w:type="dxa"/>
            <w:vAlign w:val="bottom"/>
            <w:tcBorders>
              <w:bottom w:val="single" w:sz="8" w:color="0000EE"/>
            </w:tcBorders>
            <w:gridSpan w:val="13"/>
          </w:tcPr>
          <w:p>
            <w:pPr>
              <w:spacing w:after="0" w:line="133" w:lineRule="exact"/>
              <w:rPr>
                <w:rFonts w:ascii="Arial" w:cs="Arial" w:eastAsia="Arial" w:hAnsi="Arial"/>
                <w:sz w:val="12"/>
                <w:szCs w:val="12"/>
                <w:color w:val="0000EE"/>
              </w:rPr>
            </w:pPr>
            <w:hyperlink w:anchor="page165">
              <w:r>
                <w:rPr>
                  <w:rFonts w:ascii="Arial" w:cs="Arial" w:eastAsia="Arial" w:hAnsi="Arial"/>
                  <w:sz w:val="12"/>
                  <w:szCs w:val="12"/>
                  <w:color w:val="0000EE"/>
                </w:rPr>
                <w:t>Oil and gas exploration and production activities</w:t>
              </w:r>
            </w:hyperlink>
          </w:p>
        </w:tc>
        <w:tc>
          <w:tcPr>
            <w:tcW w:w="1380" w:type="dxa"/>
            <w:vAlign w:val="bottom"/>
            <w:tcBorders>
              <w:bottom w:val="single" w:sz="8" w:color="7DD0E0"/>
            </w:tcBorders>
            <w:gridSpan w:val="5"/>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159</w:t>
            </w:r>
          </w:p>
        </w:tc>
      </w:tr>
      <w:tr>
        <w:trPr>
          <w:trHeight w:val="140"/>
        </w:trPr>
        <w:tc>
          <w:tcPr>
            <w:tcW w:w="480" w:type="dxa"/>
            <w:vAlign w:val="bottom"/>
            <w:tcBorders>
              <w:bottom w:val="single" w:sz="8" w:color="0000EE"/>
            </w:tcBorders>
            <w:gridSpan w:val="2"/>
          </w:tcPr>
          <w:p>
            <w:pPr>
              <w:spacing w:after="0" w:line="133" w:lineRule="exact"/>
              <w:rPr>
                <w:rFonts w:ascii="Arial" w:cs="Arial" w:eastAsia="Arial" w:hAnsi="Arial"/>
                <w:sz w:val="12"/>
                <w:szCs w:val="12"/>
                <w:color w:val="0000EE"/>
              </w:rPr>
            </w:pPr>
            <w:hyperlink w:anchor="page167">
              <w:r>
                <w:rPr>
                  <w:rFonts w:ascii="Arial" w:cs="Arial" w:eastAsia="Arial" w:hAnsi="Arial"/>
                  <w:sz w:val="12"/>
                  <w:szCs w:val="12"/>
                  <w:color w:val="0000EE"/>
                </w:rPr>
                <w:t>Note 36:</w:t>
              </w:r>
            </w:hyperlink>
          </w:p>
        </w:tc>
        <w:tc>
          <w:tcPr>
            <w:tcW w:w="120" w:type="dxa"/>
            <w:vAlign w:val="bottom"/>
            <w:tcBorders>
              <w:bottom w:val="single" w:sz="8" w:color="7DD0E0"/>
            </w:tcBorders>
          </w:tcPr>
          <w:p>
            <w:pPr>
              <w:spacing w:after="0"/>
              <w:rPr>
                <w:sz w:val="12"/>
                <w:szCs w:val="12"/>
                <w:color w:val="auto"/>
              </w:rPr>
            </w:pPr>
          </w:p>
        </w:tc>
        <w:tc>
          <w:tcPr>
            <w:tcW w:w="1660" w:type="dxa"/>
            <w:vAlign w:val="bottom"/>
            <w:tcBorders>
              <w:bottom w:val="single" w:sz="8" w:color="0000EE"/>
            </w:tcBorders>
            <w:gridSpan w:val="7"/>
          </w:tcPr>
          <w:p>
            <w:pPr>
              <w:spacing w:after="0" w:line="133" w:lineRule="exact"/>
              <w:rPr>
                <w:rFonts w:ascii="Arial" w:cs="Arial" w:eastAsia="Arial" w:hAnsi="Arial"/>
                <w:sz w:val="12"/>
                <w:szCs w:val="12"/>
                <w:color w:val="0000EE"/>
              </w:rPr>
            </w:pPr>
            <w:hyperlink w:anchor="page167">
              <w:r>
                <w:rPr>
                  <w:rFonts w:ascii="Arial" w:cs="Arial" w:eastAsia="Arial" w:hAnsi="Arial"/>
                  <w:sz w:val="12"/>
                  <w:szCs w:val="12"/>
                  <w:color w:val="0000EE"/>
                </w:rPr>
                <w:t>Post balance sheet events</w:t>
              </w:r>
            </w:hyperlink>
          </w:p>
        </w:tc>
        <w:tc>
          <w:tcPr>
            <w:tcW w:w="2360" w:type="dxa"/>
            <w:vAlign w:val="bottom"/>
            <w:tcBorders>
              <w:bottom w:val="single" w:sz="8" w:color="7DD0E0"/>
            </w:tcBorders>
            <w:gridSpan w:val="11"/>
          </w:tcPr>
          <w:p>
            <w:pPr>
              <w:spacing w:after="0"/>
              <w:rPr>
                <w:sz w:val="12"/>
                <w:szCs w:val="12"/>
                <w:color w:val="auto"/>
              </w:rPr>
            </w:pPr>
          </w:p>
        </w:tc>
        <w:tc>
          <w:tcPr>
            <w:tcW w:w="860" w:type="dxa"/>
            <w:vAlign w:val="bottom"/>
            <w:tcBorders>
              <w:bottom w:val="single" w:sz="8" w:color="7DD0E0"/>
            </w:tcBorders>
          </w:tcPr>
          <w:p>
            <w:pPr>
              <w:jc w:val="right"/>
              <w:spacing w:after="0" w:line="133" w:lineRule="exact"/>
              <w:rPr>
                <w:sz w:val="20"/>
                <w:szCs w:val="20"/>
                <w:color w:val="auto"/>
              </w:rPr>
            </w:pPr>
            <w:r>
              <w:rPr>
                <w:rFonts w:ascii="Arial" w:cs="Arial" w:eastAsia="Arial" w:hAnsi="Arial"/>
                <w:sz w:val="12"/>
                <w:szCs w:val="12"/>
                <w:color w:val="auto"/>
              </w:rPr>
              <w:t>161</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112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725297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36"/>
          <w:szCs w:val="36"/>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-67945</wp:posOffset>
            </wp:positionV>
            <wp:extent cx="282575" cy="64535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82575" cy="64535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40" w:type="dxa"/>
            <w:vAlign w:val="bottom"/>
            <w:tcBorders>
              <w:bottom w:val="single" w:sz="8" w:color="7DD0E0"/>
            </w:tcBorders>
            <w:shd w:val="clear" w:color="auto" w:fill="7DD0E0"/>
          </w:tcPr>
          <w:p>
            <w:pPr>
              <w:ind w:left="100"/>
              <w:spacing w:after="0"/>
              <w:rPr>
                <w:sz w:val="20"/>
                <w:szCs w:val="20"/>
                <w:color w:val="auto"/>
              </w:rPr>
            </w:pPr>
            <w:r>
              <w:rPr>
                <w:rFonts w:ascii="Arial" w:cs="Arial" w:eastAsia="Arial" w:hAnsi="Arial"/>
                <w:sz w:val="12"/>
                <w:szCs w:val="12"/>
                <w:b w:val="1"/>
                <w:bCs w:val="1"/>
                <w:color w:val="auto"/>
              </w:rPr>
              <w:t>CONSOLIDATED STATEMENT OF INCOME</w:t>
            </w:r>
          </w:p>
        </w:tc>
        <w:tc>
          <w:tcPr>
            <w:tcW w:w="2580" w:type="dxa"/>
            <w:vAlign w:val="bottom"/>
            <w:tcBorders>
              <w:bottom w:val="single" w:sz="8" w:color="7DD0E0"/>
            </w:tcBorders>
            <w:shd w:val="clear" w:color="auto" w:fill="7DD0E0"/>
          </w:tcPr>
          <w:p>
            <w:pPr>
              <w:spacing w:after="0"/>
              <w:rPr>
                <w:sz w:val="19"/>
                <w:szCs w:val="19"/>
                <w:color w:val="auto"/>
              </w:rPr>
            </w:pPr>
          </w:p>
        </w:tc>
        <w:tc>
          <w:tcPr>
            <w:tcW w:w="760" w:type="dxa"/>
            <w:vAlign w:val="bottom"/>
            <w:tcBorders>
              <w:bottom w:val="single" w:sz="8" w:color="7DD0E0"/>
            </w:tcBorders>
            <w:shd w:val="clear" w:color="auto" w:fill="7DD0E0"/>
          </w:tcPr>
          <w:p>
            <w:pPr>
              <w:spacing w:after="0"/>
              <w:rPr>
                <w:sz w:val="19"/>
                <w:szCs w:val="19"/>
                <w:color w:val="auto"/>
              </w:rPr>
            </w:pPr>
          </w:p>
        </w:tc>
        <w:tc>
          <w:tcPr>
            <w:tcW w:w="1540" w:type="dxa"/>
            <w:vAlign w:val="bottom"/>
            <w:tcBorders>
              <w:bottom w:val="single" w:sz="8" w:color="7DD0E0"/>
            </w:tcBorders>
            <w:shd w:val="clear" w:color="auto" w:fill="7DD0E0"/>
          </w:tcPr>
          <w:p>
            <w:pPr>
              <w:spacing w:after="0"/>
              <w:rPr>
                <w:sz w:val="19"/>
                <w:szCs w:val="19"/>
                <w:color w:val="auto"/>
              </w:rPr>
            </w:pPr>
          </w:p>
        </w:tc>
        <w:tc>
          <w:tcPr>
            <w:tcW w:w="1000" w:type="dxa"/>
            <w:vAlign w:val="bottom"/>
            <w:tcBorders>
              <w:bottom w:val="single" w:sz="8" w:color="7DD0E0"/>
            </w:tcBorders>
            <w:shd w:val="clear" w:color="auto" w:fill="7DD0E0"/>
          </w:tcPr>
          <w:p>
            <w:pPr>
              <w:jc w:val="right"/>
              <w:ind w:right="42"/>
              <w:spacing w:after="0"/>
              <w:rPr>
                <w:sz w:val="20"/>
                <w:szCs w:val="20"/>
                <w:color w:val="auto"/>
              </w:rPr>
            </w:pPr>
            <w:r>
              <w:rPr>
                <w:rFonts w:ascii="Arial" w:cs="Arial" w:eastAsia="Arial" w:hAnsi="Arial"/>
                <w:sz w:val="12"/>
                <w:szCs w:val="12"/>
                <w:b w:val="1"/>
                <w:bCs w:val="1"/>
                <w:color w:val="auto"/>
              </w:rPr>
              <w:t>$ million</w:t>
            </w:r>
          </w:p>
        </w:tc>
      </w:tr>
      <w:tr>
        <w:trPr>
          <w:trHeight w:val="220"/>
        </w:trPr>
        <w:tc>
          <w:tcPr>
            <w:tcW w:w="4840" w:type="dxa"/>
            <w:vAlign w:val="bottom"/>
            <w:tcBorders>
              <w:bottom w:val="single" w:sz="8" w:color="CECAC6"/>
            </w:tcBorders>
            <w:shd w:val="clear" w:color="auto" w:fill="CECAC6"/>
          </w:tcPr>
          <w:p>
            <w:pPr>
              <w:spacing w:after="0"/>
              <w:rPr>
                <w:sz w:val="19"/>
                <w:szCs w:val="19"/>
                <w:color w:val="auto"/>
              </w:rPr>
            </w:pPr>
          </w:p>
        </w:tc>
        <w:tc>
          <w:tcPr>
            <w:tcW w:w="2580" w:type="dxa"/>
            <w:vAlign w:val="bottom"/>
            <w:tcBorders>
              <w:bottom w:val="single" w:sz="8" w:color="CECAC6"/>
            </w:tcBorders>
            <w:shd w:val="clear" w:color="auto" w:fill="CECAC6"/>
          </w:tcPr>
          <w:p>
            <w:pPr>
              <w:jc w:val="right"/>
              <w:ind w:right="582"/>
              <w:spacing w:after="0"/>
              <w:rPr>
                <w:sz w:val="20"/>
                <w:szCs w:val="20"/>
                <w:color w:val="auto"/>
              </w:rPr>
            </w:pPr>
            <w:r>
              <w:rPr>
                <w:rFonts w:ascii="Arial" w:cs="Arial" w:eastAsia="Arial" w:hAnsi="Arial"/>
                <w:sz w:val="12"/>
                <w:szCs w:val="12"/>
                <w:i w:val="1"/>
                <w:iCs w:val="1"/>
                <w:color w:val="auto"/>
              </w:rPr>
              <w:t>NOTES</w:t>
            </w:r>
          </w:p>
        </w:tc>
        <w:tc>
          <w:tcPr>
            <w:tcW w:w="760" w:type="dxa"/>
            <w:vAlign w:val="bottom"/>
            <w:tcBorders>
              <w:bottom w:val="single" w:sz="8" w:color="CECAC6"/>
            </w:tcBorders>
            <w:shd w:val="clear" w:color="auto" w:fill="CECAC6"/>
          </w:tcPr>
          <w:p>
            <w:pPr>
              <w:jc w:val="right"/>
              <w:ind w:right="62"/>
              <w:spacing w:after="0"/>
              <w:rPr>
                <w:sz w:val="20"/>
                <w:szCs w:val="20"/>
                <w:color w:val="auto"/>
              </w:rPr>
            </w:pPr>
            <w:r>
              <w:rPr>
                <w:rFonts w:ascii="Arial" w:cs="Arial" w:eastAsia="Arial" w:hAnsi="Arial"/>
                <w:sz w:val="12"/>
                <w:szCs w:val="12"/>
                <w:color w:val="auto"/>
              </w:rPr>
              <w:t>2007</w:t>
            </w:r>
          </w:p>
        </w:tc>
        <w:tc>
          <w:tcPr>
            <w:tcW w:w="1540" w:type="dxa"/>
            <w:vAlign w:val="bottom"/>
            <w:tcBorders>
              <w:bottom w:val="single" w:sz="8" w:color="CECAC6"/>
            </w:tcBorders>
            <w:shd w:val="clear" w:color="auto" w:fill="CECAC6"/>
          </w:tcPr>
          <w:p>
            <w:pPr>
              <w:jc w:val="right"/>
              <w:ind w:right="322"/>
              <w:spacing w:after="0"/>
              <w:rPr>
                <w:sz w:val="20"/>
                <w:szCs w:val="20"/>
                <w:color w:val="auto"/>
              </w:rPr>
            </w:pPr>
            <w:r>
              <w:rPr>
                <w:rFonts w:ascii="Arial" w:cs="Arial" w:eastAsia="Arial" w:hAnsi="Arial"/>
                <w:sz w:val="12"/>
                <w:szCs w:val="12"/>
                <w:color w:val="auto"/>
              </w:rPr>
              <w:t>2006</w:t>
            </w:r>
          </w:p>
        </w:tc>
        <w:tc>
          <w:tcPr>
            <w:tcW w:w="1000" w:type="dxa"/>
            <w:vAlign w:val="bottom"/>
            <w:tcBorders>
              <w:bottom w:val="single" w:sz="8" w:color="CECAC6"/>
            </w:tcBorders>
            <w:shd w:val="clear" w:color="auto" w:fill="CECAC6"/>
          </w:tcPr>
          <w:p>
            <w:pPr>
              <w:jc w:val="right"/>
              <w:ind w:right="42"/>
              <w:spacing w:after="0"/>
              <w:rPr>
                <w:sz w:val="20"/>
                <w:szCs w:val="20"/>
                <w:color w:val="auto"/>
              </w:rPr>
            </w:pPr>
            <w:r>
              <w:rPr>
                <w:rFonts w:ascii="Arial" w:cs="Arial" w:eastAsia="Arial" w:hAnsi="Arial"/>
                <w:sz w:val="12"/>
                <w:szCs w:val="12"/>
                <w:color w:val="auto"/>
              </w:rPr>
              <w:t>2005</w:t>
            </w:r>
          </w:p>
        </w:tc>
      </w:tr>
      <w:tr>
        <w:trPr>
          <w:trHeight w:val="274"/>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Revenue</w:t>
            </w:r>
          </w:p>
        </w:tc>
        <w:tc>
          <w:tcPr>
            <w:tcW w:w="2580" w:type="dxa"/>
            <w:vAlign w:val="bottom"/>
          </w:tcPr>
          <w:p>
            <w:pPr>
              <w:jc w:val="right"/>
              <w:ind w:right="582"/>
              <w:spacing w:after="0"/>
              <w:rPr>
                <w:sz w:val="20"/>
                <w:szCs w:val="20"/>
                <w:color w:val="auto"/>
              </w:rPr>
            </w:pPr>
            <w:r>
              <w:rPr>
                <w:rFonts w:ascii="Arial" w:cs="Arial" w:eastAsia="Arial" w:hAnsi="Arial"/>
                <w:sz w:val="12"/>
                <w:szCs w:val="12"/>
                <w:i w:val="1"/>
                <w:iCs w:val="1"/>
                <w:color w:val="auto"/>
              </w:rPr>
              <w:t>4</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355,782</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318,845</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306,731</w:t>
            </w:r>
          </w:p>
        </w:tc>
      </w:tr>
      <w:tr>
        <w:trPr>
          <w:trHeight w:val="16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Cost of sales</w:t>
            </w:r>
          </w:p>
        </w:tc>
        <w:tc>
          <w:tcPr>
            <w:tcW w:w="2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296,697</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262,989</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252,622</w:t>
            </w:r>
          </w:p>
        </w:tc>
      </w:tr>
      <w:tr>
        <w:trPr>
          <w:trHeight w:val="190"/>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Gross profit</w:t>
            </w:r>
          </w:p>
        </w:tc>
        <w:tc>
          <w:tcPr>
            <w:tcW w:w="2580" w:type="dxa"/>
            <w:vAlign w:val="bottom"/>
          </w:tcPr>
          <w:p>
            <w:pPr>
              <w:spacing w:after="0"/>
              <w:rPr>
                <w:sz w:val="16"/>
                <w:szCs w:val="16"/>
                <w:color w:val="auto"/>
              </w:rPr>
            </w:pP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59,085</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55,856</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54,109</w:t>
            </w:r>
          </w:p>
        </w:tc>
      </w:tr>
      <w:tr>
        <w:trPr>
          <w:trHeight w:val="160"/>
        </w:trPr>
        <w:tc>
          <w:tcPr>
            <w:tcW w:w="4840" w:type="dxa"/>
            <w:vAlign w:val="bottom"/>
          </w:tcPr>
          <w:p>
            <w:pPr>
              <w:ind w:left="20"/>
              <w:spacing w:after="0"/>
              <w:rPr>
                <w:sz w:val="20"/>
                <w:szCs w:val="20"/>
                <w:color w:val="auto"/>
              </w:rPr>
            </w:pPr>
            <w:r>
              <w:rPr>
                <w:rFonts w:ascii="Arial" w:cs="Arial" w:eastAsia="Arial" w:hAnsi="Arial"/>
                <w:sz w:val="12"/>
                <w:szCs w:val="12"/>
                <w:color w:val="auto"/>
              </w:rPr>
              <w:t>Selling, distribution and administrative expenses</w:t>
            </w:r>
          </w:p>
        </w:tc>
        <w:tc>
          <w:tcPr>
            <w:tcW w:w="2580" w:type="dxa"/>
            <w:vAlign w:val="bottom"/>
          </w:tcPr>
          <w:p>
            <w:pPr>
              <w:spacing w:after="0"/>
              <w:rPr>
                <w:sz w:val="13"/>
                <w:szCs w:val="13"/>
                <w:color w:val="auto"/>
              </w:rPr>
            </w:pP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16,621</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16,616</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15,482</w:t>
            </w:r>
          </w:p>
        </w:tc>
      </w:tr>
      <w:tr>
        <w:trPr>
          <w:trHeight w:val="160"/>
        </w:trPr>
        <w:tc>
          <w:tcPr>
            <w:tcW w:w="4840" w:type="dxa"/>
            <w:vAlign w:val="bottom"/>
          </w:tcPr>
          <w:p>
            <w:pPr>
              <w:ind w:left="20"/>
              <w:spacing w:after="0"/>
              <w:rPr>
                <w:sz w:val="20"/>
                <w:szCs w:val="20"/>
                <w:color w:val="auto"/>
              </w:rPr>
            </w:pPr>
            <w:r>
              <w:rPr>
                <w:rFonts w:ascii="Arial" w:cs="Arial" w:eastAsia="Arial" w:hAnsi="Arial"/>
                <w:sz w:val="12"/>
                <w:szCs w:val="12"/>
                <w:color w:val="auto"/>
              </w:rPr>
              <w:t>Exploration</w:t>
            </w:r>
          </w:p>
        </w:tc>
        <w:tc>
          <w:tcPr>
            <w:tcW w:w="2580" w:type="dxa"/>
            <w:vAlign w:val="bottom"/>
          </w:tcPr>
          <w:p>
            <w:pPr>
              <w:spacing w:after="0"/>
              <w:rPr>
                <w:sz w:val="13"/>
                <w:szCs w:val="13"/>
                <w:color w:val="auto"/>
              </w:rPr>
            </w:pP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1,712</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1,562</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1,286</w:t>
            </w:r>
          </w:p>
        </w:tc>
      </w:tr>
      <w:tr>
        <w:trPr>
          <w:trHeight w:val="160"/>
        </w:trPr>
        <w:tc>
          <w:tcPr>
            <w:tcW w:w="4840" w:type="dxa"/>
            <w:vAlign w:val="bottom"/>
          </w:tcPr>
          <w:p>
            <w:pPr>
              <w:ind w:left="20"/>
              <w:spacing w:after="0"/>
              <w:rPr>
                <w:sz w:val="20"/>
                <w:szCs w:val="20"/>
                <w:color w:val="auto"/>
              </w:rPr>
            </w:pPr>
            <w:r>
              <w:rPr>
                <w:rFonts w:ascii="Arial" w:cs="Arial" w:eastAsia="Arial" w:hAnsi="Arial"/>
                <w:sz w:val="12"/>
                <w:szCs w:val="12"/>
                <w:color w:val="auto"/>
              </w:rPr>
              <w:t>Share of profit of equity-accounted investments</w:t>
            </w:r>
          </w:p>
        </w:tc>
        <w:tc>
          <w:tcPr>
            <w:tcW w:w="2580" w:type="dxa"/>
            <w:vAlign w:val="bottom"/>
          </w:tcPr>
          <w:p>
            <w:pPr>
              <w:jc w:val="right"/>
              <w:ind w:right="582"/>
              <w:spacing w:after="0"/>
              <w:rPr>
                <w:sz w:val="20"/>
                <w:szCs w:val="20"/>
                <w:color w:val="auto"/>
              </w:rPr>
            </w:pPr>
            <w:r>
              <w:rPr>
                <w:rFonts w:ascii="Arial" w:cs="Arial" w:eastAsia="Arial" w:hAnsi="Arial"/>
                <w:sz w:val="12"/>
                <w:szCs w:val="12"/>
                <w:i w:val="1"/>
                <w:iCs w:val="1"/>
                <w:color w:val="auto"/>
              </w:rPr>
              <w:t>13</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8,234</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6,671</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7,123</w:t>
            </w:r>
          </w:p>
        </w:tc>
      </w:tr>
      <w:tr>
        <w:trPr>
          <w:trHeight w:val="160"/>
        </w:trPr>
        <w:tc>
          <w:tcPr>
            <w:tcW w:w="4840" w:type="dxa"/>
            <w:vAlign w:val="bottom"/>
          </w:tcPr>
          <w:p>
            <w:pPr>
              <w:ind w:left="20"/>
              <w:spacing w:after="0"/>
              <w:rPr>
                <w:sz w:val="20"/>
                <w:szCs w:val="20"/>
                <w:color w:val="auto"/>
              </w:rPr>
            </w:pPr>
            <w:r>
              <w:rPr>
                <w:rFonts w:ascii="Arial" w:cs="Arial" w:eastAsia="Arial" w:hAnsi="Arial"/>
                <w:sz w:val="12"/>
                <w:szCs w:val="12"/>
                <w:color w:val="auto"/>
              </w:rPr>
              <w:t>Interest and other income</w:t>
            </w:r>
          </w:p>
        </w:tc>
        <w:tc>
          <w:tcPr>
            <w:tcW w:w="2580" w:type="dxa"/>
            <w:vAlign w:val="bottom"/>
          </w:tcPr>
          <w:p>
            <w:pPr>
              <w:jc w:val="right"/>
              <w:ind w:right="582"/>
              <w:spacing w:after="0"/>
              <w:rPr>
                <w:sz w:val="20"/>
                <w:szCs w:val="20"/>
                <w:color w:val="auto"/>
              </w:rPr>
            </w:pPr>
            <w:r>
              <w:rPr>
                <w:rFonts w:ascii="Arial" w:cs="Arial" w:eastAsia="Arial" w:hAnsi="Arial"/>
                <w:sz w:val="12"/>
                <w:szCs w:val="12"/>
                <w:i w:val="1"/>
                <w:iCs w:val="1"/>
                <w:color w:val="auto"/>
              </w:rPr>
              <w:t>5</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2,698</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1,428</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1,171</w:t>
            </w:r>
          </w:p>
        </w:tc>
      </w:tr>
      <w:tr>
        <w:trPr>
          <w:trHeight w:val="16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expense</w:t>
            </w:r>
          </w:p>
        </w:tc>
        <w:tc>
          <w:tcPr>
            <w:tcW w:w="258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i w:val="1"/>
                <w:iCs w:val="1"/>
                <w:color w:val="auto"/>
              </w:rPr>
              <w:t>5</w:t>
            </w: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1,108</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1,149</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1,068</w:t>
            </w:r>
          </w:p>
        </w:tc>
      </w:tr>
      <w:tr>
        <w:trPr>
          <w:trHeight w:val="190"/>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Income before taxation</w:t>
            </w:r>
          </w:p>
        </w:tc>
        <w:tc>
          <w:tcPr>
            <w:tcW w:w="2580" w:type="dxa"/>
            <w:vAlign w:val="bottom"/>
          </w:tcPr>
          <w:p>
            <w:pPr>
              <w:spacing w:after="0"/>
              <w:rPr>
                <w:sz w:val="16"/>
                <w:szCs w:val="16"/>
                <w:color w:val="auto"/>
              </w:rPr>
            </w:pP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50,576</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44,628</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44,567</w:t>
            </w:r>
          </w:p>
        </w:tc>
      </w:tr>
      <w:tr>
        <w:trPr>
          <w:trHeight w:val="16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Taxation</w:t>
            </w:r>
          </w:p>
        </w:tc>
        <w:tc>
          <w:tcPr>
            <w:tcW w:w="258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i w:val="1"/>
                <w:iCs w:val="1"/>
                <w:color w:val="auto"/>
              </w:rPr>
              <w:t>20</w:t>
            </w: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18,650</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18,317</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17,999</w:t>
            </w:r>
          </w:p>
        </w:tc>
      </w:tr>
      <w:tr>
        <w:trPr>
          <w:trHeight w:val="190"/>
        </w:trPr>
        <w:tc>
          <w:tcPr>
            <w:tcW w:w="4840" w:type="dxa"/>
            <w:vAlign w:val="bottom"/>
          </w:tcPr>
          <w:p>
            <w:pPr>
              <w:ind w:left="20"/>
              <w:spacing w:after="0"/>
              <w:rPr>
                <w:sz w:val="20"/>
                <w:szCs w:val="20"/>
                <w:color w:val="auto"/>
              </w:rPr>
            </w:pPr>
            <w:r>
              <w:rPr>
                <w:rFonts w:ascii="Arial" w:cs="Arial" w:eastAsia="Arial" w:hAnsi="Arial"/>
                <w:sz w:val="12"/>
                <w:szCs w:val="12"/>
                <w:b w:val="1"/>
                <w:bCs w:val="1"/>
                <w:color w:val="auto"/>
              </w:rPr>
              <w:t>Income from continuing operations</w:t>
            </w:r>
          </w:p>
        </w:tc>
        <w:tc>
          <w:tcPr>
            <w:tcW w:w="2580" w:type="dxa"/>
            <w:vAlign w:val="bottom"/>
          </w:tcPr>
          <w:p>
            <w:pPr>
              <w:spacing w:after="0"/>
              <w:rPr>
                <w:sz w:val="16"/>
                <w:szCs w:val="16"/>
                <w:color w:val="auto"/>
              </w:rPr>
            </w:pP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31,926</w:t>
            </w:r>
          </w:p>
        </w:tc>
        <w:tc>
          <w:tcPr>
            <w:tcW w:w="1540" w:type="dxa"/>
            <w:vAlign w:val="bottom"/>
          </w:tcPr>
          <w:p>
            <w:pPr>
              <w:jc w:val="right"/>
              <w:ind w:right="322"/>
              <w:spacing w:after="0"/>
              <w:rPr>
                <w:sz w:val="20"/>
                <w:szCs w:val="20"/>
                <w:color w:val="auto"/>
              </w:rPr>
            </w:pPr>
            <w:r>
              <w:rPr>
                <w:rFonts w:ascii="Arial" w:cs="Arial" w:eastAsia="Arial" w:hAnsi="Arial"/>
                <w:sz w:val="12"/>
                <w:szCs w:val="12"/>
                <w:color w:val="auto"/>
              </w:rPr>
              <w:t>26,311</w:t>
            </w:r>
          </w:p>
        </w:tc>
        <w:tc>
          <w:tcPr>
            <w:tcW w:w="1000" w:type="dxa"/>
            <w:vAlign w:val="bottom"/>
          </w:tcPr>
          <w:p>
            <w:pPr>
              <w:jc w:val="right"/>
              <w:ind w:right="42"/>
              <w:spacing w:after="0"/>
              <w:rPr>
                <w:sz w:val="20"/>
                <w:szCs w:val="20"/>
                <w:color w:val="auto"/>
              </w:rPr>
            </w:pPr>
            <w:r>
              <w:rPr>
                <w:rFonts w:ascii="Arial" w:cs="Arial" w:eastAsia="Arial" w:hAnsi="Arial"/>
                <w:sz w:val="12"/>
                <w:szCs w:val="12"/>
                <w:color w:val="auto"/>
              </w:rPr>
              <w:t>26,568</w:t>
            </w:r>
          </w:p>
        </w:tc>
      </w:tr>
      <w:tr>
        <w:trPr>
          <w:trHeight w:val="16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Income/(loss) from discontinued operations</w:t>
            </w:r>
          </w:p>
        </w:tc>
        <w:tc>
          <w:tcPr>
            <w:tcW w:w="2580" w:type="dxa"/>
            <w:vAlign w:val="bottom"/>
            <w:tcBorders>
              <w:bottom w:val="single" w:sz="8" w:color="auto"/>
            </w:tcBorders>
          </w:tcPr>
          <w:p>
            <w:pPr>
              <w:jc w:val="right"/>
              <w:ind w:right="582"/>
              <w:spacing w:after="0"/>
              <w:rPr>
                <w:sz w:val="20"/>
                <w:szCs w:val="20"/>
                <w:color w:val="auto"/>
              </w:rPr>
            </w:pPr>
            <w:r>
              <w:rPr>
                <w:rFonts w:ascii="Arial" w:cs="Arial" w:eastAsia="Arial" w:hAnsi="Arial"/>
                <w:sz w:val="12"/>
                <w:szCs w:val="12"/>
                <w:i w:val="1"/>
                <w:iCs w:val="1"/>
                <w:color w:val="auto"/>
              </w:rPr>
              <w:t>9</w:t>
            </w: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(307)</w:t>
            </w:r>
          </w:p>
        </w:tc>
      </w:tr>
      <w:tr>
        <w:trPr>
          <w:trHeight w:val="19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Income for the period</w:t>
            </w:r>
          </w:p>
        </w:tc>
        <w:tc>
          <w:tcPr>
            <w:tcW w:w="2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31,926</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26,311</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26,261</w:t>
            </w:r>
          </w:p>
        </w:tc>
      </w:tr>
      <w:tr>
        <w:trPr>
          <w:trHeight w:val="35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Income attributable to minority interest</w:t>
            </w:r>
          </w:p>
        </w:tc>
        <w:tc>
          <w:tcPr>
            <w:tcW w:w="2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595</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869</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950</w:t>
            </w:r>
          </w:p>
        </w:tc>
      </w:tr>
      <w:tr>
        <w:trPr>
          <w:trHeight w:val="203"/>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Income attributable to shareholders of Royal Dutch Shell plc</w:t>
            </w:r>
          </w:p>
        </w:tc>
        <w:tc>
          <w:tcPr>
            <w:tcW w:w="2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31,331</w:t>
            </w:r>
          </w:p>
        </w:tc>
        <w:tc>
          <w:tcPr>
            <w:tcW w:w="15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rPr>
              <w:t>25,442</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25,311</w:t>
            </w: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20" w:type="dxa"/>
            <w:vAlign w:val="bottom"/>
            <w:tcBorders>
              <w:bottom w:val="single" w:sz="8" w:color="7DD0E0"/>
            </w:tcBorders>
            <w:shd w:val="clear" w:color="auto" w:fill="7DD0E0"/>
          </w:tcPr>
          <w:p>
            <w:pPr>
              <w:ind w:left="100"/>
              <w:spacing w:after="0"/>
              <w:rPr>
                <w:sz w:val="20"/>
                <w:szCs w:val="20"/>
                <w:color w:val="auto"/>
              </w:rPr>
            </w:pPr>
            <w:r>
              <w:rPr>
                <w:rFonts w:ascii="Arial" w:cs="Arial" w:eastAsia="Arial" w:hAnsi="Arial"/>
                <w:sz w:val="12"/>
                <w:szCs w:val="12"/>
                <w:b w:val="1"/>
                <w:bCs w:val="1"/>
                <w:color w:val="auto"/>
              </w:rPr>
              <w:t>EARNINGS PER SHARE (See Note 34)</w:t>
            </w:r>
          </w:p>
        </w:tc>
        <w:tc>
          <w:tcPr>
            <w:tcW w:w="760" w:type="dxa"/>
            <w:vAlign w:val="bottom"/>
            <w:tcBorders>
              <w:bottom w:val="single" w:sz="8" w:color="7DD0E0"/>
            </w:tcBorders>
            <w:shd w:val="clear" w:color="auto" w:fill="7DD0E0"/>
          </w:tcPr>
          <w:p>
            <w:pPr>
              <w:spacing w:after="0"/>
              <w:rPr>
                <w:sz w:val="19"/>
                <w:szCs w:val="19"/>
                <w:color w:val="auto"/>
              </w:rPr>
            </w:pPr>
          </w:p>
        </w:tc>
        <w:tc>
          <w:tcPr>
            <w:tcW w:w="1660" w:type="dxa"/>
            <w:vAlign w:val="bottom"/>
            <w:tcBorders>
              <w:bottom w:val="single" w:sz="8" w:color="7DD0E0"/>
            </w:tcBorders>
            <w:shd w:val="clear" w:color="auto" w:fill="7DD0E0"/>
          </w:tcPr>
          <w:p>
            <w:pPr>
              <w:spacing w:after="0"/>
              <w:rPr>
                <w:sz w:val="19"/>
                <w:szCs w:val="19"/>
                <w:color w:val="auto"/>
              </w:rPr>
            </w:pPr>
          </w:p>
        </w:tc>
        <w:tc>
          <w:tcPr>
            <w:tcW w:w="880" w:type="dxa"/>
            <w:vAlign w:val="bottom"/>
            <w:tcBorders>
              <w:bottom w:val="single" w:sz="8" w:color="7DD0E0"/>
            </w:tcBorders>
            <w:shd w:val="clear" w:color="auto" w:fill="7DD0E0"/>
          </w:tcPr>
          <w:p>
            <w:pPr>
              <w:jc w:val="right"/>
              <w:ind w:right="41"/>
              <w:spacing w:after="0"/>
              <w:rPr>
                <w:sz w:val="20"/>
                <w:szCs w:val="20"/>
                <w:color w:val="auto"/>
              </w:rPr>
            </w:pPr>
            <w:r>
              <w:rPr>
                <w:rFonts w:ascii="Arial" w:cs="Arial" w:eastAsia="Arial" w:hAnsi="Arial"/>
                <w:sz w:val="12"/>
                <w:szCs w:val="12"/>
                <w:b w:val="1"/>
                <w:bCs w:val="1"/>
                <w:color w:val="auto"/>
              </w:rPr>
              <w:t>$</w:t>
            </w:r>
          </w:p>
        </w:tc>
      </w:tr>
      <w:tr>
        <w:trPr>
          <w:trHeight w:val="220"/>
        </w:trPr>
        <w:tc>
          <w:tcPr>
            <w:tcW w:w="7420" w:type="dxa"/>
            <w:vAlign w:val="bottom"/>
            <w:tcBorders>
              <w:bottom w:val="single" w:sz="8" w:color="CECAC6"/>
            </w:tcBorders>
            <w:shd w:val="clear" w:color="auto" w:fill="CECAC6"/>
          </w:tcPr>
          <w:p>
            <w:pPr>
              <w:spacing w:after="0"/>
              <w:rPr>
                <w:sz w:val="19"/>
                <w:szCs w:val="19"/>
                <w:color w:val="auto"/>
              </w:rPr>
            </w:pPr>
          </w:p>
        </w:tc>
        <w:tc>
          <w:tcPr>
            <w:tcW w:w="760" w:type="dxa"/>
            <w:vAlign w:val="bottom"/>
            <w:tcBorders>
              <w:bottom w:val="single" w:sz="8" w:color="CECAC6"/>
            </w:tcBorders>
            <w:shd w:val="clear" w:color="auto" w:fill="CECAC6"/>
          </w:tcPr>
          <w:p>
            <w:pPr>
              <w:jc w:val="right"/>
              <w:ind w:right="62"/>
              <w:spacing w:after="0"/>
              <w:rPr>
                <w:sz w:val="20"/>
                <w:szCs w:val="20"/>
                <w:color w:val="auto"/>
              </w:rPr>
            </w:pPr>
            <w:r>
              <w:rPr>
                <w:rFonts w:ascii="Arial" w:cs="Arial" w:eastAsia="Arial" w:hAnsi="Arial"/>
                <w:sz w:val="12"/>
                <w:szCs w:val="12"/>
                <w:color w:val="auto"/>
              </w:rPr>
              <w:t>2007</w:t>
            </w:r>
          </w:p>
        </w:tc>
        <w:tc>
          <w:tcPr>
            <w:tcW w:w="1660" w:type="dxa"/>
            <w:vAlign w:val="bottom"/>
            <w:tcBorders>
              <w:bottom w:val="single" w:sz="8" w:color="CECAC6"/>
            </w:tcBorders>
            <w:shd w:val="clear" w:color="auto" w:fill="CECAC6"/>
          </w:tcPr>
          <w:p>
            <w:pPr>
              <w:jc w:val="right"/>
              <w:ind w:right="442"/>
              <w:spacing w:after="0"/>
              <w:rPr>
                <w:sz w:val="20"/>
                <w:szCs w:val="20"/>
                <w:color w:val="auto"/>
              </w:rPr>
            </w:pPr>
            <w:r>
              <w:rPr>
                <w:rFonts w:ascii="Arial" w:cs="Arial" w:eastAsia="Arial" w:hAnsi="Arial"/>
                <w:sz w:val="12"/>
                <w:szCs w:val="12"/>
                <w:color w:val="auto"/>
              </w:rPr>
              <w:t>2006</w:t>
            </w:r>
          </w:p>
        </w:tc>
        <w:tc>
          <w:tcPr>
            <w:tcW w:w="880" w:type="dxa"/>
            <w:vAlign w:val="bottom"/>
            <w:tcBorders>
              <w:bottom w:val="single" w:sz="8" w:color="CECAC6"/>
            </w:tcBorders>
            <w:shd w:val="clear" w:color="auto" w:fill="CECAC6"/>
          </w:tcPr>
          <w:p>
            <w:pPr>
              <w:jc w:val="right"/>
              <w:ind w:right="41"/>
              <w:spacing w:after="0"/>
              <w:rPr>
                <w:sz w:val="20"/>
                <w:szCs w:val="20"/>
                <w:color w:val="auto"/>
              </w:rPr>
            </w:pPr>
            <w:r>
              <w:rPr>
                <w:rFonts w:ascii="Arial" w:cs="Arial" w:eastAsia="Arial" w:hAnsi="Arial"/>
                <w:sz w:val="12"/>
                <w:szCs w:val="12"/>
                <w:color w:val="auto"/>
              </w:rPr>
              <w:t>2005</w:t>
            </w:r>
          </w:p>
        </w:tc>
      </w:tr>
      <w:tr>
        <w:trPr>
          <w:trHeight w:val="274"/>
        </w:trPr>
        <w:tc>
          <w:tcPr>
            <w:tcW w:w="7420" w:type="dxa"/>
            <w:vAlign w:val="bottom"/>
          </w:tcPr>
          <w:p>
            <w:pPr>
              <w:ind w:left="20"/>
              <w:spacing w:after="0"/>
              <w:rPr>
                <w:sz w:val="20"/>
                <w:szCs w:val="20"/>
                <w:color w:val="auto"/>
              </w:rPr>
            </w:pPr>
            <w:r>
              <w:rPr>
                <w:rFonts w:ascii="Arial" w:cs="Arial" w:eastAsia="Arial" w:hAnsi="Arial"/>
                <w:sz w:val="12"/>
                <w:szCs w:val="12"/>
                <w:color w:val="auto"/>
              </w:rPr>
              <w:t>Basic earnings per share</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5.00</w:t>
            </w:r>
          </w:p>
        </w:tc>
        <w:tc>
          <w:tcPr>
            <w:tcW w:w="1660" w:type="dxa"/>
            <w:vAlign w:val="bottom"/>
          </w:tcPr>
          <w:p>
            <w:pPr>
              <w:jc w:val="right"/>
              <w:ind w:right="442"/>
              <w:spacing w:after="0"/>
              <w:rPr>
                <w:sz w:val="20"/>
                <w:szCs w:val="20"/>
                <w:color w:val="auto"/>
              </w:rPr>
            </w:pPr>
            <w:r>
              <w:rPr>
                <w:rFonts w:ascii="Arial" w:cs="Arial" w:eastAsia="Arial" w:hAnsi="Arial"/>
                <w:sz w:val="12"/>
                <w:szCs w:val="12"/>
                <w:color w:val="auto"/>
              </w:rPr>
              <w:t>3.97</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3.79</w:t>
            </w:r>
          </w:p>
        </w:tc>
      </w:tr>
      <w:tr>
        <w:trPr>
          <w:trHeight w:val="160"/>
        </w:trPr>
        <w:tc>
          <w:tcPr>
            <w:tcW w:w="7420" w:type="dxa"/>
            <w:vAlign w:val="bottom"/>
          </w:tcPr>
          <w:p>
            <w:pPr>
              <w:ind w:left="220"/>
              <w:spacing w:after="0"/>
              <w:rPr>
                <w:sz w:val="20"/>
                <w:szCs w:val="20"/>
                <w:color w:val="auto"/>
              </w:rPr>
            </w:pPr>
            <w:r>
              <w:rPr>
                <w:rFonts w:ascii="Arial" w:cs="Arial" w:eastAsia="Arial" w:hAnsi="Arial"/>
                <w:sz w:val="12"/>
                <w:szCs w:val="12"/>
                <w:color w:val="auto"/>
              </w:rPr>
              <w:t>Continuing operations</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5.00</w:t>
            </w:r>
          </w:p>
        </w:tc>
        <w:tc>
          <w:tcPr>
            <w:tcW w:w="1660" w:type="dxa"/>
            <w:vAlign w:val="bottom"/>
          </w:tcPr>
          <w:p>
            <w:pPr>
              <w:jc w:val="right"/>
              <w:ind w:right="442"/>
              <w:spacing w:after="0"/>
              <w:rPr>
                <w:sz w:val="20"/>
                <w:szCs w:val="20"/>
                <w:color w:val="auto"/>
              </w:rPr>
            </w:pPr>
            <w:r>
              <w:rPr>
                <w:rFonts w:ascii="Arial" w:cs="Arial" w:eastAsia="Arial" w:hAnsi="Arial"/>
                <w:sz w:val="12"/>
                <w:szCs w:val="12"/>
                <w:color w:val="auto"/>
              </w:rPr>
              <w:t>3.97</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3.84</w:t>
            </w:r>
          </w:p>
        </w:tc>
      </w:tr>
      <w:tr>
        <w:trPr>
          <w:trHeight w:val="160"/>
        </w:trPr>
        <w:tc>
          <w:tcPr>
            <w:tcW w:w="7420" w:type="dxa"/>
            <w:vAlign w:val="bottom"/>
          </w:tcPr>
          <w:p>
            <w:pPr>
              <w:ind w:left="220"/>
              <w:spacing w:after="0"/>
              <w:rPr>
                <w:sz w:val="20"/>
                <w:szCs w:val="20"/>
                <w:color w:val="auto"/>
              </w:rPr>
            </w:pPr>
            <w:r>
              <w:rPr>
                <w:rFonts w:ascii="Arial" w:cs="Arial" w:eastAsia="Arial" w:hAnsi="Arial"/>
                <w:sz w:val="12"/>
                <w:szCs w:val="12"/>
                <w:color w:val="auto"/>
              </w:rPr>
              <w:t>Discontinued operations</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w:t>
            </w:r>
          </w:p>
        </w:tc>
        <w:tc>
          <w:tcPr>
            <w:tcW w:w="1660" w:type="dxa"/>
            <w:vAlign w:val="bottom"/>
          </w:tcPr>
          <w:p>
            <w:pPr>
              <w:jc w:val="right"/>
              <w:ind w:right="44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(0.05)</w:t>
            </w:r>
          </w:p>
        </w:tc>
      </w:tr>
      <w:tr>
        <w:trPr>
          <w:trHeight w:val="320"/>
        </w:trPr>
        <w:tc>
          <w:tcPr>
            <w:tcW w:w="7420" w:type="dxa"/>
            <w:vAlign w:val="bottom"/>
          </w:tcPr>
          <w:p>
            <w:pPr>
              <w:ind w:left="20"/>
              <w:spacing w:after="0"/>
              <w:rPr>
                <w:sz w:val="20"/>
                <w:szCs w:val="20"/>
                <w:color w:val="auto"/>
              </w:rPr>
            </w:pPr>
            <w:r>
              <w:rPr>
                <w:rFonts w:ascii="Arial" w:cs="Arial" w:eastAsia="Arial" w:hAnsi="Arial"/>
                <w:sz w:val="12"/>
                <w:szCs w:val="12"/>
                <w:color w:val="auto"/>
              </w:rPr>
              <w:t>Diluted earnings per share</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4.99</w:t>
            </w:r>
          </w:p>
        </w:tc>
        <w:tc>
          <w:tcPr>
            <w:tcW w:w="1660" w:type="dxa"/>
            <w:vAlign w:val="bottom"/>
          </w:tcPr>
          <w:p>
            <w:pPr>
              <w:jc w:val="right"/>
              <w:ind w:right="442"/>
              <w:spacing w:after="0"/>
              <w:rPr>
                <w:sz w:val="20"/>
                <w:szCs w:val="20"/>
                <w:color w:val="auto"/>
              </w:rPr>
            </w:pPr>
            <w:r>
              <w:rPr>
                <w:rFonts w:ascii="Arial" w:cs="Arial" w:eastAsia="Arial" w:hAnsi="Arial"/>
                <w:sz w:val="12"/>
                <w:szCs w:val="12"/>
                <w:color w:val="auto"/>
              </w:rPr>
              <w:t>3.95</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3.78</w:t>
            </w:r>
          </w:p>
        </w:tc>
      </w:tr>
      <w:tr>
        <w:trPr>
          <w:trHeight w:val="160"/>
        </w:trPr>
        <w:tc>
          <w:tcPr>
            <w:tcW w:w="7420" w:type="dxa"/>
            <w:vAlign w:val="bottom"/>
          </w:tcPr>
          <w:p>
            <w:pPr>
              <w:ind w:left="220"/>
              <w:spacing w:after="0"/>
              <w:rPr>
                <w:sz w:val="20"/>
                <w:szCs w:val="20"/>
                <w:color w:val="auto"/>
              </w:rPr>
            </w:pPr>
            <w:r>
              <w:rPr>
                <w:rFonts w:ascii="Arial" w:cs="Arial" w:eastAsia="Arial" w:hAnsi="Arial"/>
                <w:sz w:val="12"/>
                <w:szCs w:val="12"/>
                <w:color w:val="auto"/>
              </w:rPr>
              <w:t>Continuing operations</w:t>
            </w:r>
          </w:p>
        </w:tc>
        <w:tc>
          <w:tcPr>
            <w:tcW w:w="760" w:type="dxa"/>
            <w:vAlign w:val="bottom"/>
            <w:shd w:val="clear" w:color="auto" w:fill="E4E3E1"/>
          </w:tcPr>
          <w:p>
            <w:pPr>
              <w:jc w:val="right"/>
              <w:ind w:right="62"/>
              <w:spacing w:after="0"/>
              <w:rPr>
                <w:sz w:val="20"/>
                <w:szCs w:val="20"/>
                <w:color w:val="auto"/>
              </w:rPr>
            </w:pPr>
            <w:r>
              <w:rPr>
                <w:rFonts w:ascii="Arial" w:cs="Arial" w:eastAsia="Arial" w:hAnsi="Arial"/>
                <w:sz w:val="12"/>
                <w:szCs w:val="12"/>
                <w:color w:val="auto"/>
              </w:rPr>
              <w:t>4.99</w:t>
            </w:r>
          </w:p>
        </w:tc>
        <w:tc>
          <w:tcPr>
            <w:tcW w:w="1660" w:type="dxa"/>
            <w:vAlign w:val="bottom"/>
          </w:tcPr>
          <w:p>
            <w:pPr>
              <w:jc w:val="right"/>
              <w:ind w:right="442"/>
              <w:spacing w:after="0"/>
              <w:rPr>
                <w:sz w:val="20"/>
                <w:szCs w:val="20"/>
                <w:color w:val="auto"/>
              </w:rPr>
            </w:pPr>
            <w:r>
              <w:rPr>
                <w:rFonts w:ascii="Arial" w:cs="Arial" w:eastAsia="Arial" w:hAnsi="Arial"/>
                <w:sz w:val="12"/>
                <w:szCs w:val="12"/>
                <w:color w:val="auto"/>
              </w:rPr>
              <w:t>3.95</w:t>
            </w:r>
          </w:p>
        </w:tc>
        <w:tc>
          <w:tcPr>
            <w:tcW w:w="880" w:type="dxa"/>
            <w:vAlign w:val="bottom"/>
          </w:tcPr>
          <w:p>
            <w:pPr>
              <w:jc w:val="right"/>
              <w:ind w:right="41"/>
              <w:spacing w:after="0"/>
              <w:rPr>
                <w:sz w:val="20"/>
                <w:szCs w:val="20"/>
                <w:color w:val="auto"/>
              </w:rPr>
            </w:pPr>
            <w:r>
              <w:rPr>
                <w:rFonts w:ascii="Arial" w:cs="Arial" w:eastAsia="Arial" w:hAnsi="Arial"/>
                <w:sz w:val="12"/>
                <w:szCs w:val="12"/>
                <w:color w:val="auto"/>
              </w:rPr>
              <w:t>3.83</w:t>
            </w:r>
          </w:p>
        </w:tc>
      </w:tr>
      <w:tr>
        <w:trPr>
          <w:trHeight w:val="172"/>
        </w:trPr>
        <w:tc>
          <w:tcPr>
            <w:tcW w:w="742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Discontinued operations</w:t>
            </w:r>
          </w:p>
        </w:tc>
        <w:tc>
          <w:tcPr>
            <w:tcW w:w="760" w:type="dxa"/>
            <w:vAlign w:val="bottom"/>
            <w:tcBorders>
              <w:bottom w:val="single" w:sz="8" w:color="auto"/>
            </w:tcBorders>
            <w:shd w:val="clear" w:color="auto" w:fill="E4E3E1"/>
          </w:tcPr>
          <w:p>
            <w:pPr>
              <w:jc w:val="right"/>
              <w:ind w:right="62"/>
              <w:spacing w:after="0"/>
              <w:rPr>
                <w:sz w:val="20"/>
                <w:szCs w:val="20"/>
                <w:color w:val="auto"/>
              </w:rPr>
            </w:pPr>
            <w:r>
              <w:rPr>
                <w:rFonts w:ascii="Arial" w:cs="Arial" w:eastAsia="Arial" w:hAnsi="Arial"/>
                <w:sz w:val="12"/>
                <w:szCs w:val="12"/>
                <w:color w:val="auto"/>
              </w:rPr>
              <w:t>–</w:t>
            </w:r>
          </w:p>
        </w:tc>
        <w:tc>
          <w:tcPr>
            <w:tcW w:w="166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(0.05)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117 to 161 are an integral part of these Consolidated Financial Statements.</w:t>
      </w:r>
    </w:p>
    <w:p>
      <w:pPr>
        <w:spacing w:after="0" w:line="200" w:lineRule="exact"/>
        <w:rPr>
          <w:sz w:val="20"/>
          <w:szCs w:val="20"/>
          <w:color w:val="auto"/>
        </w:rPr>
      </w:pPr>
    </w:p>
    <w:p>
      <w:pPr>
        <w:spacing w:after="0" w:line="23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1131570</wp:posOffset>
            </wp:positionV>
            <wp:extent cx="725297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CONSOLIDATED FINANCIAL STATEMENTS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920" w:type="dxa"/>
            <w:vAlign w:val="bottom"/>
            <w:shd w:val="clear" w:color="auto" w:fill="7DD0E0"/>
          </w:tcPr>
          <w:p>
            <w:pPr>
              <w:ind w:left="80"/>
              <w:spacing w:after="0"/>
              <w:rPr>
                <w:sz w:val="20"/>
                <w:szCs w:val="20"/>
                <w:color w:val="auto"/>
              </w:rPr>
            </w:pPr>
            <w:r>
              <w:rPr>
                <w:rFonts w:ascii="Arial" w:cs="Arial" w:eastAsia="Arial" w:hAnsi="Arial"/>
                <w:sz w:val="12"/>
                <w:szCs w:val="12"/>
                <w:b w:val="1"/>
                <w:bCs w:val="1"/>
                <w:color w:val="auto"/>
              </w:rPr>
              <w:t>CONSOLIDATED BALANCE SHEET</w:t>
            </w:r>
          </w:p>
        </w:tc>
        <w:tc>
          <w:tcPr>
            <w:tcW w:w="3360" w:type="dxa"/>
            <w:vAlign w:val="bottom"/>
            <w:shd w:val="clear" w:color="auto" w:fill="7DD0E0"/>
          </w:tcPr>
          <w:p>
            <w:pPr>
              <w:spacing w:after="0"/>
              <w:rPr>
                <w:sz w:val="12"/>
                <w:szCs w:val="12"/>
                <w:color w:val="auto"/>
              </w:rPr>
            </w:pPr>
          </w:p>
        </w:tc>
        <w:tc>
          <w:tcPr>
            <w:tcW w:w="800" w:type="dxa"/>
            <w:vAlign w:val="bottom"/>
            <w:shd w:val="clear" w:color="auto" w:fill="7DD0E0"/>
          </w:tcPr>
          <w:p>
            <w:pPr>
              <w:spacing w:after="0"/>
              <w:rPr>
                <w:sz w:val="12"/>
                <w:szCs w:val="12"/>
                <w:color w:val="auto"/>
              </w:rPr>
            </w:pPr>
          </w:p>
        </w:tc>
        <w:tc>
          <w:tcPr>
            <w:tcW w:w="300" w:type="dxa"/>
            <w:vAlign w:val="bottom"/>
            <w:shd w:val="clear" w:color="auto" w:fill="7DD0E0"/>
          </w:tcPr>
          <w:p>
            <w:pPr>
              <w:spacing w:after="0"/>
              <w:rPr>
                <w:sz w:val="12"/>
                <w:szCs w:val="12"/>
                <w:color w:val="auto"/>
              </w:rPr>
            </w:pPr>
          </w:p>
        </w:tc>
        <w:tc>
          <w:tcPr>
            <w:tcW w:w="1040" w:type="dxa"/>
            <w:vAlign w:val="bottom"/>
            <w:gridSpan w:val="2"/>
            <w:shd w:val="clear" w:color="auto" w:fill="7DD0E0"/>
          </w:tcPr>
          <w:p>
            <w:pPr>
              <w:jc w:val="right"/>
              <w:ind w:right="100"/>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33"/>
        </w:trPr>
        <w:tc>
          <w:tcPr>
            <w:tcW w:w="5920" w:type="dxa"/>
            <w:vAlign w:val="bottom"/>
            <w:shd w:val="clear" w:color="auto" w:fill="CECAC6"/>
          </w:tcPr>
          <w:p>
            <w:pPr>
              <w:spacing w:after="0"/>
              <w:rPr>
                <w:sz w:val="11"/>
                <w:szCs w:val="11"/>
                <w:color w:val="auto"/>
              </w:rPr>
            </w:pPr>
          </w:p>
        </w:tc>
        <w:tc>
          <w:tcPr>
            <w:tcW w:w="3360" w:type="dxa"/>
            <w:vAlign w:val="bottom"/>
            <w:shd w:val="clear" w:color="auto" w:fill="CECAC6"/>
          </w:tcPr>
          <w:p>
            <w:pPr>
              <w:jc w:val="center"/>
              <w:ind w:left="1758"/>
              <w:spacing w:after="0" w:line="133" w:lineRule="exact"/>
              <w:rPr>
                <w:sz w:val="20"/>
                <w:szCs w:val="20"/>
                <w:color w:val="auto"/>
              </w:rPr>
            </w:pPr>
            <w:r>
              <w:rPr>
                <w:rFonts w:ascii="Arial" w:cs="Arial" w:eastAsia="Arial" w:hAnsi="Arial"/>
                <w:sz w:val="12"/>
                <w:szCs w:val="12"/>
                <w:i w:val="1"/>
                <w:iCs w:val="1"/>
                <w:color w:val="auto"/>
                <w:w w:val="91"/>
              </w:rPr>
              <w:t>NOTES</w:t>
            </w:r>
          </w:p>
        </w:tc>
        <w:tc>
          <w:tcPr>
            <w:tcW w:w="1100" w:type="dxa"/>
            <w:vAlign w:val="bottom"/>
            <w:gridSpan w:val="2"/>
            <w:shd w:val="clear" w:color="auto" w:fill="CECAC6"/>
          </w:tcPr>
          <w:p>
            <w:pPr>
              <w:ind w:left="140"/>
              <w:spacing w:after="0" w:line="133" w:lineRule="exact"/>
              <w:rPr>
                <w:sz w:val="20"/>
                <w:szCs w:val="20"/>
                <w:color w:val="auto"/>
              </w:rPr>
            </w:pPr>
            <w:r>
              <w:rPr>
                <w:rFonts w:ascii="Arial" w:cs="Arial" w:eastAsia="Arial" w:hAnsi="Arial"/>
                <w:sz w:val="12"/>
                <w:szCs w:val="12"/>
                <w:color w:val="auto"/>
              </w:rPr>
              <w:t>Dec 31, 2007</w:t>
            </w:r>
          </w:p>
        </w:tc>
        <w:tc>
          <w:tcPr>
            <w:tcW w:w="1040" w:type="dxa"/>
            <w:vAlign w:val="bottom"/>
            <w:gridSpan w:val="2"/>
            <w:shd w:val="clear" w:color="auto" w:fill="CECAC6"/>
          </w:tcPr>
          <w:p>
            <w:pPr>
              <w:jc w:val="right"/>
              <w:ind w:right="100"/>
              <w:spacing w:after="0" w:line="133" w:lineRule="exact"/>
              <w:rPr>
                <w:sz w:val="20"/>
                <w:szCs w:val="20"/>
                <w:color w:val="auto"/>
              </w:rPr>
            </w:pPr>
            <w:r>
              <w:rPr>
                <w:rFonts w:ascii="Arial" w:cs="Arial" w:eastAsia="Arial" w:hAnsi="Arial"/>
                <w:sz w:val="12"/>
                <w:szCs w:val="12"/>
                <w:color w:val="auto"/>
              </w:rPr>
              <w:t>Dec 31, 2006</w:t>
            </w:r>
          </w:p>
        </w:tc>
        <w:tc>
          <w:tcPr>
            <w:tcW w:w="0" w:type="dxa"/>
            <w:vAlign w:val="bottom"/>
          </w:tcPr>
          <w:p>
            <w:pPr>
              <w:spacing w:after="0"/>
              <w:rPr>
                <w:sz w:val="1"/>
                <w:szCs w:val="1"/>
                <w:color w:val="auto"/>
              </w:rPr>
            </w:pPr>
          </w:p>
        </w:tc>
      </w:tr>
      <w:tr>
        <w:trPr>
          <w:trHeight w:val="113"/>
        </w:trPr>
        <w:tc>
          <w:tcPr>
            <w:tcW w:w="5920" w:type="dxa"/>
            <w:vAlign w:val="bottom"/>
          </w:tcPr>
          <w:p>
            <w:pPr>
              <w:spacing w:after="0" w:line="114" w:lineRule="exact"/>
              <w:rPr>
                <w:sz w:val="20"/>
                <w:szCs w:val="20"/>
                <w:color w:val="auto"/>
              </w:rPr>
            </w:pPr>
            <w:r>
              <w:rPr>
                <w:rFonts w:ascii="Arial" w:cs="Arial" w:eastAsia="Arial" w:hAnsi="Arial"/>
                <w:sz w:val="12"/>
                <w:szCs w:val="12"/>
                <w:b w:val="1"/>
                <w:bCs w:val="1"/>
                <w:color w:val="auto"/>
              </w:rPr>
              <w:t>ASSETS</w:t>
            </w:r>
          </w:p>
        </w:tc>
        <w:tc>
          <w:tcPr>
            <w:tcW w:w="3360" w:type="dxa"/>
            <w:vAlign w:val="bottom"/>
          </w:tcPr>
          <w:p>
            <w:pPr>
              <w:spacing w:after="0"/>
              <w:rPr>
                <w:sz w:val="9"/>
                <w:szCs w:val="9"/>
                <w:color w:val="auto"/>
              </w:rPr>
            </w:pPr>
          </w:p>
        </w:tc>
        <w:tc>
          <w:tcPr>
            <w:tcW w:w="800" w:type="dxa"/>
            <w:vAlign w:val="bottom"/>
            <w:shd w:val="clear" w:color="auto" w:fill="E4E3E1"/>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92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11</w:t>
            </w:r>
          </w:p>
        </w:tc>
        <w:tc>
          <w:tcPr>
            <w:tcW w:w="800" w:type="dxa"/>
            <w:vAlign w:val="bottom"/>
            <w:shd w:val="clear" w:color="auto" w:fill="E4E3E1"/>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920" w:type="dxa"/>
            <w:vAlign w:val="bottom"/>
          </w:tcPr>
          <w:p>
            <w:pPr>
              <w:ind w:left="200"/>
              <w:spacing w:after="0" w:line="121" w:lineRule="exact"/>
              <w:rPr>
                <w:sz w:val="20"/>
                <w:szCs w:val="20"/>
                <w:color w:val="auto"/>
              </w:rPr>
            </w:pPr>
            <w:r>
              <w:rPr>
                <w:rFonts w:ascii="Arial" w:cs="Arial" w:eastAsia="Arial" w:hAnsi="Arial"/>
                <w:sz w:val="12"/>
                <w:szCs w:val="12"/>
                <w:color w:val="auto"/>
              </w:rPr>
              <w:t>Intangible assets</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5,366</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4,808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5920" w:type="dxa"/>
            <w:vAlign w:val="bottom"/>
          </w:tcPr>
          <w:p>
            <w:pPr>
              <w:ind w:left="200"/>
              <w:spacing w:after="0"/>
              <w:rPr>
                <w:sz w:val="20"/>
                <w:szCs w:val="20"/>
                <w:color w:val="auto"/>
              </w:rPr>
            </w:pPr>
            <w:r>
              <w:rPr>
                <w:rFonts w:ascii="Arial" w:cs="Arial" w:eastAsia="Arial" w:hAnsi="Arial"/>
                <w:sz w:val="12"/>
                <w:szCs w:val="12"/>
                <w:color w:val="auto"/>
              </w:rPr>
              <w:t>Property, plant and equipment</w:t>
            </w:r>
          </w:p>
        </w:tc>
        <w:tc>
          <w:tcPr>
            <w:tcW w:w="3360" w:type="dxa"/>
            <w:vAlign w:val="bottom"/>
          </w:tcPr>
          <w:p>
            <w:pPr>
              <w:jc w:val="center"/>
              <w:ind w:left="1758"/>
              <w:spacing w:after="0"/>
              <w:rPr>
                <w:sz w:val="20"/>
                <w:szCs w:val="20"/>
                <w:color w:val="auto"/>
              </w:rPr>
            </w:pPr>
            <w:r>
              <w:rPr>
                <w:rFonts w:ascii="Arial" w:cs="Arial" w:eastAsia="Arial" w:hAnsi="Arial"/>
                <w:sz w:val="12"/>
                <w:szCs w:val="12"/>
                <w:i w:val="1"/>
                <w:iCs w:val="1"/>
                <w:color w:val="auto"/>
              </w:rPr>
              <w:t>12</w:t>
            </w: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101,521</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100,988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Investments:</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13</w:t>
            </w:r>
          </w:p>
        </w:tc>
        <w:tc>
          <w:tcPr>
            <w:tcW w:w="800" w:type="dxa"/>
            <w:vAlign w:val="bottom"/>
            <w:shd w:val="clear" w:color="auto" w:fill="E4E3E1"/>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20" w:type="dxa"/>
            <w:vAlign w:val="bottom"/>
          </w:tcPr>
          <w:p>
            <w:pPr>
              <w:ind w:left="400"/>
              <w:spacing w:after="0" w:line="121" w:lineRule="exact"/>
              <w:rPr>
                <w:sz w:val="20"/>
                <w:szCs w:val="20"/>
                <w:color w:val="auto"/>
              </w:rPr>
            </w:pPr>
            <w:r>
              <w:rPr>
                <w:rFonts w:ascii="Arial" w:cs="Arial" w:eastAsia="Arial" w:hAnsi="Arial"/>
                <w:sz w:val="12"/>
                <w:szCs w:val="12"/>
                <w:color w:val="auto"/>
              </w:rPr>
              <w:t>equity-accounted investments</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29,153</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20,740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400"/>
              <w:spacing w:after="0" w:line="133" w:lineRule="exact"/>
              <w:rPr>
                <w:sz w:val="20"/>
                <w:szCs w:val="20"/>
                <w:color w:val="auto"/>
              </w:rPr>
            </w:pPr>
            <w:r>
              <w:rPr>
                <w:rFonts w:ascii="Arial" w:cs="Arial" w:eastAsia="Arial" w:hAnsi="Arial"/>
                <w:sz w:val="12"/>
                <w:szCs w:val="12"/>
                <w:color w:val="auto"/>
              </w:rPr>
              <w:t>financial assets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14</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3,461</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4,493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Deferred tax</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20</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3,253</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2,968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Pre-paid pension costs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21</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5,559</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3,926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9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Other</w:t>
            </w:r>
          </w:p>
        </w:tc>
        <w:tc>
          <w:tcPr>
            <w:tcW w:w="3360" w:type="dxa"/>
            <w:vAlign w:val="bottom"/>
            <w:tcBorders>
              <w:bottom w:val="single" w:sz="8" w:color="auto"/>
            </w:tcBorders>
          </w:tcPr>
          <w:p>
            <w:pPr>
              <w:jc w:val="center"/>
              <w:ind w:left="1758"/>
              <w:spacing w:after="0"/>
              <w:rPr>
                <w:sz w:val="20"/>
                <w:szCs w:val="20"/>
                <w:color w:val="auto"/>
              </w:rPr>
            </w:pPr>
            <w:r>
              <w:rPr>
                <w:rFonts w:ascii="Arial" w:cs="Arial" w:eastAsia="Arial" w:hAnsi="Arial"/>
                <w:sz w:val="12"/>
                <w:szCs w:val="12"/>
                <w:i w:val="1"/>
                <w:iCs w:val="1"/>
                <w:color w:val="auto"/>
              </w:rPr>
              <w:t>15</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5,760</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154,073</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143,391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auto"/>
              </w:rPr>
              <w:t>Current assets</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16</w:t>
            </w:r>
          </w:p>
        </w:tc>
        <w:tc>
          <w:tcPr>
            <w:tcW w:w="800" w:type="dxa"/>
            <w:vAlign w:val="bottom"/>
            <w:shd w:val="clear" w:color="auto" w:fill="E4E3E1"/>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20" w:type="dxa"/>
            <w:vAlign w:val="bottom"/>
          </w:tcPr>
          <w:p>
            <w:pPr>
              <w:ind w:left="200"/>
              <w:spacing w:after="0" w:line="121" w:lineRule="exact"/>
              <w:rPr>
                <w:sz w:val="20"/>
                <w:szCs w:val="20"/>
                <w:color w:val="auto"/>
              </w:rPr>
            </w:pPr>
            <w:r>
              <w:rPr>
                <w:rFonts w:ascii="Arial" w:cs="Arial" w:eastAsia="Arial" w:hAnsi="Arial"/>
                <w:sz w:val="12"/>
                <w:szCs w:val="12"/>
                <w:color w:val="auto"/>
              </w:rPr>
              <w:t>Inventories</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31,503</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23,215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Accounts receivable</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17</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74,238</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59,668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9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Cash and cash equivalents</w:t>
            </w:r>
          </w:p>
        </w:tc>
        <w:tc>
          <w:tcPr>
            <w:tcW w:w="3360" w:type="dxa"/>
            <w:vAlign w:val="bottom"/>
            <w:tcBorders>
              <w:bottom w:val="single" w:sz="8" w:color="auto"/>
            </w:tcBorders>
          </w:tcPr>
          <w:p>
            <w:pPr>
              <w:jc w:val="center"/>
              <w:ind w:left="1758"/>
              <w:spacing w:after="0"/>
              <w:rPr>
                <w:sz w:val="20"/>
                <w:szCs w:val="20"/>
                <w:color w:val="auto"/>
              </w:rPr>
            </w:pPr>
            <w:r>
              <w:rPr>
                <w:rFonts w:ascii="Arial" w:cs="Arial" w:eastAsia="Arial" w:hAnsi="Arial"/>
                <w:sz w:val="12"/>
                <w:szCs w:val="12"/>
                <w:i w:val="1"/>
                <w:iCs w:val="1"/>
                <w:color w:val="auto"/>
              </w:rPr>
              <w:t>18</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9,656</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115,397</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91,885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assets</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269,470</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920" w:type="dxa"/>
            <w:vAlign w:val="bottom"/>
          </w:tcPr>
          <w:p>
            <w:pPr>
              <w:spacing w:after="0" w:line="120" w:lineRule="exact"/>
              <w:rPr>
                <w:sz w:val="20"/>
                <w:szCs w:val="20"/>
                <w:color w:val="auto"/>
              </w:rPr>
            </w:pPr>
            <w:r>
              <w:rPr>
                <w:rFonts w:ascii="Arial" w:cs="Arial" w:eastAsia="Arial" w:hAnsi="Arial"/>
                <w:sz w:val="12"/>
                <w:szCs w:val="12"/>
                <w:b w:val="1"/>
                <w:bCs w:val="1"/>
                <w:color w:val="auto"/>
              </w:rPr>
              <w:t>LIABILITIES</w:t>
            </w:r>
          </w:p>
        </w:tc>
        <w:tc>
          <w:tcPr>
            <w:tcW w:w="3360" w:type="dxa"/>
            <w:vAlign w:val="bottom"/>
          </w:tcPr>
          <w:p>
            <w:pPr>
              <w:spacing w:after="0"/>
              <w:rPr>
                <w:sz w:val="10"/>
                <w:szCs w:val="10"/>
                <w:color w:val="auto"/>
              </w:rPr>
            </w:pPr>
          </w:p>
        </w:tc>
        <w:tc>
          <w:tcPr>
            <w:tcW w:w="800" w:type="dxa"/>
            <w:vAlign w:val="bottom"/>
            <w:shd w:val="clear" w:color="auto" w:fill="E4E3E1"/>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920" w:type="dxa"/>
            <w:vAlign w:val="bottom"/>
          </w:tcPr>
          <w:p>
            <w:pPr>
              <w:spacing w:after="0"/>
              <w:rPr>
                <w:sz w:val="20"/>
                <w:szCs w:val="20"/>
                <w:color w:val="auto"/>
              </w:rPr>
            </w:pPr>
            <w:r>
              <w:rPr>
                <w:rFonts w:ascii="Arial" w:cs="Arial" w:eastAsia="Arial" w:hAnsi="Arial"/>
                <w:sz w:val="12"/>
                <w:szCs w:val="12"/>
                <w:b w:val="1"/>
                <w:bCs w:val="1"/>
                <w:color w:val="auto"/>
              </w:rPr>
              <w:t>Non-current liabilities</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19</w:t>
            </w:r>
          </w:p>
        </w:tc>
        <w:tc>
          <w:tcPr>
            <w:tcW w:w="800" w:type="dxa"/>
            <w:vAlign w:val="bottom"/>
            <w:shd w:val="clear" w:color="auto" w:fill="E4E3E1"/>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920" w:type="dxa"/>
            <w:vAlign w:val="bottom"/>
          </w:tcPr>
          <w:p>
            <w:pPr>
              <w:ind w:left="200"/>
              <w:spacing w:after="0" w:line="121" w:lineRule="exact"/>
              <w:rPr>
                <w:sz w:val="20"/>
                <w:szCs w:val="20"/>
                <w:color w:val="auto"/>
              </w:rPr>
            </w:pPr>
            <w:r>
              <w:rPr>
                <w:rFonts w:ascii="Arial" w:cs="Arial" w:eastAsia="Arial" w:hAnsi="Arial"/>
                <w:sz w:val="12"/>
                <w:szCs w:val="12"/>
                <w:color w:val="auto"/>
              </w:rPr>
              <w:t>Debt</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12,363</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9,713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Deferred tax</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20</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13,039</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13,094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Retirement benefit obligations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21</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6,165</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6,096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Other provisions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22</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13,658</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10,355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9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Other</w:t>
            </w:r>
          </w:p>
        </w:tc>
        <w:tc>
          <w:tcPr>
            <w:tcW w:w="3360" w:type="dxa"/>
            <w:vAlign w:val="bottom"/>
            <w:tcBorders>
              <w:bottom w:val="single" w:sz="8" w:color="auto"/>
            </w:tcBorders>
          </w:tcPr>
          <w:p>
            <w:pPr>
              <w:jc w:val="center"/>
              <w:ind w:left="1758"/>
              <w:spacing w:after="0"/>
              <w:rPr>
                <w:sz w:val="20"/>
                <w:szCs w:val="20"/>
                <w:color w:val="auto"/>
              </w:rPr>
            </w:pPr>
            <w:r>
              <w:rPr>
                <w:rFonts w:ascii="Arial" w:cs="Arial" w:eastAsia="Arial" w:hAnsi="Arial"/>
                <w:sz w:val="12"/>
                <w:szCs w:val="12"/>
                <w:i w:val="1"/>
                <w:iCs w:val="1"/>
                <w:color w:val="auto"/>
              </w:rPr>
              <w:t>23</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3,893</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49,118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auto"/>
              </w:rPr>
              <w:t>Current liabilities</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19</w:t>
            </w:r>
          </w:p>
        </w:tc>
        <w:tc>
          <w:tcPr>
            <w:tcW w:w="800" w:type="dxa"/>
            <w:vAlign w:val="bottom"/>
            <w:shd w:val="clear" w:color="auto" w:fill="E4E3E1"/>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20" w:type="dxa"/>
            <w:vAlign w:val="bottom"/>
          </w:tcPr>
          <w:p>
            <w:pPr>
              <w:ind w:left="200"/>
              <w:spacing w:after="0" w:line="121" w:lineRule="exact"/>
              <w:rPr>
                <w:sz w:val="20"/>
                <w:szCs w:val="20"/>
                <w:color w:val="auto"/>
              </w:rPr>
            </w:pPr>
            <w:r>
              <w:rPr>
                <w:rFonts w:ascii="Arial" w:cs="Arial" w:eastAsia="Arial" w:hAnsi="Arial"/>
                <w:sz w:val="12"/>
                <w:szCs w:val="12"/>
                <w:color w:val="auto"/>
              </w:rPr>
              <w:t>Debt</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5,736</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6,060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Accounts payable and accrued liabilities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24</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75,697</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62,556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Taxes payable</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20</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9,733</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6,021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920" w:type="dxa"/>
            <w:vAlign w:val="bottom"/>
          </w:tcPr>
          <w:p>
            <w:pPr>
              <w:ind w:left="200"/>
              <w:spacing w:after="0" w:line="133" w:lineRule="exact"/>
              <w:rPr>
                <w:sz w:val="20"/>
                <w:szCs w:val="20"/>
                <w:color w:val="auto"/>
              </w:rPr>
            </w:pPr>
            <w:r>
              <w:rPr>
                <w:rFonts w:ascii="Arial" w:cs="Arial" w:eastAsia="Arial" w:hAnsi="Arial"/>
                <w:sz w:val="12"/>
                <w:szCs w:val="12"/>
                <w:color w:val="auto"/>
              </w:rPr>
              <w:t>Retirement benefit obligations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21</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426</w:t>
            </w:r>
          </w:p>
        </w:tc>
        <w:tc>
          <w:tcPr>
            <w:tcW w:w="30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Arial" w:cs="Arial" w:eastAsia="Arial" w:hAnsi="Arial"/>
                <w:sz w:val="12"/>
                <w:szCs w:val="12"/>
                <w:color w:val="auto"/>
              </w:rPr>
              <w:t>319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9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Other provisions</w:t>
            </w:r>
          </w:p>
        </w:tc>
        <w:tc>
          <w:tcPr>
            <w:tcW w:w="3360" w:type="dxa"/>
            <w:vAlign w:val="bottom"/>
            <w:tcBorders>
              <w:bottom w:val="single" w:sz="8" w:color="auto"/>
            </w:tcBorders>
          </w:tcPr>
          <w:p>
            <w:pPr>
              <w:jc w:val="center"/>
              <w:ind w:left="1758"/>
              <w:spacing w:after="0"/>
              <w:rPr>
                <w:sz w:val="20"/>
                <w:szCs w:val="20"/>
                <w:color w:val="auto"/>
              </w:rPr>
            </w:pPr>
            <w:r>
              <w:rPr>
                <w:rFonts w:ascii="Arial" w:cs="Arial" w:eastAsia="Arial" w:hAnsi="Arial"/>
                <w:sz w:val="12"/>
                <w:szCs w:val="12"/>
                <w:i w:val="1"/>
                <w:iCs w:val="1"/>
                <w:color w:val="auto"/>
              </w:rPr>
              <w:t>22</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2,792</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94,384</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76,748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liabilities</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143,502</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120,331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auto"/>
              </w:rPr>
              <w:t>EQUITY</w:t>
            </w:r>
          </w:p>
        </w:tc>
        <w:tc>
          <w:tcPr>
            <w:tcW w:w="3360" w:type="dxa"/>
            <w:vAlign w:val="bottom"/>
            <w:vMerge w:val="restart"/>
          </w:tcPr>
          <w:p>
            <w:pPr>
              <w:jc w:val="center"/>
              <w:ind w:left="1758"/>
              <w:spacing w:after="0"/>
              <w:rPr>
                <w:sz w:val="20"/>
                <w:szCs w:val="20"/>
                <w:color w:val="auto"/>
              </w:rPr>
            </w:pPr>
            <w:r>
              <w:rPr>
                <w:rFonts w:ascii="Arial" w:cs="Arial" w:eastAsia="Arial" w:hAnsi="Arial"/>
                <w:sz w:val="12"/>
                <w:szCs w:val="12"/>
                <w:i w:val="1"/>
                <w:iCs w:val="1"/>
                <w:color w:val="auto"/>
              </w:rPr>
              <w:t>25</w:t>
            </w:r>
          </w:p>
        </w:tc>
        <w:tc>
          <w:tcPr>
            <w:tcW w:w="800" w:type="dxa"/>
            <w:vAlign w:val="bottom"/>
            <w:shd w:val="clear" w:color="auto" w:fill="E4E3E1"/>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920" w:type="dxa"/>
            <w:vAlign w:val="bottom"/>
          </w:tcPr>
          <w:p>
            <w:pPr>
              <w:spacing w:after="0" w:line="121" w:lineRule="exact"/>
              <w:rPr>
                <w:sz w:val="20"/>
                <w:szCs w:val="20"/>
                <w:color w:val="auto"/>
              </w:rPr>
            </w:pPr>
            <w:r>
              <w:rPr>
                <w:rFonts w:ascii="Arial" w:cs="Arial" w:eastAsia="Arial" w:hAnsi="Arial"/>
                <w:sz w:val="12"/>
                <w:szCs w:val="12"/>
                <w:color w:val="auto"/>
              </w:rPr>
              <w:t>Ordinary share capital</w:t>
            </w:r>
          </w:p>
        </w:tc>
        <w:tc>
          <w:tcPr>
            <w:tcW w:w="3360" w:type="dxa"/>
            <w:vAlign w:val="bottom"/>
            <w:vMerge w:val="continue"/>
          </w:tcPr>
          <w:p>
            <w:pPr>
              <w:spacing w:after="0"/>
              <w:rPr>
                <w:sz w:val="10"/>
                <w:szCs w:val="10"/>
                <w:color w:val="auto"/>
              </w:rPr>
            </w:pPr>
          </w:p>
        </w:tc>
        <w:tc>
          <w:tcPr>
            <w:tcW w:w="80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536</w:t>
            </w:r>
          </w:p>
        </w:tc>
        <w:tc>
          <w:tcPr>
            <w:tcW w:w="30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2"/>
                <w:szCs w:val="12"/>
                <w:color w:val="auto"/>
              </w:rPr>
              <w:t>545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920" w:type="dxa"/>
            <w:vAlign w:val="bottom"/>
          </w:tcPr>
          <w:p>
            <w:pPr>
              <w:spacing w:after="0" w:line="133" w:lineRule="exact"/>
              <w:rPr>
                <w:sz w:val="20"/>
                <w:szCs w:val="20"/>
                <w:color w:val="auto"/>
              </w:rPr>
            </w:pPr>
            <w:r>
              <w:rPr>
                <w:rFonts w:ascii="Arial" w:cs="Arial" w:eastAsia="Arial" w:hAnsi="Arial"/>
                <w:sz w:val="12"/>
                <w:szCs w:val="12"/>
                <w:color w:val="auto"/>
              </w:rPr>
              <w:t>Treasury shares</w:t>
            </w:r>
          </w:p>
        </w:tc>
        <w:tc>
          <w:tcPr>
            <w:tcW w:w="3360" w:type="dxa"/>
            <w:vAlign w:val="bottom"/>
          </w:tcPr>
          <w:p>
            <w:pPr>
              <w:jc w:val="center"/>
              <w:ind w:left="1758"/>
              <w:spacing w:after="0" w:line="133" w:lineRule="exact"/>
              <w:rPr>
                <w:sz w:val="20"/>
                <w:szCs w:val="20"/>
                <w:color w:val="auto"/>
              </w:rPr>
            </w:pPr>
            <w:r>
              <w:rPr>
                <w:rFonts w:ascii="Arial" w:cs="Arial" w:eastAsia="Arial" w:hAnsi="Arial"/>
                <w:sz w:val="12"/>
                <w:szCs w:val="12"/>
                <w:i w:val="1"/>
                <w:iCs w:val="1"/>
                <w:color w:val="auto"/>
              </w:rPr>
              <w:t>27</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(2,392)</w:t>
            </w:r>
          </w:p>
        </w:tc>
        <w:tc>
          <w:tcPr>
            <w:tcW w:w="300" w:type="dxa"/>
            <w:vAlign w:val="bottom"/>
          </w:tcPr>
          <w:p>
            <w:pPr>
              <w:spacing w:after="0"/>
              <w:rPr>
                <w:sz w:val="11"/>
                <w:szCs w:val="11"/>
                <w:color w:val="auto"/>
              </w:rPr>
            </w:pPr>
          </w:p>
        </w:tc>
        <w:tc>
          <w:tcPr>
            <w:tcW w:w="104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(3,316)</w:t>
            </w:r>
          </w:p>
        </w:tc>
        <w:tc>
          <w:tcPr>
            <w:tcW w:w="0" w:type="dxa"/>
            <w:vAlign w:val="bottom"/>
          </w:tcPr>
          <w:p>
            <w:pPr>
              <w:spacing w:after="0"/>
              <w:rPr>
                <w:sz w:val="1"/>
                <w:szCs w:val="1"/>
                <w:color w:val="auto"/>
              </w:rPr>
            </w:pPr>
          </w:p>
        </w:tc>
      </w:tr>
      <w:tr>
        <w:trPr>
          <w:trHeight w:val="145"/>
        </w:trPr>
        <w:tc>
          <w:tcPr>
            <w:tcW w:w="5920" w:type="dxa"/>
            <w:vAlign w:val="bottom"/>
          </w:tcPr>
          <w:p>
            <w:pPr>
              <w:spacing w:after="0"/>
              <w:rPr>
                <w:sz w:val="20"/>
                <w:szCs w:val="20"/>
                <w:color w:val="auto"/>
              </w:rPr>
            </w:pPr>
            <w:r>
              <w:rPr>
                <w:rFonts w:ascii="Arial" w:cs="Arial" w:eastAsia="Arial" w:hAnsi="Arial"/>
                <w:sz w:val="12"/>
                <w:szCs w:val="12"/>
                <w:color w:val="auto"/>
              </w:rPr>
              <w:t>Other reserves</w:t>
            </w:r>
          </w:p>
        </w:tc>
        <w:tc>
          <w:tcPr>
            <w:tcW w:w="3360" w:type="dxa"/>
            <w:vAlign w:val="bottom"/>
          </w:tcPr>
          <w:p>
            <w:pPr>
              <w:jc w:val="center"/>
              <w:ind w:left="1758"/>
              <w:spacing w:after="0"/>
              <w:rPr>
                <w:sz w:val="20"/>
                <w:szCs w:val="20"/>
                <w:color w:val="auto"/>
              </w:rPr>
            </w:pPr>
            <w:r>
              <w:rPr>
                <w:rFonts w:ascii="Arial" w:cs="Arial" w:eastAsia="Arial" w:hAnsi="Arial"/>
                <w:sz w:val="12"/>
                <w:szCs w:val="12"/>
                <w:i w:val="1"/>
                <w:iCs w:val="1"/>
                <w:color w:val="auto"/>
              </w:rPr>
              <w:t>29</w:t>
            </w: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14,148</w:t>
            </w:r>
          </w:p>
        </w:tc>
        <w:tc>
          <w:tcPr>
            <w:tcW w:w="3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Retained earnings</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111,668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99,677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5920" w:type="dxa"/>
            <w:vAlign w:val="bottom"/>
          </w:tcPr>
          <w:p>
            <w:pPr>
              <w:spacing w:after="0" w:line="134" w:lineRule="exact"/>
              <w:rPr>
                <w:sz w:val="20"/>
                <w:szCs w:val="20"/>
                <w:color w:val="auto"/>
              </w:rPr>
            </w:pPr>
            <w:r>
              <w:rPr>
                <w:rFonts w:ascii="Arial" w:cs="Arial" w:eastAsia="Arial" w:hAnsi="Arial"/>
                <w:sz w:val="12"/>
                <w:szCs w:val="12"/>
                <w:b w:val="1"/>
                <w:bCs w:val="1"/>
                <w:color w:val="auto"/>
              </w:rPr>
              <w:t>Equity attributable to shareholders of Royal Dutch Shell plc</w:t>
            </w:r>
          </w:p>
        </w:tc>
        <w:tc>
          <w:tcPr>
            <w:tcW w:w="3360" w:type="dxa"/>
            <w:vAlign w:val="bottom"/>
          </w:tcPr>
          <w:p>
            <w:pPr>
              <w:spacing w:after="0"/>
              <w:rPr>
                <w:sz w:val="11"/>
                <w:szCs w:val="11"/>
                <w:color w:val="auto"/>
              </w:rPr>
            </w:pPr>
          </w:p>
        </w:tc>
        <w:tc>
          <w:tcPr>
            <w:tcW w:w="800" w:type="dxa"/>
            <w:vAlign w:val="bottom"/>
            <w:shd w:val="clear" w:color="auto" w:fill="E4E3E1"/>
          </w:tcPr>
          <w:p>
            <w:pPr>
              <w:jc w:val="right"/>
              <w:ind w:right="58"/>
              <w:spacing w:after="0" w:line="134" w:lineRule="exact"/>
              <w:rPr>
                <w:sz w:val="20"/>
                <w:szCs w:val="20"/>
                <w:color w:val="auto"/>
              </w:rPr>
            </w:pPr>
            <w:r>
              <w:rPr>
                <w:rFonts w:ascii="Arial" w:cs="Arial" w:eastAsia="Arial" w:hAnsi="Arial"/>
                <w:sz w:val="12"/>
                <w:szCs w:val="12"/>
                <w:color w:val="auto"/>
              </w:rPr>
              <w:t>123,960</w:t>
            </w:r>
          </w:p>
        </w:tc>
        <w:tc>
          <w:tcPr>
            <w:tcW w:w="300" w:type="dxa"/>
            <w:vAlign w:val="bottom"/>
          </w:tcPr>
          <w:p>
            <w:pPr>
              <w:spacing w:after="0"/>
              <w:rPr>
                <w:sz w:val="11"/>
                <w:szCs w:val="11"/>
                <w:color w:val="auto"/>
              </w:rPr>
            </w:pPr>
          </w:p>
        </w:tc>
        <w:tc>
          <w:tcPr>
            <w:tcW w:w="940" w:type="dxa"/>
            <w:vAlign w:val="bottom"/>
          </w:tcPr>
          <w:p>
            <w:pPr>
              <w:jc w:val="right"/>
              <w:spacing w:after="0" w:line="134" w:lineRule="exact"/>
              <w:rPr>
                <w:sz w:val="20"/>
                <w:szCs w:val="20"/>
                <w:color w:val="auto"/>
              </w:rPr>
            </w:pPr>
            <w:r>
              <w:rPr>
                <w:rFonts w:ascii="Arial" w:cs="Arial" w:eastAsia="Arial" w:hAnsi="Arial"/>
                <w:sz w:val="12"/>
                <w:szCs w:val="12"/>
                <w:color w:val="auto"/>
              </w:rPr>
              <w:t>105,726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Minority interest</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2,008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equity</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125,968</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liabilities and equity</w:t>
            </w:r>
          </w:p>
        </w:tc>
        <w:tc>
          <w:tcPr>
            <w:tcW w:w="3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269,470</w:t>
            </w: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235,276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Peter Voser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Peter Voser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5374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for and on behalf of the Board of Directors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March 12, 2008</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Notes on pages 117 to 161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114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725297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gridSpan w:val="2"/>
            <w:shd w:val="clear" w:color="auto" w:fill="7DD0E0"/>
          </w:tcPr>
          <w:p>
            <w:pPr>
              <w:ind w:left="20"/>
              <w:spacing w:after="0"/>
              <w:rPr>
                <w:sz w:val="20"/>
                <w:szCs w:val="20"/>
                <w:color w:val="auto"/>
              </w:rPr>
            </w:pPr>
            <w:r>
              <w:rPr>
                <w:rFonts w:ascii="Arial" w:cs="Arial" w:eastAsia="Arial" w:hAnsi="Arial"/>
                <w:sz w:val="11"/>
                <w:szCs w:val="11"/>
                <w:b w:val="1"/>
                <w:bCs w:val="1"/>
                <w:color w:val="auto"/>
              </w:rPr>
              <w:t>CONSOLIDATED STATEMENT OF CHANGES IN EQUITY</w:t>
            </w:r>
          </w:p>
        </w:tc>
        <w:tc>
          <w:tcPr>
            <w:tcW w:w="1280" w:type="dxa"/>
            <w:vAlign w:val="bottom"/>
            <w:shd w:val="clear" w:color="auto" w:fill="7DD0E0"/>
          </w:tcPr>
          <w:p>
            <w:pPr>
              <w:spacing w:after="0"/>
              <w:rPr>
                <w:sz w:val="15"/>
                <w:szCs w:val="15"/>
                <w:color w:val="auto"/>
              </w:rPr>
            </w:pPr>
          </w:p>
        </w:tc>
        <w:tc>
          <w:tcPr>
            <w:tcW w:w="960" w:type="dxa"/>
            <w:vAlign w:val="bottom"/>
            <w:shd w:val="clear" w:color="auto" w:fill="7DD0E0"/>
          </w:tcPr>
          <w:p>
            <w:pPr>
              <w:spacing w:after="0"/>
              <w:rPr>
                <w:sz w:val="15"/>
                <w:szCs w:val="15"/>
                <w:color w:val="auto"/>
              </w:rPr>
            </w:pPr>
          </w:p>
        </w:tc>
        <w:tc>
          <w:tcPr>
            <w:tcW w:w="1120" w:type="dxa"/>
            <w:vAlign w:val="bottom"/>
            <w:shd w:val="clear" w:color="auto" w:fill="7DD0E0"/>
          </w:tcPr>
          <w:p>
            <w:pPr>
              <w:spacing w:after="0"/>
              <w:rPr>
                <w:sz w:val="15"/>
                <w:szCs w:val="15"/>
                <w:color w:val="auto"/>
              </w:rPr>
            </w:pPr>
          </w:p>
        </w:tc>
        <w:tc>
          <w:tcPr>
            <w:tcW w:w="1060" w:type="dxa"/>
            <w:vAlign w:val="bottom"/>
            <w:shd w:val="clear" w:color="auto" w:fill="7DD0E0"/>
          </w:tcPr>
          <w:p>
            <w:pPr>
              <w:spacing w:after="0"/>
              <w:rPr>
                <w:sz w:val="15"/>
                <w:szCs w:val="15"/>
                <w:color w:val="auto"/>
              </w:rPr>
            </w:pPr>
          </w:p>
        </w:tc>
        <w:tc>
          <w:tcPr>
            <w:tcW w:w="1020" w:type="dxa"/>
            <w:vAlign w:val="bottom"/>
            <w:shd w:val="clear" w:color="auto" w:fill="7DD0E0"/>
          </w:tcPr>
          <w:p>
            <w:pPr>
              <w:spacing w:after="0"/>
              <w:rPr>
                <w:sz w:val="15"/>
                <w:szCs w:val="15"/>
                <w:color w:val="auto"/>
              </w:rPr>
            </w:pPr>
          </w:p>
        </w:tc>
        <w:tc>
          <w:tcPr>
            <w:tcW w:w="1020" w:type="dxa"/>
            <w:vAlign w:val="bottom"/>
            <w:shd w:val="clear" w:color="auto" w:fill="7DD0E0"/>
          </w:tcPr>
          <w:p>
            <w:pPr>
              <w:spacing w:after="0"/>
              <w:rPr>
                <w:sz w:val="15"/>
                <w:szCs w:val="15"/>
                <w:color w:val="auto"/>
              </w:rPr>
            </w:pPr>
          </w:p>
        </w:tc>
        <w:tc>
          <w:tcPr>
            <w:tcW w:w="800" w:type="dxa"/>
            <w:vAlign w:val="bottom"/>
            <w:shd w:val="clear" w:color="auto" w:fill="7DD0E0"/>
          </w:tcPr>
          <w:p>
            <w:pPr>
              <w:jc w:val="right"/>
              <w:spacing w:after="0"/>
              <w:rPr>
                <w:sz w:val="20"/>
                <w:szCs w:val="20"/>
                <w:color w:val="auto"/>
              </w:rPr>
            </w:pPr>
            <w:r>
              <w:rPr>
                <w:rFonts w:ascii="Arial" w:cs="Arial" w:eastAsia="Arial" w:hAnsi="Arial"/>
                <w:sz w:val="11"/>
                <w:szCs w:val="11"/>
                <w:b w:val="1"/>
                <w:bCs w:val="1"/>
                <w:color w:val="auto"/>
              </w:rPr>
              <w:t>$ million</w:t>
            </w:r>
          </w:p>
        </w:tc>
        <w:tc>
          <w:tcPr>
            <w:tcW w:w="20" w:type="dxa"/>
            <w:vAlign w:val="bottom"/>
          </w:tcPr>
          <w:p>
            <w:pPr>
              <w:spacing w:after="0"/>
              <w:rPr>
                <w:sz w:val="15"/>
                <w:szCs w:val="15"/>
                <w:color w:val="auto"/>
              </w:rPr>
            </w:pPr>
          </w:p>
        </w:tc>
      </w:tr>
      <w:tr>
        <w:trPr>
          <w:trHeight w:val="141"/>
        </w:trPr>
        <w:tc>
          <w:tcPr>
            <w:tcW w:w="220" w:type="dxa"/>
            <w:vAlign w:val="bottom"/>
            <w:shd w:val="clear" w:color="auto" w:fill="CECAC6"/>
          </w:tcPr>
          <w:p>
            <w:pPr>
              <w:spacing w:after="0"/>
              <w:rPr>
                <w:sz w:val="12"/>
                <w:szCs w:val="12"/>
                <w:color w:val="auto"/>
              </w:rPr>
            </w:pPr>
          </w:p>
        </w:tc>
        <w:tc>
          <w:tcPr>
            <w:tcW w:w="324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4160" w:type="dxa"/>
            <w:vAlign w:val="bottom"/>
            <w:gridSpan w:val="4"/>
            <w:shd w:val="clear" w:color="auto" w:fill="CECAC6"/>
          </w:tcPr>
          <w:p>
            <w:pPr>
              <w:jc w:val="right"/>
              <w:ind w:right="258"/>
              <w:spacing w:after="0"/>
              <w:rPr>
                <w:sz w:val="20"/>
                <w:szCs w:val="20"/>
                <w:color w:val="auto"/>
              </w:rPr>
            </w:pPr>
            <w:r>
              <w:rPr>
                <w:rFonts w:ascii="Arial" w:cs="Arial" w:eastAsia="Arial" w:hAnsi="Arial"/>
                <w:sz w:val="12"/>
                <w:szCs w:val="12"/>
                <w:color w:val="auto"/>
              </w:rPr>
              <w:t>Equity attributable to shareholders of Royal Dutch Shell plc</w:t>
            </w:r>
          </w:p>
        </w:tc>
        <w:tc>
          <w:tcPr>
            <w:tcW w:w="102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20" w:type="dxa"/>
            <w:vAlign w:val="bottom"/>
          </w:tcPr>
          <w:p>
            <w:pPr>
              <w:spacing w:after="0"/>
              <w:rPr>
                <w:sz w:val="12"/>
                <w:szCs w:val="12"/>
                <w:color w:val="auto"/>
              </w:rPr>
            </w:pPr>
          </w:p>
        </w:tc>
      </w:tr>
      <w:tr>
        <w:trPr>
          <w:trHeight w:val="119"/>
        </w:trPr>
        <w:tc>
          <w:tcPr>
            <w:tcW w:w="220" w:type="dxa"/>
            <w:vAlign w:val="bottom"/>
            <w:shd w:val="clear" w:color="auto" w:fill="CECAC6"/>
          </w:tcPr>
          <w:p>
            <w:pPr>
              <w:spacing w:after="0"/>
              <w:rPr>
                <w:sz w:val="10"/>
                <w:szCs w:val="10"/>
                <w:color w:val="auto"/>
              </w:rPr>
            </w:pPr>
          </w:p>
        </w:tc>
        <w:tc>
          <w:tcPr>
            <w:tcW w:w="3240" w:type="dxa"/>
            <w:vAlign w:val="bottom"/>
            <w:shd w:val="clear" w:color="auto" w:fill="CECAC6"/>
          </w:tcPr>
          <w:p>
            <w:pPr>
              <w:spacing w:after="0"/>
              <w:rPr>
                <w:sz w:val="10"/>
                <w:szCs w:val="10"/>
                <w:color w:val="auto"/>
              </w:rPr>
            </w:pPr>
          </w:p>
        </w:tc>
        <w:tc>
          <w:tcPr>
            <w:tcW w:w="1280" w:type="dxa"/>
            <w:vAlign w:val="bottom"/>
            <w:shd w:val="clear" w:color="auto" w:fill="CECAC6"/>
          </w:tcPr>
          <w:p>
            <w:pPr>
              <w:jc w:val="right"/>
              <w:ind w:right="218"/>
              <w:spacing w:after="0" w:line="120" w:lineRule="exact"/>
              <w:rPr>
                <w:sz w:val="20"/>
                <w:szCs w:val="20"/>
                <w:color w:val="auto"/>
              </w:rPr>
            </w:pPr>
            <w:r>
              <w:rPr>
                <w:rFonts w:ascii="Arial" w:cs="Arial" w:eastAsia="Arial" w:hAnsi="Arial"/>
                <w:sz w:val="12"/>
                <w:szCs w:val="12"/>
                <w:color w:val="auto"/>
              </w:rPr>
              <w:t>Ordinary</w:t>
            </w:r>
          </w:p>
        </w:tc>
        <w:tc>
          <w:tcPr>
            <w:tcW w:w="960" w:type="dxa"/>
            <w:vAlign w:val="bottom"/>
            <w:shd w:val="clear" w:color="auto" w:fill="CECAC6"/>
          </w:tcPr>
          <w:p>
            <w:pPr>
              <w:jc w:val="right"/>
              <w:ind w:right="158"/>
              <w:spacing w:after="0" w:line="120" w:lineRule="exact"/>
              <w:rPr>
                <w:sz w:val="20"/>
                <w:szCs w:val="20"/>
                <w:color w:val="auto"/>
              </w:rPr>
            </w:pPr>
            <w:r>
              <w:rPr>
                <w:rFonts w:ascii="Arial" w:cs="Arial" w:eastAsia="Arial" w:hAnsi="Arial"/>
                <w:sz w:val="12"/>
                <w:szCs w:val="12"/>
                <w:color w:val="auto"/>
              </w:rPr>
              <w:t>Treasury</w:t>
            </w:r>
          </w:p>
        </w:tc>
        <w:tc>
          <w:tcPr>
            <w:tcW w:w="1120" w:type="dxa"/>
            <w:vAlign w:val="bottom"/>
            <w:shd w:val="clear" w:color="auto" w:fill="CECAC6"/>
          </w:tcPr>
          <w:p>
            <w:pPr>
              <w:jc w:val="right"/>
              <w:ind w:right="218"/>
              <w:spacing w:after="0" w:line="120" w:lineRule="exact"/>
              <w:rPr>
                <w:sz w:val="20"/>
                <w:szCs w:val="20"/>
                <w:color w:val="auto"/>
              </w:rPr>
            </w:pPr>
            <w:r>
              <w:rPr>
                <w:rFonts w:ascii="Arial" w:cs="Arial" w:eastAsia="Arial" w:hAnsi="Arial"/>
                <w:sz w:val="12"/>
                <w:szCs w:val="12"/>
                <w:color w:val="auto"/>
              </w:rPr>
              <w:t>Other</w:t>
            </w:r>
          </w:p>
        </w:tc>
        <w:tc>
          <w:tcPr>
            <w:tcW w:w="1060" w:type="dxa"/>
            <w:vAlign w:val="bottom"/>
            <w:shd w:val="clear" w:color="auto" w:fill="CECAC6"/>
          </w:tcPr>
          <w:p>
            <w:pPr>
              <w:jc w:val="right"/>
              <w:ind w:right="258"/>
              <w:spacing w:after="0" w:line="120" w:lineRule="exact"/>
              <w:rPr>
                <w:sz w:val="20"/>
                <w:szCs w:val="20"/>
                <w:color w:val="auto"/>
              </w:rPr>
            </w:pPr>
            <w:r>
              <w:rPr>
                <w:rFonts w:ascii="Arial" w:cs="Arial" w:eastAsia="Arial" w:hAnsi="Arial"/>
                <w:sz w:val="12"/>
                <w:szCs w:val="12"/>
                <w:color w:val="auto"/>
              </w:rPr>
              <w:t>Retained</w:t>
            </w:r>
          </w:p>
        </w:tc>
        <w:tc>
          <w:tcPr>
            <w:tcW w:w="1020" w:type="dxa"/>
            <w:vAlign w:val="bottom"/>
            <w:shd w:val="clear" w:color="auto" w:fill="CECAC6"/>
          </w:tcPr>
          <w:p>
            <w:pPr>
              <w:spacing w:after="0"/>
              <w:rPr>
                <w:sz w:val="10"/>
                <w:szCs w:val="10"/>
                <w:color w:val="auto"/>
              </w:rPr>
            </w:pPr>
          </w:p>
        </w:tc>
        <w:tc>
          <w:tcPr>
            <w:tcW w:w="1020" w:type="dxa"/>
            <w:vAlign w:val="bottom"/>
            <w:shd w:val="clear" w:color="auto" w:fill="CECAC6"/>
          </w:tcPr>
          <w:p>
            <w:pPr>
              <w:jc w:val="right"/>
              <w:ind w:right="258"/>
              <w:spacing w:after="0" w:line="120" w:lineRule="exact"/>
              <w:rPr>
                <w:sz w:val="20"/>
                <w:szCs w:val="20"/>
                <w:color w:val="auto"/>
              </w:rPr>
            </w:pPr>
            <w:r>
              <w:rPr>
                <w:rFonts w:ascii="Arial" w:cs="Arial" w:eastAsia="Arial" w:hAnsi="Arial"/>
                <w:sz w:val="12"/>
                <w:szCs w:val="12"/>
                <w:color w:val="auto"/>
              </w:rPr>
              <w:t>Minority</w:t>
            </w:r>
          </w:p>
        </w:tc>
        <w:tc>
          <w:tcPr>
            <w:tcW w:w="800" w:type="dxa"/>
            <w:vAlign w:val="bottom"/>
            <w:shd w:val="clear" w:color="auto" w:fill="CECAC6"/>
          </w:tcPr>
          <w:p>
            <w:pPr>
              <w:jc w:val="right"/>
              <w:ind w:right="18"/>
              <w:spacing w:after="0" w:line="120" w:lineRule="exact"/>
              <w:rPr>
                <w:sz w:val="20"/>
                <w:szCs w:val="20"/>
                <w:color w:val="auto"/>
              </w:rPr>
            </w:pPr>
            <w:r>
              <w:rPr>
                <w:rFonts w:ascii="Arial" w:cs="Arial" w:eastAsia="Arial" w:hAnsi="Arial"/>
                <w:sz w:val="12"/>
                <w:szCs w:val="12"/>
                <w:color w:val="auto"/>
              </w:rPr>
              <w:t>Total</w:t>
            </w:r>
          </w:p>
        </w:tc>
        <w:tc>
          <w:tcPr>
            <w:tcW w:w="20" w:type="dxa"/>
            <w:vAlign w:val="bottom"/>
          </w:tcPr>
          <w:p>
            <w:pPr>
              <w:spacing w:after="0"/>
              <w:rPr>
                <w:sz w:val="10"/>
                <w:szCs w:val="10"/>
                <w:color w:val="auto"/>
              </w:rPr>
            </w:pPr>
          </w:p>
        </w:tc>
      </w:tr>
      <w:tr>
        <w:trPr>
          <w:trHeight w:val="166"/>
        </w:trPr>
        <w:tc>
          <w:tcPr>
            <w:tcW w:w="220" w:type="dxa"/>
            <w:vAlign w:val="bottom"/>
            <w:shd w:val="clear" w:color="auto" w:fill="CECAC6"/>
          </w:tcPr>
          <w:p>
            <w:pPr>
              <w:spacing w:after="0"/>
              <w:rPr>
                <w:sz w:val="14"/>
                <w:szCs w:val="14"/>
                <w:color w:val="auto"/>
              </w:rPr>
            </w:pPr>
          </w:p>
        </w:tc>
        <w:tc>
          <w:tcPr>
            <w:tcW w:w="3240" w:type="dxa"/>
            <w:vAlign w:val="bottom"/>
            <w:shd w:val="clear" w:color="auto" w:fill="CECAC6"/>
          </w:tcPr>
          <w:p>
            <w:pPr>
              <w:spacing w:after="0"/>
              <w:rPr>
                <w:sz w:val="14"/>
                <w:szCs w:val="14"/>
                <w:color w:val="auto"/>
              </w:rPr>
            </w:pPr>
          </w:p>
        </w:tc>
        <w:tc>
          <w:tcPr>
            <w:tcW w:w="12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share capital</w:t>
            </w:r>
          </w:p>
        </w:tc>
        <w:tc>
          <w:tcPr>
            <w:tcW w:w="9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shares</w:t>
            </w:r>
          </w:p>
        </w:tc>
        <w:tc>
          <w:tcPr>
            <w:tcW w:w="11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reserves</w:t>
            </w:r>
            <w:r>
              <w:rPr>
                <w:rFonts w:ascii="Arial" w:cs="Arial" w:eastAsia="Arial" w:hAnsi="Arial"/>
                <w:sz w:val="12"/>
                <w:szCs w:val="12"/>
                <w:b w:val="1"/>
                <w:bCs w:val="1"/>
                <w:color w:val="auto"/>
              </w:rPr>
              <w:t>[A]</w:t>
            </w:r>
          </w:p>
        </w:tc>
        <w:tc>
          <w:tcPr>
            <w:tcW w:w="106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earnings</w:t>
            </w:r>
          </w:p>
        </w:tc>
        <w:tc>
          <w:tcPr>
            <w:tcW w:w="102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Total</w:t>
            </w:r>
          </w:p>
        </w:tc>
        <w:tc>
          <w:tcPr>
            <w:tcW w:w="102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interest</w:t>
            </w: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equity</w:t>
            </w:r>
          </w:p>
        </w:tc>
        <w:tc>
          <w:tcPr>
            <w:tcW w:w="20" w:type="dxa"/>
            <w:vAlign w:val="bottom"/>
          </w:tcPr>
          <w:p>
            <w:pPr>
              <w:spacing w:after="0"/>
              <w:rPr>
                <w:sz w:val="14"/>
                <w:szCs w:val="14"/>
                <w:color w:val="auto"/>
              </w:rPr>
            </w:pPr>
          </w:p>
        </w:tc>
      </w:tr>
      <w:tr>
        <w:trPr>
          <w:trHeight w:val="127"/>
        </w:trPr>
        <w:tc>
          <w:tcPr>
            <w:tcW w:w="34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At January 1, 2005</w:t>
            </w:r>
          </w:p>
        </w:tc>
        <w:tc>
          <w:tcPr>
            <w:tcW w:w="12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584</w:t>
            </w:r>
          </w:p>
        </w:tc>
        <w:tc>
          <w:tcPr>
            <w:tcW w:w="9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(4,187)</w:t>
            </w:r>
          </w:p>
        </w:tc>
        <w:tc>
          <w:tcPr>
            <w:tcW w:w="112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9,688</w:t>
            </w:r>
          </w:p>
        </w:tc>
        <w:tc>
          <w:tcPr>
            <w:tcW w:w="106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80,781</w:t>
            </w:r>
          </w:p>
        </w:tc>
        <w:tc>
          <w:tcPr>
            <w:tcW w:w="102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86,866</w:t>
            </w:r>
          </w:p>
        </w:tc>
        <w:tc>
          <w:tcPr>
            <w:tcW w:w="102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5,313</w:t>
            </w:r>
          </w:p>
        </w:tc>
        <w:tc>
          <w:tcPr>
            <w:tcW w:w="8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92,179</w:t>
            </w:r>
          </w:p>
        </w:tc>
        <w:tc>
          <w:tcPr>
            <w:tcW w:w="20" w:type="dxa"/>
            <w:vAlign w:val="bottom"/>
          </w:tcPr>
          <w:p>
            <w:pPr>
              <w:spacing w:after="0"/>
              <w:rPr>
                <w:sz w:val="11"/>
                <w:szCs w:val="1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Currency translation differences</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(4,449)</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(4,449)</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114</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(4,335)</w:t>
            </w:r>
          </w:p>
        </w:tc>
        <w:tc>
          <w:tcPr>
            <w:tcW w:w="20" w:type="dxa"/>
            <w:vAlign w:val="bottom"/>
          </w:tcPr>
          <w:p>
            <w:pPr>
              <w:spacing w:after="0"/>
              <w:rPr>
                <w:sz w:val="11"/>
                <w:szCs w:val="1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Unrealised gains/(losses) on securities</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309</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309</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310</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Unrealised gains/(losses) on cash flow hedges</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(226)</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(226)</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20" w:type="dxa"/>
            <w:vAlign w:val="bottom"/>
          </w:tcPr>
          <w:p>
            <w:pPr>
              <w:spacing w:after="0"/>
              <w:rPr>
                <w:sz w:val="12"/>
                <w:szCs w:val="12"/>
                <w:color w:val="auto"/>
              </w:rPr>
            </w:pPr>
          </w:p>
        </w:tc>
      </w:tr>
      <w:tr>
        <w:trPr>
          <w:trHeight w:val="156"/>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Income/(expense) recognised directly in equity</w:t>
            </w:r>
            <w:r>
              <w:rPr>
                <w:rFonts w:ascii="Arial" w:cs="Arial" w:eastAsia="Arial" w:hAnsi="Arial"/>
                <w:sz w:val="12"/>
                <w:szCs w:val="12"/>
                <w:b w:val="1"/>
                <w:bCs w:val="1"/>
                <w:color w:val="auto"/>
              </w:rPr>
              <w:t>[A]</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178"/>
              <w:spacing w:after="0"/>
              <w:rPr>
                <w:sz w:val="20"/>
                <w:szCs w:val="20"/>
                <w:color w:val="auto"/>
              </w:rPr>
            </w:pPr>
            <w:r>
              <w:rPr>
                <w:rFonts w:ascii="Arial" w:cs="Arial" w:eastAsia="Arial" w:hAnsi="Arial"/>
                <w:sz w:val="12"/>
                <w:szCs w:val="12"/>
                <w:color w:val="auto"/>
              </w:rPr>
              <w:t>(4,366)</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(4,366)</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106</w:t>
            </w:r>
          </w:p>
        </w:tc>
        <w:tc>
          <w:tcPr>
            <w:tcW w:w="800" w:type="dxa"/>
            <w:vAlign w:val="bottom"/>
          </w:tcPr>
          <w:p>
            <w:pPr>
              <w:jc w:val="right"/>
              <w:spacing w:after="0"/>
              <w:rPr>
                <w:sz w:val="20"/>
                <w:szCs w:val="20"/>
                <w:color w:val="auto"/>
              </w:rPr>
            </w:pPr>
            <w:r>
              <w:rPr>
                <w:rFonts w:ascii="Arial" w:cs="Arial" w:eastAsia="Arial" w:hAnsi="Arial"/>
                <w:sz w:val="12"/>
                <w:szCs w:val="12"/>
                <w:color w:val="auto"/>
              </w:rPr>
              <w:t>(4,260)</w:t>
            </w:r>
          </w:p>
        </w:tc>
        <w:tc>
          <w:tcPr>
            <w:tcW w:w="20" w:type="dxa"/>
            <w:vAlign w:val="bottom"/>
          </w:tcPr>
          <w:p>
            <w:pPr>
              <w:spacing w:after="0"/>
              <w:rPr>
                <w:sz w:val="13"/>
                <w:szCs w:val="13"/>
                <w:color w:val="auto"/>
              </w:rPr>
            </w:pPr>
          </w:p>
        </w:tc>
      </w:tr>
      <w:tr>
        <w:trPr>
          <w:trHeight w:val="250"/>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Income for the period</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25,311</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25,311</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950</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26,261</w:t>
            </w:r>
          </w:p>
        </w:tc>
        <w:tc>
          <w:tcPr>
            <w:tcW w:w="20" w:type="dxa"/>
            <w:vAlign w:val="bottom"/>
          </w:tcPr>
          <w:p>
            <w:pPr>
              <w:spacing w:after="0"/>
              <w:rPr>
                <w:sz w:val="21"/>
                <w:szCs w:val="21"/>
                <w:color w:val="auto"/>
              </w:rPr>
            </w:pPr>
          </w:p>
        </w:tc>
      </w:tr>
      <w:tr>
        <w:trPr>
          <w:trHeight w:val="134"/>
        </w:trPr>
        <w:tc>
          <w:tcPr>
            <w:tcW w:w="3460" w:type="dxa"/>
            <w:vAlign w:val="bottom"/>
            <w:gridSpan w:val="2"/>
          </w:tcPr>
          <w:p>
            <w:pPr>
              <w:ind w:left="20"/>
              <w:spacing w:after="0" w:line="134" w:lineRule="exact"/>
              <w:rPr>
                <w:sz w:val="20"/>
                <w:szCs w:val="20"/>
                <w:color w:val="auto"/>
              </w:rPr>
            </w:pPr>
            <w:r>
              <w:rPr>
                <w:rFonts w:ascii="Arial" w:cs="Arial" w:eastAsia="Arial" w:hAnsi="Arial"/>
                <w:sz w:val="12"/>
                <w:szCs w:val="12"/>
                <w:color w:val="auto"/>
              </w:rPr>
              <w:t>Total recognised income/(expense) for the period</w:t>
            </w:r>
          </w:p>
        </w:tc>
        <w:tc>
          <w:tcPr>
            <w:tcW w:w="12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(4,366)</w:t>
            </w:r>
          </w:p>
        </w:tc>
        <w:tc>
          <w:tcPr>
            <w:tcW w:w="10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25,311</w:t>
            </w:r>
          </w:p>
        </w:tc>
        <w:tc>
          <w:tcPr>
            <w:tcW w:w="102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20,945</w:t>
            </w:r>
          </w:p>
        </w:tc>
        <w:tc>
          <w:tcPr>
            <w:tcW w:w="102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1,056</w:t>
            </w:r>
          </w:p>
        </w:tc>
        <w:tc>
          <w:tcPr>
            <w:tcW w:w="8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22,001</w:t>
            </w:r>
          </w:p>
        </w:tc>
        <w:tc>
          <w:tcPr>
            <w:tcW w:w="20" w:type="dxa"/>
            <w:vAlign w:val="bottom"/>
          </w:tcPr>
          <w:p>
            <w:pPr>
              <w:spacing w:after="0"/>
              <w:rPr>
                <w:sz w:val="11"/>
                <w:szCs w:val="11"/>
                <w:color w:val="auto"/>
              </w:rPr>
            </w:pPr>
          </w:p>
        </w:tc>
      </w:tr>
      <w:tr>
        <w:trPr>
          <w:trHeight w:val="119"/>
        </w:trPr>
        <w:tc>
          <w:tcPr>
            <w:tcW w:w="3460" w:type="dxa"/>
            <w:vAlign w:val="bottom"/>
            <w:gridSpan w:val="2"/>
          </w:tcPr>
          <w:p>
            <w:pPr>
              <w:ind w:left="20"/>
              <w:spacing w:after="0" w:line="120" w:lineRule="exact"/>
              <w:rPr>
                <w:sz w:val="20"/>
                <w:szCs w:val="20"/>
                <w:color w:val="auto"/>
              </w:rPr>
            </w:pPr>
            <w:r>
              <w:rPr>
                <w:rFonts w:ascii="Arial" w:cs="Arial" w:eastAsia="Arial" w:hAnsi="Arial"/>
                <w:sz w:val="12"/>
                <w:szCs w:val="12"/>
                <w:color w:val="auto"/>
              </w:rPr>
              <w:t>Capital contributions from minority shareholders</w:t>
            </w:r>
          </w:p>
        </w:tc>
        <w:tc>
          <w:tcPr>
            <w:tcW w:w="128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20"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954</w:t>
            </w:r>
          </w:p>
        </w:tc>
        <w:tc>
          <w:tcPr>
            <w:tcW w:w="800" w:type="dxa"/>
            <w:vAlign w:val="bottom"/>
          </w:tcPr>
          <w:p>
            <w:pPr>
              <w:jc w:val="right"/>
              <w:ind w:right="18"/>
              <w:spacing w:after="0" w:line="120" w:lineRule="exact"/>
              <w:rPr>
                <w:sz w:val="20"/>
                <w:szCs w:val="20"/>
                <w:color w:val="auto"/>
              </w:rPr>
            </w:pPr>
            <w:r>
              <w:rPr>
                <w:rFonts w:ascii="Arial" w:cs="Arial" w:eastAsia="Arial" w:hAnsi="Arial"/>
                <w:sz w:val="12"/>
                <w:szCs w:val="12"/>
                <w:color w:val="auto"/>
              </w:rPr>
              <w:t>954</w:t>
            </w:r>
          </w:p>
        </w:tc>
        <w:tc>
          <w:tcPr>
            <w:tcW w:w="20" w:type="dxa"/>
            <w:vAlign w:val="bottom"/>
          </w:tcPr>
          <w:p>
            <w:pPr>
              <w:spacing w:after="0"/>
              <w:rPr>
                <w:sz w:val="10"/>
                <w:szCs w:val="10"/>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Effect of Unification</w:t>
            </w:r>
            <w:r>
              <w:rPr>
                <w:rFonts w:ascii="Arial" w:cs="Arial" w:eastAsia="Arial" w:hAnsi="Arial"/>
                <w:sz w:val="12"/>
                <w:szCs w:val="12"/>
                <w:b w:val="1"/>
                <w:bCs w:val="1"/>
                <w:color w:val="auto"/>
              </w:rPr>
              <w:t>[A]</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(1,929)</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30</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(1,899)</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(30)</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(1,929)</w:t>
            </w:r>
          </w:p>
        </w:tc>
        <w:tc>
          <w:tcPr>
            <w:tcW w:w="20" w:type="dxa"/>
            <w:vAlign w:val="bottom"/>
          </w:tcPr>
          <w:p>
            <w:pPr>
              <w:spacing w:after="0"/>
              <w:rPr>
                <w:sz w:val="11"/>
                <w:szCs w:val="11"/>
                <w:color w:val="auto"/>
              </w:rPr>
            </w:pPr>
          </w:p>
        </w:tc>
      </w:tr>
      <w:tr>
        <w:trPr>
          <w:trHeight w:val="147"/>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Dividends paid</w:t>
            </w:r>
            <w:r>
              <w:rPr>
                <w:rFonts w:ascii="Arial" w:cs="Arial" w:eastAsia="Arial" w:hAnsi="Arial"/>
                <w:sz w:val="12"/>
                <w:szCs w:val="12"/>
                <w:b w:val="1"/>
                <w:bCs w:val="1"/>
                <w:color w:val="auto"/>
              </w:rPr>
              <w:t>[B]</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(10,556)</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(10,556)</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(293)</w:t>
            </w:r>
          </w:p>
        </w:tc>
        <w:tc>
          <w:tcPr>
            <w:tcW w:w="800" w:type="dxa"/>
            <w:vAlign w:val="bottom"/>
          </w:tcPr>
          <w:p>
            <w:pPr>
              <w:jc w:val="right"/>
              <w:spacing w:after="0"/>
              <w:rPr>
                <w:sz w:val="20"/>
                <w:szCs w:val="20"/>
                <w:color w:val="auto"/>
              </w:rPr>
            </w:pPr>
            <w:r>
              <w:rPr>
                <w:rFonts w:ascii="Arial" w:cs="Arial" w:eastAsia="Arial" w:hAnsi="Arial"/>
                <w:sz w:val="12"/>
                <w:szCs w:val="12"/>
                <w:color w:val="auto"/>
              </w:rPr>
              <w:t>(10,849)</w:t>
            </w:r>
          </w:p>
        </w:tc>
        <w:tc>
          <w:tcPr>
            <w:tcW w:w="20" w:type="dxa"/>
            <w:vAlign w:val="bottom"/>
          </w:tcPr>
          <w:p>
            <w:pPr>
              <w:spacing w:after="0"/>
              <w:rPr>
                <w:sz w:val="12"/>
                <w:szCs w:val="12"/>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Treasury shares: net sales/(purchases) and dividends received</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378</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378</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378</w:t>
            </w:r>
          </w:p>
        </w:tc>
        <w:tc>
          <w:tcPr>
            <w:tcW w:w="20" w:type="dxa"/>
            <w:vAlign w:val="bottom"/>
          </w:tcPr>
          <w:p>
            <w:pPr>
              <w:spacing w:after="0"/>
              <w:rPr>
                <w:sz w:val="11"/>
                <w:szCs w:val="1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Shares repurchased for cancellation</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(13)</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13</w:t>
            </w:r>
          </w:p>
        </w:tc>
        <w:tc>
          <w:tcPr>
            <w:tcW w:w="10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(4,988)</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(4,988)</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(4,988)</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Share-based compensation</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178</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178</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178</w:t>
            </w:r>
          </w:p>
        </w:tc>
        <w:tc>
          <w:tcPr>
            <w:tcW w:w="20" w:type="dxa"/>
            <w:vAlign w:val="bottom"/>
          </w:tcPr>
          <w:p>
            <w:pPr>
              <w:spacing w:after="0"/>
              <w:rPr>
                <w:sz w:val="12"/>
                <w:szCs w:val="12"/>
                <w:color w:val="auto"/>
              </w:rPr>
            </w:pPr>
          </w:p>
        </w:tc>
      </w:tr>
      <w:tr>
        <w:trPr>
          <w:trHeight w:val="156"/>
        </w:trPr>
        <w:tc>
          <w:tcPr>
            <w:tcW w:w="3460" w:type="dxa"/>
            <w:vAlign w:val="bottom"/>
            <w:gridSpan w:val="2"/>
          </w:tcPr>
          <w:p>
            <w:pPr>
              <w:ind w:left="20"/>
              <w:spacing w:after="0"/>
              <w:rPr>
                <w:sz w:val="20"/>
                <w:szCs w:val="20"/>
                <w:color w:val="auto"/>
              </w:rPr>
            </w:pPr>
            <w:r>
              <w:rPr>
                <w:rFonts w:ascii="Arial" w:cs="Arial" w:eastAsia="Arial" w:hAnsi="Arial"/>
                <w:sz w:val="12"/>
                <w:szCs w:val="12"/>
                <w:b w:val="1"/>
                <w:bCs w:val="1"/>
                <w:color w:val="auto"/>
              </w:rPr>
              <w:t>At December 31, 2005</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571</w:t>
            </w:r>
          </w:p>
        </w:tc>
        <w:tc>
          <w:tcPr>
            <w:tcW w:w="960" w:type="dxa"/>
            <w:vAlign w:val="bottom"/>
          </w:tcPr>
          <w:p>
            <w:pPr>
              <w:jc w:val="right"/>
              <w:ind w:right="118"/>
              <w:spacing w:after="0"/>
              <w:rPr>
                <w:sz w:val="20"/>
                <w:szCs w:val="20"/>
                <w:color w:val="auto"/>
              </w:rPr>
            </w:pPr>
            <w:r>
              <w:rPr>
                <w:rFonts w:ascii="Arial" w:cs="Arial" w:eastAsia="Arial" w:hAnsi="Arial"/>
                <w:sz w:val="12"/>
                <w:szCs w:val="12"/>
                <w:color w:val="auto"/>
              </w:rPr>
              <w:t>(3,809)</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3,584</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90,578</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90,924</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7,000</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97,924</w:t>
            </w:r>
          </w:p>
        </w:tc>
        <w:tc>
          <w:tcPr>
            <w:tcW w:w="20" w:type="dxa"/>
            <w:vAlign w:val="bottom"/>
          </w:tcPr>
          <w:p>
            <w:pPr>
              <w:spacing w:after="0"/>
              <w:rPr>
                <w:sz w:val="13"/>
                <w:szCs w:val="13"/>
                <w:color w:val="auto"/>
              </w:rPr>
            </w:pPr>
          </w:p>
        </w:tc>
      </w:tr>
      <w:tr>
        <w:trPr>
          <w:trHeight w:val="245"/>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3,715</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3,715</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31</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3,746</w:t>
            </w:r>
          </w:p>
        </w:tc>
        <w:tc>
          <w:tcPr>
            <w:tcW w:w="20" w:type="dxa"/>
            <w:vAlign w:val="bottom"/>
          </w:tcPr>
          <w:p>
            <w:pPr>
              <w:spacing w:after="0"/>
              <w:rPr>
                <w:sz w:val="21"/>
                <w:szCs w:val="2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Unrealised gains/(losses) on securities</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813</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813</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813</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Unrealised gains/(losses) on cash flow hedges</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143</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143</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7</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150</w:t>
            </w:r>
          </w:p>
        </w:tc>
        <w:tc>
          <w:tcPr>
            <w:tcW w:w="20" w:type="dxa"/>
            <w:vAlign w:val="bottom"/>
          </w:tcPr>
          <w:p>
            <w:pPr>
              <w:spacing w:after="0"/>
              <w:rPr>
                <w:sz w:val="12"/>
                <w:szCs w:val="12"/>
                <w:color w:val="auto"/>
              </w:rPr>
            </w:pPr>
          </w:p>
        </w:tc>
      </w:tr>
      <w:tr>
        <w:trPr>
          <w:trHeight w:val="156"/>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Income/(expense) recognised directly in equity</w:t>
            </w:r>
            <w:r>
              <w:rPr>
                <w:rFonts w:ascii="Arial" w:cs="Arial" w:eastAsia="Arial" w:hAnsi="Arial"/>
                <w:sz w:val="12"/>
                <w:szCs w:val="12"/>
                <w:b w:val="1"/>
                <w:bCs w:val="1"/>
                <w:color w:val="auto"/>
              </w:rPr>
              <w:t>[A]</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4,671</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4,671</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38</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4,709</w:t>
            </w:r>
          </w:p>
        </w:tc>
        <w:tc>
          <w:tcPr>
            <w:tcW w:w="20" w:type="dxa"/>
            <w:vAlign w:val="bottom"/>
          </w:tcPr>
          <w:p>
            <w:pPr>
              <w:spacing w:after="0"/>
              <w:rPr>
                <w:sz w:val="13"/>
                <w:szCs w:val="13"/>
                <w:color w:val="auto"/>
              </w:rPr>
            </w:pPr>
          </w:p>
        </w:tc>
      </w:tr>
      <w:tr>
        <w:trPr>
          <w:trHeight w:val="250"/>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Income for the period</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25,442</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25,442</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869</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26,311</w:t>
            </w:r>
          </w:p>
        </w:tc>
        <w:tc>
          <w:tcPr>
            <w:tcW w:w="20" w:type="dxa"/>
            <w:vAlign w:val="bottom"/>
          </w:tcPr>
          <w:p>
            <w:pPr>
              <w:spacing w:after="0"/>
              <w:rPr>
                <w:sz w:val="21"/>
                <w:szCs w:val="21"/>
                <w:color w:val="auto"/>
              </w:rPr>
            </w:pPr>
          </w:p>
        </w:tc>
      </w:tr>
      <w:tr>
        <w:trPr>
          <w:trHeight w:val="134"/>
        </w:trPr>
        <w:tc>
          <w:tcPr>
            <w:tcW w:w="3460" w:type="dxa"/>
            <w:vAlign w:val="bottom"/>
            <w:gridSpan w:val="2"/>
          </w:tcPr>
          <w:p>
            <w:pPr>
              <w:ind w:left="20"/>
              <w:spacing w:after="0" w:line="134" w:lineRule="exact"/>
              <w:rPr>
                <w:sz w:val="20"/>
                <w:szCs w:val="20"/>
                <w:color w:val="auto"/>
              </w:rPr>
            </w:pPr>
            <w:r>
              <w:rPr>
                <w:rFonts w:ascii="Arial" w:cs="Arial" w:eastAsia="Arial" w:hAnsi="Arial"/>
                <w:sz w:val="12"/>
                <w:szCs w:val="12"/>
                <w:color w:val="auto"/>
              </w:rPr>
              <w:t>Total recognised income/(expense) for the period</w:t>
            </w:r>
          </w:p>
        </w:tc>
        <w:tc>
          <w:tcPr>
            <w:tcW w:w="12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4,671</w:t>
            </w:r>
          </w:p>
        </w:tc>
        <w:tc>
          <w:tcPr>
            <w:tcW w:w="10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25,442</w:t>
            </w:r>
          </w:p>
        </w:tc>
        <w:tc>
          <w:tcPr>
            <w:tcW w:w="102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30,113</w:t>
            </w:r>
          </w:p>
        </w:tc>
        <w:tc>
          <w:tcPr>
            <w:tcW w:w="102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907</w:t>
            </w:r>
          </w:p>
        </w:tc>
        <w:tc>
          <w:tcPr>
            <w:tcW w:w="8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31,020</w:t>
            </w:r>
          </w:p>
        </w:tc>
        <w:tc>
          <w:tcPr>
            <w:tcW w:w="20" w:type="dxa"/>
            <w:vAlign w:val="bottom"/>
          </w:tcPr>
          <w:p>
            <w:pPr>
              <w:spacing w:after="0"/>
              <w:rPr>
                <w:sz w:val="11"/>
                <w:szCs w:val="11"/>
                <w:color w:val="auto"/>
              </w:rPr>
            </w:pPr>
          </w:p>
        </w:tc>
      </w:tr>
      <w:tr>
        <w:trPr>
          <w:trHeight w:val="119"/>
        </w:trPr>
        <w:tc>
          <w:tcPr>
            <w:tcW w:w="3460" w:type="dxa"/>
            <w:vAlign w:val="bottom"/>
            <w:gridSpan w:val="2"/>
          </w:tcPr>
          <w:p>
            <w:pPr>
              <w:ind w:left="20"/>
              <w:spacing w:after="0" w:line="120" w:lineRule="exact"/>
              <w:rPr>
                <w:sz w:val="20"/>
                <w:szCs w:val="20"/>
                <w:color w:val="auto"/>
              </w:rPr>
            </w:pPr>
            <w:r>
              <w:rPr>
                <w:rFonts w:ascii="Arial" w:cs="Arial" w:eastAsia="Arial" w:hAnsi="Arial"/>
                <w:sz w:val="12"/>
                <w:szCs w:val="12"/>
                <w:color w:val="auto"/>
              </w:rPr>
              <w:t>Capital contributions from minority shareholders</w:t>
            </w:r>
          </w:p>
        </w:tc>
        <w:tc>
          <w:tcPr>
            <w:tcW w:w="128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20"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1,601</w:t>
            </w:r>
          </w:p>
        </w:tc>
        <w:tc>
          <w:tcPr>
            <w:tcW w:w="800" w:type="dxa"/>
            <w:vAlign w:val="bottom"/>
          </w:tcPr>
          <w:p>
            <w:pPr>
              <w:jc w:val="right"/>
              <w:ind w:right="18"/>
              <w:spacing w:after="0" w:line="120" w:lineRule="exact"/>
              <w:rPr>
                <w:sz w:val="20"/>
                <w:szCs w:val="20"/>
                <w:color w:val="auto"/>
              </w:rPr>
            </w:pPr>
            <w:r>
              <w:rPr>
                <w:rFonts w:ascii="Arial" w:cs="Arial" w:eastAsia="Arial" w:hAnsi="Arial"/>
                <w:sz w:val="12"/>
                <w:szCs w:val="12"/>
                <w:color w:val="auto"/>
              </w:rPr>
              <w:t>1,601</w:t>
            </w:r>
          </w:p>
        </w:tc>
        <w:tc>
          <w:tcPr>
            <w:tcW w:w="20" w:type="dxa"/>
            <w:vAlign w:val="bottom"/>
          </w:tcPr>
          <w:p>
            <w:pPr>
              <w:spacing w:after="0"/>
              <w:rPr>
                <w:sz w:val="10"/>
                <w:szCs w:val="10"/>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Effect of Unification</w:t>
            </w:r>
            <w:r>
              <w:rPr>
                <w:rFonts w:ascii="Arial" w:cs="Arial" w:eastAsia="Arial" w:hAnsi="Arial"/>
                <w:sz w:val="12"/>
                <w:szCs w:val="12"/>
                <w:b w:val="1"/>
                <w:bCs w:val="1"/>
                <w:color w:val="auto"/>
              </w:rPr>
              <w:t>[A]</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154</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154</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154</w:t>
            </w:r>
          </w:p>
        </w:tc>
        <w:tc>
          <w:tcPr>
            <w:tcW w:w="20" w:type="dxa"/>
            <w:vAlign w:val="bottom"/>
          </w:tcPr>
          <w:p>
            <w:pPr>
              <w:spacing w:after="0"/>
              <w:rPr>
                <w:sz w:val="11"/>
                <w:szCs w:val="11"/>
                <w:color w:val="auto"/>
              </w:rPr>
            </w:pPr>
          </w:p>
        </w:tc>
      </w:tr>
      <w:tr>
        <w:trPr>
          <w:trHeight w:val="147"/>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Dividends paid</w:t>
            </w:r>
            <w:r>
              <w:rPr>
                <w:rFonts w:ascii="Arial" w:cs="Arial" w:eastAsia="Arial" w:hAnsi="Arial"/>
                <w:sz w:val="12"/>
                <w:szCs w:val="12"/>
                <w:b w:val="1"/>
                <w:bCs w:val="1"/>
                <w:color w:val="auto"/>
              </w:rPr>
              <w:t>[B]</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(8,142)</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(8,142)</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(289)</w:t>
            </w:r>
          </w:p>
        </w:tc>
        <w:tc>
          <w:tcPr>
            <w:tcW w:w="800" w:type="dxa"/>
            <w:vAlign w:val="bottom"/>
          </w:tcPr>
          <w:p>
            <w:pPr>
              <w:jc w:val="right"/>
              <w:spacing w:after="0"/>
              <w:rPr>
                <w:sz w:val="20"/>
                <w:szCs w:val="20"/>
                <w:color w:val="auto"/>
              </w:rPr>
            </w:pPr>
            <w:r>
              <w:rPr>
                <w:rFonts w:ascii="Arial" w:cs="Arial" w:eastAsia="Arial" w:hAnsi="Arial"/>
                <w:sz w:val="12"/>
                <w:szCs w:val="12"/>
                <w:color w:val="auto"/>
              </w:rPr>
              <w:t>(8,431)</w:t>
            </w:r>
          </w:p>
        </w:tc>
        <w:tc>
          <w:tcPr>
            <w:tcW w:w="20" w:type="dxa"/>
            <w:vAlign w:val="bottom"/>
          </w:tcPr>
          <w:p>
            <w:pPr>
              <w:spacing w:after="0"/>
              <w:rPr>
                <w:sz w:val="12"/>
                <w:szCs w:val="12"/>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Treasury shares: net sales/(purchases) and dividends received</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493</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493</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493</w:t>
            </w:r>
          </w:p>
        </w:tc>
        <w:tc>
          <w:tcPr>
            <w:tcW w:w="20" w:type="dxa"/>
            <w:vAlign w:val="bottom"/>
          </w:tcPr>
          <w:p>
            <w:pPr>
              <w:spacing w:after="0"/>
              <w:rPr>
                <w:sz w:val="11"/>
                <w:szCs w:val="1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Shares repurchased for cancellation</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(26)</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26</w:t>
            </w:r>
          </w:p>
        </w:tc>
        <w:tc>
          <w:tcPr>
            <w:tcW w:w="10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(8,201)</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(8,201)</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(8,201)</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Share-based compensation</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385</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385</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385</w:t>
            </w:r>
          </w:p>
        </w:tc>
        <w:tc>
          <w:tcPr>
            <w:tcW w:w="20" w:type="dxa"/>
            <w:vAlign w:val="bottom"/>
          </w:tcPr>
          <w:p>
            <w:pPr>
              <w:spacing w:after="0"/>
              <w:rPr>
                <w:sz w:val="12"/>
                <w:szCs w:val="12"/>
                <w:color w:val="auto"/>
              </w:rPr>
            </w:pPr>
          </w:p>
        </w:tc>
      </w:tr>
      <w:tr>
        <w:trPr>
          <w:trHeight w:val="156"/>
        </w:trPr>
        <w:tc>
          <w:tcPr>
            <w:tcW w:w="3460" w:type="dxa"/>
            <w:vAlign w:val="bottom"/>
            <w:gridSpan w:val="2"/>
          </w:tcPr>
          <w:p>
            <w:pPr>
              <w:ind w:left="20"/>
              <w:spacing w:after="0"/>
              <w:rPr>
                <w:sz w:val="20"/>
                <w:szCs w:val="20"/>
                <w:color w:val="auto"/>
              </w:rPr>
            </w:pPr>
            <w:r>
              <w:rPr>
                <w:rFonts w:ascii="Arial" w:cs="Arial" w:eastAsia="Arial" w:hAnsi="Arial"/>
                <w:sz w:val="12"/>
                <w:szCs w:val="12"/>
                <w:b w:val="1"/>
                <w:bCs w:val="1"/>
                <w:color w:val="auto"/>
              </w:rPr>
              <w:t>At December 31, 2006</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545</w:t>
            </w:r>
          </w:p>
        </w:tc>
        <w:tc>
          <w:tcPr>
            <w:tcW w:w="960" w:type="dxa"/>
            <w:vAlign w:val="bottom"/>
          </w:tcPr>
          <w:p>
            <w:pPr>
              <w:jc w:val="right"/>
              <w:ind w:right="118"/>
              <w:spacing w:after="0"/>
              <w:rPr>
                <w:sz w:val="20"/>
                <w:szCs w:val="20"/>
                <w:color w:val="auto"/>
              </w:rPr>
            </w:pPr>
            <w:r>
              <w:rPr>
                <w:rFonts w:ascii="Arial" w:cs="Arial" w:eastAsia="Arial" w:hAnsi="Arial"/>
                <w:sz w:val="12"/>
                <w:szCs w:val="12"/>
                <w:color w:val="auto"/>
              </w:rPr>
              <w:t>(3,316)</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8,820</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99,677</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105,726</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9,219</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114,945</w:t>
            </w:r>
          </w:p>
        </w:tc>
        <w:tc>
          <w:tcPr>
            <w:tcW w:w="20" w:type="dxa"/>
            <w:vAlign w:val="bottom"/>
          </w:tcPr>
          <w:p>
            <w:pPr>
              <w:spacing w:after="0"/>
              <w:rPr>
                <w:sz w:val="13"/>
                <w:szCs w:val="13"/>
                <w:color w:val="auto"/>
              </w:rPr>
            </w:pPr>
          </w:p>
        </w:tc>
      </w:tr>
      <w:tr>
        <w:trPr>
          <w:trHeight w:val="245"/>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5,389</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5,389</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28</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5,417</w:t>
            </w:r>
          </w:p>
        </w:tc>
        <w:tc>
          <w:tcPr>
            <w:tcW w:w="20" w:type="dxa"/>
            <w:vAlign w:val="bottom"/>
          </w:tcPr>
          <w:p>
            <w:pPr>
              <w:spacing w:after="0"/>
              <w:rPr>
                <w:sz w:val="21"/>
                <w:szCs w:val="2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Unrealised gains/(losses) on securities</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(340)</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(340)</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(341)</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Unrealised gains/(losses) on cash flow hedges</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(116)</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(116)</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c>
          <w:tcPr>
            <w:tcW w:w="20" w:type="dxa"/>
            <w:vAlign w:val="bottom"/>
          </w:tcPr>
          <w:p>
            <w:pPr>
              <w:spacing w:after="0"/>
              <w:rPr>
                <w:sz w:val="12"/>
                <w:szCs w:val="12"/>
                <w:color w:val="auto"/>
              </w:rPr>
            </w:pPr>
          </w:p>
        </w:tc>
      </w:tr>
      <w:tr>
        <w:trPr>
          <w:trHeight w:val="156"/>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Income/(expense) recognised directly in equity</w:t>
            </w:r>
            <w:r>
              <w:rPr>
                <w:rFonts w:ascii="Arial" w:cs="Arial" w:eastAsia="Arial" w:hAnsi="Arial"/>
                <w:sz w:val="12"/>
                <w:szCs w:val="12"/>
                <w:b w:val="1"/>
                <w:bCs w:val="1"/>
                <w:color w:val="auto"/>
              </w:rPr>
              <w:t>[A]</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4,933</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4,933</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27</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4,960</w:t>
            </w:r>
          </w:p>
        </w:tc>
        <w:tc>
          <w:tcPr>
            <w:tcW w:w="20" w:type="dxa"/>
            <w:vAlign w:val="bottom"/>
          </w:tcPr>
          <w:p>
            <w:pPr>
              <w:spacing w:after="0"/>
              <w:rPr>
                <w:sz w:val="13"/>
                <w:szCs w:val="13"/>
                <w:color w:val="auto"/>
              </w:rPr>
            </w:pPr>
          </w:p>
        </w:tc>
      </w:tr>
      <w:tr>
        <w:trPr>
          <w:trHeight w:val="250"/>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Income for the period</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31,331</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31,331</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595</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31,926</w:t>
            </w:r>
          </w:p>
        </w:tc>
        <w:tc>
          <w:tcPr>
            <w:tcW w:w="20" w:type="dxa"/>
            <w:vAlign w:val="bottom"/>
          </w:tcPr>
          <w:p>
            <w:pPr>
              <w:spacing w:after="0"/>
              <w:rPr>
                <w:sz w:val="21"/>
                <w:szCs w:val="21"/>
                <w:color w:val="auto"/>
              </w:rPr>
            </w:pPr>
          </w:p>
        </w:tc>
      </w:tr>
      <w:tr>
        <w:trPr>
          <w:trHeight w:val="149"/>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Total recognised income/(expense) for the period</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4,933</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31,331</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36,264</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622</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36,886</w:t>
            </w:r>
          </w:p>
        </w:tc>
        <w:tc>
          <w:tcPr>
            <w:tcW w:w="20" w:type="dxa"/>
            <w:vAlign w:val="bottom"/>
          </w:tcPr>
          <w:p>
            <w:pPr>
              <w:spacing w:after="0"/>
              <w:rPr>
                <w:sz w:val="12"/>
                <w:szCs w:val="12"/>
                <w:color w:val="auto"/>
              </w:rPr>
            </w:pPr>
          </w:p>
        </w:tc>
      </w:tr>
      <w:tr>
        <w:trPr>
          <w:trHeight w:val="237"/>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Capital contributions from minority shareholders</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748</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748</w:t>
            </w:r>
          </w:p>
        </w:tc>
        <w:tc>
          <w:tcPr>
            <w:tcW w:w="20" w:type="dxa"/>
            <w:vAlign w:val="bottom"/>
          </w:tcPr>
          <w:p>
            <w:pPr>
              <w:spacing w:after="0"/>
              <w:rPr>
                <w:sz w:val="20"/>
                <w:szCs w:val="20"/>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Transactions with minority shareholders</w:t>
            </w:r>
            <w:r>
              <w:rPr>
                <w:rFonts w:ascii="Arial" w:cs="Arial" w:eastAsia="Arial" w:hAnsi="Arial"/>
                <w:sz w:val="12"/>
                <w:szCs w:val="12"/>
                <w:b w:val="1"/>
                <w:bCs w:val="1"/>
                <w:color w:val="auto"/>
              </w:rPr>
              <w:t>[C]</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(5,473)</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(5,473)</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(8,378)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(13,851)</w:t>
            </w:r>
          </w:p>
        </w:tc>
        <w:tc>
          <w:tcPr>
            <w:tcW w:w="20" w:type="dxa"/>
            <w:vAlign w:val="bottom"/>
          </w:tcPr>
          <w:p>
            <w:pPr>
              <w:spacing w:after="0"/>
              <w:rPr>
                <w:sz w:val="11"/>
                <w:szCs w:val="11"/>
                <w:color w:val="auto"/>
              </w:rPr>
            </w:pPr>
          </w:p>
        </w:tc>
      </w:tr>
      <w:tr>
        <w:trPr>
          <w:trHeight w:val="147"/>
        </w:trPr>
        <w:tc>
          <w:tcPr>
            <w:tcW w:w="3460" w:type="dxa"/>
            <w:vAlign w:val="bottom"/>
            <w:gridSpan w:val="2"/>
          </w:tcPr>
          <w:p>
            <w:pPr>
              <w:ind w:left="20"/>
              <w:spacing w:after="0"/>
              <w:rPr>
                <w:sz w:val="20"/>
                <w:szCs w:val="20"/>
                <w:color w:val="auto"/>
              </w:rPr>
            </w:pPr>
            <w:r>
              <w:rPr>
                <w:rFonts w:ascii="Arial" w:cs="Arial" w:eastAsia="Arial" w:hAnsi="Arial"/>
                <w:sz w:val="12"/>
                <w:szCs w:val="12"/>
                <w:color w:val="auto"/>
              </w:rPr>
              <w:t>Dividends paid</w:t>
            </w:r>
            <w:r>
              <w:rPr>
                <w:rFonts w:ascii="Arial" w:cs="Arial" w:eastAsia="Arial" w:hAnsi="Arial"/>
                <w:sz w:val="12"/>
                <w:szCs w:val="12"/>
                <w:b w:val="1"/>
                <w:bCs w:val="1"/>
                <w:color w:val="auto"/>
              </w:rPr>
              <w:t>[B]</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18"/>
              <w:spacing w:after="0"/>
              <w:rPr>
                <w:sz w:val="20"/>
                <w:szCs w:val="20"/>
                <w:color w:val="auto"/>
              </w:rPr>
            </w:pPr>
            <w:r>
              <w:rPr>
                <w:rFonts w:ascii="Arial" w:cs="Arial" w:eastAsia="Arial" w:hAnsi="Arial"/>
                <w:sz w:val="12"/>
                <w:szCs w:val="12"/>
                <w:color w:val="auto"/>
              </w:rPr>
              <w:t>(9,001)</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(9,001)</w:t>
            </w: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(203)</w:t>
            </w:r>
          </w:p>
        </w:tc>
        <w:tc>
          <w:tcPr>
            <w:tcW w:w="800" w:type="dxa"/>
            <w:vAlign w:val="bottom"/>
          </w:tcPr>
          <w:p>
            <w:pPr>
              <w:jc w:val="right"/>
              <w:spacing w:after="0"/>
              <w:rPr>
                <w:sz w:val="20"/>
                <w:szCs w:val="20"/>
                <w:color w:val="auto"/>
              </w:rPr>
            </w:pPr>
            <w:r>
              <w:rPr>
                <w:rFonts w:ascii="Arial" w:cs="Arial" w:eastAsia="Arial" w:hAnsi="Arial"/>
                <w:sz w:val="12"/>
                <w:szCs w:val="12"/>
                <w:color w:val="auto"/>
              </w:rPr>
              <w:t>(9,204)</w:t>
            </w:r>
          </w:p>
        </w:tc>
        <w:tc>
          <w:tcPr>
            <w:tcW w:w="20" w:type="dxa"/>
            <w:vAlign w:val="bottom"/>
          </w:tcPr>
          <w:p>
            <w:pPr>
              <w:spacing w:after="0"/>
              <w:rPr>
                <w:sz w:val="12"/>
                <w:szCs w:val="12"/>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Treasury shares: net sales/(purchases) and dividends received</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924</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924</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924</w:t>
            </w:r>
          </w:p>
        </w:tc>
        <w:tc>
          <w:tcPr>
            <w:tcW w:w="20" w:type="dxa"/>
            <w:vAlign w:val="bottom"/>
          </w:tcPr>
          <w:p>
            <w:pPr>
              <w:spacing w:after="0"/>
              <w:rPr>
                <w:sz w:val="11"/>
                <w:szCs w:val="11"/>
                <w:color w:val="auto"/>
              </w:rPr>
            </w:pPr>
          </w:p>
        </w:tc>
      </w:tr>
      <w:tr>
        <w:trPr>
          <w:trHeight w:val="133"/>
        </w:trPr>
        <w:tc>
          <w:tcPr>
            <w:tcW w:w="346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Shares repurchased for cancellation</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w:t>
            </w:r>
          </w:p>
        </w:tc>
        <w:tc>
          <w:tcPr>
            <w:tcW w:w="9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9</w:t>
            </w:r>
          </w:p>
        </w:tc>
        <w:tc>
          <w:tcPr>
            <w:tcW w:w="10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(4,866)</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(4,866)</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(4,866)</w:t>
            </w:r>
          </w:p>
        </w:tc>
        <w:tc>
          <w:tcPr>
            <w:tcW w:w="20" w:type="dxa"/>
            <w:vAlign w:val="bottom"/>
          </w:tcPr>
          <w:p>
            <w:pPr>
              <w:spacing w:after="0"/>
              <w:rPr>
                <w:sz w:val="11"/>
                <w:szCs w:val="11"/>
                <w:color w:val="auto"/>
              </w:rPr>
            </w:pPr>
          </w:p>
        </w:tc>
      </w:tr>
      <w:tr>
        <w:trPr>
          <w:trHeight w:val="139"/>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Share-based compensation</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386</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386</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386</w:t>
            </w:r>
          </w:p>
        </w:tc>
        <w:tc>
          <w:tcPr>
            <w:tcW w:w="20" w:type="dxa"/>
            <w:vAlign w:val="bottom"/>
          </w:tcPr>
          <w:p>
            <w:pPr>
              <w:spacing w:after="0"/>
              <w:rPr>
                <w:sz w:val="12"/>
                <w:szCs w:val="12"/>
                <w:color w:val="auto"/>
              </w:rPr>
            </w:pPr>
          </w:p>
        </w:tc>
      </w:tr>
      <w:tr>
        <w:trPr>
          <w:trHeight w:val="146"/>
        </w:trPr>
        <w:tc>
          <w:tcPr>
            <w:tcW w:w="34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At December 31, 2007</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536</w:t>
            </w: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(2,392)</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14,148</w:t>
            </w:r>
          </w:p>
        </w:tc>
        <w:tc>
          <w:tcPr>
            <w:tcW w:w="10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111,668</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123,960</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2,008</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125,968</w:t>
            </w:r>
          </w:p>
        </w:tc>
        <w:tc>
          <w:tcPr>
            <w:tcW w:w="20" w:type="dxa"/>
            <w:vAlign w:val="bottom"/>
          </w:tcPr>
          <w:p>
            <w:pPr>
              <w:spacing w:after="0"/>
              <w:rPr>
                <w:sz w:val="12"/>
                <w:szCs w:val="12"/>
                <w:color w:val="auto"/>
              </w:rPr>
            </w:pPr>
          </w:p>
        </w:tc>
      </w:tr>
      <w:tr>
        <w:trPr>
          <w:trHeight w:val="194"/>
        </w:trPr>
        <w:tc>
          <w:tcPr>
            <w:tcW w:w="220" w:type="dxa"/>
            <w:vAlign w:val="bottom"/>
          </w:tcPr>
          <w:p>
            <w:pPr>
              <w:spacing w:after="0"/>
              <w:rPr>
                <w:sz w:val="20"/>
                <w:szCs w:val="20"/>
                <w:color w:val="auto"/>
              </w:rPr>
            </w:pPr>
            <w:r>
              <w:rPr>
                <w:rFonts w:ascii="Arial" w:cs="Arial" w:eastAsia="Arial" w:hAnsi="Arial"/>
                <w:sz w:val="12"/>
                <w:szCs w:val="12"/>
                <w:color w:val="auto"/>
              </w:rPr>
              <w:t>[A]</w:t>
            </w:r>
          </w:p>
        </w:tc>
        <w:tc>
          <w:tcPr>
            <w:tcW w:w="3240" w:type="dxa"/>
            <w:vAlign w:val="bottom"/>
          </w:tcPr>
          <w:p>
            <w:pPr>
              <w:ind w:left="60"/>
              <w:spacing w:after="0"/>
              <w:rPr>
                <w:sz w:val="20"/>
                <w:szCs w:val="20"/>
                <w:color w:val="auto"/>
              </w:rPr>
            </w:pPr>
            <w:r>
              <w:rPr>
                <w:rFonts w:ascii="Arial" w:cs="Arial" w:eastAsia="Arial" w:hAnsi="Arial"/>
                <w:sz w:val="12"/>
                <w:szCs w:val="12"/>
                <w:color w:val="auto"/>
              </w:rPr>
              <w:t>See Note 29.</w:t>
            </w: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220" w:type="dxa"/>
            <w:vAlign w:val="bottom"/>
          </w:tcPr>
          <w:p>
            <w:pPr>
              <w:spacing w:after="0" w:line="133" w:lineRule="exact"/>
              <w:rPr>
                <w:sz w:val="20"/>
                <w:szCs w:val="20"/>
                <w:color w:val="auto"/>
              </w:rPr>
            </w:pPr>
            <w:r>
              <w:rPr>
                <w:rFonts w:ascii="Arial" w:cs="Arial" w:eastAsia="Arial" w:hAnsi="Arial"/>
                <w:sz w:val="12"/>
                <w:szCs w:val="12"/>
                <w:color w:val="auto"/>
              </w:rPr>
              <w:t>[B]</w:t>
            </w:r>
          </w:p>
        </w:tc>
        <w:tc>
          <w:tcPr>
            <w:tcW w:w="3240" w:type="dxa"/>
            <w:vAlign w:val="bottom"/>
          </w:tcPr>
          <w:p>
            <w:pPr>
              <w:ind w:left="60"/>
              <w:spacing w:after="0" w:line="133" w:lineRule="exact"/>
              <w:rPr>
                <w:sz w:val="20"/>
                <w:szCs w:val="20"/>
                <w:color w:val="auto"/>
              </w:rPr>
            </w:pPr>
            <w:r>
              <w:rPr>
                <w:rFonts w:ascii="Arial" w:cs="Arial" w:eastAsia="Arial" w:hAnsi="Arial"/>
                <w:sz w:val="12"/>
                <w:szCs w:val="12"/>
                <w:color w:val="auto"/>
              </w:rPr>
              <w:t>See Note 30.</w:t>
            </w:r>
          </w:p>
        </w:tc>
        <w:tc>
          <w:tcPr>
            <w:tcW w:w="1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20" w:type="dxa"/>
            <w:vAlign w:val="bottom"/>
          </w:tcPr>
          <w:p>
            <w:pPr>
              <w:spacing w:after="0"/>
              <w:rPr>
                <w:sz w:val="20"/>
                <w:szCs w:val="20"/>
                <w:color w:val="auto"/>
              </w:rPr>
            </w:pPr>
            <w:r>
              <w:rPr>
                <w:rFonts w:ascii="Arial" w:cs="Arial" w:eastAsia="Arial" w:hAnsi="Arial"/>
                <w:sz w:val="12"/>
                <w:szCs w:val="12"/>
                <w:color w:val="auto"/>
              </w:rPr>
              <w:t>[C]</w:t>
            </w:r>
          </w:p>
        </w:tc>
        <w:tc>
          <w:tcPr>
            <w:tcW w:w="3240" w:type="dxa"/>
            <w:vAlign w:val="bottom"/>
          </w:tcPr>
          <w:p>
            <w:pPr>
              <w:ind w:left="60"/>
              <w:spacing w:after="0"/>
              <w:rPr>
                <w:sz w:val="20"/>
                <w:szCs w:val="20"/>
                <w:color w:val="auto"/>
              </w:rPr>
            </w:pPr>
            <w:r>
              <w:rPr>
                <w:rFonts w:ascii="Arial" w:cs="Arial" w:eastAsia="Arial" w:hAnsi="Arial"/>
                <w:sz w:val="12"/>
                <w:szCs w:val="12"/>
                <w:color w:val="auto"/>
              </w:rPr>
              <w:t>See Note 28.</w:t>
            </w: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2203450</wp:posOffset>
            </wp:positionH>
            <wp:positionV relativeFrom="paragraph">
              <wp:posOffset>-4631690</wp:posOffset>
            </wp:positionV>
            <wp:extent cx="5111750" cy="684276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11750" cy="684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117 to 161 are an integral part of these Consolidated Financial Statements.</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1317625</wp:posOffset>
            </wp:positionV>
            <wp:extent cx="7252970"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CONSOLIDATED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900" w:type="dxa"/>
            <w:vAlign w:val="bottom"/>
            <w:shd w:val="clear" w:color="auto" w:fill="7DD0E0"/>
          </w:tcPr>
          <w:p>
            <w:pPr>
              <w:ind w:left="80"/>
              <w:spacing w:after="0"/>
              <w:rPr>
                <w:sz w:val="20"/>
                <w:szCs w:val="20"/>
                <w:color w:val="auto"/>
              </w:rPr>
            </w:pPr>
            <w:r>
              <w:rPr>
                <w:rFonts w:ascii="Arial" w:cs="Arial" w:eastAsia="Arial" w:hAnsi="Arial"/>
                <w:sz w:val="12"/>
                <w:szCs w:val="12"/>
                <w:b w:val="1"/>
                <w:bCs w:val="1"/>
                <w:color w:val="auto"/>
              </w:rPr>
              <w:t>CONSOLIDATED STATEMENT OF CASH FLOWS (see Note 31)</w:t>
            </w:r>
          </w:p>
        </w:tc>
        <w:tc>
          <w:tcPr>
            <w:tcW w:w="800" w:type="dxa"/>
            <w:vAlign w:val="bottom"/>
            <w:shd w:val="clear" w:color="auto" w:fill="7DD0E0"/>
          </w:tcPr>
          <w:p>
            <w:pPr>
              <w:spacing w:after="0"/>
              <w:rPr>
                <w:sz w:val="12"/>
                <w:szCs w:val="12"/>
                <w:color w:val="auto"/>
              </w:rPr>
            </w:pPr>
          </w:p>
        </w:tc>
        <w:tc>
          <w:tcPr>
            <w:tcW w:w="1720" w:type="dxa"/>
            <w:vAlign w:val="bottom"/>
            <w:shd w:val="clear" w:color="auto" w:fill="7DD0E0"/>
          </w:tcPr>
          <w:p>
            <w:pPr>
              <w:spacing w:after="0"/>
              <w:rPr>
                <w:sz w:val="12"/>
                <w:szCs w:val="12"/>
                <w:color w:val="auto"/>
              </w:rPr>
            </w:pPr>
          </w:p>
        </w:tc>
        <w:tc>
          <w:tcPr>
            <w:tcW w:w="100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7900" w:type="dxa"/>
            <w:vAlign w:val="bottom"/>
            <w:shd w:val="clear" w:color="auto" w:fill="CECAC6"/>
          </w:tcPr>
          <w:p>
            <w:pPr>
              <w:spacing w:after="0"/>
              <w:rPr>
                <w:sz w:val="11"/>
                <w:szCs w:val="11"/>
                <w:color w:val="auto"/>
              </w:rPr>
            </w:pPr>
          </w:p>
        </w:tc>
        <w:tc>
          <w:tcPr>
            <w:tcW w:w="80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20" w:type="dxa"/>
            <w:vAlign w:val="bottom"/>
            <w:shd w:val="clear" w:color="auto" w:fill="CECAC6"/>
          </w:tcPr>
          <w:p>
            <w:pPr>
              <w:jc w:val="right"/>
              <w:ind w:right="398"/>
              <w:spacing w:after="0" w:line="133" w:lineRule="exact"/>
              <w:rPr>
                <w:sz w:val="20"/>
                <w:szCs w:val="20"/>
                <w:color w:val="auto"/>
              </w:rPr>
            </w:pPr>
            <w:r>
              <w:rPr>
                <w:rFonts w:ascii="Arial" w:cs="Arial" w:eastAsia="Arial" w:hAnsi="Arial"/>
                <w:sz w:val="12"/>
                <w:szCs w:val="12"/>
                <w:color w:val="auto"/>
              </w:rPr>
              <w:t>2006</w:t>
            </w:r>
          </w:p>
        </w:tc>
        <w:tc>
          <w:tcPr>
            <w:tcW w:w="10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113"/>
        </w:trPr>
        <w:tc>
          <w:tcPr>
            <w:tcW w:w="7900" w:type="dxa"/>
            <w:vAlign w:val="bottom"/>
          </w:tcPr>
          <w:p>
            <w:pPr>
              <w:spacing w:after="0" w:line="114" w:lineRule="exact"/>
              <w:rPr>
                <w:sz w:val="20"/>
                <w:szCs w:val="20"/>
                <w:color w:val="auto"/>
              </w:rPr>
            </w:pPr>
            <w:r>
              <w:rPr>
                <w:rFonts w:ascii="Arial" w:cs="Arial" w:eastAsia="Arial" w:hAnsi="Arial"/>
                <w:sz w:val="12"/>
                <w:szCs w:val="12"/>
                <w:b w:val="1"/>
                <w:bCs w:val="1"/>
                <w:color w:val="auto"/>
              </w:rPr>
              <w:t>Cash flow from operating activities:</w:t>
            </w:r>
          </w:p>
        </w:tc>
        <w:tc>
          <w:tcPr>
            <w:tcW w:w="800" w:type="dxa"/>
            <w:vAlign w:val="bottom"/>
            <w:shd w:val="clear" w:color="auto" w:fill="E4E3E1"/>
          </w:tcPr>
          <w:p>
            <w:pPr>
              <w:spacing w:after="0"/>
              <w:rPr>
                <w:sz w:val="9"/>
                <w:szCs w:val="9"/>
                <w:color w:val="auto"/>
              </w:rPr>
            </w:pPr>
          </w:p>
        </w:tc>
        <w:tc>
          <w:tcPr>
            <w:tcW w:w="172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7"/>
        </w:trPr>
        <w:tc>
          <w:tcPr>
            <w:tcW w:w="7900" w:type="dxa"/>
            <w:vAlign w:val="bottom"/>
          </w:tcPr>
          <w:p>
            <w:pPr>
              <w:spacing w:after="0"/>
              <w:rPr>
                <w:sz w:val="20"/>
                <w:szCs w:val="20"/>
                <w:color w:val="auto"/>
              </w:rPr>
            </w:pPr>
            <w:r>
              <w:rPr>
                <w:rFonts w:ascii="Arial" w:cs="Arial" w:eastAsia="Arial" w:hAnsi="Arial"/>
                <w:sz w:val="12"/>
                <w:szCs w:val="12"/>
                <w:b w:val="1"/>
                <w:bCs w:val="1"/>
                <w:color w:val="auto"/>
              </w:rPr>
              <w:t>Income for the period</w:t>
            </w: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31,926</w:t>
            </w:r>
          </w:p>
        </w:tc>
        <w:tc>
          <w:tcPr>
            <w:tcW w:w="1720" w:type="dxa"/>
            <w:vAlign w:val="bottom"/>
          </w:tcPr>
          <w:p>
            <w:pPr>
              <w:jc w:val="right"/>
              <w:ind w:right="398"/>
              <w:spacing w:after="0"/>
              <w:rPr>
                <w:sz w:val="20"/>
                <w:szCs w:val="20"/>
                <w:color w:val="auto"/>
              </w:rPr>
            </w:pPr>
            <w:r>
              <w:rPr>
                <w:rFonts w:ascii="Arial" w:cs="Arial" w:eastAsia="Arial" w:hAnsi="Arial"/>
                <w:sz w:val="12"/>
                <w:szCs w:val="12"/>
                <w:color w:val="auto"/>
              </w:rPr>
              <w:t>26,311</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26,261</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Adjustment for:</w:t>
            </w:r>
          </w:p>
        </w:tc>
        <w:tc>
          <w:tcPr>
            <w:tcW w:w="800" w:type="dxa"/>
            <w:vAlign w:val="bottom"/>
            <w:shd w:val="clear" w:color="auto" w:fill="E4E3E1"/>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Current taxation</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20,076</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17,338</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19,435</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Interest (income)/expense</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550</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716</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632</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Depreciation, depletion and amortisation</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13,180</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12,615</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11,981</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(Profit)/loss on sale of assets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(3,349)</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(571)</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(1,313)</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Decrease/(increase) in net working capital</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(6,206)</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(4,052)</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(5,664)</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Share of profit of equity-accounted investments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(8,234)</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(6,671)</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(7,123)</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Dividends received from equity-accounted investments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6,955</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5,488</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6,709</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Deferred taxation and other provisions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(773)</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1,833</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(1,515)</w:t>
            </w:r>
          </w:p>
        </w:tc>
      </w:tr>
      <w:tr>
        <w:trPr>
          <w:trHeight w:val="139"/>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(801)</w:t>
            </w: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(266)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w:t>
            </w:r>
          </w:p>
        </w:tc>
      </w:tr>
      <w:tr>
        <w:trPr>
          <w:trHeight w:val="134"/>
        </w:trPr>
        <w:tc>
          <w:tcPr>
            <w:tcW w:w="7900" w:type="dxa"/>
            <w:vAlign w:val="bottom"/>
          </w:tcPr>
          <w:p>
            <w:pPr>
              <w:spacing w:after="0" w:line="134" w:lineRule="exact"/>
              <w:rPr>
                <w:sz w:val="20"/>
                <w:szCs w:val="20"/>
                <w:color w:val="auto"/>
              </w:rPr>
            </w:pPr>
            <w:r>
              <w:rPr>
                <w:rFonts w:ascii="Arial" w:cs="Arial" w:eastAsia="Arial" w:hAnsi="Arial"/>
                <w:sz w:val="12"/>
                <w:szCs w:val="12"/>
                <w:color w:val="auto"/>
              </w:rPr>
              <w:t>Cash flow from operating activities (pre-tax)</w:t>
            </w:r>
          </w:p>
        </w:tc>
        <w:tc>
          <w:tcPr>
            <w:tcW w:w="800" w:type="dxa"/>
            <w:vAlign w:val="bottom"/>
            <w:shd w:val="clear" w:color="auto" w:fill="E4E3E1"/>
          </w:tcPr>
          <w:p>
            <w:pPr>
              <w:jc w:val="right"/>
              <w:ind w:right="58"/>
              <w:spacing w:after="0" w:line="134" w:lineRule="exact"/>
              <w:rPr>
                <w:sz w:val="20"/>
                <w:szCs w:val="20"/>
                <w:color w:val="auto"/>
              </w:rPr>
            </w:pPr>
            <w:r>
              <w:rPr>
                <w:rFonts w:ascii="Arial" w:cs="Arial" w:eastAsia="Arial" w:hAnsi="Arial"/>
                <w:sz w:val="12"/>
                <w:szCs w:val="12"/>
                <w:color w:val="auto"/>
              </w:rPr>
              <w:t>53,324</w:t>
            </w:r>
          </w:p>
        </w:tc>
        <w:tc>
          <w:tcPr>
            <w:tcW w:w="1720" w:type="dxa"/>
            <w:vAlign w:val="bottom"/>
          </w:tcPr>
          <w:p>
            <w:pPr>
              <w:jc w:val="right"/>
              <w:ind w:right="398"/>
              <w:spacing w:after="0" w:line="134" w:lineRule="exact"/>
              <w:rPr>
                <w:sz w:val="20"/>
                <w:szCs w:val="20"/>
                <w:color w:val="auto"/>
              </w:rPr>
            </w:pPr>
            <w:r>
              <w:rPr>
                <w:rFonts w:ascii="Arial" w:cs="Arial" w:eastAsia="Arial" w:hAnsi="Arial"/>
                <w:sz w:val="12"/>
                <w:szCs w:val="12"/>
                <w:color w:val="auto"/>
              </w:rPr>
              <w:t>52,741</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49,356</w:t>
            </w:r>
          </w:p>
        </w:tc>
      </w:tr>
      <w:tr>
        <w:trPr>
          <w:trHeight w:val="139"/>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 paid</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(18,863)</w:t>
            </w: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(21,045)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(19,243)</w:t>
            </w:r>
          </w:p>
        </w:tc>
      </w:tr>
      <w:tr>
        <w:trPr>
          <w:trHeight w:val="140"/>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flow from operating activities</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34,461</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31,696</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30,113</w:t>
            </w:r>
          </w:p>
        </w:tc>
      </w:tr>
      <w:tr>
        <w:trPr>
          <w:trHeight w:val="134"/>
        </w:trPr>
        <w:tc>
          <w:tcPr>
            <w:tcW w:w="7900" w:type="dxa"/>
            <w:vAlign w:val="bottom"/>
          </w:tcPr>
          <w:p>
            <w:pPr>
              <w:spacing w:after="0" w:line="134" w:lineRule="exact"/>
              <w:rPr>
                <w:sz w:val="20"/>
                <w:szCs w:val="20"/>
                <w:color w:val="auto"/>
              </w:rPr>
            </w:pPr>
            <w:r>
              <w:rPr>
                <w:rFonts w:ascii="Arial" w:cs="Arial" w:eastAsia="Arial" w:hAnsi="Arial"/>
                <w:sz w:val="12"/>
                <w:szCs w:val="12"/>
                <w:b w:val="1"/>
                <w:bCs w:val="1"/>
                <w:color w:val="auto"/>
              </w:rPr>
              <w:t>Cash flow from investing activities:</w:t>
            </w:r>
          </w:p>
        </w:tc>
        <w:tc>
          <w:tcPr>
            <w:tcW w:w="800" w:type="dxa"/>
            <w:vAlign w:val="bottom"/>
            <w:shd w:val="clear" w:color="auto" w:fill="E4E3E1"/>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Capital expenditure</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(24,576)</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(22,922)</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(15,904)</w:t>
            </w:r>
          </w:p>
        </w:tc>
      </w:tr>
      <w:tr>
        <w:trPr>
          <w:trHeight w:val="119"/>
        </w:trPr>
        <w:tc>
          <w:tcPr>
            <w:tcW w:w="7900" w:type="dxa"/>
            <w:vAlign w:val="bottom"/>
          </w:tcPr>
          <w:p>
            <w:pPr>
              <w:spacing w:after="0" w:line="120" w:lineRule="exact"/>
              <w:rPr>
                <w:sz w:val="20"/>
                <w:szCs w:val="20"/>
                <w:color w:val="auto"/>
              </w:rPr>
            </w:pPr>
            <w:r>
              <w:rPr>
                <w:rFonts w:ascii="Arial" w:cs="Arial" w:eastAsia="Arial" w:hAnsi="Arial"/>
                <w:sz w:val="12"/>
                <w:szCs w:val="12"/>
                <w:color w:val="auto"/>
              </w:rPr>
              <w:t>Investments in equity-accounted investments</w:t>
            </w:r>
          </w:p>
        </w:tc>
        <w:tc>
          <w:tcPr>
            <w:tcW w:w="8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(1,852)</w:t>
            </w:r>
          </w:p>
        </w:tc>
        <w:tc>
          <w:tcPr>
            <w:tcW w:w="1720" w:type="dxa"/>
            <w:vAlign w:val="bottom"/>
          </w:tcPr>
          <w:p>
            <w:pPr>
              <w:jc w:val="right"/>
              <w:ind w:right="338"/>
              <w:spacing w:after="0" w:line="120" w:lineRule="exact"/>
              <w:rPr>
                <w:sz w:val="20"/>
                <w:szCs w:val="20"/>
                <w:color w:val="auto"/>
              </w:rPr>
            </w:pPr>
            <w:r>
              <w:rPr>
                <w:rFonts w:ascii="Arial" w:cs="Arial" w:eastAsia="Arial" w:hAnsi="Arial"/>
                <w:sz w:val="12"/>
                <w:szCs w:val="12"/>
                <w:color w:val="auto"/>
              </w:rPr>
              <w:t>(851)</w:t>
            </w:r>
          </w:p>
        </w:tc>
        <w:tc>
          <w:tcPr>
            <w:tcW w:w="1000" w:type="dxa"/>
            <w:vAlign w:val="bottom"/>
          </w:tcPr>
          <w:p>
            <w:pPr>
              <w:jc w:val="right"/>
              <w:spacing w:after="0" w:line="120" w:lineRule="exact"/>
              <w:rPr>
                <w:sz w:val="20"/>
                <w:szCs w:val="20"/>
                <w:color w:val="auto"/>
              </w:rPr>
            </w:pPr>
            <w:r>
              <w:rPr>
                <w:rFonts w:ascii="Arial" w:cs="Arial" w:eastAsia="Arial" w:hAnsi="Arial"/>
                <w:sz w:val="12"/>
                <w:szCs w:val="12"/>
                <w:color w:val="auto"/>
              </w:rPr>
              <w:t>(705)</w:t>
            </w: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Proceeds from sale of assets</w:t>
            </w:r>
            <w:r>
              <w:rPr>
                <w:rFonts w:ascii="Arial" w:cs="Arial" w:eastAsia="Arial" w:hAnsi="Arial"/>
                <w:sz w:val="12"/>
                <w:szCs w:val="12"/>
                <w:b w:val="1"/>
                <w:bCs w:val="1"/>
                <w:color w:val="auto"/>
              </w:rPr>
              <w:t>[A]</w:t>
            </w: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8,566</w:t>
            </w:r>
          </w:p>
        </w:tc>
        <w:tc>
          <w:tcPr>
            <w:tcW w:w="1720" w:type="dxa"/>
            <w:vAlign w:val="bottom"/>
          </w:tcPr>
          <w:p>
            <w:pPr>
              <w:jc w:val="right"/>
              <w:ind w:right="398"/>
              <w:spacing w:after="0"/>
              <w:rPr>
                <w:sz w:val="20"/>
                <w:szCs w:val="20"/>
                <w:color w:val="auto"/>
              </w:rPr>
            </w:pPr>
            <w:r>
              <w:rPr>
                <w:rFonts w:ascii="Arial" w:cs="Arial" w:eastAsia="Arial" w:hAnsi="Arial"/>
                <w:sz w:val="12"/>
                <w:szCs w:val="12"/>
                <w:color w:val="auto"/>
              </w:rPr>
              <w:t>1,611</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2,310</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Proceeds from sale of equity-accounted investments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1,012</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282</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4,313</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Proceeds from sale of/(additions to) financial assets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1,055</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22</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362</w:t>
            </w:r>
          </w:p>
        </w:tc>
      </w:tr>
      <w:tr>
        <w:trPr>
          <w:trHeight w:val="139"/>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received</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1,225</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997</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863</w:t>
            </w:r>
          </w:p>
        </w:tc>
      </w:tr>
      <w:tr>
        <w:trPr>
          <w:trHeight w:val="140"/>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(14,570)</w:t>
            </w: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(20,861)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(8,761)</w:t>
            </w:r>
          </w:p>
        </w:tc>
      </w:tr>
      <w:tr>
        <w:trPr>
          <w:trHeight w:val="134"/>
        </w:trPr>
        <w:tc>
          <w:tcPr>
            <w:tcW w:w="7900" w:type="dxa"/>
            <w:vAlign w:val="bottom"/>
          </w:tcPr>
          <w:p>
            <w:pPr>
              <w:spacing w:after="0" w:line="134" w:lineRule="exact"/>
              <w:rPr>
                <w:sz w:val="20"/>
                <w:szCs w:val="20"/>
                <w:color w:val="auto"/>
              </w:rPr>
            </w:pPr>
            <w:r>
              <w:rPr>
                <w:rFonts w:ascii="Arial" w:cs="Arial" w:eastAsia="Arial" w:hAnsi="Arial"/>
                <w:sz w:val="12"/>
                <w:szCs w:val="12"/>
                <w:b w:val="1"/>
                <w:bCs w:val="1"/>
                <w:color w:val="auto"/>
              </w:rPr>
              <w:t>Cash flow from financing activities:</w:t>
            </w:r>
          </w:p>
        </w:tc>
        <w:tc>
          <w:tcPr>
            <w:tcW w:w="800" w:type="dxa"/>
            <w:vAlign w:val="bottom"/>
            <w:shd w:val="clear" w:color="auto" w:fill="E4E3E1"/>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Net increase/(decrease) in debt with maturity period within three months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(455)</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75</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(956)</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Other debt:</w:t>
            </w:r>
          </w:p>
        </w:tc>
        <w:tc>
          <w:tcPr>
            <w:tcW w:w="800" w:type="dxa"/>
            <w:vAlign w:val="bottom"/>
            <w:shd w:val="clear" w:color="auto" w:fill="E4E3E1"/>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7900" w:type="dxa"/>
            <w:vAlign w:val="bottom"/>
          </w:tcPr>
          <w:p>
            <w:pPr>
              <w:ind w:left="200"/>
              <w:spacing w:after="0" w:line="133" w:lineRule="exact"/>
              <w:rPr>
                <w:sz w:val="20"/>
                <w:szCs w:val="20"/>
                <w:color w:val="auto"/>
              </w:rPr>
            </w:pPr>
            <w:r>
              <w:rPr>
                <w:rFonts w:ascii="Arial" w:cs="Arial" w:eastAsia="Arial" w:hAnsi="Arial"/>
                <w:sz w:val="12"/>
                <w:szCs w:val="12"/>
                <w:color w:val="auto"/>
              </w:rPr>
              <w:t>New borrowings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4,565</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4,263</w:t>
            </w:r>
          </w:p>
        </w:tc>
        <w:tc>
          <w:tcPr>
            <w:tcW w:w="10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2,130</w:t>
            </w:r>
          </w:p>
        </w:tc>
      </w:tr>
      <w:tr>
        <w:trPr>
          <w:trHeight w:val="133"/>
        </w:trPr>
        <w:tc>
          <w:tcPr>
            <w:tcW w:w="7900" w:type="dxa"/>
            <w:vAlign w:val="bottom"/>
          </w:tcPr>
          <w:p>
            <w:pPr>
              <w:ind w:left="200"/>
              <w:spacing w:after="0" w:line="133" w:lineRule="exact"/>
              <w:rPr>
                <w:sz w:val="20"/>
                <w:szCs w:val="20"/>
                <w:color w:val="auto"/>
              </w:rPr>
            </w:pPr>
            <w:r>
              <w:rPr>
                <w:rFonts w:ascii="Arial" w:cs="Arial" w:eastAsia="Arial" w:hAnsi="Arial"/>
                <w:sz w:val="12"/>
                <w:szCs w:val="12"/>
                <w:color w:val="auto"/>
              </w:rPr>
              <w:t>Repayments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(2,796)</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(2,232)</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(2,656)</w:t>
            </w:r>
          </w:p>
        </w:tc>
      </w:tr>
      <w:tr>
        <w:trPr>
          <w:trHeight w:val="119"/>
        </w:trPr>
        <w:tc>
          <w:tcPr>
            <w:tcW w:w="7900" w:type="dxa"/>
            <w:vAlign w:val="bottom"/>
          </w:tcPr>
          <w:p>
            <w:pPr>
              <w:spacing w:after="0" w:line="120" w:lineRule="exact"/>
              <w:rPr>
                <w:sz w:val="20"/>
                <w:szCs w:val="20"/>
                <w:color w:val="auto"/>
              </w:rPr>
            </w:pPr>
            <w:r>
              <w:rPr>
                <w:rFonts w:ascii="Arial" w:cs="Arial" w:eastAsia="Arial" w:hAnsi="Arial"/>
                <w:sz w:val="12"/>
                <w:szCs w:val="12"/>
                <w:color w:val="auto"/>
              </w:rPr>
              <w:t>Interest paid</w:t>
            </w:r>
          </w:p>
        </w:tc>
        <w:tc>
          <w:tcPr>
            <w:tcW w:w="8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(1,235)</w:t>
            </w:r>
          </w:p>
        </w:tc>
        <w:tc>
          <w:tcPr>
            <w:tcW w:w="1720" w:type="dxa"/>
            <w:vAlign w:val="bottom"/>
          </w:tcPr>
          <w:p>
            <w:pPr>
              <w:jc w:val="right"/>
              <w:ind w:right="338"/>
              <w:spacing w:after="0" w:line="120" w:lineRule="exact"/>
              <w:rPr>
                <w:sz w:val="20"/>
                <w:szCs w:val="20"/>
                <w:color w:val="auto"/>
              </w:rPr>
            </w:pPr>
            <w:r>
              <w:rPr>
                <w:rFonts w:ascii="Arial" w:cs="Arial" w:eastAsia="Arial" w:hAnsi="Arial"/>
                <w:sz w:val="12"/>
                <w:szCs w:val="12"/>
                <w:color w:val="auto"/>
              </w:rPr>
              <w:t>(1,296)</w:t>
            </w:r>
          </w:p>
        </w:tc>
        <w:tc>
          <w:tcPr>
            <w:tcW w:w="1000" w:type="dxa"/>
            <w:vAlign w:val="bottom"/>
          </w:tcPr>
          <w:p>
            <w:pPr>
              <w:jc w:val="right"/>
              <w:spacing w:after="0" w:line="120" w:lineRule="exact"/>
              <w:rPr>
                <w:sz w:val="20"/>
                <w:szCs w:val="20"/>
                <w:color w:val="auto"/>
              </w:rPr>
            </w:pPr>
            <w:r>
              <w:rPr>
                <w:rFonts w:ascii="Arial" w:cs="Arial" w:eastAsia="Arial" w:hAnsi="Arial"/>
                <w:sz w:val="12"/>
                <w:szCs w:val="12"/>
                <w:color w:val="auto"/>
              </w:rPr>
              <w:t>(1,124)</w:t>
            </w:r>
          </w:p>
        </w:tc>
      </w:tr>
      <w:tr>
        <w:trPr>
          <w:trHeight w:val="147"/>
        </w:trPr>
        <w:tc>
          <w:tcPr>
            <w:tcW w:w="7900" w:type="dxa"/>
            <w:vAlign w:val="bottom"/>
          </w:tcPr>
          <w:p>
            <w:pPr>
              <w:spacing w:after="0"/>
              <w:rPr>
                <w:sz w:val="20"/>
                <w:szCs w:val="20"/>
                <w:color w:val="auto"/>
              </w:rPr>
            </w:pPr>
            <w:r>
              <w:rPr>
                <w:rFonts w:ascii="Arial" w:cs="Arial" w:eastAsia="Arial" w:hAnsi="Arial"/>
                <w:sz w:val="12"/>
                <w:szCs w:val="12"/>
                <w:color w:val="auto"/>
              </w:rPr>
              <w:t>Change in minority interest</w:t>
            </w:r>
            <w:r>
              <w:rPr>
                <w:rFonts w:ascii="Arial" w:cs="Arial" w:eastAsia="Arial" w:hAnsi="Arial"/>
                <w:sz w:val="12"/>
                <w:szCs w:val="12"/>
                <w:b w:val="1"/>
                <w:bCs w:val="1"/>
                <w:color w:val="auto"/>
              </w:rPr>
              <w:t>[A]</w:t>
            </w:r>
          </w:p>
        </w:tc>
        <w:tc>
          <w:tcPr>
            <w:tcW w:w="80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(6,757)</w:t>
            </w:r>
          </w:p>
        </w:tc>
        <w:tc>
          <w:tcPr>
            <w:tcW w:w="1720" w:type="dxa"/>
            <w:vAlign w:val="bottom"/>
          </w:tcPr>
          <w:p>
            <w:pPr>
              <w:jc w:val="right"/>
              <w:ind w:right="398"/>
              <w:spacing w:after="0"/>
              <w:rPr>
                <w:sz w:val="20"/>
                <w:szCs w:val="20"/>
                <w:color w:val="auto"/>
              </w:rPr>
            </w:pPr>
            <w:r>
              <w:rPr>
                <w:rFonts w:ascii="Arial" w:cs="Arial" w:eastAsia="Arial" w:hAnsi="Arial"/>
                <w:sz w:val="12"/>
                <w:szCs w:val="12"/>
                <w:color w:val="auto"/>
              </w:rPr>
              <w:t>1,434</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1,143</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Net issue/(repurchase) of shares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(4,387)</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(8,047)</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(4,988)</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Dividends paid to:</w:t>
            </w:r>
          </w:p>
        </w:tc>
        <w:tc>
          <w:tcPr>
            <w:tcW w:w="800" w:type="dxa"/>
            <w:vAlign w:val="bottom"/>
            <w:shd w:val="clear" w:color="auto" w:fill="E4E3E1"/>
          </w:tcPr>
          <w:p>
            <w:pPr>
              <w:spacing w:after="0"/>
              <w:rPr>
                <w:sz w:val="11"/>
                <w:szCs w:val="11"/>
                <w:color w:val="auto"/>
              </w:rPr>
            </w:pPr>
          </w:p>
        </w:tc>
        <w:tc>
          <w:tcPr>
            <w:tcW w:w="17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3"/>
        </w:trPr>
        <w:tc>
          <w:tcPr>
            <w:tcW w:w="7900" w:type="dxa"/>
            <w:vAlign w:val="bottom"/>
          </w:tcPr>
          <w:p>
            <w:pPr>
              <w:ind w:left="200"/>
              <w:spacing w:after="0" w:line="133" w:lineRule="exact"/>
              <w:rPr>
                <w:sz w:val="20"/>
                <w:szCs w:val="20"/>
                <w:color w:val="auto"/>
              </w:rPr>
            </w:pPr>
            <w:r>
              <w:rPr>
                <w:rFonts w:ascii="Arial" w:cs="Arial" w:eastAsia="Arial" w:hAnsi="Arial"/>
                <w:sz w:val="12"/>
                <w:szCs w:val="12"/>
                <w:color w:val="auto"/>
              </w:rPr>
              <w:t>Shareholders of Royal Dutch Shell plc</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(9,001)</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(8,142)</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(10,556)</w:t>
            </w:r>
          </w:p>
        </w:tc>
      </w:tr>
      <w:tr>
        <w:trPr>
          <w:trHeight w:val="133"/>
        </w:trPr>
        <w:tc>
          <w:tcPr>
            <w:tcW w:w="7900" w:type="dxa"/>
            <w:vAlign w:val="bottom"/>
          </w:tcPr>
          <w:p>
            <w:pPr>
              <w:ind w:left="200"/>
              <w:spacing w:after="0" w:line="133" w:lineRule="exact"/>
              <w:rPr>
                <w:sz w:val="20"/>
                <w:szCs w:val="20"/>
                <w:color w:val="auto"/>
              </w:rPr>
            </w:pPr>
            <w:r>
              <w:rPr>
                <w:rFonts w:ascii="Arial" w:cs="Arial" w:eastAsia="Arial" w:hAnsi="Arial"/>
                <w:sz w:val="12"/>
                <w:szCs w:val="12"/>
                <w:color w:val="auto"/>
              </w:rPr>
              <w:t>Minority interest</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(203)</w:t>
            </w:r>
          </w:p>
        </w:tc>
        <w:tc>
          <w:tcPr>
            <w:tcW w:w="172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(289)</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(293)</w:t>
            </w:r>
          </w:p>
        </w:tc>
      </w:tr>
      <w:tr>
        <w:trPr>
          <w:trHeight w:val="133"/>
        </w:trPr>
        <w:tc>
          <w:tcPr>
            <w:tcW w:w="7900" w:type="dxa"/>
            <w:vAlign w:val="bottom"/>
          </w:tcPr>
          <w:p>
            <w:pPr>
              <w:spacing w:after="0" w:line="133" w:lineRule="exact"/>
              <w:rPr>
                <w:sz w:val="20"/>
                <w:szCs w:val="20"/>
                <w:color w:val="auto"/>
              </w:rPr>
            </w:pPr>
            <w:r>
              <w:rPr>
                <w:rFonts w:ascii="Arial" w:cs="Arial" w:eastAsia="Arial" w:hAnsi="Arial"/>
                <w:sz w:val="12"/>
                <w:szCs w:val="12"/>
                <w:color w:val="auto"/>
              </w:rPr>
              <w:t>Payments to former Royal Dutch shareholders</w:t>
            </w:r>
          </w:p>
        </w:tc>
        <w:tc>
          <w:tcPr>
            <w:tcW w:w="80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7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spacing w:after="0" w:line="133" w:lineRule="exact"/>
              <w:rPr>
                <w:sz w:val="20"/>
                <w:szCs w:val="20"/>
                <w:color w:val="auto"/>
              </w:rPr>
            </w:pPr>
            <w:r>
              <w:rPr>
                <w:rFonts w:ascii="Arial" w:cs="Arial" w:eastAsia="Arial" w:hAnsi="Arial"/>
                <w:sz w:val="12"/>
                <w:szCs w:val="12"/>
                <w:color w:val="auto"/>
              </w:rPr>
              <w:t>(1,651)</w:t>
            </w:r>
          </w:p>
        </w:tc>
      </w:tr>
      <w:tr>
        <w:trPr>
          <w:trHeight w:val="139"/>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Treasury shares: net sales/(purchases) and dividends received</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876</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493</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378</w:t>
            </w:r>
          </w:p>
        </w:tc>
      </w:tr>
      <w:tr>
        <w:trPr>
          <w:trHeight w:val="140"/>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(19,393)</w:t>
            </w:r>
          </w:p>
        </w:tc>
        <w:tc>
          <w:tcPr>
            <w:tcW w:w="17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(13,741)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(18,573)</w:t>
            </w:r>
          </w:p>
        </w:tc>
      </w:tr>
      <w:tr>
        <w:trPr>
          <w:trHeight w:val="140"/>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 relating to cash and cash equivalents</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156</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178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w:t>
            </w:r>
          </w:p>
        </w:tc>
      </w:tr>
      <w:tr>
        <w:trPr>
          <w:trHeight w:val="120"/>
        </w:trPr>
        <w:tc>
          <w:tcPr>
            <w:tcW w:w="7900" w:type="dxa"/>
            <w:vAlign w:val="bottom"/>
          </w:tcPr>
          <w:p>
            <w:pPr>
              <w:spacing w:after="0" w:line="120" w:lineRule="exact"/>
              <w:rPr>
                <w:sz w:val="20"/>
                <w:szCs w:val="20"/>
                <w:color w:val="auto"/>
              </w:rPr>
            </w:pPr>
            <w:r>
              <w:rPr>
                <w:rFonts w:ascii="Arial" w:cs="Arial" w:eastAsia="Arial" w:hAnsi="Arial"/>
                <w:sz w:val="12"/>
                <w:szCs w:val="12"/>
                <w:b w:val="1"/>
                <w:bCs w:val="1"/>
                <w:color w:val="auto"/>
              </w:rPr>
              <w:t>Increase/(decrease) in cash and cash equivalents</w:t>
            </w:r>
          </w:p>
        </w:tc>
        <w:tc>
          <w:tcPr>
            <w:tcW w:w="80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654</w:t>
            </w:r>
          </w:p>
        </w:tc>
        <w:tc>
          <w:tcPr>
            <w:tcW w:w="1720" w:type="dxa"/>
            <w:vAlign w:val="bottom"/>
          </w:tcPr>
          <w:p>
            <w:pPr>
              <w:jc w:val="right"/>
              <w:ind w:right="338"/>
              <w:spacing w:after="0" w:line="120" w:lineRule="exact"/>
              <w:rPr>
                <w:sz w:val="20"/>
                <w:szCs w:val="20"/>
                <w:color w:val="auto"/>
              </w:rPr>
            </w:pPr>
            <w:r>
              <w:rPr>
                <w:rFonts w:ascii="Arial" w:cs="Arial" w:eastAsia="Arial" w:hAnsi="Arial"/>
                <w:sz w:val="12"/>
                <w:szCs w:val="12"/>
                <w:color w:val="auto"/>
              </w:rPr>
              <w:t>(2,728)</w:t>
            </w:r>
          </w:p>
        </w:tc>
        <w:tc>
          <w:tcPr>
            <w:tcW w:w="1000" w:type="dxa"/>
            <w:vAlign w:val="bottom"/>
          </w:tcPr>
          <w:p>
            <w:pPr>
              <w:jc w:val="right"/>
              <w:ind w:right="38"/>
              <w:spacing w:after="0" w:line="120" w:lineRule="exact"/>
              <w:rPr>
                <w:sz w:val="20"/>
                <w:szCs w:val="20"/>
                <w:color w:val="auto"/>
              </w:rPr>
            </w:pPr>
            <w:r>
              <w:rPr>
                <w:rFonts w:ascii="Arial" w:cs="Arial" w:eastAsia="Arial" w:hAnsi="Arial"/>
                <w:sz w:val="12"/>
                <w:szCs w:val="12"/>
                <w:color w:val="auto"/>
              </w:rPr>
              <w:t>2,529</w:t>
            </w:r>
          </w:p>
        </w:tc>
      </w:tr>
      <w:tr>
        <w:trPr>
          <w:trHeight w:val="153"/>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and cash equivalents at January 1</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9,002</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11,730</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9,201</w:t>
            </w:r>
          </w:p>
        </w:tc>
      </w:tr>
      <w:tr>
        <w:trPr>
          <w:trHeight w:val="146"/>
        </w:trPr>
        <w:tc>
          <w:tcPr>
            <w:tcW w:w="79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and cash equivalents at December 31</w:t>
            </w:r>
          </w:p>
        </w:tc>
        <w:tc>
          <w:tcPr>
            <w:tcW w:w="80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9,656</w:t>
            </w:r>
          </w:p>
        </w:tc>
        <w:tc>
          <w:tcPr>
            <w:tcW w:w="17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9,002</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11,730</w:t>
            </w:r>
          </w:p>
        </w:tc>
      </w:tr>
    </w:tbl>
    <w:p>
      <w:pPr>
        <w:spacing w:after="0" w:line="47" w:lineRule="exact"/>
        <w:rPr>
          <w:sz w:val="20"/>
          <w:szCs w:val="20"/>
          <w:color w:val="auto"/>
        </w:rPr>
      </w:pPr>
    </w:p>
    <w:p>
      <w:pPr>
        <w:spacing w:after="0"/>
        <w:tabs>
          <w:tab w:leader="none" w:pos="260" w:val="left"/>
        </w:tabs>
        <w:rPr>
          <w:sz w:val="20"/>
          <w:szCs w:val="20"/>
          <w:color w:val="auto"/>
        </w:rPr>
      </w:pPr>
      <w:r>
        <w:rPr>
          <w:rFonts w:ascii="Arial" w:cs="Arial" w:eastAsia="Arial" w:hAnsi="Arial"/>
          <w:sz w:val="12"/>
          <w:szCs w:val="12"/>
          <w:color w:val="auto"/>
        </w:rPr>
        <w:t>[A]</w:t>
        <w:tab/>
        <w:t>See Note 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117 to 161 are an integral part of these Consolidated Financial Statements.</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116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52970"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1"/>
          <w:szCs w:val="3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-48260</wp:posOffset>
            </wp:positionV>
            <wp:extent cx="71120" cy="8145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120" cy="814514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w:t>
      </w:r>
    </w:p>
    <w:p>
      <w:pPr>
        <w:spacing w:after="0"/>
        <w:rPr>
          <w:sz w:val="20"/>
          <w:szCs w:val="20"/>
          <w:color w:val="auto"/>
        </w:rPr>
      </w:pPr>
      <w:r>
        <w:rPr>
          <w:rFonts w:ascii="Arial" w:cs="Arial" w:eastAsia="Arial" w:hAnsi="Arial"/>
          <w:sz w:val="14"/>
          <w:szCs w:val="14"/>
          <w:b w:val="1"/>
          <w:bCs w:val="1"/>
          <w:color w:val="auto"/>
        </w:rPr>
        <w:t>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w:t>
      </w:r>
    </w:p>
    <w:p>
      <w:pPr>
        <w:spacing w:after="0"/>
        <w:rPr>
          <w:sz w:val="20"/>
          <w:szCs w:val="20"/>
          <w:color w:val="auto"/>
        </w:rPr>
      </w:pPr>
      <w:r>
        <w:rPr>
          <w:rFonts w:ascii="Arial" w:cs="Arial" w:eastAsia="Arial" w:hAnsi="Arial"/>
          <w:sz w:val="14"/>
          <w:szCs w:val="14"/>
          <w:b w:val="1"/>
          <w:bCs w:val="1"/>
          <w:color w:val="auto"/>
        </w:rPr>
        <w:t>POLICIES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35" w:lineRule="auto"/>
        <w:rPr>
          <w:sz w:val="20"/>
          <w:szCs w:val="20"/>
          <w:color w:val="auto"/>
        </w:rPr>
      </w:pPr>
      <w:r>
        <w:rPr>
          <w:rFonts w:ascii="Arial" w:cs="Arial" w:eastAsia="Arial" w:hAnsi="Arial"/>
          <w:sz w:val="14"/>
          <w:szCs w:val="14"/>
          <w:color w:val="auto"/>
        </w:rPr>
        <w:t>In 2005, Royal Dutch Shell plc (“Royal Dutch Shell”) became the single parent company of Royal Dutch Petroleum Company (“Royal Dutch”) and of Shell Transport and Trading Company Limited (previously known as The “Shell” Transport and Trading Company, p.l.c.) (“Shell Transport”) the two former public parent companies of the Group (the “Unification”).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-287655</wp:posOffset>
            </wp:positionV>
            <wp:extent cx="8255" cy="29768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2976880"/>
                    </a:xfrm>
                    <a:prstGeom prst="rect">
                      <a:avLst/>
                    </a:prstGeom>
                    <a:noFill/>
                  </pic:spPr>
                </pic:pic>
              </a:graphicData>
            </a:graphic>
          </wp:anchor>
        </w:drawing>
      </w:r>
    </w:p>
    <w:p>
      <w:pPr>
        <w:spacing w:after="0" w:line="93" w:lineRule="exact"/>
        <w:rPr>
          <w:sz w:val="20"/>
          <w:szCs w:val="20"/>
          <w:color w:val="auto"/>
        </w:rPr>
      </w:pPr>
    </w:p>
    <w:p>
      <w:pPr>
        <w:ind w:right="280"/>
        <w:spacing w:after="0" w:line="231" w:lineRule="auto"/>
        <w:rPr>
          <w:sz w:val="20"/>
          <w:szCs w:val="20"/>
          <w:color w:val="auto"/>
        </w:rPr>
      </w:pPr>
      <w:r>
        <w:rPr>
          <w:rFonts w:ascii="Arial" w:cs="Arial" w:eastAsia="Arial" w:hAnsi="Arial"/>
          <w:sz w:val="14"/>
          <w:szCs w:val="14"/>
          <w:color w:val="auto"/>
        </w:rPr>
        <w:t>Immediately after the Unification each former Royal Dutch and Shell Transport shareholder who participated in the Unification held the same economic interest in Royal Dutch Shell as the shareholder held in the Group immediately prior to implementation of the Unification. Accordingly, the Unification has been accounted for using a carry-over basis of the historical costs of the assets and liabilities of Royal Dutch, Shell Transport and the other companies comprising the Group.</w:t>
      </w:r>
    </w:p>
    <w:p>
      <w:pPr>
        <w:spacing w:after="0" w:line="113" w:lineRule="exact"/>
        <w:rPr>
          <w:sz w:val="20"/>
          <w:szCs w:val="20"/>
          <w:color w:val="auto"/>
        </w:rPr>
      </w:pPr>
    </w:p>
    <w:p>
      <w:pPr>
        <w:jc w:val="both"/>
        <w:ind w:right="140"/>
        <w:spacing w:after="0" w:line="235" w:lineRule="auto"/>
        <w:rPr>
          <w:sz w:val="20"/>
          <w:szCs w:val="20"/>
          <w:color w:val="auto"/>
        </w:rPr>
      </w:pPr>
      <w:r>
        <w:rPr>
          <w:rFonts w:ascii="Arial" w:cs="Arial" w:eastAsia="Arial" w:hAnsi="Arial"/>
          <w:sz w:val="14"/>
          <w:szCs w:val="14"/>
          <w:color w:val="auto"/>
        </w:rPr>
        <w:t>The Consolidated Financial Statements of Royal Dutch Shell and its subsidiaries (collectively known as “Shell” or the “Shell group”) have been prepared using the carry-over basis to account for the Unification and on the basis that the resulting structure was in place throughout the periods presented.</w:t>
      </w:r>
    </w:p>
    <w:p>
      <w:pPr>
        <w:spacing w:after="0" w:line="113" w:lineRule="exact"/>
        <w:rPr>
          <w:sz w:val="20"/>
          <w:szCs w:val="20"/>
          <w:color w:val="auto"/>
        </w:rPr>
      </w:pPr>
    </w:p>
    <w:p>
      <w:pPr>
        <w:ind w:right="200"/>
        <w:spacing w:after="0" w:line="231" w:lineRule="auto"/>
        <w:rPr>
          <w:sz w:val="20"/>
          <w:szCs w:val="20"/>
          <w:color w:val="auto"/>
        </w:rPr>
      </w:pPr>
      <w:r>
        <w:rPr>
          <w:rFonts w:ascii="Arial" w:cs="Arial" w:eastAsia="Arial" w:hAnsi="Arial"/>
          <w:sz w:val="14"/>
          <w:szCs w:val="14"/>
          <w:color w:val="auto"/>
        </w:rPr>
        <w:t>The Consolidated Financial Statements have been prepared in accordance with the provisions of the Companies Act 1985, Article 4 of the International Accounting Standards (IAS) Regulation and with International Financial Reporting Standards (IFRS) as adopted by the European Union. As applied to Royal Dutch Shell, there are no material differences with IFRS as issued by the International Accounting Standards Board (IASB).</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have been prepared in accordance with IFRS as issued by the IASB.</w:t>
      </w:r>
    </w:p>
    <w:p>
      <w:pPr>
        <w:spacing w:after="0" w:line="132" w:lineRule="exact"/>
        <w:rPr>
          <w:sz w:val="20"/>
          <w:szCs w:val="20"/>
          <w:color w:val="auto"/>
        </w:rPr>
      </w:pPr>
    </w:p>
    <w:p>
      <w:pPr>
        <w:jc w:val="both"/>
        <w:ind w:right="420"/>
        <w:spacing w:after="0" w:line="235" w:lineRule="auto"/>
        <w:rPr>
          <w:sz w:val="20"/>
          <w:szCs w:val="20"/>
          <w:color w:val="auto"/>
        </w:rPr>
      </w:pPr>
      <w:r>
        <w:rPr>
          <w:rFonts w:ascii="Arial" w:cs="Arial" w:eastAsia="Arial" w:hAnsi="Arial"/>
          <w:sz w:val="14"/>
          <w:szCs w:val="14"/>
          <w:color w:val="auto"/>
        </w:rPr>
        <w:t>The accounting policies set out in Note 2 below have been consistently applied to all periods presented. Certain pronouncements have been issued but are not yet required to be adopted; Note 2 discusses any which have been early adopted in 2007 and any which may have a future impact on these policies but have not yet been adopted.</w:t>
      </w:r>
    </w:p>
    <w:p>
      <w:pPr>
        <w:spacing w:after="0" w:line="113" w:lineRule="exact"/>
        <w:rPr>
          <w:sz w:val="20"/>
          <w:szCs w:val="20"/>
          <w:color w:val="auto"/>
        </w:rPr>
      </w:pPr>
    </w:p>
    <w:p>
      <w:pPr>
        <w:ind w:right="600"/>
        <w:spacing w:after="0" w:line="247" w:lineRule="auto"/>
        <w:rPr>
          <w:sz w:val="20"/>
          <w:szCs w:val="20"/>
          <w:color w:val="auto"/>
        </w:rPr>
      </w:pPr>
      <w:r>
        <w:rPr>
          <w:rFonts w:ascii="Arial" w:cs="Arial" w:eastAsia="Arial" w:hAnsi="Arial"/>
          <w:sz w:val="14"/>
          <w:szCs w:val="14"/>
          <w:color w:val="auto"/>
        </w:rPr>
        <w:t>The Consolidated Financial Statements have been prepared under the historical cost convention as modified by the revaluation of certain financial assets and liabilities and other derivative contracts.</w:t>
      </w:r>
    </w:p>
    <w:p>
      <w:pPr>
        <w:spacing w:after="0" w:line="108" w:lineRule="exact"/>
        <w:rPr>
          <w:sz w:val="20"/>
          <w:szCs w:val="20"/>
          <w:color w:val="auto"/>
        </w:rPr>
      </w:pPr>
    </w:p>
    <w:p>
      <w:pPr>
        <w:jc w:val="both"/>
        <w:ind w:right="240"/>
        <w:spacing w:after="0" w:line="235" w:lineRule="auto"/>
        <w:rPr>
          <w:sz w:val="20"/>
          <w:szCs w:val="20"/>
          <w:color w:val="auto"/>
        </w:rPr>
      </w:pPr>
      <w:r>
        <w:rPr>
          <w:rFonts w:ascii="Arial" w:cs="Arial" w:eastAsia="Arial" w:hAnsi="Arial"/>
          <w:sz w:val="14"/>
          <w:szCs w:val="14"/>
          <w:color w:val="auto"/>
        </w:rPr>
        <w:t>The preparation of financial information in conformity with IFRS requires the use of certain accounting estimates. It also requires management to exercise its judgement in the process of applying Shell’s accounting policies. The key accounting estimates and judgements are explained in Note 3 below. Actual results could differ from those estimates.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were approved and authorised for issue by the Board of Directors on 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-93345</wp:posOffset>
            </wp:positionV>
            <wp:extent cx="8255" cy="25374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2537460"/>
                    </a:xfrm>
                    <a:prstGeom prst="rect">
                      <a:avLst/>
                    </a:prstGeom>
                    <a:noFill/>
                  </pic:spPr>
                </pic:pic>
              </a:graphicData>
            </a:graphic>
          </wp:anchor>
        </w:drawing>
      </w:r>
    </w:p>
    <w:p>
      <w:pPr>
        <w:ind w:right="240"/>
        <w:spacing w:after="0" w:line="250" w:lineRule="auto"/>
        <w:rPr>
          <w:sz w:val="20"/>
          <w:szCs w:val="20"/>
          <w:color w:val="auto"/>
        </w:rPr>
      </w:pPr>
      <w:r>
        <w:rPr>
          <w:rFonts w:ascii="Arial" w:cs="Arial" w:eastAsia="Arial" w:hAnsi="Arial"/>
          <w:sz w:val="13"/>
          <w:szCs w:val="13"/>
          <w:color w:val="auto"/>
        </w:rPr>
        <w:t>The Consolidated Financial Statements are presented in US dollars (“dollars”) and include the accounts of Royal Dutch Shell and its subsidiaries, which are those companies in which it, either directly or indirectly, has control either through a majority of the voting rights or the right to exercise a controlling influence or to obtain the majority of the benefits and be exposed to the majority of the risks.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OPERATIONS AND SEGMENTAL REPORTING</w:t>
      </w:r>
    </w:p>
    <w:p>
      <w:pPr>
        <w:spacing w:after="0" w:line="6" w:lineRule="exact"/>
        <w:rPr>
          <w:sz w:val="20"/>
          <w:szCs w:val="20"/>
          <w:color w:val="auto"/>
        </w:rPr>
      </w:pPr>
    </w:p>
    <w:p>
      <w:pPr>
        <w:ind w:right="280"/>
        <w:spacing w:after="0" w:line="242" w:lineRule="auto"/>
        <w:rPr>
          <w:sz w:val="20"/>
          <w:szCs w:val="20"/>
          <w:color w:val="auto"/>
        </w:rPr>
      </w:pPr>
      <w:r>
        <w:rPr>
          <w:rFonts w:ascii="Arial" w:cs="Arial" w:eastAsia="Arial" w:hAnsi="Arial"/>
          <w:sz w:val="13"/>
          <w:szCs w:val="13"/>
          <w:color w:val="auto"/>
        </w:rPr>
        <w:t xml:space="preserve">Shell is engaged in all principal aspects of the oil and natural gas industry, and also has interests in chemicals and additional interests in power generation and renewable energy (chiefly in wind and advanced solar energy). Shell conducts its business through six principal business segments, Exploration &amp; Production, Gas &amp; Power, Oil Sands, Oil Products, Chemicals and Corporate. These activities are conducted in more than 110 countries and territories. With effect from 2007, segment information is reported in accordance with IFRS 8 </w:t>
      </w:r>
      <w:r>
        <w:rPr>
          <w:rFonts w:ascii="Arial" w:cs="Arial" w:eastAsia="Arial" w:hAnsi="Arial"/>
          <w:sz w:val="13"/>
          <w:szCs w:val="13"/>
          <w:i w:val="1"/>
          <w:iCs w:val="1"/>
          <w:color w:val="auto"/>
        </w:rPr>
        <w:t>Operating Segments</w:t>
      </w:r>
      <w:r>
        <w:rPr>
          <w:rFonts w:ascii="Arial" w:cs="Arial" w:eastAsia="Arial" w:hAnsi="Arial"/>
          <w:sz w:val="13"/>
          <w:szCs w:val="13"/>
          <w:color w:val="auto"/>
        </w:rPr>
        <w:t xml:space="preserve">, which has replaced IAS 14 </w:t>
      </w:r>
      <w:r>
        <w:rPr>
          <w:rFonts w:ascii="Arial" w:cs="Arial" w:eastAsia="Arial" w:hAnsi="Arial"/>
          <w:sz w:val="13"/>
          <w:szCs w:val="13"/>
          <w:i w:val="1"/>
          <w:iCs w:val="1"/>
          <w:color w:val="auto"/>
        </w:rPr>
        <w:t>Segment Reporting</w:t>
      </w:r>
      <w:r>
        <w:rPr>
          <w:rFonts w:ascii="Arial" w:cs="Arial" w:eastAsia="Arial" w:hAnsi="Arial"/>
          <w:sz w:val="13"/>
          <w:szCs w:val="13"/>
          <w:color w:val="auto"/>
        </w:rPr>
        <w:t>. IFRS 8 was not required to be adopted until 2009.</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 RECOGNITION</w:t>
      </w:r>
    </w:p>
    <w:p>
      <w:pPr>
        <w:spacing w:after="0" w:line="6" w:lineRule="exact"/>
        <w:rPr>
          <w:sz w:val="20"/>
          <w:szCs w:val="20"/>
          <w:color w:val="auto"/>
        </w:rPr>
      </w:pPr>
    </w:p>
    <w:p>
      <w:pPr>
        <w:ind w:right="140"/>
        <w:spacing w:after="0" w:line="242" w:lineRule="auto"/>
        <w:rPr>
          <w:sz w:val="20"/>
          <w:szCs w:val="20"/>
          <w:color w:val="auto"/>
        </w:rPr>
      </w:pPr>
      <w:r>
        <w:rPr>
          <w:rFonts w:ascii="Arial" w:cs="Arial" w:eastAsia="Arial" w:hAnsi="Arial"/>
          <w:sz w:val="13"/>
          <w:szCs w:val="13"/>
          <w:color w:val="auto"/>
        </w:rPr>
        <w:t>Revenue from sales of oil, natural gas, chemicals and all other products is recognised when the significant risks and rewards of ownership have been transferred, which is when title passes to the customer. In Exploration &amp; Production, Gas &amp; Power and Oil Sands this generally occurs when product is physically transferred into a vessel, pipe or other delivery mechanism. For sales by refining companies, it is either when product is placed onboard a vessel or offloaded from the vessel, depending on the contractually agreed terms. For wholesale sales of oil products and chemicals it is either at the point of delivery or the point of receipt, depending on contractual conditions.</w:t>
      </w:r>
    </w:p>
    <w:p>
      <w:pPr>
        <w:spacing w:after="0" w:line="113" w:lineRule="exact"/>
        <w:rPr>
          <w:sz w:val="20"/>
          <w:szCs w:val="20"/>
          <w:color w:val="auto"/>
        </w:rPr>
      </w:pPr>
    </w:p>
    <w:p>
      <w:pPr>
        <w:ind w:right="240"/>
        <w:spacing w:after="0" w:line="226" w:lineRule="auto"/>
        <w:rPr>
          <w:sz w:val="20"/>
          <w:szCs w:val="20"/>
          <w:color w:val="auto"/>
        </w:rPr>
      </w:pPr>
      <w:r>
        <w:rPr>
          <w:rFonts w:ascii="Arial" w:cs="Arial" w:eastAsia="Arial" w:hAnsi="Arial"/>
          <w:sz w:val="14"/>
          <w:szCs w:val="14"/>
          <w:color w:val="auto"/>
        </w:rPr>
        <w:t>Revenue resulting from the production of oil and natural gas properties in which Shell has an interest with other producers is recognised on the basis of Shell’s working interest (entitlement method). Gains and losses on derivative contracts and the revenue and costs associated with other contracts which are classified as held for trading purposes are reported on a net basis in the Consolidated Statement of Income. Purchase and sale of hydrocarbons under exchange contracts that are necessary to obtain or reposition feedstock utilised in Shell’s refinery operations are shown net in the Consolidated Statement of Income. Sales between subsidiaries, as disclosed in the segment information, are based on prices generally equivalent to commercially available prices.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Revenue is stated after deducting sales taxes, excise duties and similar levies.</w:t>
      </w:r>
    </w:p>
    <w:p>
      <w:pPr>
        <w:spacing w:after="0" w:line="200" w:lineRule="exact"/>
        <w:rPr>
          <w:sz w:val="20"/>
          <w:szCs w:val="20"/>
          <w:color w:val="auto"/>
        </w:rPr>
      </w:pPr>
    </w:p>
    <w:p>
      <w:pPr>
        <w:sectPr>
          <w:pgSz w:w="11900" w:h="16838" w:orient="portrait"/>
          <w:cols w:equalWidth="0" w:num="2">
            <w:col w:w="1780" w:space="720"/>
            <w:col w:w="8360"/>
          </w:cols>
          <w:pgMar w:left="240" w:top="415" w:right="799" w:bottom="1440" w:gutter="0" w:footer="0" w:header="0"/>
          <w:type w:val="continuous"/>
        </w:sectPr>
      </w:pPr>
    </w:p>
    <w:p>
      <w:pPr>
        <w:spacing w:after="0" w:line="239" w:lineRule="exact"/>
        <w:rPr>
          <w:sz w:val="20"/>
          <w:szCs w:val="20"/>
          <w:color w:val="auto"/>
        </w:rPr>
      </w:pPr>
    </w:p>
    <w:p>
      <w:pPr>
        <w:ind w:left="9420"/>
        <w:spacing w:after="0"/>
        <w:tabs>
          <w:tab w:leader="none" w:pos="106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1410335</wp:posOffset>
            </wp:positionV>
            <wp:extent cx="7252970"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9525</wp:posOffset>
            </wp:positionV>
            <wp:extent cx="8255" cy="491426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4914265"/>
                    </a:xfrm>
                    <a:prstGeom prst="rect">
                      <a:avLst/>
                    </a:prstGeom>
                    <a:noFill/>
                  </pic:spPr>
                </pic:pic>
              </a:graphicData>
            </a:graphic>
          </wp:anchor>
        </w:drawing>
      </w:r>
    </w:p>
    <w:p>
      <w:pPr>
        <w:ind w:left="1940"/>
        <w:spacing w:after="0"/>
        <w:rPr>
          <w:sz w:val="20"/>
          <w:szCs w:val="20"/>
          <w:color w:val="auto"/>
        </w:rPr>
      </w:pPr>
      <w:r>
        <w:rPr>
          <w:rFonts w:ascii="Arial" w:cs="Arial" w:eastAsia="Arial" w:hAnsi="Arial"/>
          <w:sz w:val="14"/>
          <w:szCs w:val="14"/>
          <w:b w:val="1"/>
          <w:bCs w:val="1"/>
          <w:color w:val="auto"/>
        </w:rPr>
        <w:t>PROPERTY, PLANT AND EQUIPMENT AND INTANGIBLE ASSETS</w:t>
      </w:r>
    </w:p>
    <w:p>
      <w:pPr>
        <w:ind w:left="1940"/>
        <w:spacing w:after="0" w:line="218" w:lineRule="auto"/>
        <w:rPr>
          <w:sz w:val="20"/>
          <w:szCs w:val="20"/>
          <w:color w:val="auto"/>
        </w:rPr>
      </w:pPr>
      <w:r>
        <w:rPr>
          <w:rFonts w:ascii="Arial" w:cs="Arial" w:eastAsia="Arial" w:hAnsi="Arial"/>
          <w:sz w:val="14"/>
          <w:szCs w:val="14"/>
          <w:b w:val="1"/>
          <w:bCs w:val="1"/>
          <w:color w:val="auto"/>
        </w:rPr>
        <w:t>[A] Recognition in the Consolidated Balance Sheet</w:t>
      </w:r>
    </w:p>
    <w:p>
      <w:pPr>
        <w:ind w:left="1940"/>
        <w:spacing w:after="0" w:line="224" w:lineRule="auto"/>
        <w:rPr>
          <w:sz w:val="20"/>
          <w:szCs w:val="20"/>
          <w:color w:val="auto"/>
        </w:rPr>
      </w:pPr>
      <w:r>
        <w:rPr>
          <w:rFonts w:ascii="Arial" w:cs="Arial" w:eastAsia="Arial" w:hAnsi="Arial"/>
          <w:sz w:val="14"/>
          <w:szCs w:val="14"/>
          <w:color w:val="auto"/>
        </w:rPr>
        <w:t>Property, plant and equipment, including expenditure on major inspections, and intangible assets are initially recorded in the Consolidated Balance Sheet at cost where it is probable that they will generate future economic benefits. This includes capitalisation of decommissioning and restoration costs associated with provisions for asset retirement (see “Provisions”) and certain development costs (see “Research and development”). Accounting for exploration costs is described separately below (“Exploration costs”). Intangible assets include goodwill, capitalised software costs and trademarks. Interest is capitalised, as an increase in property, plant and equipment, on major capital projects during construction.</w:t>
      </w:r>
    </w:p>
    <w:p>
      <w:pPr>
        <w:spacing w:after="0" w:line="76"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Property, plant and equipment and intangible assets are subsequently recognised at cost less accumulated depreciation (including any impairment).</w:t>
      </w:r>
    </w:p>
    <w:p>
      <w:pPr>
        <w:spacing w:after="0" w:line="88"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[B] Depreciation, depletion and amortisation</w:t>
      </w:r>
    </w:p>
    <w:p>
      <w:pPr>
        <w:spacing w:after="0" w:line="2" w:lineRule="exact"/>
        <w:rPr>
          <w:sz w:val="20"/>
          <w:szCs w:val="20"/>
          <w:color w:val="auto"/>
        </w:rPr>
      </w:pPr>
    </w:p>
    <w:p>
      <w:pPr>
        <w:ind w:left="1940" w:right="40"/>
        <w:spacing w:after="0"/>
        <w:rPr>
          <w:sz w:val="20"/>
          <w:szCs w:val="20"/>
          <w:color w:val="auto"/>
        </w:rPr>
      </w:pPr>
      <w:r>
        <w:rPr>
          <w:rFonts w:ascii="Arial" w:cs="Arial" w:eastAsia="Arial" w:hAnsi="Arial"/>
          <w:sz w:val="13"/>
          <w:szCs w:val="13"/>
          <w:color w:val="auto"/>
        </w:rPr>
        <w:t>Property, plant and equipment related to hydrocarbon production activities are depreciated on a unit-of-production basis over the proved developed reserves of the field concerned (proven and probable minable reserves in respect of oil sands extraction plants), except in the case of assets whose useful life is shorter than the lifetime of the field, in which case the straight-line method is applied. Rights and concessions are depleted on the unit-of-production basis over the total proved reserves of the relevant area. Unproved properties are amortised as required by particular circumstances. Other property, plant and equipment are generally depreciated on a straight-line basis over their estimated useful lives which is generally 30 years for upgraders, 20 years for refineries and chemical plants and 15 years for retail service station facilities, and major inspection costs are amortised over the estimated period before the next planned major inspection (three to five years). Property, plant and equipment held under finance leases are depreciated over the lease term.</w:t>
      </w:r>
    </w:p>
    <w:p>
      <w:pPr>
        <w:spacing w:after="0" w:line="74" w:lineRule="exact"/>
        <w:rPr>
          <w:sz w:val="20"/>
          <w:szCs w:val="20"/>
          <w:color w:val="auto"/>
        </w:rPr>
      </w:pPr>
    </w:p>
    <w:p>
      <w:pPr>
        <w:ind w:left="1940" w:right="80"/>
        <w:spacing w:after="0" w:line="306" w:lineRule="auto"/>
        <w:rPr>
          <w:sz w:val="20"/>
          <w:szCs w:val="20"/>
          <w:color w:val="auto"/>
        </w:rPr>
      </w:pPr>
      <w:r>
        <w:rPr>
          <w:rFonts w:ascii="Arial" w:cs="Arial" w:eastAsia="Arial" w:hAnsi="Arial"/>
          <w:sz w:val="14"/>
          <w:szCs w:val="14"/>
          <w:color w:val="auto"/>
        </w:rPr>
        <w:t xml:space="preserve">Goodwill is tested for impairment annually. Other intangible assets are amortised on a straight-line basis over their estimated useful lives (for periods up to 40 years). </w:t>
      </w:r>
      <w:r>
        <w:rPr>
          <w:rFonts w:ascii="Arial" w:cs="Arial" w:eastAsia="Arial" w:hAnsi="Arial"/>
          <w:sz w:val="14"/>
          <w:szCs w:val="14"/>
          <w:b w:val="1"/>
          <w:bCs w:val="1"/>
          <w:color w:val="auto"/>
        </w:rPr>
        <w:t>[C] Impairment</w:t>
      </w:r>
    </w:p>
    <w:p>
      <w:pPr>
        <w:spacing w:after="0" w:line="1" w:lineRule="exact"/>
        <w:rPr>
          <w:sz w:val="20"/>
          <w:szCs w:val="20"/>
          <w:color w:val="auto"/>
        </w:rPr>
      </w:pPr>
    </w:p>
    <w:p>
      <w:pPr>
        <w:ind w:left="1940" w:right="40"/>
        <w:spacing w:after="0" w:line="241" w:lineRule="auto"/>
        <w:rPr>
          <w:sz w:val="20"/>
          <w:szCs w:val="20"/>
          <w:color w:val="auto"/>
        </w:rPr>
      </w:pPr>
      <w:r>
        <w:rPr>
          <w:rFonts w:ascii="Arial" w:cs="Arial" w:eastAsia="Arial" w:hAnsi="Arial"/>
          <w:sz w:val="13"/>
          <w:szCs w:val="13"/>
          <w:color w:val="auto"/>
        </w:rPr>
        <w:t>Other than properties with no proved reserves (where the basis for carrying costs in the Consolidated Balance Sheet is explained under “Exploration costs”), the carrying amounts of major property, plant and equipment are reviewed for possible impairment annually, while all assets are reviewed whenever events or changes in circumstances indicate that the carrying amounts for those assets may not be recoverable. If assets are determined to be impaired, the carrying amounts of those assets are written down to their recoverable amount, which is the higher of fair value less costs to sell and value in use determined as the amount of estimated risk adjusted discounted future cash flows. For this purpose, assets are grouped based on separately identifiable and largely independent cash flows. Assets held for sale are recognised at the lower of the carrying amount and fair value less cost to sell. No further provision for depreciation is charged on such assets.</w:t>
      </w:r>
    </w:p>
    <w:p>
      <w:pPr>
        <w:spacing w:after="0" w:line="73" w:lineRule="exact"/>
        <w:rPr>
          <w:sz w:val="20"/>
          <w:szCs w:val="20"/>
          <w:color w:val="auto"/>
        </w:rPr>
      </w:pPr>
    </w:p>
    <w:p>
      <w:pPr>
        <w:ind w:left="1940" w:right="520"/>
        <w:spacing w:after="0" w:line="235" w:lineRule="auto"/>
        <w:rPr>
          <w:sz w:val="20"/>
          <w:szCs w:val="20"/>
          <w:color w:val="auto"/>
        </w:rPr>
      </w:pPr>
      <w:r>
        <w:rPr>
          <w:rFonts w:ascii="Arial" w:cs="Arial" w:eastAsia="Arial" w:hAnsi="Arial"/>
          <w:sz w:val="14"/>
          <w:szCs w:val="14"/>
          <w:color w:val="auto"/>
        </w:rPr>
        <w:t>Estimates of future cash flows used in the evaluation for impairment of assets related to hydrocarbon production are made using risk assessments on field and reservoir performance and include outlooks on proved reserves and unproved volumes, which are then risk-weighted utilising the results from projections of geological, production, recovery and economic factors.</w:t>
      </w:r>
    </w:p>
    <w:p>
      <w:pPr>
        <w:spacing w:after="0" w:line="73" w:lineRule="exact"/>
        <w:rPr>
          <w:sz w:val="20"/>
          <w:szCs w:val="20"/>
          <w:color w:val="auto"/>
        </w:rPr>
      </w:pPr>
    </w:p>
    <w:p>
      <w:pPr>
        <w:ind w:left="1940" w:right="280"/>
        <w:spacing w:after="0" w:line="247" w:lineRule="auto"/>
        <w:rPr>
          <w:sz w:val="20"/>
          <w:szCs w:val="20"/>
          <w:color w:val="auto"/>
        </w:rPr>
      </w:pPr>
      <w:r>
        <w:rPr>
          <w:rFonts w:ascii="Arial" w:cs="Arial" w:eastAsia="Arial" w:hAnsi="Arial"/>
          <w:sz w:val="14"/>
          <w:szCs w:val="14"/>
          <w:color w:val="auto"/>
        </w:rPr>
        <w:t>Impairments, except those related to goodwill, are reversed as applicable to the extent that the events or circumstances that triggered the original impairment have changed.</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Impairment charges and reversals are reported within depreciation, depletion and amortisation.</w:t>
      </w:r>
    </w:p>
    <w:p>
      <w:pPr>
        <w:spacing w:after="0" w:line="204"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EXPLORATION COSTS</w:t>
      </w:r>
    </w:p>
    <w:p>
      <w:pPr>
        <w:spacing w:after="0" w:line="6" w:lineRule="exact"/>
        <w:rPr>
          <w:sz w:val="20"/>
          <w:szCs w:val="20"/>
          <w:color w:val="auto"/>
        </w:rPr>
      </w:pPr>
    </w:p>
    <w:p>
      <w:pPr>
        <w:ind w:left="1940"/>
        <w:spacing w:after="0" w:line="242" w:lineRule="auto"/>
        <w:rPr>
          <w:sz w:val="20"/>
          <w:szCs w:val="20"/>
          <w:color w:val="auto"/>
        </w:rPr>
      </w:pPr>
      <w:r>
        <w:rPr>
          <w:rFonts w:ascii="Arial" w:cs="Arial" w:eastAsia="Arial" w:hAnsi="Arial"/>
          <w:sz w:val="13"/>
          <w:szCs w:val="13"/>
          <w:color w:val="auto"/>
        </w:rPr>
        <w:t>Shell follows the successful efforts method of accounting for oil and natural gas exploration costs. Exploration costs are charged to income when incurred, except that exploratory drilling costs are included in property, plant and equipment, pending determination of proved reserves. Exploration wells that are more than 12 months old are expensed unless (a) proved reserves are booked, or (b) (i) they have found commercially producible quantities of reserves, and (ii) they are subject to further exploration or appraisal activity in that either drilling of additional exploratory wells is under way or firmly planned for the near future or other activities are being undertaken to sufficiently progress the assessing of reserves and the economic and operating viability of the project.</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ASSOCIATED COMPANIES AND JOINT VENTURES</w:t>
      </w:r>
    </w:p>
    <w:p>
      <w:pPr>
        <w:spacing w:after="0" w:line="6" w:lineRule="exact"/>
        <w:rPr>
          <w:sz w:val="20"/>
          <w:szCs w:val="20"/>
          <w:color w:val="auto"/>
        </w:rPr>
      </w:pPr>
    </w:p>
    <w:p>
      <w:pPr>
        <w:jc w:val="both"/>
        <w:ind w:left="1940" w:right="100"/>
        <w:spacing w:after="0" w:line="229" w:lineRule="auto"/>
        <w:rPr>
          <w:sz w:val="20"/>
          <w:szCs w:val="20"/>
          <w:color w:val="auto"/>
        </w:rPr>
      </w:pPr>
      <w:r>
        <w:rPr>
          <w:rFonts w:ascii="Arial" w:cs="Arial" w:eastAsia="Arial" w:hAnsi="Arial"/>
          <w:sz w:val="14"/>
          <w:szCs w:val="14"/>
          <w:color w:val="auto"/>
        </w:rPr>
        <w:t>Investments in companies over which Shell has the right to exercise significant influence but not control are classified as associated companies and are accounted for on the equity basis. Interests in jointly controlled entities are also recognised on the equity basis. Interests in jointly controlled assets are recognised by including the Shell share of assets, liabilities, income and expenses on a line-by-line basis.</w:t>
      </w:r>
    </w:p>
    <w:p>
      <w:pPr>
        <w:spacing w:after="0" w:line="185"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INVENTORIES</w:t>
      </w:r>
    </w:p>
    <w:p>
      <w:pPr>
        <w:spacing w:after="0" w:line="6" w:lineRule="exact"/>
        <w:rPr>
          <w:sz w:val="20"/>
          <w:szCs w:val="20"/>
          <w:color w:val="auto"/>
        </w:rPr>
      </w:pPr>
    </w:p>
    <w:p>
      <w:pPr>
        <w:ind w:left="1940" w:right="120"/>
        <w:spacing w:after="0" w:line="234" w:lineRule="auto"/>
        <w:rPr>
          <w:sz w:val="20"/>
          <w:szCs w:val="20"/>
          <w:color w:val="auto"/>
        </w:rPr>
      </w:pPr>
      <w:r>
        <w:rPr>
          <w:rFonts w:ascii="Arial" w:cs="Arial" w:eastAsia="Arial" w:hAnsi="Arial"/>
          <w:sz w:val="14"/>
          <w:szCs w:val="14"/>
          <w:color w:val="auto"/>
        </w:rPr>
        <w:t>Inventories are stated at cost to Shell or net realisable value, whichever is lower. Such cost is determined by the first-in first-out (FIFO) method and comprises direct purchase costs, cost of production, transportation and manufacturing expenses and taxes.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118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4" w:name="page125"/>
    <w:bookmarkEnd w:id="12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DEFERRED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-93345</wp:posOffset>
            </wp:positionV>
            <wp:extent cx="8255" cy="46520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4652010"/>
                    </a:xfrm>
                    <a:prstGeom prst="rect">
                      <a:avLst/>
                    </a:prstGeom>
                    <a:noFill/>
                  </pic:spPr>
                </pic:pic>
              </a:graphicData>
            </a:graphic>
          </wp:anchor>
        </w:drawing>
        <w:drawing>
          <wp:anchor simplePos="0" relativeHeight="251657728" behindDoc="1" locked="0" layoutInCell="0" allowOverlap="1">
            <wp:simplePos x="0" y="0"/>
            <wp:positionH relativeFrom="column">
              <wp:posOffset>5572125</wp:posOffset>
            </wp:positionH>
            <wp:positionV relativeFrom="paragraph">
              <wp:posOffset>-93345</wp:posOffset>
            </wp:positionV>
            <wp:extent cx="282575" cy="64535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2575" cy="6453505"/>
                    </a:xfrm>
                    <a:prstGeom prst="rect">
                      <a:avLst/>
                    </a:prstGeom>
                    <a:noFill/>
                  </pic:spPr>
                </pic:pic>
              </a:graphicData>
            </a:graphic>
          </wp:anchor>
        </w:drawing>
      </w:r>
    </w:p>
    <w:p>
      <w:pPr>
        <w:ind w:right="80"/>
        <w:spacing w:after="0" w:line="245" w:lineRule="auto"/>
        <w:rPr>
          <w:sz w:val="20"/>
          <w:szCs w:val="20"/>
          <w:color w:val="auto"/>
        </w:rPr>
      </w:pPr>
      <w:r>
        <w:rPr>
          <w:rFonts w:ascii="Arial" w:cs="Arial" w:eastAsia="Arial" w:hAnsi="Arial"/>
          <w:sz w:val="13"/>
          <w:szCs w:val="13"/>
          <w:color w:val="auto"/>
        </w:rPr>
        <w:t>Deferred taxation is provided using the liability method of accounting for income taxes based on provisions of enacted or substantively enacted laws at the balance sheet date. Recognition is given to deferred tax assets and liabilities for the expected future tax consequences of events that have been recognised in the Consolidated Financial Statements or in the tax returns (temporary differences); deferred tax is not generally provided on initial recognition of an asset or liability in a transaction that, at the time of the transaction, affects neither accounting nor taxable profit.</w:t>
      </w:r>
    </w:p>
    <w:p>
      <w:pPr>
        <w:spacing w:after="0" w:line="70"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Deferred tax assets are recognised where future recovery is probable. Deferred tax assets and liabilities are presented separately in the Consolidated Balance Sheet except where there is a right of set-off within fiscal jurisdictions.</w:t>
      </w:r>
    </w:p>
    <w:p>
      <w:pPr>
        <w:spacing w:after="0" w:line="68" w:lineRule="exact"/>
        <w:rPr>
          <w:sz w:val="20"/>
          <w:szCs w:val="20"/>
          <w:color w:val="auto"/>
        </w:rPr>
      </w:pPr>
    </w:p>
    <w:p>
      <w:pPr>
        <w:ind w:right="140"/>
        <w:spacing w:after="0" w:line="285" w:lineRule="auto"/>
        <w:rPr>
          <w:sz w:val="20"/>
          <w:szCs w:val="20"/>
          <w:color w:val="auto"/>
        </w:rPr>
      </w:pPr>
      <w:r>
        <w:rPr>
          <w:rFonts w:ascii="Arial" w:cs="Arial" w:eastAsia="Arial" w:hAnsi="Arial"/>
          <w:sz w:val="13"/>
          <w:szCs w:val="13"/>
          <w:color w:val="auto"/>
        </w:rPr>
        <w:t>Deferred tax is not provided for taxes on possible future distributions of retained earnings of subsidiaries and equity-accounted investments where the timing of the distribution can be controlled and it is probable that the retained earnings will be reinvested by the companies concerned.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BENEFITS</w:t>
      </w:r>
    </w:p>
    <w:p>
      <w:pPr>
        <w:spacing w:after="0" w:line="226" w:lineRule="auto"/>
        <w:rPr>
          <w:sz w:val="20"/>
          <w:szCs w:val="20"/>
          <w:color w:val="auto"/>
        </w:rPr>
      </w:pPr>
      <w:r>
        <w:rPr>
          <w:rFonts w:ascii="Arial" w:cs="Arial" w:eastAsia="Arial" w:hAnsi="Arial"/>
          <w:sz w:val="14"/>
          <w:szCs w:val="14"/>
          <w:b w:val="1"/>
          <w:bCs w:val="1"/>
          <w:color w:val="auto"/>
        </w:rPr>
        <w:t>[A] Employee retirement plans</w:t>
      </w:r>
    </w:p>
    <w:p>
      <w:pPr>
        <w:ind w:right="80"/>
        <w:spacing w:after="0" w:line="229" w:lineRule="auto"/>
        <w:rPr>
          <w:sz w:val="20"/>
          <w:szCs w:val="20"/>
          <w:color w:val="auto"/>
        </w:rPr>
      </w:pPr>
      <w:r>
        <w:rPr>
          <w:rFonts w:ascii="Arial" w:cs="Arial" w:eastAsia="Arial" w:hAnsi="Arial"/>
          <w:sz w:val="14"/>
          <w:szCs w:val="14"/>
          <w:color w:val="auto"/>
        </w:rPr>
        <w:t>Retirement plans to which employees contribute and many non-contributory plans are generally funded by payments to independent trusts. Where, due to local conditions, a plan is not funded, a provision is made. Valuations of both funded and unfunded plans are carried out annually by independent actuaries.</w:t>
      </w:r>
    </w:p>
    <w:p>
      <w:pPr>
        <w:spacing w:after="0" w:line="73"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For plans which define the amount of pension benefit to be provided, pension cost primarily represents the increase in actuarial present value of the obligation for pension benefits based on employee service during the year and the interest on this obligation in respect of employee service in previous years, net of the expected return on plan assets.</w:t>
      </w:r>
    </w:p>
    <w:p>
      <w:pPr>
        <w:spacing w:after="0" w:line="73"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Shell recognises actuarial gains and losses using the corridor method. Under this method, to the extent that any cumulative unrecognised actuarial gain or loss exceeds 10% of the greater of the present value of the defined benefit obligation and the fair value of plan assets, that portion is recognised in income over the expected average remaining working lives of the employees participating in the plan. Otherwise, the actuarial gain or loss is not recognised.</w:t>
      </w:r>
    </w:p>
    <w:p>
      <w:pPr>
        <w:spacing w:after="0" w:line="73" w:lineRule="exact"/>
        <w:rPr>
          <w:sz w:val="20"/>
          <w:szCs w:val="20"/>
          <w:color w:val="auto"/>
        </w:rPr>
      </w:pPr>
    </w:p>
    <w:p>
      <w:pPr>
        <w:ind w:right="780"/>
        <w:spacing w:after="0" w:line="247" w:lineRule="auto"/>
        <w:rPr>
          <w:sz w:val="20"/>
          <w:szCs w:val="20"/>
          <w:color w:val="auto"/>
        </w:rPr>
      </w:pPr>
      <w:r>
        <w:rPr>
          <w:rFonts w:ascii="Arial" w:cs="Arial" w:eastAsia="Arial" w:hAnsi="Arial"/>
          <w:sz w:val="14"/>
          <w:szCs w:val="14"/>
          <w:color w:val="auto"/>
        </w:rPr>
        <w:t>For plans where benefits depend solely on the amount contributed to the employee’s account and the returns earned on investment of these contributions, pension cost is the amount of contributions payable by subsidiaries for the period.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Retirement benefits other than pensions</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Some subsidiaries provide certain retirement healthcare and life insurance benefits to retirees, the entitlement to which is usually based on the employee remaining in service up to retirement age and the completion of a minimum service period. These plans are not funded and a provision is made. Valuations of benefits are carried out by independent actuaries.</w:t>
      </w:r>
    </w:p>
    <w:p>
      <w:pPr>
        <w:spacing w:after="0" w:line="73"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expected costs of retirement benefits other than pensions are accrued over the periods employees render service to the Shell group. Shell recognises actuarial gains and losses using the corridor method.</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Share-based compensation plans</w:t>
      </w:r>
    </w:p>
    <w:p>
      <w:pPr>
        <w:spacing w:after="0" w:line="2" w:lineRule="exact"/>
        <w:rPr>
          <w:sz w:val="20"/>
          <w:szCs w:val="20"/>
          <w:color w:val="auto"/>
        </w:rPr>
      </w:pPr>
    </w:p>
    <w:p>
      <w:pPr>
        <w:ind w:right="20"/>
        <w:spacing w:after="0" w:line="224" w:lineRule="auto"/>
        <w:rPr>
          <w:sz w:val="20"/>
          <w:szCs w:val="20"/>
          <w:color w:val="auto"/>
        </w:rPr>
      </w:pPr>
      <w:r>
        <w:rPr>
          <w:rFonts w:ascii="Arial" w:cs="Arial" w:eastAsia="Arial" w:hAnsi="Arial"/>
          <w:sz w:val="14"/>
          <w:szCs w:val="14"/>
          <w:color w:val="auto"/>
        </w:rPr>
        <w:t>The fair value of share-based compensation for equity-settled plans granted to employees is recognised as an expense from the date of grant over the vesting period with a corresponding increase directly in equity. The periodic change in the fair value of share-based compensation for cash-settled plans (which are those with stock appreciation rights) is recognised as an expense with a corresponding change in liabilities. The fair value of share-based compensation for options is estimated using a Black-Scholes option pricing model and for performance shares is estimated using a Monte Carlo pricing model.</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6" w:lineRule="exact"/>
        <w:rPr>
          <w:sz w:val="20"/>
          <w:szCs w:val="20"/>
          <w:color w:val="auto"/>
        </w:rPr>
      </w:pPr>
    </w:p>
    <w:p>
      <w:pPr>
        <w:ind w:right="120"/>
        <w:spacing w:after="0" w:line="224" w:lineRule="auto"/>
        <w:rPr>
          <w:sz w:val="20"/>
          <w:szCs w:val="20"/>
          <w:color w:val="auto"/>
        </w:rPr>
      </w:pPr>
      <w:r>
        <w:rPr>
          <w:rFonts w:ascii="Arial" w:cs="Arial" w:eastAsia="Arial" w:hAnsi="Arial"/>
          <w:sz w:val="14"/>
          <w:szCs w:val="14"/>
          <w:color w:val="auto"/>
        </w:rPr>
        <w:t>Agreements under which subsidiaries make payments to owners in return for the right to use an asset for a period are accounted for as leases. Leases that transfer substantially all the risks and rewards of ownership are recognised at the commencement of the lease term as finance leases within property, plant and equipment and debt at the fair value of the leased asset or, if lower, at the present value of the minimum lease payments. Lease payments are apportioned between interest expense and repayments of debt. All other leases are recorded as operating leases and the costs are charged to income on a straight-line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-1457960</wp:posOffset>
            </wp:positionH>
            <wp:positionV relativeFrom="paragraph">
              <wp:posOffset>1190625</wp:posOffset>
            </wp:positionV>
            <wp:extent cx="725297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580" w:space="720"/>
            <w:col w:w="8660"/>
          </w:cols>
          <w:pgMar w:left="240" w:top="415" w:right="69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9525</wp:posOffset>
            </wp:positionV>
            <wp:extent cx="8255" cy="52520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5252085"/>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4"/>
          <w:szCs w:val="14"/>
          <w:b w:val="1"/>
          <w:bCs w:val="1"/>
          <w:color w:val="auto"/>
        </w:rPr>
        <w:t>FINANCIAL INSTRUMENTS AND OTHER DERIVATIVE CONTRACTS</w:t>
      </w:r>
    </w:p>
    <w:p>
      <w:pPr>
        <w:ind w:left="2280" w:right="7380" w:firstLine="10"/>
        <w:spacing w:after="0" w:line="254" w:lineRule="auto"/>
        <w:tabs>
          <w:tab w:leader="none" w:pos="2513"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assets Investments: financial assets</w:t>
      </w:r>
    </w:p>
    <w:p>
      <w:pPr>
        <w:ind w:left="2280"/>
        <w:spacing w:after="0"/>
        <w:rPr>
          <w:rFonts w:ascii="Arial" w:cs="Arial" w:eastAsia="Arial" w:hAnsi="Arial"/>
          <w:sz w:val="12"/>
          <w:szCs w:val="12"/>
          <w:b w:val="1"/>
          <w:bCs w:val="1"/>
          <w:color w:val="auto"/>
        </w:rPr>
      </w:pPr>
      <w:r>
        <w:rPr>
          <w:rFonts w:ascii="Arial" w:cs="Arial" w:eastAsia="Arial" w:hAnsi="Arial"/>
          <w:sz w:val="14"/>
          <w:szCs w:val="14"/>
          <w:color w:val="auto"/>
        </w:rPr>
        <w:t>Investments: financial assets comprise debt and equity securities and are classified as held to maturity, of a trading nature or available-for-sale.</w:t>
      </w:r>
    </w:p>
    <w:p>
      <w:pPr>
        <w:spacing w:after="0" w:line="80"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Fair value is based on market prices where available, otherwise it is calculated as the net present value of expected future cash flows.</w:t>
      </w:r>
    </w:p>
    <w:p>
      <w:pPr>
        <w:spacing w:after="0" w:line="90" w:lineRule="exact"/>
        <w:rPr>
          <w:sz w:val="20"/>
          <w:szCs w:val="20"/>
          <w:color w:val="auto"/>
        </w:rPr>
      </w:pPr>
    </w:p>
    <w:p>
      <w:pPr>
        <w:ind w:left="2280"/>
        <w:spacing w:after="0"/>
        <w:rPr>
          <w:sz w:val="20"/>
          <w:szCs w:val="20"/>
          <w:color w:val="auto"/>
        </w:rPr>
      </w:pPr>
      <w:r>
        <w:rPr>
          <w:rFonts w:ascii="Arial" w:cs="Arial" w:eastAsia="Arial" w:hAnsi="Arial"/>
          <w:sz w:val="14"/>
          <w:szCs w:val="14"/>
          <w:b w:val="1"/>
          <w:bCs w:val="1"/>
          <w:i w:val="1"/>
          <w:iCs w:val="1"/>
          <w:color w:val="auto"/>
        </w:rPr>
        <w:t>Securities held to maturity</w:t>
      </w:r>
    </w:p>
    <w:p>
      <w:pPr>
        <w:ind w:left="2280"/>
        <w:spacing w:after="0"/>
        <w:rPr>
          <w:sz w:val="20"/>
          <w:szCs w:val="20"/>
          <w:color w:val="auto"/>
        </w:rPr>
      </w:pPr>
      <w:r>
        <w:rPr>
          <w:rFonts w:ascii="Arial" w:cs="Arial" w:eastAsia="Arial" w:hAnsi="Arial"/>
          <w:sz w:val="13"/>
          <w:szCs w:val="13"/>
          <w:color w:val="auto"/>
        </w:rPr>
        <w:t>Securities held to maturity are recognised initially at fair value plus directly attributable transaction costs and subsequently carried at amortised cost.</w:t>
      </w:r>
    </w:p>
    <w:p>
      <w:pPr>
        <w:spacing w:after="0" w:line="89" w:lineRule="exact"/>
        <w:rPr>
          <w:sz w:val="20"/>
          <w:szCs w:val="20"/>
          <w:color w:val="auto"/>
        </w:rPr>
      </w:pPr>
    </w:p>
    <w:p>
      <w:pPr>
        <w:ind w:left="2280"/>
        <w:spacing w:after="0"/>
        <w:rPr>
          <w:sz w:val="20"/>
          <w:szCs w:val="20"/>
          <w:color w:val="auto"/>
        </w:rPr>
      </w:pPr>
      <w:r>
        <w:rPr>
          <w:rFonts w:ascii="Arial" w:cs="Arial" w:eastAsia="Arial" w:hAnsi="Arial"/>
          <w:sz w:val="14"/>
          <w:szCs w:val="14"/>
          <w:b w:val="1"/>
          <w:bCs w:val="1"/>
          <w:i w:val="1"/>
          <w:iCs w:val="1"/>
          <w:color w:val="auto"/>
        </w:rPr>
        <w:t>Securities of a trading nature</w:t>
      </w:r>
    </w:p>
    <w:p>
      <w:pPr>
        <w:ind w:left="2280"/>
        <w:spacing w:after="0"/>
        <w:rPr>
          <w:sz w:val="20"/>
          <w:szCs w:val="20"/>
          <w:color w:val="auto"/>
        </w:rPr>
      </w:pPr>
      <w:r>
        <w:rPr>
          <w:rFonts w:ascii="Arial" w:cs="Arial" w:eastAsia="Arial" w:hAnsi="Arial"/>
          <w:sz w:val="14"/>
          <w:szCs w:val="14"/>
          <w:color w:val="auto"/>
        </w:rPr>
        <w:t>Securities of a trading nature are carried at fair value with unrealised holding gains and losses being included in income.</w:t>
      </w:r>
    </w:p>
    <w:p>
      <w:pPr>
        <w:spacing w:after="0" w:line="78" w:lineRule="exact"/>
        <w:rPr>
          <w:sz w:val="20"/>
          <w:szCs w:val="20"/>
          <w:color w:val="auto"/>
        </w:rPr>
      </w:pPr>
    </w:p>
    <w:p>
      <w:pPr>
        <w:ind w:left="2280"/>
        <w:spacing w:after="0"/>
        <w:rPr>
          <w:sz w:val="20"/>
          <w:szCs w:val="20"/>
          <w:color w:val="auto"/>
        </w:rPr>
      </w:pPr>
      <w:r>
        <w:rPr>
          <w:rFonts w:ascii="Arial" w:cs="Arial" w:eastAsia="Arial" w:hAnsi="Arial"/>
          <w:sz w:val="14"/>
          <w:szCs w:val="14"/>
          <w:b w:val="1"/>
          <w:bCs w:val="1"/>
          <w:i w:val="1"/>
          <w:iCs w:val="1"/>
          <w:color w:val="auto"/>
        </w:rPr>
        <w:t>Available-for-sale securities</w:t>
      </w:r>
    </w:p>
    <w:p>
      <w:pPr>
        <w:jc w:val="both"/>
        <w:ind w:left="2280" w:right="100"/>
        <w:spacing w:after="0" w:line="250" w:lineRule="auto"/>
        <w:rPr>
          <w:sz w:val="20"/>
          <w:szCs w:val="20"/>
          <w:color w:val="auto"/>
        </w:rPr>
      </w:pPr>
      <w:r>
        <w:rPr>
          <w:rFonts w:ascii="Arial" w:cs="Arial" w:eastAsia="Arial" w:hAnsi="Arial"/>
          <w:sz w:val="13"/>
          <w:szCs w:val="13"/>
          <w:color w:val="auto"/>
        </w:rPr>
        <w:t>All other securities are classified as available-for-sale and are carried at fair value, other than unquoted equity securities with no estimable fair value which are carried at cost, less any impairment. Unrealised holding gains and losses other than impairments are taken directly to equity, except for translation differences arising on foreign currency debt securities which are taken to income. Upon sale or maturity, the net gains and losses are included in income.</w:t>
      </w:r>
    </w:p>
    <w:p>
      <w:pPr>
        <w:spacing w:after="0" w:line="67"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Securities forming part of a portfolio which is required to be held long term are classified under investments.</w:t>
      </w:r>
    </w:p>
    <w:p>
      <w:pPr>
        <w:spacing w:after="0" w:line="92" w:lineRule="exact"/>
        <w:rPr>
          <w:sz w:val="20"/>
          <w:szCs w:val="20"/>
          <w:color w:val="auto"/>
        </w:rPr>
      </w:pPr>
    </w:p>
    <w:p>
      <w:pPr>
        <w:ind w:left="2280"/>
        <w:spacing w:after="0" w:line="247" w:lineRule="auto"/>
        <w:rPr>
          <w:sz w:val="20"/>
          <w:szCs w:val="20"/>
          <w:color w:val="auto"/>
        </w:rPr>
      </w:pPr>
      <w:r>
        <w:rPr>
          <w:rFonts w:ascii="Arial" w:cs="Arial" w:eastAsia="Arial" w:hAnsi="Arial"/>
          <w:sz w:val="14"/>
          <w:szCs w:val="14"/>
          <w:color w:val="auto"/>
        </w:rPr>
        <w:t>Interest on debt securities is accounted for in income by applying the effective interest method. Dividends on equity securities are accounted for in income when receivable.</w:t>
      </w:r>
    </w:p>
    <w:p>
      <w:pPr>
        <w:spacing w:after="0" w:line="64"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Cash and cash equivalents</w:t>
      </w:r>
    </w:p>
    <w:p>
      <w:pPr>
        <w:spacing w:after="0" w:line="2" w:lineRule="exact"/>
        <w:rPr>
          <w:sz w:val="20"/>
          <w:szCs w:val="20"/>
          <w:color w:val="auto"/>
        </w:rPr>
      </w:pPr>
    </w:p>
    <w:p>
      <w:pPr>
        <w:ind w:left="2280" w:right="80"/>
        <w:spacing w:after="0" w:line="234" w:lineRule="auto"/>
        <w:rPr>
          <w:sz w:val="20"/>
          <w:szCs w:val="20"/>
          <w:color w:val="auto"/>
        </w:rPr>
      </w:pPr>
      <w:r>
        <w:rPr>
          <w:rFonts w:ascii="Arial" w:cs="Arial" w:eastAsia="Arial" w:hAnsi="Arial"/>
          <w:sz w:val="14"/>
          <w:szCs w:val="14"/>
          <w:color w:val="auto"/>
        </w:rPr>
        <w:t>Cash and cash equivalents comprise cash at bank and in hand, and bank overdrafts where there is a right of offset, together with commercial paper notes which have a maturity of three months or less at date of acquisition.</w:t>
      </w:r>
    </w:p>
    <w:p>
      <w:pPr>
        <w:spacing w:after="0" w:line="70"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Receivables</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Receivables are recognised initially at fair value based on amounts exchanged and subsequently at amortised cost less any impairment.</w:t>
      </w:r>
    </w:p>
    <w:p>
      <w:pPr>
        <w:spacing w:after="0" w:line="80" w:lineRule="exact"/>
        <w:rPr>
          <w:sz w:val="20"/>
          <w:szCs w:val="20"/>
          <w:color w:val="auto"/>
        </w:rPr>
      </w:pPr>
    </w:p>
    <w:p>
      <w:pPr>
        <w:ind w:left="2280"/>
        <w:spacing w:after="0" w:line="247" w:lineRule="auto"/>
        <w:rPr>
          <w:sz w:val="20"/>
          <w:szCs w:val="20"/>
          <w:color w:val="auto"/>
        </w:rPr>
      </w:pPr>
      <w:r>
        <w:rPr>
          <w:rFonts w:ascii="Arial" w:cs="Arial" w:eastAsia="Arial" w:hAnsi="Arial"/>
          <w:sz w:val="14"/>
          <w:szCs w:val="14"/>
          <w:color w:val="auto"/>
        </w:rPr>
        <w:t>Where fair value is not applied subsequent to initial recognition but is required for disclosure purposes, it is based on market prices where available, otherwise it is calculated as the net present value of expected future cash flows.</w:t>
      </w:r>
    </w:p>
    <w:p>
      <w:pPr>
        <w:spacing w:after="0" w:line="64"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[B] Financial liabilities</w:t>
      </w:r>
    </w:p>
    <w:p>
      <w:pPr>
        <w:spacing w:after="0" w:line="2" w:lineRule="exact"/>
        <w:rPr>
          <w:sz w:val="20"/>
          <w:szCs w:val="20"/>
          <w:color w:val="auto"/>
        </w:rPr>
      </w:pPr>
    </w:p>
    <w:p>
      <w:pPr>
        <w:ind w:left="2280" w:right="320"/>
        <w:spacing w:after="0" w:line="234" w:lineRule="auto"/>
        <w:rPr>
          <w:sz w:val="20"/>
          <w:szCs w:val="20"/>
          <w:color w:val="auto"/>
        </w:rPr>
      </w:pPr>
      <w:r>
        <w:rPr>
          <w:rFonts w:ascii="Arial" w:cs="Arial" w:eastAsia="Arial" w:hAnsi="Arial"/>
          <w:sz w:val="14"/>
          <w:szCs w:val="14"/>
          <w:color w:val="auto"/>
        </w:rPr>
        <w:t>Debt and accounts payable are recognised initially at fair value based on amounts exchanged and subsequently at amortised cost, except for fixed rate debt subject to fair value hedging.</w:t>
      </w:r>
    </w:p>
    <w:p>
      <w:pPr>
        <w:spacing w:after="0" w:line="74"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Interest expense, other than interest capitalised, is accounted for in income using the effective interest method.</w:t>
      </w:r>
    </w:p>
    <w:p>
      <w:pPr>
        <w:spacing w:after="0" w:line="92" w:lineRule="exact"/>
        <w:rPr>
          <w:sz w:val="20"/>
          <w:szCs w:val="20"/>
          <w:color w:val="auto"/>
        </w:rPr>
      </w:pPr>
    </w:p>
    <w:p>
      <w:pPr>
        <w:ind w:left="2280"/>
        <w:spacing w:after="0" w:line="247" w:lineRule="auto"/>
        <w:rPr>
          <w:sz w:val="20"/>
          <w:szCs w:val="20"/>
          <w:color w:val="auto"/>
        </w:rPr>
      </w:pPr>
      <w:r>
        <w:rPr>
          <w:rFonts w:ascii="Arial" w:cs="Arial" w:eastAsia="Arial" w:hAnsi="Arial"/>
          <w:sz w:val="14"/>
          <w:szCs w:val="14"/>
          <w:color w:val="auto"/>
        </w:rPr>
        <w:t>Where fair value is not applied subsequent to initial recognition but is required for disclosure purposes, it is based on market prices where available, otherwise it is calculated as the net present value of expected future cash flows.</w:t>
      </w:r>
    </w:p>
    <w:p>
      <w:pPr>
        <w:spacing w:after="0" w:line="64"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[C] Derivative contracts</w:t>
      </w:r>
    </w:p>
    <w:p>
      <w:pPr>
        <w:spacing w:after="0" w:line="2" w:lineRule="exact"/>
        <w:rPr>
          <w:sz w:val="20"/>
          <w:szCs w:val="20"/>
          <w:color w:val="auto"/>
        </w:rPr>
      </w:pPr>
    </w:p>
    <w:p>
      <w:pPr>
        <w:ind w:left="2280" w:right="100"/>
        <w:spacing w:after="0" w:line="226" w:lineRule="auto"/>
        <w:rPr>
          <w:sz w:val="20"/>
          <w:szCs w:val="20"/>
          <w:color w:val="auto"/>
        </w:rPr>
      </w:pPr>
      <w:r>
        <w:rPr>
          <w:rFonts w:ascii="Arial" w:cs="Arial" w:eastAsia="Arial" w:hAnsi="Arial"/>
          <w:sz w:val="14"/>
          <w:szCs w:val="14"/>
          <w:color w:val="auto"/>
        </w:rPr>
        <w:t>Shell uses derivatives in the management of interest rate risk, foreign currency risk and commodity price risk, and in the management of foreign currency cash balances. These derivative contracts are recognised at fair value, generally using market prices; for commodity derivatives where there is an absence of quoted prices, Shell utilises other valuation techniques requiring the estimation of future prices and other variables, including volatility, price correlation and market liquidity.</w:t>
      </w:r>
    </w:p>
    <w:p>
      <w:pPr>
        <w:spacing w:after="0" w:line="74" w:lineRule="exact"/>
        <w:rPr>
          <w:sz w:val="20"/>
          <w:szCs w:val="20"/>
          <w:color w:val="auto"/>
        </w:rPr>
      </w:pPr>
    </w:p>
    <w:p>
      <w:pPr>
        <w:jc w:val="both"/>
        <w:ind w:left="2280" w:right="340"/>
        <w:spacing w:after="0" w:line="235" w:lineRule="auto"/>
        <w:rPr>
          <w:sz w:val="20"/>
          <w:szCs w:val="20"/>
          <w:color w:val="auto"/>
        </w:rPr>
      </w:pPr>
      <w:r>
        <w:rPr>
          <w:rFonts w:ascii="Arial" w:cs="Arial" w:eastAsia="Arial" w:hAnsi="Arial"/>
          <w:sz w:val="14"/>
          <w:szCs w:val="14"/>
          <w:color w:val="auto"/>
        </w:rPr>
        <w:t>Those derivatives qualifying and designated as hedges are either: (i) a “fair value” hedge of the change in fair value of a recognised asset or liability or an unrecognised firm commitment, or (ii) a “cash flow” hedge of the change in cash flows to be received or paid relating to a recognised asset or liability or a highly probable forecasted transaction.</w:t>
      </w:r>
    </w:p>
    <w:p>
      <w:pPr>
        <w:spacing w:after="0" w:line="73" w:lineRule="exact"/>
        <w:rPr>
          <w:sz w:val="20"/>
          <w:szCs w:val="20"/>
          <w:color w:val="auto"/>
        </w:rPr>
      </w:pPr>
    </w:p>
    <w:p>
      <w:pPr>
        <w:ind w:left="2280" w:right="300"/>
        <w:spacing w:after="0" w:line="260" w:lineRule="auto"/>
        <w:rPr>
          <w:sz w:val="20"/>
          <w:szCs w:val="20"/>
          <w:color w:val="auto"/>
        </w:rPr>
      </w:pPr>
      <w:r>
        <w:rPr>
          <w:rFonts w:ascii="Arial" w:cs="Arial" w:eastAsia="Arial" w:hAnsi="Arial"/>
          <w:sz w:val="13"/>
          <w:szCs w:val="13"/>
          <w:color w:val="auto"/>
        </w:rPr>
        <w:t>A change in the fair value of a hedging instrument designated as a fair value hedge is taken to income, together with the consequential adjustment to the carrying amount of the hedged item. The effective portion of a change in fair value of a derivative designated as a cash flow hedge is recognised directly in equity until the actual cash flow occurs, at which point it is recognised in income; any ineffective portion is taken to income.</w:t>
      </w:r>
    </w:p>
    <w:p>
      <w:pPr>
        <w:spacing w:after="0" w:line="60" w:lineRule="exact"/>
        <w:rPr>
          <w:sz w:val="20"/>
          <w:szCs w:val="20"/>
          <w:color w:val="auto"/>
        </w:rPr>
      </w:pPr>
    </w:p>
    <w:p>
      <w:pPr>
        <w:ind w:left="2280" w:right="180"/>
        <w:spacing w:after="0" w:line="285" w:lineRule="auto"/>
        <w:rPr>
          <w:sz w:val="20"/>
          <w:szCs w:val="20"/>
          <w:color w:val="auto"/>
        </w:rPr>
      </w:pPr>
      <w:r>
        <w:rPr>
          <w:rFonts w:ascii="Arial" w:cs="Arial" w:eastAsia="Arial" w:hAnsi="Arial"/>
          <w:sz w:val="13"/>
          <w:szCs w:val="13"/>
          <w:color w:val="auto"/>
        </w:rPr>
        <w:t>Subsidiaries document all relationships between hedging instruments and hedged items, as well as risk management objectives and strategies for undertaking hedge transactions. The effectiveness of a hedge is also continually assessed and when it ceases, hedge accounting is discontinued.</w:t>
      </w:r>
    </w:p>
    <w:p>
      <w:pPr>
        <w:spacing w:after="0" w:line="45" w:lineRule="exact"/>
        <w:rPr>
          <w:sz w:val="20"/>
          <w:szCs w:val="20"/>
          <w:color w:val="auto"/>
        </w:rPr>
      </w:pPr>
    </w:p>
    <w:p>
      <w:pPr>
        <w:ind w:left="2280" w:right="180"/>
        <w:spacing w:after="0" w:line="247" w:lineRule="auto"/>
        <w:rPr>
          <w:sz w:val="20"/>
          <w:szCs w:val="20"/>
          <w:color w:val="auto"/>
        </w:rPr>
      </w:pPr>
      <w:r>
        <w:rPr>
          <w:rFonts w:ascii="Arial" w:cs="Arial" w:eastAsia="Arial" w:hAnsi="Arial"/>
          <w:sz w:val="14"/>
          <w:szCs w:val="14"/>
          <w:color w:val="auto"/>
        </w:rPr>
        <w:t>Gains and losses on derivatives not qualifying and designated as hedges, including forward sale and purchase contracts for commodities in trading operations which may be settled by the physical delivery or receipt of the commodity, are taken to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120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Borders>
              <w:right w:val="single" w:sz="8" w:color="7DD0E0"/>
            </w:tcBorders>
          </w:tcPr>
          <w:p>
            <w:pPr>
              <w:spacing w:after="0"/>
              <w:rPr>
                <w:sz w:val="20"/>
                <w:szCs w:val="20"/>
                <w:color w:val="auto"/>
              </w:rPr>
            </w:pPr>
            <w:r>
              <w:rPr>
                <w:rFonts w:ascii="Arial" w:cs="Arial" w:eastAsia="Arial" w:hAnsi="Arial"/>
                <w:sz w:val="12"/>
                <w:szCs w:val="12"/>
                <w:b w:val="1"/>
                <w:bCs w:val="1"/>
                <w:i w:val="1"/>
                <w:iCs w:val="1"/>
                <w:color w:val="7DD0E0"/>
              </w:rPr>
              <w:t>Note 2 continued</w:t>
            </w:r>
          </w:p>
        </w:tc>
        <w:tc>
          <w:tcPr>
            <w:tcW w:w="8400" w:type="dxa"/>
            <w:vAlign w:val="bottom"/>
          </w:tcPr>
          <w:p>
            <w:pPr>
              <w:ind w:left="60"/>
              <w:spacing w:after="0"/>
              <w:rPr>
                <w:sz w:val="20"/>
                <w:szCs w:val="20"/>
                <w:color w:val="auto"/>
              </w:rPr>
            </w:pPr>
            <w:r>
              <w:rPr>
                <w:rFonts w:ascii="Arial" w:cs="Arial" w:eastAsia="Arial" w:hAnsi="Arial"/>
                <w:sz w:val="14"/>
                <w:szCs w:val="14"/>
                <w:color w:val="auto"/>
                <w:w w:val="94"/>
              </w:rPr>
              <w:t>Certain contracts to sell or purchase commodities are required to be recognised at fair value, generally based on market prices (with gains and</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losses taken to income). These are contracts which can be net settled or sales contracts containing volume optionality.</w:t>
            </w:r>
          </w:p>
        </w:tc>
      </w:tr>
      <w:tr>
        <w:trPr>
          <w:trHeight w:val="219"/>
        </w:trPr>
        <w:tc>
          <w:tcPr>
            <w:tcW w:w="2100" w:type="dxa"/>
            <w:vAlign w:val="bottom"/>
            <w:tcBorders>
              <w:right w:val="single" w:sz="8" w:color="7DD0E0"/>
            </w:tcBorders>
          </w:tcPr>
          <w:p>
            <w:pPr>
              <w:spacing w:after="0"/>
              <w:rPr>
                <w:sz w:val="19"/>
                <w:szCs w:val="19"/>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w w:val="92"/>
              </w:rPr>
              <w:t>Certain embedded derivatives within contracts are required to be separated from their host contract and recognised at fair value, generally based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5"/>
              </w:rPr>
              <w:t>on market prices (with gains and losses taken to income), if the economic characteristics and risks of the embedded derivative are not closely</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related to that of the host contract.</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PROVISIONS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Provisions are liabilities where the timing or amount of future expenditure is uncertain. Provisions are recorded at the balance sheet date at the</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3"/>
              </w:rPr>
              <w:t>best estimate, using risk-adjusted future cash flows, of the present value of the expenditure required to settle the present obligation. Non-current</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amounts are discounted using the risk-free rate. Specific details for decommissioning and restoration costs and environmental remediation are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described below. The carrying amount of provisions is regularly reviewed and adjusted for new facts or changes in law or technology.</w:t>
            </w:r>
          </w:p>
        </w:tc>
      </w:tr>
      <w:tr>
        <w:trPr>
          <w:trHeight w:val="219"/>
        </w:trPr>
        <w:tc>
          <w:tcPr>
            <w:tcW w:w="2100" w:type="dxa"/>
            <w:vAlign w:val="bottom"/>
            <w:tcBorders>
              <w:right w:val="single" w:sz="8" w:color="7DD0E0"/>
            </w:tcBorders>
          </w:tcPr>
          <w:p>
            <w:pPr>
              <w:spacing w:after="0"/>
              <w:rPr>
                <w:sz w:val="19"/>
                <w:szCs w:val="19"/>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w w:val="94"/>
              </w:rPr>
              <w:t>Provisions for decommissioning and restoration costs, which are primarily in respect of hydrocarbon production facilities, are based on current</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1"/>
              </w:rPr>
              <w:t>requirements, technology and price levels and the present value is calculated using amounts discounted over the useful economic life of the assets.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The liability is recognised (together with a corresponding amount as part of the related property, plant and equipment) once an obligation (whether</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legal or constructive) crystallises in the period when a reasonable estimate can be made. The effects of changes resulting from revisions to the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timing or the amount of the original estimate of the provision are reflected on a prospective basis.</w:t>
            </w:r>
          </w:p>
        </w:tc>
      </w:tr>
      <w:tr>
        <w:trPr>
          <w:trHeight w:val="219"/>
        </w:trPr>
        <w:tc>
          <w:tcPr>
            <w:tcW w:w="2100" w:type="dxa"/>
            <w:vAlign w:val="bottom"/>
            <w:tcBorders>
              <w:right w:val="single" w:sz="8" w:color="7DD0E0"/>
            </w:tcBorders>
          </w:tcPr>
          <w:p>
            <w:pPr>
              <w:spacing w:after="0"/>
              <w:rPr>
                <w:sz w:val="19"/>
                <w:szCs w:val="19"/>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w w:val="93"/>
              </w:rPr>
              <w:t>Provisions for environmental remediation resulting from ongoing or past operations or events are recognised in the period in which an obligation,</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5"/>
              </w:rPr>
              <w:t>legal or constructive, to a third party arises and the amount can be reasonably estimated. Measurement of liabilities is based on current legal</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3"/>
              </w:rPr>
              <w:t>requirements and existing technology. Recognition of any joint and several liability is based upon Shell’s best estimate of the final pro rata share</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of the liability. Liabilities are determined independently of expected insurance recoveries. Recoveries are recognised and reported as separate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events and brought into account when virtually certain of realisation.</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TREASURY SHARES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Shares in Royal Dutch Shell held by Shell employee share ownership trusts are not included in assets but, after deducting dividends received, are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reflected at cost as a deduction from equity as treasury shares.</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RESEARCH AND DEVELOPMENT</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Development costs which are expected to generate probable future economic benefits are capitalised as intangible assets. All other research and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5"/>
              </w:rPr>
              <w:t>development expenditure is charged to income as incurred, with the exception of that on buildings and major items of equipment which have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alternative use.</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DISCONTINUED OPERATIONS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6"/>
              </w:rPr>
              <w:t>Discontinued operations comprise those activities which have been disposed of during the period, or remain held for sale at period end, and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represent a separate major line of business or geographical area of operation which can be clearly distinguished, operationally and for financial</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reporting purposes, from other activities of Shell.</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BUSINESS COMBINATIONS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3"/>
              </w:rPr>
              <w:t>Assets acquired and liabilities assumed on a business combination are recognised at their fair value at the date of the acquisition; the amount of</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the purchase consideration above this value is reflected as goodwill.</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ACQUISITIONS OF MINORITY INTEREST AND DISPOSALS WHILST RETAINING CONTROL</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3"/>
              </w:rPr>
              <w:t>Acquisitions of minority interest in subsidiaries, and disposals of shares in subsidiaries whilst retaining control, are accounted for as transactions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6"/>
              </w:rPr>
              <w:t>within equity. The difference between the purchase price/disposal proceeds and the relevant proportion of the minority interest is reported in</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retained earnings as a movement in the Shell share of equity.</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CURRENCY TRANSLATION</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1"/>
              </w:rPr>
              <w:t>The dollar equivalents of exchange gains and losses arising as a result of foreign currency transactions (including those in respect of intercompany</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balances unless related to transactions of a long-term investment nature) are included in income within interest and other income or within cost of</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sales where not related to financing.</w:t>
            </w:r>
          </w:p>
        </w:tc>
      </w:tr>
      <w:tr>
        <w:trPr>
          <w:trHeight w:val="219"/>
        </w:trPr>
        <w:tc>
          <w:tcPr>
            <w:tcW w:w="2100" w:type="dxa"/>
            <w:vAlign w:val="bottom"/>
            <w:tcBorders>
              <w:right w:val="single" w:sz="8" w:color="7DD0E0"/>
            </w:tcBorders>
          </w:tcPr>
          <w:p>
            <w:pPr>
              <w:spacing w:after="0"/>
              <w:rPr>
                <w:sz w:val="19"/>
                <w:szCs w:val="19"/>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w w:val="91"/>
              </w:rPr>
              <w:t>On consolidation, assets and liabilities of non-dollar subsidiaries are translated to US dollars at year-end rates of exchange, whilst their statements</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of income and cash flows are translated at quarterly average rates. The resulting translation differences are taken directly to a currency translation</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differences account within equity. Upon divestment or liquidation of an entity, cumulative currency translation differences related to that entity are</w:t>
            </w:r>
          </w:p>
        </w:tc>
      </w:tr>
      <w:tr>
        <w:trPr>
          <w:trHeight w:val="181"/>
        </w:trPr>
        <w:tc>
          <w:tcPr>
            <w:tcW w:w="2100" w:type="dxa"/>
            <w:vAlign w:val="bottom"/>
            <w:tcBorders>
              <w:right w:val="single" w:sz="8" w:color="7DD0E0"/>
            </w:tcBorders>
          </w:tcPr>
          <w:p>
            <w:pPr>
              <w:spacing w:after="0"/>
              <w:rPr>
                <w:sz w:val="15"/>
                <w:szCs w:val="15"/>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taken to income.</w:t>
            </w:r>
          </w:p>
        </w:tc>
      </w:tr>
      <w:tr>
        <w:trPr>
          <w:trHeight w:val="339"/>
        </w:trPr>
        <w:tc>
          <w:tcPr>
            <w:tcW w:w="2100" w:type="dxa"/>
            <w:vAlign w:val="bottom"/>
            <w:tcBorders>
              <w:right w:val="single" w:sz="8" w:color="7DD0E0"/>
            </w:tcBorders>
          </w:tcPr>
          <w:p>
            <w:pPr>
              <w:spacing w:after="0"/>
              <w:rPr>
                <w:sz w:val="24"/>
                <w:szCs w:val="24"/>
                <w:color w:val="auto"/>
              </w:rPr>
            </w:pPr>
          </w:p>
        </w:tc>
        <w:tc>
          <w:tcPr>
            <w:tcW w:w="8400" w:type="dxa"/>
            <w:vAlign w:val="bottom"/>
          </w:tcPr>
          <w:p>
            <w:pPr>
              <w:ind w:left="60"/>
              <w:spacing w:after="0"/>
              <w:rPr>
                <w:sz w:val="20"/>
                <w:szCs w:val="20"/>
                <w:color w:val="auto"/>
              </w:rPr>
            </w:pPr>
            <w:r>
              <w:rPr>
                <w:rFonts w:ascii="Arial" w:cs="Arial" w:eastAsia="Arial" w:hAnsi="Arial"/>
                <w:sz w:val="14"/>
                <w:szCs w:val="14"/>
                <w:b w:val="1"/>
                <w:bCs w:val="1"/>
                <w:color w:val="auto"/>
              </w:rPr>
              <w:t>ACCOUNTING STANDARDS AND INTERPRETATIONS NOT YET ADOPTED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0"/>
              </w:rPr>
              <w:t>Certain accounting standards and interpretations are in issue which are not required to be adopted until after 2007 and have not been early adopted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2"/>
              </w:rPr>
              <w:t>by Shell. Those pronouncements which may have a future impact on Shell’s accounting policies above or on the presentation of the Consolidated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4"/>
              </w:rPr>
              <w:t xml:space="preserve">Financial Statements, are the revised IAS 1 </w:t>
            </w:r>
            <w:r>
              <w:rPr>
                <w:rFonts w:ascii="Arial" w:cs="Arial" w:eastAsia="Arial" w:hAnsi="Arial"/>
                <w:sz w:val="14"/>
                <w:szCs w:val="14"/>
                <w:i w:val="1"/>
                <w:iCs w:val="1"/>
                <w:color w:val="auto"/>
                <w:w w:val="94"/>
              </w:rPr>
              <w:t>Presentation of Financial Statements</w:t>
            </w:r>
            <w:r>
              <w:rPr>
                <w:rFonts w:ascii="Arial" w:cs="Arial" w:eastAsia="Arial" w:hAnsi="Arial"/>
                <w:sz w:val="14"/>
                <w:szCs w:val="14"/>
                <w:color w:val="auto"/>
                <w:w w:val="94"/>
              </w:rPr>
              <w:t xml:space="preserve"> issued in September 2007 and not required to be adopted by</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color w:val="auto"/>
                <w:w w:val="95"/>
              </w:rPr>
              <w:t xml:space="preserve">Shell until 2009, which will require certain changes in presentation, and revised IFRS 3 </w:t>
            </w:r>
            <w:r>
              <w:rPr>
                <w:rFonts w:ascii="Arial" w:cs="Arial" w:eastAsia="Arial" w:hAnsi="Arial"/>
                <w:sz w:val="14"/>
                <w:szCs w:val="14"/>
                <w:i w:val="1"/>
                <w:iCs w:val="1"/>
                <w:color w:val="auto"/>
                <w:w w:val="95"/>
              </w:rPr>
              <w:t>Business Combinations</w:t>
            </w:r>
            <w:r>
              <w:rPr>
                <w:rFonts w:ascii="Arial" w:cs="Arial" w:eastAsia="Arial" w:hAnsi="Arial"/>
                <w:sz w:val="14"/>
                <w:szCs w:val="14"/>
                <w:color w:val="auto"/>
                <w:w w:val="95"/>
              </w:rPr>
              <w:t xml:space="preserve"> and IAS 27 </w:t>
            </w:r>
            <w:r>
              <w:rPr>
                <w:rFonts w:ascii="Arial" w:cs="Arial" w:eastAsia="Arial" w:hAnsi="Arial"/>
                <w:sz w:val="14"/>
                <w:szCs w:val="14"/>
                <w:i w:val="1"/>
                <w:iCs w:val="1"/>
                <w:color w:val="auto"/>
                <w:w w:val="95"/>
              </w:rPr>
              <w:t>Consolidated and</w:t>
            </w:r>
          </w:p>
        </w:tc>
      </w:tr>
      <w:tr>
        <w:trPr>
          <w:trHeight w:val="147"/>
        </w:trPr>
        <w:tc>
          <w:tcPr>
            <w:tcW w:w="2100" w:type="dxa"/>
            <w:vAlign w:val="bottom"/>
            <w:tcBorders>
              <w:right w:val="single" w:sz="8" w:color="7DD0E0"/>
            </w:tcBorders>
          </w:tcPr>
          <w:p>
            <w:pPr>
              <w:spacing w:after="0"/>
              <w:rPr>
                <w:sz w:val="12"/>
                <w:szCs w:val="12"/>
                <w:color w:val="auto"/>
              </w:rPr>
            </w:pPr>
          </w:p>
        </w:tc>
        <w:tc>
          <w:tcPr>
            <w:tcW w:w="8400" w:type="dxa"/>
            <w:vAlign w:val="bottom"/>
          </w:tcPr>
          <w:p>
            <w:pPr>
              <w:ind w:left="60"/>
              <w:spacing w:after="0" w:line="147" w:lineRule="exact"/>
              <w:rPr>
                <w:sz w:val="20"/>
                <w:szCs w:val="20"/>
                <w:color w:val="auto"/>
              </w:rPr>
            </w:pPr>
            <w:r>
              <w:rPr>
                <w:rFonts w:ascii="Arial" w:cs="Arial" w:eastAsia="Arial" w:hAnsi="Arial"/>
                <w:sz w:val="14"/>
                <w:szCs w:val="14"/>
                <w:i w:val="1"/>
                <w:iCs w:val="1"/>
                <w:color w:val="auto"/>
                <w:w w:val="93"/>
              </w:rPr>
              <w:t>Separate Financial Statements</w:t>
            </w:r>
            <w:r>
              <w:rPr>
                <w:rFonts w:ascii="Arial" w:cs="Arial" w:eastAsia="Arial" w:hAnsi="Arial"/>
                <w:sz w:val="14"/>
                <w:szCs w:val="14"/>
                <w:color w:val="auto"/>
                <w:w w:val="93"/>
              </w:rPr>
              <w:t>, both issued in January 2008, and not required to be adopted by Shell until 2010, where the assessment is at an</w:t>
            </w:r>
          </w:p>
        </w:tc>
      </w:tr>
      <w:tr>
        <w:trPr>
          <w:trHeight w:val="165"/>
        </w:trPr>
        <w:tc>
          <w:tcPr>
            <w:tcW w:w="2100" w:type="dxa"/>
            <w:vAlign w:val="bottom"/>
            <w:tcBorders>
              <w:right w:val="single" w:sz="8" w:color="7DD0E0"/>
            </w:tcBorders>
          </w:tcPr>
          <w:p>
            <w:pPr>
              <w:spacing w:after="0"/>
              <w:rPr>
                <w:sz w:val="14"/>
                <w:szCs w:val="14"/>
                <w:color w:val="auto"/>
              </w:rPr>
            </w:pPr>
          </w:p>
        </w:tc>
        <w:tc>
          <w:tcPr>
            <w:tcW w:w="8400" w:type="dxa"/>
            <w:vAlign w:val="bottom"/>
          </w:tcPr>
          <w:p>
            <w:pPr>
              <w:ind w:left="60"/>
              <w:spacing w:after="0"/>
              <w:rPr>
                <w:sz w:val="20"/>
                <w:szCs w:val="20"/>
                <w:color w:val="auto"/>
              </w:rPr>
            </w:pPr>
            <w:r>
              <w:rPr>
                <w:rFonts w:ascii="Arial" w:cs="Arial" w:eastAsia="Arial" w:hAnsi="Arial"/>
                <w:sz w:val="14"/>
                <w:szCs w:val="14"/>
                <w:color w:val="auto"/>
              </w:rPr>
              <w:t>early stage but which will only have an accounting impact for transactions after adoption.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-6351270</wp:posOffset>
            </wp:positionV>
            <wp:extent cx="282575" cy="871156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82575" cy="8711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1757045</wp:posOffset>
            </wp:positionV>
            <wp:extent cx="725297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ACCOUNTING</w:t>
      </w:r>
    </w:p>
    <w:p>
      <w:pPr>
        <w:spacing w:after="0" w:line="238" w:lineRule="auto"/>
        <w:rPr>
          <w:sz w:val="20"/>
          <w:szCs w:val="20"/>
          <w:color w:val="auto"/>
        </w:rPr>
      </w:pPr>
      <w:r>
        <w:rPr>
          <w:rFonts w:ascii="Arial" w:cs="Arial" w:eastAsia="Arial" w:hAnsi="Arial"/>
          <w:sz w:val="14"/>
          <w:szCs w:val="14"/>
          <w:b w:val="1"/>
          <w:bCs w:val="1"/>
          <w:color w:val="auto"/>
        </w:rPr>
        <w:t>ESTIMATES AND</w:t>
      </w:r>
    </w:p>
    <w:p>
      <w:pPr>
        <w:spacing w:after="0" w:line="221" w:lineRule="auto"/>
        <w:rPr>
          <w:sz w:val="20"/>
          <w:szCs w:val="20"/>
          <w:color w:val="auto"/>
        </w:rPr>
      </w:pPr>
      <w:r>
        <w:rPr>
          <w:rFonts w:ascii="Arial" w:cs="Arial" w:eastAsia="Arial" w:hAnsi="Arial"/>
          <w:sz w:val="14"/>
          <w:szCs w:val="14"/>
          <w:b w:val="1"/>
          <w:bCs w:val="1"/>
          <w:color w:val="auto"/>
        </w:rPr>
        <w:t>JUDGEMENTS</w:t>
      </w:r>
    </w:p>
    <w:p>
      <w:pPr>
        <w:jc w:val="both"/>
        <w:ind w:left="2280" w:right="160"/>
        <w:spacing w:after="0" w:line="281" w:lineRule="auto"/>
        <w:rPr>
          <w:sz w:val="20"/>
          <w:szCs w:val="20"/>
          <w:color w:val="auto"/>
        </w:rPr>
      </w:pPr>
      <w:r>
        <w:rPr>
          <w:rFonts w:ascii="Arial" w:cs="Arial" w:eastAsia="Arial" w:hAnsi="Arial"/>
          <w:sz w:val="12"/>
          <w:szCs w:val="12"/>
          <w:color w:val="auto"/>
        </w:rPr>
        <w:t>In order to prepare the Consolidated Financial Statements in conformity with IFRS, management of Shell has to make estimates and judgements. The matters described below are considered to be the most important in understanding the judgements that are involved in preparing these statements and the uncertainties that could impact the amounts reported in the results of operations, financial condition and cash flows. Shell’s accounting policies are described in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-302895</wp:posOffset>
            </wp:positionV>
            <wp:extent cx="8255" cy="49479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4947920"/>
                    </a:xfrm>
                    <a:prstGeom prst="rect">
                      <a:avLst/>
                    </a:prstGeom>
                    <a:noFill/>
                  </pic:spPr>
                </pic:pic>
              </a:graphicData>
            </a:graphic>
          </wp:anchor>
        </w:drawing>
      </w:r>
    </w:p>
    <w:p>
      <w:pPr>
        <w:spacing w:after="0" w:line="14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ESTIMATION OF OIL AND GAS RESERVES</w:t>
      </w:r>
    </w:p>
    <w:p>
      <w:pPr>
        <w:spacing w:after="0" w:line="6" w:lineRule="exact"/>
        <w:rPr>
          <w:sz w:val="20"/>
          <w:szCs w:val="20"/>
          <w:color w:val="auto"/>
        </w:rPr>
      </w:pPr>
    </w:p>
    <w:p>
      <w:pPr>
        <w:jc w:val="both"/>
        <w:ind w:left="2280" w:right="100"/>
        <w:spacing w:after="0" w:line="250" w:lineRule="auto"/>
        <w:rPr>
          <w:sz w:val="20"/>
          <w:szCs w:val="20"/>
          <w:color w:val="auto"/>
        </w:rPr>
      </w:pPr>
      <w:r>
        <w:rPr>
          <w:rFonts w:ascii="Arial" w:cs="Arial" w:eastAsia="Arial" w:hAnsi="Arial"/>
          <w:sz w:val="13"/>
          <w:szCs w:val="13"/>
          <w:color w:val="auto"/>
        </w:rPr>
        <w:t>Oil and gas reserves are key elements in Shell’s investment decision-making process which is focused on generating value. They are also an important element in testing for impairment. Changes in proved oil and gas reserves will also affect the standardised measure of discounted cash flows and changes in proved oil and gas reserves, particularly proved developed reserves, will affect unit-of-production depreciation charges to income.</w:t>
      </w:r>
    </w:p>
    <w:p>
      <w:pPr>
        <w:spacing w:after="0" w:line="67" w:lineRule="exact"/>
        <w:rPr>
          <w:sz w:val="20"/>
          <w:szCs w:val="20"/>
          <w:color w:val="auto"/>
        </w:rPr>
      </w:pPr>
    </w:p>
    <w:p>
      <w:pPr>
        <w:ind w:left="2280" w:right="140"/>
        <w:spacing w:after="0" w:line="245" w:lineRule="auto"/>
        <w:rPr>
          <w:sz w:val="20"/>
          <w:szCs w:val="20"/>
          <w:color w:val="auto"/>
        </w:rPr>
      </w:pPr>
      <w:r>
        <w:rPr>
          <w:rFonts w:ascii="Arial" w:cs="Arial" w:eastAsia="Arial" w:hAnsi="Arial"/>
          <w:sz w:val="13"/>
          <w:szCs w:val="13"/>
          <w:color w:val="auto"/>
        </w:rPr>
        <w:t>Proved oil and gas reserves are the estimated quantities of crude oil, natural gas and natural gas liquids that geological and engineering data demonstrate with reasonable certainty to be recoverable in future years from known reservoirs under existing economic and operating conditions, i.e., prices and costs as of the date the estimate is made. Proved developed reserves are reserves that can be expected to be recovered through existing wells with existing equipment and operating methods. Estimates of oil and gas reserves are inherently imprecise, require the application of judgement and are subject to future revision. Accordingly, financial and accounting measures (such as the standardised measure of discounted cash flows, depreciation, depletion and amortisation charges, and decommissioning and restoration provisions) that are based on proved reserves are also subject to change.</w:t>
      </w:r>
    </w:p>
    <w:p>
      <w:pPr>
        <w:spacing w:after="0" w:line="70" w:lineRule="exact"/>
        <w:rPr>
          <w:sz w:val="20"/>
          <w:szCs w:val="20"/>
          <w:color w:val="auto"/>
        </w:rPr>
      </w:pPr>
    </w:p>
    <w:p>
      <w:pPr>
        <w:ind w:left="2280"/>
        <w:spacing w:after="0" w:line="224" w:lineRule="auto"/>
        <w:rPr>
          <w:sz w:val="20"/>
          <w:szCs w:val="20"/>
          <w:color w:val="auto"/>
        </w:rPr>
      </w:pPr>
      <w:r>
        <w:rPr>
          <w:rFonts w:ascii="Arial" w:cs="Arial" w:eastAsia="Arial" w:hAnsi="Arial"/>
          <w:sz w:val="14"/>
          <w:szCs w:val="14"/>
          <w:color w:val="auto"/>
        </w:rPr>
        <w:t>Proved reserves are estimated by reference to available reservoir and well information, including production and pressure trends for producing reservoirs and, in some cases, subject to definitional limits, to similar data from other producing reservoirs. Proved reserves estimates are attributed to future development projects only where there is a significant commitment to project funding and execution and for which applicable governmental and regulatory approvals have been secured or are reasonably certain to be secured. Furthermore, estimates of proved reserves only include volumes for which access to market is assured with reasonable certainty. All proved reserves estimates are subject to revision, either upward or downward, based on new information, such as from development drilling and production activities or from changes in economic factors, including product prices, contract terms or development plans. In general, changes in the technical maturity of hydrocarbon reserves resulting from new information becoming available from development and production activities have tended to be the most significant cause of annual revisions.</w:t>
      </w:r>
    </w:p>
    <w:p>
      <w:pPr>
        <w:spacing w:after="0" w:line="77" w:lineRule="exact"/>
        <w:rPr>
          <w:sz w:val="20"/>
          <w:szCs w:val="20"/>
          <w:color w:val="auto"/>
        </w:rPr>
      </w:pPr>
    </w:p>
    <w:p>
      <w:pPr>
        <w:ind w:left="2280" w:right="140"/>
        <w:spacing w:after="0" w:line="231" w:lineRule="auto"/>
        <w:rPr>
          <w:sz w:val="20"/>
          <w:szCs w:val="20"/>
          <w:color w:val="auto"/>
        </w:rPr>
      </w:pPr>
      <w:r>
        <w:rPr>
          <w:rFonts w:ascii="Arial" w:cs="Arial" w:eastAsia="Arial" w:hAnsi="Arial"/>
          <w:sz w:val="14"/>
          <w:szCs w:val="14"/>
          <w:color w:val="auto"/>
        </w:rPr>
        <w:t>In general, estimates of reserves for undeveloped or partially developed fields are subject to greater uncertainty over their future life than estimates of reserves for fields that are substantially developed and depleted. As a field goes into production, the amount of proved reserves will be subject to future revision once additional information becomes available through, for example, the drilling of additional wells or the observation of long-term reservoir performance under producing conditions. As those fields are further developed, new information may lead to revisions.</w:t>
      </w:r>
    </w:p>
    <w:p>
      <w:pPr>
        <w:spacing w:after="0" w:line="73" w:lineRule="exact"/>
        <w:rPr>
          <w:sz w:val="20"/>
          <w:szCs w:val="20"/>
          <w:color w:val="auto"/>
        </w:rPr>
      </w:pPr>
    </w:p>
    <w:p>
      <w:pPr>
        <w:ind w:left="2280" w:right="200"/>
        <w:spacing w:after="0" w:line="231" w:lineRule="auto"/>
        <w:rPr>
          <w:sz w:val="20"/>
          <w:szCs w:val="20"/>
          <w:color w:val="auto"/>
        </w:rPr>
      </w:pPr>
      <w:r>
        <w:rPr>
          <w:rFonts w:ascii="Arial" w:cs="Arial" w:eastAsia="Arial" w:hAnsi="Arial"/>
          <w:sz w:val="14"/>
          <w:szCs w:val="14"/>
          <w:color w:val="auto"/>
        </w:rPr>
        <w:t>Changes to Shell’s estimates of proved reserves, particularly proved developed reserves, also affect the amount of depreciation, depletion and amortisation recorded in the Consolidated Financial Statements for property, plant and equipment related to hydrocarbon production activities. These changes can for example be the result of production and revisions. A reduction in proved developed reserves will increase the rate of depreciation, depletion and amortisation charges (assuming constant production) and reduce income.</w:t>
      </w:r>
    </w:p>
    <w:p>
      <w:pPr>
        <w:spacing w:after="0" w:line="73" w:lineRule="exact"/>
        <w:rPr>
          <w:sz w:val="20"/>
          <w:szCs w:val="20"/>
          <w:color w:val="auto"/>
        </w:rPr>
      </w:pPr>
    </w:p>
    <w:p>
      <w:pPr>
        <w:ind w:left="2280" w:right="160"/>
        <w:spacing w:after="0" w:line="247" w:lineRule="auto"/>
        <w:rPr>
          <w:sz w:val="20"/>
          <w:szCs w:val="20"/>
          <w:color w:val="auto"/>
        </w:rPr>
      </w:pPr>
      <w:r>
        <w:rPr>
          <w:rFonts w:ascii="Arial" w:cs="Arial" w:eastAsia="Arial" w:hAnsi="Arial"/>
          <w:sz w:val="14"/>
          <w:szCs w:val="14"/>
          <w:color w:val="auto"/>
        </w:rPr>
        <w:t>Although the possibility exists for changes in reserves to have a critical effect on depreciation, depletion and amortisation charges and, therefore, income, it is expected that in the normal course of business the diversity of the Shell portfolio will constrain the likelihood of this occurring.</w:t>
      </w:r>
    </w:p>
    <w:p>
      <w:pPr>
        <w:spacing w:after="0" w:line="180"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ESTIMATION OF MINABLE OIL SANDS RESERVES</w:t>
      </w:r>
    </w:p>
    <w:p>
      <w:pPr>
        <w:spacing w:after="0" w:line="6" w:lineRule="exact"/>
        <w:rPr>
          <w:sz w:val="20"/>
          <w:szCs w:val="20"/>
          <w:color w:val="auto"/>
        </w:rPr>
      </w:pPr>
    </w:p>
    <w:p>
      <w:pPr>
        <w:ind w:left="2280" w:right="20"/>
        <w:spacing w:after="0" w:line="268" w:lineRule="auto"/>
        <w:rPr>
          <w:sz w:val="20"/>
          <w:szCs w:val="20"/>
          <w:color w:val="auto"/>
        </w:rPr>
      </w:pPr>
      <w:r>
        <w:rPr>
          <w:rFonts w:ascii="Arial" w:cs="Arial" w:eastAsia="Arial" w:hAnsi="Arial"/>
          <w:sz w:val="12"/>
          <w:szCs w:val="12"/>
          <w:color w:val="auto"/>
        </w:rPr>
        <w:t>Proven and probable minable oil sands reserves are the estimated quantities that geological and engineering data demonstrate with reasonable certainty to be recoverable in future years from known deposits under existing economic and operating conditions. Minable oil sands reserves are reserves that can be expected to be recovered through existing facilities with existing equipment and operating methods. Estimates of minable oil sands reserves are inherently imprecise, require the application of judgement, and are subject to future revision. Accordingly, financial and accounting measures (such as depreciation, depletion and amortisation charges, and decommissioning and restoration provisions) that are based on minable oil sands reserves are also subject to change.</w:t>
      </w:r>
    </w:p>
    <w:p>
      <w:pPr>
        <w:spacing w:after="0" w:line="57" w:lineRule="exact"/>
        <w:rPr>
          <w:sz w:val="20"/>
          <w:szCs w:val="20"/>
          <w:color w:val="auto"/>
        </w:rPr>
      </w:pPr>
    </w:p>
    <w:p>
      <w:pPr>
        <w:jc w:val="both"/>
        <w:ind w:left="2280" w:right="60"/>
        <w:spacing w:after="0" w:line="231" w:lineRule="auto"/>
        <w:rPr>
          <w:sz w:val="20"/>
          <w:szCs w:val="20"/>
          <w:color w:val="auto"/>
        </w:rPr>
      </w:pPr>
      <w:r>
        <w:rPr>
          <w:rFonts w:ascii="Arial" w:cs="Arial" w:eastAsia="Arial" w:hAnsi="Arial"/>
          <w:sz w:val="14"/>
          <w:szCs w:val="14"/>
          <w:color w:val="auto"/>
        </w:rPr>
        <w:t>Shell’s minable oil sands reserve estimates are based upon a detailed geological assessment including drilling and laboratory testing. They also consider current mine plans, planned operating life and regulatory requirements. The proven plus probable minable oil sands reserves are within the development areas covered by approvals from the Alberta Provincial Government’s Energy Resources Conservation Board. The reserve estimates are based on actual barrels to be shipped for processing at the expanded Scotford Upgrader.</w:t>
      </w:r>
    </w:p>
    <w:p>
      <w:pPr>
        <w:spacing w:after="0" w:line="73" w:lineRule="exact"/>
        <w:rPr>
          <w:sz w:val="20"/>
          <w:szCs w:val="20"/>
          <w:color w:val="auto"/>
        </w:rPr>
      </w:pPr>
    </w:p>
    <w:p>
      <w:pPr>
        <w:ind w:left="2280" w:right="200"/>
        <w:spacing w:after="0" w:line="231" w:lineRule="auto"/>
        <w:rPr>
          <w:sz w:val="20"/>
          <w:szCs w:val="20"/>
          <w:color w:val="auto"/>
        </w:rPr>
      </w:pPr>
      <w:r>
        <w:rPr>
          <w:rFonts w:ascii="Arial" w:cs="Arial" w:eastAsia="Arial" w:hAnsi="Arial"/>
          <w:sz w:val="14"/>
          <w:szCs w:val="14"/>
          <w:color w:val="auto"/>
        </w:rPr>
        <w:t>Net proven and probable minable oil sands reserves are defined as reserves after the deduction of royalty obligations to the Alberta Government. Under the Alberta Oil Sands Royalty Regulation 1997, royalties depend on project cash flows. Therefore the calculation of royalties depends on price, production rates, capital costs and operating costs over the life of the development. The price profile for the calculation of royalty barrels for 2007 is based on the average commodity price taken over the last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122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Borders>
              <w:right w:val="single" w:sz="8" w:color="7DD0E0"/>
            </w:tcBorders>
          </w:tcPr>
          <w:p>
            <w:pPr>
              <w:spacing w:after="0"/>
              <w:rPr>
                <w:sz w:val="20"/>
                <w:szCs w:val="20"/>
                <w:color w:val="auto"/>
              </w:rPr>
            </w:pPr>
            <w:r>
              <w:rPr>
                <w:rFonts w:ascii="Arial" w:cs="Arial" w:eastAsia="Arial" w:hAnsi="Arial"/>
                <w:sz w:val="12"/>
                <w:szCs w:val="12"/>
                <w:b w:val="1"/>
                <w:bCs w:val="1"/>
                <w:i w:val="1"/>
                <w:iCs w:val="1"/>
                <w:color w:val="7DD0E0"/>
              </w:rPr>
              <w:t>Note 3 continued</w:t>
            </w:r>
          </w:p>
        </w:tc>
        <w:tc>
          <w:tcPr>
            <w:tcW w:w="8700" w:type="dxa"/>
            <w:vAlign w:val="bottom"/>
          </w:tcPr>
          <w:p>
            <w:pPr>
              <w:ind w:left="40"/>
              <w:spacing w:after="0"/>
              <w:rPr>
                <w:sz w:val="20"/>
                <w:szCs w:val="20"/>
                <w:color w:val="auto"/>
              </w:rPr>
            </w:pPr>
            <w:r>
              <w:rPr>
                <w:rFonts w:ascii="Arial" w:cs="Arial" w:eastAsia="Arial" w:hAnsi="Arial"/>
                <w:sz w:val="14"/>
                <w:szCs w:val="14"/>
                <w:color w:val="auto"/>
                <w:w w:val="99"/>
              </w:rPr>
              <w:t>Changes to Shell’s estimates of minable oil sands reserves also affect the amount of depreciation, depletion and amortisation recorded in the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Consolidated Financial Statements for property, plant and equipment related to oil sands production activities. These changes can for example be the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result of production and revisions. A reduction in minable oil sands reserves will increase the rate of depreciation, depletion and amortisation charges</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(assuming constant production) and reduce income.</w:t>
            </w:r>
          </w:p>
        </w:tc>
      </w:tr>
      <w:tr>
        <w:trPr>
          <w:trHeight w:val="339"/>
        </w:trPr>
        <w:tc>
          <w:tcPr>
            <w:tcW w:w="2260" w:type="dxa"/>
            <w:vAlign w:val="bottom"/>
            <w:tcBorders>
              <w:right w:val="single" w:sz="8" w:color="7DD0E0"/>
            </w:tcBorders>
          </w:tcPr>
          <w:p>
            <w:pPr>
              <w:spacing w:after="0"/>
              <w:rPr>
                <w:sz w:val="24"/>
                <w:szCs w:val="24"/>
                <w:color w:val="auto"/>
              </w:rPr>
            </w:pPr>
          </w:p>
        </w:tc>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EXPLORATION COSTS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8"/>
              </w:rPr>
              <w:t>Capitalised exploration drilling costs more than 12 months old are expensed unless (a) proved reserves are booked, or (b) (i) they have found</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6"/>
              </w:rPr>
              <w:t>commercially producible quantities of reserves and (ii) they are subject to further exploration or appraisal activity in that either drilling of additional</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5"/>
              </w:rPr>
              <w:t>exploratory wells is under way or firmly planned for the near future or other activities are being undertaken to sufficiently progress the assessing of</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4"/>
              </w:rPr>
              <w:t>reserves and the economic and operating viability of the project. In making decisions about whether to continue to capitalise exploration drilling costs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for a period longer than 12 months, it is necessary to make judgements about the satisfaction of each of these conditions. If there is a change in one of</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these judgements in a subsequent period, then the related capitalised exploration drilling costs would be expensed in that period, resulting in a charge to</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income. Information on such costs is given in Note 12.</w:t>
            </w:r>
          </w:p>
        </w:tc>
      </w:tr>
      <w:tr>
        <w:trPr>
          <w:trHeight w:val="232"/>
        </w:trPr>
        <w:tc>
          <w:tcPr>
            <w:tcW w:w="2260" w:type="dxa"/>
            <w:vAlign w:val="bottom"/>
            <w:tcBorders>
              <w:right w:val="single" w:sz="8" w:color="7DD0E0"/>
            </w:tcBorders>
          </w:tcPr>
          <w:p>
            <w:pPr>
              <w:spacing w:after="0"/>
              <w:rPr>
                <w:sz w:val="20"/>
                <w:szCs w:val="20"/>
                <w:color w:val="auto"/>
              </w:rPr>
            </w:pPr>
          </w:p>
        </w:tc>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IMPAIRMENT OF ASSETS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For oil and gas properties with no proved reserves, the capitalisation of exploration costs and the basis for carrying those costs on the balance sheet are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5"/>
              </w:rPr>
              <w:t>explained above. For other properties, the carrying amounts of major property, plant and equipment are reviewed for possible impairment annually,</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0"/>
              </w:rPr>
              <w:t>while all assets are reviewed whenever events or changes in circumstances indicate that the carrying amounts for those assets may not be recoverable. If</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assets are determined to be impaired the carrying amounts of those assets are written down to their recoverable amount, which is the higher of fair value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less costs to sell and value in use determined as the amount of estimated discounted future cash flows. For this purpose, assets are grouped based on</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4"/>
              </w:rPr>
              <w:t>separately identifiable and largely independent cash flows. Impairments can also occur when decisions are taken to dispose of assets. Impairments,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except those relating to goodwill, are reversed as applicable to the extent that the events or circumstances that triggered the original impairment have</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changed.</w:t>
            </w:r>
          </w:p>
        </w:tc>
      </w:tr>
      <w:tr>
        <w:trPr>
          <w:trHeight w:val="219"/>
        </w:trPr>
        <w:tc>
          <w:tcPr>
            <w:tcW w:w="2260" w:type="dxa"/>
            <w:vAlign w:val="bottom"/>
            <w:tcBorders>
              <w:right w:val="single" w:sz="8" w:color="7DD0E0"/>
            </w:tcBorders>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1"/>
              </w:rPr>
              <w:t>Estimates of future cash flows are based on management estimates of future commodity prices, market supply and demand, product margins and, in the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case of oil and gas properties, the expected future production volumes. Other factors that can lead to changes in estimates include restructuring plans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7"/>
              </w:rPr>
              <w:t>and variations in regulatory environments. Expected future production volumes, which include both proved reserves as well as volumes that are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expected to constitute proved reserves in the future, are used for impairment testing because Shell believes this to be the most appropriate indicator of</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expected future cash flows, used as a measure of value in use. Estimates of future cash flows are risk-weighted to reflect expected cash flows and are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consistent with those used in subsidiaries’ business plans. A discount rate based on Shell’s marginal cost of debt is used in impairment testing. Expected</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cash flows are then risk-adjusted to reflect specific local circumstances or risks surrounding the cash flows. Shell reviews the discount rate to be applied</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on an annual basis although it has been stable in recent years.</w:t>
            </w:r>
          </w:p>
        </w:tc>
      </w:tr>
      <w:tr>
        <w:trPr>
          <w:trHeight w:val="253"/>
        </w:trPr>
        <w:tc>
          <w:tcPr>
            <w:tcW w:w="2260" w:type="dxa"/>
            <w:vAlign w:val="bottom"/>
            <w:tcBorders>
              <w:right w:val="single" w:sz="8" w:color="7DD0E0"/>
            </w:tcBorders>
          </w:tcPr>
          <w:p>
            <w:pPr>
              <w:spacing w:after="0"/>
              <w:rPr>
                <w:sz w:val="22"/>
                <w:szCs w:val="22"/>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Asset impairments or their reversal will impact income, and amounts in 2007, 2006 and 2005 are given in Note 12.</w:t>
            </w:r>
          </w:p>
        </w:tc>
      </w:tr>
      <w:tr>
        <w:trPr>
          <w:trHeight w:val="219"/>
        </w:trPr>
        <w:tc>
          <w:tcPr>
            <w:tcW w:w="2260" w:type="dxa"/>
            <w:vAlign w:val="bottom"/>
            <w:tcBorders>
              <w:right w:val="single" w:sz="8" w:color="7DD0E0"/>
            </w:tcBorders>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4"/>
              </w:rPr>
              <w:t>Shell has a portfolio of assets across a number of business lines and geographic regions. The factors that influence estimated future cash flows from</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5"/>
              </w:rPr>
              <w:t>assets also vary depending on the nature of the business activity in which those assets are used and geographical market conditions impacting the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1"/>
              </w:rPr>
              <w:t>businesses in which assets are used. This wide business and geographic spread is such that it is not practicable to determine the likelihood or magnitude</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of impairments under different sets of assumptions. The assumption on future oil prices tends to be stable because Shell does not consider short-term</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increases or decreases in prices as being indicative of long-term levels. At the end of 2007, the estimated oil and gas prices used for impairment testing</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were lower than prices prevailing in the market at that time.</w:t>
            </w:r>
          </w:p>
        </w:tc>
      </w:tr>
      <w:tr>
        <w:trPr>
          <w:trHeight w:val="339"/>
        </w:trPr>
        <w:tc>
          <w:tcPr>
            <w:tcW w:w="2260" w:type="dxa"/>
            <w:vAlign w:val="bottom"/>
            <w:tcBorders>
              <w:right w:val="single" w:sz="8" w:color="7DD0E0"/>
            </w:tcBorders>
          </w:tcPr>
          <w:p>
            <w:pPr>
              <w:spacing w:after="0"/>
              <w:rPr>
                <w:sz w:val="24"/>
                <w:szCs w:val="24"/>
                <w:color w:val="auto"/>
              </w:rPr>
            </w:pPr>
          </w:p>
        </w:tc>
        <w:tc>
          <w:tcPr>
            <w:tcW w:w="8700" w:type="dxa"/>
            <w:vAlign w:val="bottom"/>
          </w:tcPr>
          <w:p>
            <w:pPr>
              <w:ind w:left="40"/>
              <w:spacing w:after="0"/>
              <w:rPr>
                <w:sz w:val="20"/>
                <w:szCs w:val="20"/>
                <w:color w:val="auto"/>
              </w:rPr>
            </w:pPr>
            <w:r>
              <w:rPr>
                <w:rFonts w:ascii="Arial" w:cs="Arial" w:eastAsia="Arial" w:hAnsi="Arial"/>
                <w:sz w:val="14"/>
                <w:szCs w:val="14"/>
                <w:b w:val="1"/>
                <w:bCs w:val="1"/>
                <w:color w:val="auto"/>
              </w:rPr>
              <w:t>TAXATION</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4"/>
              </w:rPr>
              <w:t>Tax provisions are recognised when it is considered probable (more likely than not) that there will be a future outflow of funds to a taxing authority. In</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4"/>
              </w:rPr>
              <w:t>such cases, provision is made for the amount that is expected to be settled, where this can be reasonably estimated. This requires the application of</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judgement as to the ultimate outcome, which can change over time depending on facts and circumstances. A change in estimate of the likelihood of a</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7"/>
              </w:rPr>
              <w:t>future outflow and/or in the expected amount to be settled would result in a charge or credit to income in the period in which the change occurs.</w:t>
            </w:r>
          </w:p>
        </w:tc>
      </w:tr>
      <w:tr>
        <w:trPr>
          <w:trHeight w:val="219"/>
        </w:trPr>
        <w:tc>
          <w:tcPr>
            <w:tcW w:w="2260" w:type="dxa"/>
            <w:vAlign w:val="bottom"/>
            <w:tcBorders>
              <w:right w:val="single" w:sz="8" w:color="7DD0E0"/>
            </w:tcBorders>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0"/>
              </w:rPr>
              <w:t>Deferred tax assets are recognised only to the extent it is considered probable that those assets will be recoverable. This involves an assessment of when</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4"/>
              </w:rPr>
              <w:t>those deferred tax assets are likely to reverse, and a judgement as to whether or not there will be sufficient taxable profits available to offset the tax</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3"/>
              </w:rPr>
              <w:t>assets when they do reverse. This requires assumptions regarding future profitability and is therefore inherently uncertain. To the extent assumptions</w:t>
            </w:r>
          </w:p>
        </w:tc>
      </w:tr>
      <w:tr>
        <w:trPr>
          <w:trHeight w:val="147"/>
        </w:trPr>
        <w:tc>
          <w:tcPr>
            <w:tcW w:w="2260" w:type="dxa"/>
            <w:vAlign w:val="bottom"/>
            <w:tcBorders>
              <w:right w:val="single" w:sz="8" w:color="7DD0E0"/>
            </w:tcBorders>
          </w:tcPr>
          <w:p>
            <w:pPr>
              <w:spacing w:after="0"/>
              <w:rPr>
                <w:sz w:val="12"/>
                <w:szCs w:val="12"/>
                <w:color w:val="auto"/>
              </w:rPr>
            </w:pPr>
          </w:p>
        </w:tc>
        <w:tc>
          <w:tcPr>
            <w:tcW w:w="8700" w:type="dxa"/>
            <w:vAlign w:val="bottom"/>
          </w:tcPr>
          <w:p>
            <w:pPr>
              <w:ind w:left="40"/>
              <w:spacing w:after="0" w:line="147" w:lineRule="exact"/>
              <w:rPr>
                <w:sz w:val="20"/>
                <w:szCs w:val="20"/>
                <w:color w:val="auto"/>
              </w:rPr>
            </w:pPr>
            <w:r>
              <w:rPr>
                <w:rFonts w:ascii="Arial" w:cs="Arial" w:eastAsia="Arial" w:hAnsi="Arial"/>
                <w:sz w:val="14"/>
                <w:szCs w:val="14"/>
                <w:color w:val="auto"/>
                <w:w w:val="92"/>
              </w:rPr>
              <w:t>regarding future profitability change, there can be an increase or decrease in the level of deferred tax assets recognised which can result in a charge or</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credit in the period in which the change occurs.</w:t>
            </w:r>
          </w:p>
        </w:tc>
      </w:tr>
      <w:tr>
        <w:trPr>
          <w:trHeight w:val="219"/>
        </w:trPr>
        <w:tc>
          <w:tcPr>
            <w:tcW w:w="2260" w:type="dxa"/>
            <w:vAlign w:val="bottom"/>
            <w:tcBorders>
              <w:right w:val="single" w:sz="8" w:color="7DD0E0"/>
            </w:tcBorders>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1"/>
              </w:rPr>
              <w:t>Tax provisions are based on enacted or substantively enacted laws. To the extent that these change there would be a charge or credit to income both in</w:t>
            </w:r>
          </w:p>
        </w:tc>
      </w:tr>
      <w:tr>
        <w:trPr>
          <w:trHeight w:val="181"/>
        </w:trPr>
        <w:tc>
          <w:tcPr>
            <w:tcW w:w="2260" w:type="dxa"/>
            <w:vAlign w:val="bottom"/>
            <w:tcBorders>
              <w:right w:val="single" w:sz="8" w:color="7DD0E0"/>
            </w:tcBorders>
          </w:tcPr>
          <w:p>
            <w:pPr>
              <w:spacing w:after="0"/>
              <w:rPr>
                <w:sz w:val="15"/>
                <w:szCs w:val="15"/>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the period of change, which would include any impact on cumulative provisions, and in future periods.</w:t>
            </w:r>
          </w:p>
        </w:tc>
      </w:tr>
      <w:tr>
        <w:trPr>
          <w:trHeight w:val="219"/>
        </w:trPr>
        <w:tc>
          <w:tcPr>
            <w:tcW w:w="2260" w:type="dxa"/>
            <w:vAlign w:val="bottom"/>
            <w:tcBorders>
              <w:right w:val="single" w:sz="8" w:color="7DD0E0"/>
            </w:tcBorders>
          </w:tcPr>
          <w:p>
            <w:pPr>
              <w:spacing w:after="0"/>
              <w:rPr>
                <w:sz w:val="19"/>
                <w:szCs w:val="19"/>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w w:val="93"/>
              </w:rPr>
              <w:t>Note 20 contains information on tax charges for 2007 and 2006, on the deferred tax assets that are recognised, including periodic movements, and on</w:t>
            </w:r>
          </w:p>
        </w:tc>
      </w:tr>
      <w:tr>
        <w:trPr>
          <w:trHeight w:val="165"/>
        </w:trPr>
        <w:tc>
          <w:tcPr>
            <w:tcW w:w="2260" w:type="dxa"/>
            <w:vAlign w:val="bottom"/>
            <w:tcBorders>
              <w:right w:val="single" w:sz="8" w:color="7DD0E0"/>
            </w:tcBorders>
          </w:tcPr>
          <w:p>
            <w:pPr>
              <w:spacing w:after="0"/>
              <w:rPr>
                <w:sz w:val="14"/>
                <w:szCs w:val="14"/>
                <w:color w:val="auto"/>
              </w:rPr>
            </w:pPr>
          </w:p>
        </w:tc>
        <w:tc>
          <w:tcPr>
            <w:tcW w:w="8700" w:type="dxa"/>
            <w:vAlign w:val="bottom"/>
          </w:tcPr>
          <w:p>
            <w:pPr>
              <w:ind w:left="40"/>
              <w:spacing w:after="0"/>
              <w:rPr>
                <w:sz w:val="20"/>
                <w:szCs w:val="20"/>
                <w:color w:val="auto"/>
              </w:rPr>
            </w:pPr>
            <w:r>
              <w:rPr>
                <w:rFonts w:ascii="Arial" w:cs="Arial" w:eastAsia="Arial" w:hAnsi="Arial"/>
                <w:sz w:val="14"/>
                <w:szCs w:val="14"/>
                <w:color w:val="auto"/>
              </w:rPr>
              <w:t>the losses on which deferred tax is not currently recognised.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-5420995</wp:posOffset>
            </wp:positionV>
            <wp:extent cx="282575" cy="758698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82575" cy="7586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1554480</wp:posOffset>
            </wp:positionV>
            <wp:extent cx="7252970"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3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9525</wp:posOffset>
            </wp:positionV>
            <wp:extent cx="8255" cy="45504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4550410"/>
                    </a:xfrm>
                    <a:prstGeom prst="rect">
                      <a:avLst/>
                    </a:prstGeom>
                    <a:noFill/>
                  </pic:spPr>
                </pic:pic>
              </a:graphicData>
            </a:graphic>
          </wp:anchor>
        </w:drawing>
      </w:r>
    </w:p>
    <w:p>
      <w:pPr>
        <w:ind w:left="2280"/>
        <w:spacing w:after="0"/>
        <w:rPr>
          <w:sz w:val="20"/>
          <w:szCs w:val="20"/>
          <w:color w:val="auto"/>
        </w:rPr>
      </w:pPr>
      <w:r>
        <w:rPr>
          <w:rFonts w:ascii="Arial" w:cs="Arial" w:eastAsia="Arial" w:hAnsi="Arial"/>
          <w:sz w:val="14"/>
          <w:szCs w:val="14"/>
          <w:b w:val="1"/>
          <w:bCs w:val="1"/>
          <w:color w:val="auto"/>
        </w:rPr>
        <w:t>EMPLOYEE RETIREMENT PLANS</w:t>
      </w:r>
    </w:p>
    <w:p>
      <w:pPr>
        <w:ind w:left="2280" w:right="120"/>
        <w:spacing w:after="0" w:line="234" w:lineRule="auto"/>
        <w:rPr>
          <w:sz w:val="20"/>
          <w:szCs w:val="20"/>
          <w:color w:val="auto"/>
        </w:rPr>
      </w:pPr>
      <w:r>
        <w:rPr>
          <w:rFonts w:ascii="Arial" w:cs="Arial" w:eastAsia="Arial" w:hAnsi="Arial"/>
          <w:sz w:val="14"/>
          <w:szCs w:val="14"/>
          <w:color w:val="auto"/>
        </w:rPr>
        <w:t>Retirement plans are provided for regular employees of all major subsidiaries and generally provide defined benefits based on employees’ years of service and average/final pensionable remuneration. The plans are typically structured as separate legal entities managed by trustees.</w:t>
      </w:r>
    </w:p>
    <w:p>
      <w:pPr>
        <w:spacing w:after="0" w:line="74" w:lineRule="exact"/>
        <w:rPr>
          <w:sz w:val="20"/>
          <w:szCs w:val="20"/>
          <w:color w:val="auto"/>
        </w:rPr>
      </w:pPr>
    </w:p>
    <w:p>
      <w:pPr>
        <w:ind w:left="2280" w:right="60"/>
        <w:spacing w:after="0" w:line="228" w:lineRule="auto"/>
        <w:rPr>
          <w:sz w:val="20"/>
          <w:szCs w:val="20"/>
          <w:color w:val="auto"/>
        </w:rPr>
      </w:pPr>
      <w:r>
        <w:rPr>
          <w:rFonts w:ascii="Arial" w:cs="Arial" w:eastAsia="Arial" w:hAnsi="Arial"/>
          <w:sz w:val="14"/>
          <w:szCs w:val="14"/>
          <w:color w:val="auto"/>
        </w:rPr>
        <w:t>The amounts reported for Shell’s employee retirement plans are disclosed in Note 21 and are calculated in accordance with IFRS. Under the IFRS methodology adopted by Shell (see Note 2 under “Employee benefits”), volatility in reported income is reduced as the methodology provides for unexpected changes in the amount of plan assets and benefit obligations (actuarial gains and losses) to be amortised over the average remaining employee work life rather than being immediately recognised in the Consolidated Financial Statements. Shell’s disclosures of the year-end marked-to-market values of plan assets and benefit obligations are subject to significant volatility as market values change.</w:t>
      </w:r>
    </w:p>
    <w:p>
      <w:pPr>
        <w:spacing w:after="0" w:line="74" w:lineRule="exact"/>
        <w:rPr>
          <w:sz w:val="20"/>
          <w:szCs w:val="20"/>
          <w:color w:val="auto"/>
        </w:rPr>
      </w:pPr>
    </w:p>
    <w:p>
      <w:pPr>
        <w:ind w:left="2280" w:right="320"/>
        <w:spacing w:after="0" w:line="247" w:lineRule="auto"/>
        <w:rPr>
          <w:sz w:val="20"/>
          <w:szCs w:val="20"/>
          <w:color w:val="auto"/>
        </w:rPr>
      </w:pPr>
      <w:r>
        <w:rPr>
          <w:rFonts w:ascii="Arial" w:cs="Arial" w:eastAsia="Arial" w:hAnsi="Arial"/>
          <w:sz w:val="14"/>
          <w:szCs w:val="14"/>
          <w:color w:val="auto"/>
        </w:rPr>
        <w:t>Local trustees manage the pension funds and set the required contributions from subsidiaries based on independent actuarial valuation rather than the IFRS measures.</w:t>
      </w:r>
    </w:p>
    <w:p>
      <w:pPr>
        <w:spacing w:after="0" w:line="68" w:lineRule="exact"/>
        <w:rPr>
          <w:sz w:val="20"/>
          <w:szCs w:val="20"/>
          <w:color w:val="auto"/>
        </w:rPr>
      </w:pPr>
    </w:p>
    <w:p>
      <w:pPr>
        <w:ind w:left="2280"/>
        <w:spacing w:after="0" w:line="225" w:lineRule="auto"/>
        <w:rPr>
          <w:sz w:val="20"/>
          <w:szCs w:val="20"/>
          <w:color w:val="auto"/>
        </w:rPr>
      </w:pPr>
      <w:r>
        <w:rPr>
          <w:rFonts w:ascii="Arial" w:cs="Arial" w:eastAsia="Arial" w:hAnsi="Arial"/>
          <w:sz w:val="14"/>
          <w:szCs w:val="14"/>
          <w:color w:val="auto"/>
        </w:rPr>
        <w:t>Pension benefit cost reported by Shell primarily represents the increase in actuarial present value of the obligation for benefits based on employee service during the year and the interest on the obligation in respect of employee service in previous years, net of the expected return on plan assets. The calculations are sensitive to changes in the assumptions made regarding future outcomes, the principal ones being in respect of changes in pensionable salaries, demography (including mortality), the discount rate used to convert future cash flows to current values and the long-term return on plan assets. Substantial judgement is required in determining the assumptions. The assumptions used vary for the different plans but are determined under a common process in consultation with independent actuaries and in the light of local conditions. The weighted average values used by Shell are given in Note 21. The assumptions are reviewed annually.</w:t>
      </w:r>
    </w:p>
    <w:p>
      <w:pPr>
        <w:spacing w:after="0" w:line="76" w:lineRule="exact"/>
        <w:rPr>
          <w:sz w:val="20"/>
          <w:szCs w:val="20"/>
          <w:color w:val="auto"/>
        </w:rPr>
      </w:pPr>
    </w:p>
    <w:p>
      <w:pPr>
        <w:ind w:left="2280" w:right="80"/>
        <w:spacing w:after="0" w:line="251" w:lineRule="auto"/>
        <w:rPr>
          <w:sz w:val="20"/>
          <w:szCs w:val="20"/>
          <w:color w:val="auto"/>
        </w:rPr>
      </w:pPr>
      <w:r>
        <w:rPr>
          <w:rFonts w:ascii="Arial" w:cs="Arial" w:eastAsia="Arial" w:hAnsi="Arial"/>
          <w:sz w:val="13"/>
          <w:szCs w:val="13"/>
          <w:color w:val="auto"/>
        </w:rPr>
        <w:t>Assumptions for increases in pensionable salaries are based on historical outturns and management’s expectation. A change of one percentage point in the expected rate of increase for pensionable salaries would result in a change in Shell’s projected benefit obligation of approximately $2 billion and in Shell’s annual pension benefit cost of approximately $300 million (pre-tax). For 2007, there was a small rise in the assumption for pensionable salary increases used to determine benefit obligations in respect of the UK plans, reflecting market-related changes in the underlying inflation assumption for these plans.</w:t>
      </w:r>
    </w:p>
    <w:p>
      <w:pPr>
        <w:spacing w:after="0" w:line="67" w:lineRule="exact"/>
        <w:rPr>
          <w:sz w:val="20"/>
          <w:szCs w:val="20"/>
          <w:color w:val="auto"/>
        </w:rPr>
      </w:pPr>
    </w:p>
    <w:p>
      <w:pPr>
        <w:ind w:left="2280" w:right="20"/>
        <w:spacing w:after="0" w:line="245" w:lineRule="auto"/>
        <w:rPr>
          <w:sz w:val="20"/>
          <w:szCs w:val="20"/>
          <w:color w:val="auto"/>
        </w:rPr>
      </w:pPr>
      <w:r>
        <w:rPr>
          <w:rFonts w:ascii="Arial" w:cs="Arial" w:eastAsia="Arial" w:hAnsi="Arial"/>
          <w:sz w:val="13"/>
          <w:szCs w:val="13"/>
          <w:color w:val="auto"/>
        </w:rPr>
        <w:t>Mortality assumptions are based on the latest available standard mortality tables for the individual countries concerned. The assumptions for each country are reviewed each year and are adjusted where necessary to reflect changes in fund experience and actuarial recommendations. In 2007, mortality assumptions were upgraded in a number of countries. This resulted in an increase in Shell’s projected benefit obligation of approximately $700 million. The average total life expectancy for males and females currently aged 60 years is, respectively, 85 years and 88 years. Shell’s most substantial retirement benefit obligations are in the Netherlands, UK and USA and an increase of 1 year in the life expectancy assumed for all plan members in these countries would result in an increase in Shell’s projected benefit obligation of approximately $1 billion and in Shell’s annual pension benefit cost of approximately $100 million (pre-tax).</w:t>
      </w:r>
    </w:p>
    <w:p>
      <w:pPr>
        <w:spacing w:after="0" w:line="70" w:lineRule="exact"/>
        <w:rPr>
          <w:sz w:val="20"/>
          <w:szCs w:val="20"/>
          <w:color w:val="auto"/>
        </w:rPr>
      </w:pPr>
    </w:p>
    <w:p>
      <w:pPr>
        <w:ind w:left="2280" w:right="180"/>
        <w:spacing w:after="0" w:line="261" w:lineRule="auto"/>
        <w:rPr>
          <w:sz w:val="20"/>
          <w:szCs w:val="20"/>
          <w:color w:val="auto"/>
        </w:rPr>
      </w:pPr>
      <w:r>
        <w:rPr>
          <w:rFonts w:ascii="Arial" w:cs="Arial" w:eastAsia="Arial" w:hAnsi="Arial"/>
          <w:sz w:val="12"/>
          <w:szCs w:val="12"/>
          <w:color w:val="auto"/>
        </w:rPr>
        <w:t>Discount rates used to calculate year-end benefit obligations are based on prevailing long-term AA corporate bond yields, chosen to match the duration of the relevant obligations. A change of one percentage point in the discount rate would result in a change in Shell’s projected benefit obligation of approximately $8.5 billion and in Shell’s annual pension benefit cost of approximately $100 million (pre-tax). Long term AA corporate bond yields can be volatile. In 2007,</w:t>
      </w:r>
    </w:p>
    <w:p>
      <w:pPr>
        <w:spacing w:after="0" w:line="1" w:lineRule="exact"/>
        <w:rPr>
          <w:sz w:val="20"/>
          <w:szCs w:val="20"/>
          <w:color w:val="auto"/>
        </w:rPr>
      </w:pPr>
    </w:p>
    <w:p>
      <w:pPr>
        <w:ind w:left="2280" w:right="280" w:firstLine="10"/>
        <w:spacing w:after="0" w:line="234" w:lineRule="auto"/>
        <w:tabs>
          <w:tab w:leader="none" w:pos="2521" w:val="left"/>
        </w:tabs>
        <w:numPr>
          <w:ilvl w:val="0"/>
          <w:numId w:val="134"/>
        </w:numPr>
        <w:rPr>
          <w:rFonts w:ascii="Arial" w:cs="Arial" w:eastAsia="Arial" w:hAnsi="Arial"/>
          <w:sz w:val="14"/>
          <w:szCs w:val="14"/>
          <w:color w:val="auto"/>
        </w:rPr>
      </w:pPr>
      <w:r>
        <w:rPr>
          <w:rFonts w:ascii="Arial" w:cs="Arial" w:eastAsia="Arial" w:hAnsi="Arial"/>
          <w:sz w:val="14"/>
          <w:szCs w:val="14"/>
          <w:color w:val="auto"/>
        </w:rPr>
        <w:t>corporate bond yields increased by 0.65% in the eurozone, by 0.90% in the UK and by 0.35% in the USA. These changes were reflected in the discount rates used.</w:t>
      </w:r>
    </w:p>
    <w:p>
      <w:pPr>
        <w:spacing w:after="0" w:line="74" w:lineRule="exact"/>
        <w:rPr>
          <w:sz w:val="20"/>
          <w:szCs w:val="20"/>
          <w:color w:val="auto"/>
        </w:rPr>
      </w:pPr>
    </w:p>
    <w:p>
      <w:pPr>
        <w:ind w:left="2280" w:right="80"/>
        <w:spacing w:after="0" w:line="225" w:lineRule="auto"/>
        <w:rPr>
          <w:sz w:val="20"/>
          <w:szCs w:val="20"/>
          <w:color w:val="auto"/>
        </w:rPr>
      </w:pPr>
      <w:r>
        <w:rPr>
          <w:rFonts w:ascii="Arial" w:cs="Arial" w:eastAsia="Arial" w:hAnsi="Arial"/>
          <w:sz w:val="14"/>
          <w:szCs w:val="14"/>
          <w:color w:val="auto"/>
        </w:rPr>
        <w:t>Expected rates of return on plan assets are calculated based on a projection of real long-term bond yields and an equity risk premium which are combined with local inflation assumptions and applied to the actual asset mix of each plan. The amount of the expected return on plan assets is calculated using the expected rate of return for the year and the fair value of assets at the beginning of the year. A change of one percentage point in the expected rate of return on plan assets would result in a change in Shell’s annual pension benefit cost of approximately $700 million (pre-tax). The actual return on plan assets is significantly dependent on investment performance. Expected returns in 2007 were maintained at previous levels, approximately 7.1% on average. In 2007, the actual return on plan assets of approximately 8.5% exceeded the expected return by $1 billion, principally due to the stronger performance of equity investments during the year.</w:t>
      </w:r>
    </w:p>
    <w:p>
      <w:pPr>
        <w:spacing w:after="0" w:line="76" w:lineRule="exact"/>
        <w:rPr>
          <w:sz w:val="20"/>
          <w:szCs w:val="20"/>
          <w:color w:val="auto"/>
        </w:rPr>
      </w:pPr>
    </w:p>
    <w:p>
      <w:pPr>
        <w:ind w:left="2280" w:right="140"/>
        <w:spacing w:after="0" w:line="231" w:lineRule="auto"/>
        <w:rPr>
          <w:sz w:val="20"/>
          <w:szCs w:val="20"/>
          <w:color w:val="auto"/>
        </w:rPr>
      </w:pPr>
      <w:r>
        <w:rPr>
          <w:rFonts w:ascii="Arial" w:cs="Arial" w:eastAsia="Arial" w:hAnsi="Arial"/>
          <w:sz w:val="14"/>
          <w:szCs w:val="14"/>
          <w:color w:val="auto"/>
        </w:rPr>
        <w:t>The impact on Shell’s annual pension benefit cost of changes in assumptions described above, excludes the effects of any amortisation of actuarial gains and losses resulting from such changes, which would vary from year to year by fund depending on whether or not the cumulative unrecognised actuarial gains and losses exceed the corridor (see Note 2). Any amounts outside the corridor would be recognised in income over the expected average remaining employee working lives for the relevant fund (the average of which across all funds is currently 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124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0" w:name="page131"/>
    <w:bookmarkEnd w:id="130"/>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3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4</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REVENUE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AND</w:t>
      </w:r>
    </w:p>
    <w:p>
      <w:pPr>
        <w:spacing w:after="0" w:line="238" w:lineRule="auto"/>
        <w:rPr>
          <w:sz w:val="20"/>
          <w:szCs w:val="20"/>
          <w:color w:val="auto"/>
        </w:rPr>
      </w:pPr>
      <w:r>
        <w:rPr>
          <w:rFonts w:ascii="Arial" w:cs="Arial" w:eastAsia="Arial" w:hAnsi="Arial"/>
          <w:sz w:val="14"/>
          <w:szCs w:val="14"/>
          <w:b w:val="1"/>
          <w:bCs w:val="1"/>
          <w:color w:val="auto"/>
        </w:rPr>
        <w:t>OTHER INCOME</w:t>
      </w:r>
    </w:p>
    <w:p>
      <w:pPr>
        <w:spacing w:after="0"/>
        <w:rPr>
          <w:sz w:val="20"/>
          <w:szCs w:val="20"/>
          <w:color w:val="auto"/>
        </w:rPr>
      </w:pPr>
      <w:r>
        <w:rPr>
          <w:rFonts w:ascii="Arial" w:cs="Arial" w:eastAsia="Arial" w:hAnsi="Arial"/>
          <w:sz w:val="14"/>
          <w:szCs w:val="14"/>
          <w:b w:val="1"/>
          <w:bCs w:val="1"/>
          <w:color w:val="auto"/>
        </w:rPr>
        <w:t>AND INTEREST</w:t>
      </w:r>
    </w:p>
    <w:p>
      <w:pPr>
        <w:spacing w:after="0"/>
        <w:rPr>
          <w:sz w:val="20"/>
          <w:szCs w:val="20"/>
          <w:color w:val="auto"/>
        </w:rPr>
      </w:pPr>
      <w:r>
        <w:rPr>
          <w:rFonts w:ascii="Arial" w:cs="Arial" w:eastAsia="Arial" w:hAnsi="Arial"/>
          <w:sz w:val="14"/>
          <w:szCs w:val="14"/>
          <w:b w:val="1"/>
          <w:bCs w:val="1"/>
          <w:color w:val="auto"/>
        </w:rPr>
        <w:t>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-93345</wp:posOffset>
            </wp:positionV>
            <wp:extent cx="8255" cy="26219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2621915"/>
                    </a:xfrm>
                    <a:prstGeom prst="rect">
                      <a:avLst/>
                    </a:prstGeom>
                    <a:noFill/>
                  </pic:spPr>
                </pic:pic>
              </a:graphicData>
            </a:graphic>
          </wp:anchor>
        </w:drawing>
      </w:r>
    </w:p>
    <w:p>
      <w:pPr>
        <w:ind w:right="120"/>
        <w:spacing w:after="0" w:line="226" w:lineRule="auto"/>
        <w:rPr>
          <w:sz w:val="20"/>
          <w:szCs w:val="20"/>
          <w:color w:val="auto"/>
        </w:rPr>
      </w:pPr>
      <w:r>
        <w:rPr>
          <w:rFonts w:ascii="Arial" w:cs="Arial" w:eastAsia="Arial" w:hAnsi="Arial"/>
          <w:sz w:val="14"/>
          <w:szCs w:val="14"/>
          <w:color w:val="auto"/>
        </w:rPr>
        <w:t>Provisions are recognised for the future decommissioning and restoration of hydrocarbon production facilities and pipelines at the end of their economic lives. The estimated cost is charged to income over the life of the proved developed reserves on a unit-of-production basis. Changes in the estimates of costs to be incurred, proved developed reserves or in the rate of production will therefore impact income, over the remaining economic life of oil and gas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5495925</wp:posOffset>
            </wp:positionH>
            <wp:positionV relativeFrom="paragraph">
              <wp:posOffset>-346075</wp:posOffset>
            </wp:positionV>
            <wp:extent cx="282575" cy="68002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2575" cy="6800215"/>
                    </a:xfrm>
                    <a:prstGeom prst="rect">
                      <a:avLst/>
                    </a:prstGeom>
                    <a:noFill/>
                  </pic:spPr>
                </pic:pic>
              </a:graphicData>
            </a:graphic>
          </wp:anchor>
        </w:drawing>
      </w:r>
    </w:p>
    <w:p>
      <w:pPr>
        <w:spacing w:after="0" w:line="54"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Other provisions are recognised in the period when it becomes probable that there will be a future outflow of funds resulting from past operations or events which can be reasonably estimated. The timing of recognition requires the application of judgement to existing facts and circumstances, which can be subject to change.</w:t>
      </w:r>
    </w:p>
    <w:p>
      <w:pPr>
        <w:spacing w:after="0" w:line="73" w:lineRule="exact"/>
        <w:rPr>
          <w:sz w:val="20"/>
          <w:szCs w:val="20"/>
          <w:color w:val="auto"/>
        </w:rPr>
      </w:pPr>
    </w:p>
    <w:p>
      <w:pPr>
        <w:jc w:val="both"/>
        <w:ind w:right="260"/>
        <w:spacing w:after="0" w:line="291" w:lineRule="auto"/>
        <w:rPr>
          <w:sz w:val="20"/>
          <w:szCs w:val="20"/>
          <w:color w:val="auto"/>
        </w:rPr>
      </w:pPr>
      <w:r>
        <w:rPr>
          <w:rFonts w:ascii="Arial" w:cs="Arial" w:eastAsia="Arial" w:hAnsi="Arial"/>
          <w:sz w:val="12"/>
          <w:szCs w:val="12"/>
          <w:color w:val="auto"/>
        </w:rPr>
        <w:t>Estimates of the amounts of provisions recognised are based on current legal and constructive requirements, technology and price levels. Because actual outflows can differ from estimates due to changes in laws, regulations, public expectations, technology, prices and conditions, and can take place many years in the future, the carrying amounts of provisions are regularly reviewed and adjusted to take account of such changes.</w:t>
      </w:r>
    </w:p>
    <w:p>
      <w:pPr>
        <w:spacing w:after="0" w:line="44"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In relation to decommissioning and restoration costs, the estimated interest rate used in discounting the cash flows is reviewed at least annually. The interest rate used to determine the balance sheet obligation at December 31, 2007, was 6%.</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provisions, including changes in 2007 and 2006, is given in Note 22.</w:t>
      </w:r>
    </w:p>
    <w:p>
      <w:pPr>
        <w:spacing w:after="0" w:line="92" w:lineRule="exact"/>
        <w:rPr>
          <w:sz w:val="20"/>
          <w:szCs w:val="20"/>
          <w:color w:val="auto"/>
        </w:rPr>
      </w:pPr>
    </w:p>
    <w:p>
      <w:pPr>
        <w:ind w:right="160"/>
        <w:spacing w:after="0" w:line="228" w:lineRule="auto"/>
        <w:rPr>
          <w:sz w:val="20"/>
          <w:szCs w:val="20"/>
          <w:color w:val="auto"/>
        </w:rPr>
      </w:pPr>
      <w:r>
        <w:rPr>
          <w:rFonts w:ascii="Arial" w:cs="Arial" w:eastAsia="Arial" w:hAnsi="Arial"/>
          <w:sz w:val="14"/>
          <w:szCs w:val="14"/>
          <w:color w:val="auto"/>
        </w:rPr>
        <w:t>As further described in Note 32, Shell is subject to claims and actions. The facts and circumstances relating to particular cases are evaluated in determining whether it is “probable” that there will be a future outflow of funds and, once established, whether a provision relating to a specific litigation is sufficient. Accordingly, significant management judgement relating to contingent liabilities is required since the outcome of litigation is difficult to predict. Despite this uncertainty, actual payments related to litigation during the three years ended December 31, 2007, have not been material to Shell’s financial condition or results of operations.</w:t>
      </w:r>
    </w:p>
    <w:p>
      <w:pPr>
        <w:spacing w:after="0" w:line="74"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Notwithstanding the possibility of outcomes outside expected ranges, in recent years Shell’s experience has been that estimates used in determining the appropriate levels of provisions have been materially adequate in anticipating actual outcomes.</w:t>
      </w:r>
    </w:p>
    <w:p>
      <w:pPr>
        <w:spacing w:after="0" w:line="68"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A change in estimate of a recognised provision would result in a charge or credit to income in the period in which the change occurs (with the exception of decommissioning and restoration costs as described above).</w:t>
      </w:r>
    </w:p>
    <w:p>
      <w:pPr>
        <w:spacing w:after="0" w:line="200" w:lineRule="exact"/>
        <w:rPr>
          <w:sz w:val="20"/>
          <w:szCs w:val="20"/>
          <w:color w:val="auto"/>
        </w:rPr>
      </w:pPr>
    </w:p>
    <w:p>
      <w:pPr>
        <w:spacing w:after="0" w:line="215"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Revenue is stated after deducting sales taxes, excise duties and similar levies of $78,680 million in 2007, $70,929 million in 2006 and $72,277 million in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-198120</wp:posOffset>
            </wp:positionV>
            <wp:extent cx="8255" cy="1860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86055"/>
                    </a:xfrm>
                    <a:prstGeom prst="rect">
                      <a:avLst/>
                    </a:prstGeom>
                    <a:noFill/>
                  </pic:spPr>
                </pic:pic>
              </a:graphicData>
            </a:graphic>
          </wp:anchor>
        </w:drawing>
        <w:drawing>
          <wp:anchor simplePos="0" relativeHeight="251657728" behindDoc="1" locked="0" layoutInCell="0" allowOverlap="1">
            <wp:simplePos x="0" y="0"/>
            <wp:positionH relativeFrom="column">
              <wp:posOffset>-52070</wp:posOffset>
            </wp:positionH>
            <wp:positionV relativeFrom="paragraph">
              <wp:posOffset>317500</wp:posOffset>
            </wp:positionV>
            <wp:extent cx="8255" cy="16490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164909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92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[A] INTEREST AND OTHER INCOME</w:t>
            </w:r>
          </w:p>
        </w:tc>
        <w:tc>
          <w:tcPr>
            <w:tcW w:w="600" w:type="dxa"/>
            <w:vAlign w:val="bottom"/>
            <w:shd w:val="clear" w:color="auto" w:fill="7DD0E3"/>
          </w:tcPr>
          <w:p>
            <w:pPr>
              <w:spacing w:after="0"/>
              <w:rPr>
                <w:sz w:val="12"/>
                <w:szCs w:val="12"/>
                <w:color w:val="auto"/>
              </w:rPr>
            </w:pPr>
          </w:p>
        </w:tc>
        <w:tc>
          <w:tcPr>
            <w:tcW w:w="1180" w:type="dxa"/>
            <w:vAlign w:val="bottom"/>
            <w:shd w:val="clear" w:color="auto" w:fill="7DD0E3"/>
          </w:tcPr>
          <w:p>
            <w:pPr>
              <w:spacing w:after="0"/>
              <w:rPr>
                <w:sz w:val="12"/>
                <w:szCs w:val="12"/>
                <w:color w:val="auto"/>
              </w:rPr>
            </w:pPr>
          </w:p>
        </w:tc>
        <w:tc>
          <w:tcPr>
            <w:tcW w:w="8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5920" w:type="dxa"/>
            <w:vAlign w:val="bottom"/>
            <w:shd w:val="clear" w:color="auto" w:fill="CECAC6"/>
          </w:tcPr>
          <w:p>
            <w:pPr>
              <w:spacing w:after="0"/>
              <w:rPr>
                <w:sz w:val="11"/>
                <w:szCs w:val="11"/>
                <w:color w:val="auto"/>
              </w:rPr>
            </w:pPr>
          </w:p>
        </w:tc>
        <w:tc>
          <w:tcPr>
            <w:tcW w:w="6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5920" w:type="dxa"/>
            <w:vAlign w:val="bottom"/>
          </w:tcPr>
          <w:p>
            <w:pPr>
              <w:spacing w:after="0" w:line="128" w:lineRule="exact"/>
              <w:rPr>
                <w:sz w:val="20"/>
                <w:szCs w:val="20"/>
                <w:color w:val="auto"/>
              </w:rPr>
            </w:pPr>
            <w:r>
              <w:rPr>
                <w:rFonts w:ascii="Arial" w:cs="Arial" w:eastAsia="Arial" w:hAnsi="Arial"/>
                <w:sz w:val="12"/>
                <w:szCs w:val="12"/>
                <w:color w:val="auto"/>
              </w:rPr>
              <w:t>Interest income</w:t>
            </w:r>
          </w:p>
        </w:tc>
        <w:tc>
          <w:tcPr>
            <w:tcW w:w="60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1,225</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997</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863</w:t>
            </w:r>
          </w:p>
        </w:tc>
      </w:tr>
      <w:tr>
        <w:trPr>
          <w:trHeight w:val="133"/>
        </w:trPr>
        <w:tc>
          <w:tcPr>
            <w:tcW w:w="5920" w:type="dxa"/>
            <w:vAlign w:val="bottom"/>
          </w:tcPr>
          <w:p>
            <w:pPr>
              <w:spacing w:after="0" w:line="133" w:lineRule="exact"/>
              <w:rPr>
                <w:sz w:val="20"/>
                <w:szCs w:val="20"/>
                <w:color w:val="auto"/>
              </w:rPr>
            </w:pPr>
            <w:r>
              <w:rPr>
                <w:rFonts w:ascii="Arial" w:cs="Arial" w:eastAsia="Arial" w:hAnsi="Arial"/>
                <w:sz w:val="12"/>
                <w:szCs w:val="12"/>
                <w:color w:val="auto"/>
              </w:rPr>
              <w:t>Dividend income</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211</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220</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171</w:t>
            </w:r>
          </w:p>
        </w:tc>
      </w:tr>
      <w:tr>
        <w:trPr>
          <w:trHeight w:val="139"/>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1,262</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211</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137</w:t>
            </w: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2,698</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1,428</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1,171</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Other income in 2007 mainly comprises gains on securities reclassified from equity (see Note 29).</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92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[B] INTEREST EXPENSE</w:t>
            </w:r>
          </w:p>
        </w:tc>
        <w:tc>
          <w:tcPr>
            <w:tcW w:w="600" w:type="dxa"/>
            <w:vAlign w:val="bottom"/>
            <w:shd w:val="clear" w:color="auto" w:fill="7DD0E3"/>
          </w:tcPr>
          <w:p>
            <w:pPr>
              <w:spacing w:after="0"/>
              <w:rPr>
                <w:sz w:val="12"/>
                <w:szCs w:val="12"/>
                <w:color w:val="auto"/>
              </w:rPr>
            </w:pPr>
          </w:p>
        </w:tc>
        <w:tc>
          <w:tcPr>
            <w:tcW w:w="1200" w:type="dxa"/>
            <w:vAlign w:val="bottom"/>
            <w:shd w:val="clear" w:color="auto" w:fill="7DD0E3"/>
          </w:tcPr>
          <w:p>
            <w:pPr>
              <w:spacing w:after="0"/>
              <w:rPr>
                <w:sz w:val="12"/>
                <w:szCs w:val="12"/>
                <w:color w:val="auto"/>
              </w:rPr>
            </w:pPr>
          </w:p>
        </w:tc>
        <w:tc>
          <w:tcPr>
            <w:tcW w:w="82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5920" w:type="dxa"/>
            <w:vAlign w:val="bottom"/>
            <w:shd w:val="clear" w:color="auto" w:fill="CECAC6"/>
          </w:tcPr>
          <w:p>
            <w:pPr>
              <w:spacing w:after="0"/>
              <w:rPr>
                <w:sz w:val="11"/>
                <w:szCs w:val="11"/>
                <w:color w:val="auto"/>
              </w:rPr>
            </w:pPr>
          </w:p>
        </w:tc>
        <w:tc>
          <w:tcPr>
            <w:tcW w:w="6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20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2006</w:t>
            </w:r>
          </w:p>
        </w:tc>
        <w:tc>
          <w:tcPr>
            <w:tcW w:w="8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5920" w:type="dxa"/>
            <w:vAlign w:val="bottom"/>
          </w:tcPr>
          <w:p>
            <w:pPr>
              <w:spacing w:after="0" w:line="128" w:lineRule="exact"/>
              <w:rPr>
                <w:sz w:val="20"/>
                <w:szCs w:val="20"/>
                <w:color w:val="auto"/>
              </w:rPr>
            </w:pPr>
            <w:r>
              <w:rPr>
                <w:rFonts w:ascii="Arial" w:cs="Arial" w:eastAsia="Arial" w:hAnsi="Arial"/>
                <w:sz w:val="12"/>
                <w:szCs w:val="12"/>
                <w:color w:val="auto"/>
              </w:rPr>
              <w:t>Interest incurred</w:t>
            </w:r>
          </w:p>
        </w:tc>
        <w:tc>
          <w:tcPr>
            <w:tcW w:w="60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1,235</w:t>
            </w:r>
          </w:p>
        </w:tc>
        <w:tc>
          <w:tcPr>
            <w:tcW w:w="120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1,296</w:t>
            </w:r>
          </w:p>
        </w:tc>
        <w:tc>
          <w:tcPr>
            <w:tcW w:w="8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1,124</w:t>
            </w:r>
          </w:p>
        </w:tc>
      </w:tr>
      <w:tr>
        <w:trPr>
          <w:trHeight w:val="133"/>
        </w:trPr>
        <w:tc>
          <w:tcPr>
            <w:tcW w:w="5920" w:type="dxa"/>
            <w:vAlign w:val="bottom"/>
          </w:tcPr>
          <w:p>
            <w:pPr>
              <w:spacing w:after="0" w:line="133" w:lineRule="exact"/>
              <w:rPr>
                <w:sz w:val="20"/>
                <w:szCs w:val="20"/>
                <w:color w:val="auto"/>
              </w:rPr>
            </w:pPr>
            <w:r>
              <w:rPr>
                <w:rFonts w:ascii="Arial" w:cs="Arial" w:eastAsia="Arial" w:hAnsi="Arial"/>
                <w:sz w:val="12"/>
                <w:szCs w:val="12"/>
                <w:color w:val="auto"/>
              </w:rPr>
              <w:t>Accretion expense (see Note 22)</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540</w:t>
            </w:r>
          </w:p>
        </w:tc>
        <w:tc>
          <w:tcPr>
            <w:tcW w:w="12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417</w:t>
            </w:r>
          </w:p>
        </w:tc>
        <w:tc>
          <w:tcPr>
            <w:tcW w:w="8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371</w:t>
            </w:r>
          </w:p>
        </w:tc>
      </w:tr>
      <w:tr>
        <w:trPr>
          <w:trHeight w:val="139"/>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interest capitalised</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(667)</w:t>
            </w:r>
          </w:p>
        </w:tc>
        <w:tc>
          <w:tcPr>
            <w:tcW w:w="12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(564)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(427)</w:t>
            </w: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1,108</w:t>
            </w:r>
          </w:p>
        </w:tc>
        <w:tc>
          <w:tcPr>
            <w:tcW w:w="12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1,149</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1,068</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3"/>
          <w:szCs w:val="13"/>
          <w:color w:val="auto"/>
        </w:rPr>
        <w:t>The capitalisation rate used to determine the amount of interest incurred eligible for capitalisation in 2007 was 5.0% (2006: 4.0%; 2005: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1249680</wp:posOffset>
            </wp:positionV>
            <wp:extent cx="7252970"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700" w:space="720"/>
            <w:col w:w="8540"/>
          </w:cols>
          <w:pgMar w:left="240" w:top="415" w:right="6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w:t>
      </w:r>
    </w:p>
    <w:p>
      <w:pPr>
        <w:spacing w:after="0" w:line="238" w:lineRule="auto"/>
        <w:rPr>
          <w:sz w:val="20"/>
          <w:szCs w:val="20"/>
          <w:color w:val="auto"/>
        </w:rPr>
      </w:pPr>
      <w:r>
        <w:rPr>
          <w:rFonts w:ascii="Arial" w:cs="Arial" w:eastAsia="Arial" w:hAnsi="Arial"/>
          <w:sz w:val="14"/>
          <w:szCs w:val="14"/>
          <w:b w:val="1"/>
          <w:bCs w:val="1"/>
          <w:color w:val="auto"/>
        </w:rPr>
        <w:t>DIRECTORS AND</w:t>
      </w:r>
    </w:p>
    <w:p>
      <w:pPr>
        <w:spacing w:after="0"/>
        <w:rPr>
          <w:sz w:val="20"/>
          <w:szCs w:val="20"/>
          <w:color w:val="auto"/>
        </w:rPr>
      </w:pPr>
      <w:r>
        <w:rPr>
          <w:rFonts w:ascii="Arial" w:cs="Arial" w:eastAsia="Arial" w:hAnsi="Arial"/>
          <w:sz w:val="14"/>
          <w:szCs w:val="14"/>
          <w:b w:val="1"/>
          <w:bCs w:val="1"/>
          <w:color w:val="auto"/>
        </w:rPr>
        <w:t>SENIOR</w:t>
      </w:r>
    </w:p>
    <w:p>
      <w:pPr>
        <w:spacing w:after="0" w:line="238" w:lineRule="auto"/>
        <w:rPr>
          <w:sz w:val="20"/>
          <w:szCs w:val="20"/>
          <w:color w:val="auto"/>
        </w:rPr>
      </w:pPr>
      <w:r>
        <w:rPr>
          <w:rFonts w:ascii="Arial" w:cs="Arial" w:eastAsia="Arial" w:hAnsi="Arial"/>
          <w:sz w:val="14"/>
          <w:szCs w:val="14"/>
          <w:b w:val="1"/>
          <w:bCs w:val="1"/>
          <w:color w:val="auto"/>
        </w:rPr>
        <w:t>MANAGEMENT</w:t>
      </w:r>
    </w:p>
    <w:p>
      <w:pPr>
        <w:spacing w:after="0" w:line="222" w:lineRule="auto"/>
        <w:rPr>
          <w:sz w:val="20"/>
          <w:szCs w:val="20"/>
          <w:color w:val="auto"/>
        </w:rPr>
      </w:pPr>
      <w:r>
        <w:rPr>
          <w:rFonts w:ascii="Arial" w:cs="Arial" w:eastAsia="Arial" w:hAnsi="Arial"/>
          <w:sz w:val="14"/>
          <w:szCs w:val="14"/>
          <w:b w:val="1"/>
          <w:bCs w:val="1"/>
          <w:color w:val="auto"/>
        </w:rPr>
        <w:t>COMPENSATION</w:t>
      </w:r>
    </w:p>
    <w:tbl>
      <w:tblPr>
        <w:tblLayout w:type="fixed"/>
        <w:tblInd w:w="2300" w:type="dxa"/>
        <w:tblCellMar>
          <w:top w:w="0" w:type="dxa"/>
          <w:left w:w="0" w:type="dxa"/>
          <w:bottom w:w="0" w:type="dxa"/>
          <w:right w:w="0" w:type="dxa"/>
        </w:tblCellMar>
      </w:tblPr>
      <w:tr>
        <w:trPr>
          <w:trHeight w:val="139"/>
        </w:trPr>
        <w:tc>
          <w:tcPr>
            <w:tcW w:w="6320" w:type="dxa"/>
            <w:vAlign w:val="bottom"/>
            <w:shd w:val="clear" w:color="auto" w:fill="7DD0E3"/>
          </w:tcPr>
          <w:p>
            <w:pPr>
              <w:ind w:left="60"/>
              <w:spacing w:after="0"/>
              <w:rPr>
                <w:sz w:val="20"/>
                <w:szCs w:val="20"/>
                <w:color w:val="auto"/>
              </w:rPr>
            </w:pPr>
            <w:r>
              <w:rPr>
                <w:rFonts w:ascii="Arial" w:cs="Arial" w:eastAsia="Arial" w:hAnsi="Arial"/>
                <w:sz w:val="12"/>
                <w:szCs w:val="12"/>
                <w:b w:val="1"/>
                <w:bCs w:val="1"/>
                <w:color w:val="auto"/>
              </w:rPr>
              <w:t>[A] EMPLOYEE EMOLUMENTS</w:t>
            </w:r>
          </w:p>
        </w:tc>
        <w:tc>
          <w:tcPr>
            <w:tcW w:w="640" w:type="dxa"/>
            <w:vAlign w:val="bottom"/>
            <w:shd w:val="clear" w:color="auto" w:fill="7DD0E3"/>
          </w:tcPr>
          <w:p>
            <w:pPr>
              <w:spacing w:after="0"/>
              <w:rPr>
                <w:sz w:val="12"/>
                <w:szCs w:val="12"/>
                <w:color w:val="auto"/>
              </w:rPr>
            </w:pPr>
          </w:p>
        </w:tc>
        <w:tc>
          <w:tcPr>
            <w:tcW w:w="1300" w:type="dxa"/>
            <w:vAlign w:val="bottom"/>
            <w:shd w:val="clear" w:color="auto" w:fill="7DD0E3"/>
          </w:tcPr>
          <w:p>
            <w:pPr>
              <w:spacing w:after="0"/>
              <w:rPr>
                <w:sz w:val="12"/>
                <w:szCs w:val="12"/>
                <w:color w:val="auto"/>
              </w:rPr>
            </w:pPr>
          </w:p>
        </w:tc>
        <w:tc>
          <w:tcPr>
            <w:tcW w:w="8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32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30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2006</w:t>
            </w:r>
          </w:p>
        </w:tc>
        <w:tc>
          <w:tcPr>
            <w:tcW w:w="8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6320" w:type="dxa"/>
            <w:vAlign w:val="bottom"/>
          </w:tcPr>
          <w:p>
            <w:pPr>
              <w:spacing w:after="0" w:line="128" w:lineRule="exact"/>
              <w:rPr>
                <w:sz w:val="20"/>
                <w:szCs w:val="20"/>
                <w:color w:val="auto"/>
              </w:rPr>
            </w:pPr>
            <w:r>
              <w:rPr>
                <w:rFonts w:ascii="Arial" w:cs="Arial" w:eastAsia="Arial" w:hAnsi="Arial"/>
                <w:sz w:val="12"/>
                <w:szCs w:val="12"/>
                <w:color w:val="auto"/>
              </w:rPr>
              <w:t>Remuneration</w:t>
            </w:r>
          </w:p>
        </w:tc>
        <w:tc>
          <w:tcPr>
            <w:tcW w:w="6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10,021</w:t>
            </w:r>
          </w:p>
        </w:tc>
        <w:tc>
          <w:tcPr>
            <w:tcW w:w="130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8,827</w:t>
            </w:r>
          </w:p>
        </w:tc>
        <w:tc>
          <w:tcPr>
            <w:tcW w:w="8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8,286</w:t>
            </w:r>
          </w:p>
        </w:tc>
      </w:tr>
      <w:tr>
        <w:trPr>
          <w:trHeight w:val="133"/>
        </w:trPr>
        <w:tc>
          <w:tcPr>
            <w:tcW w:w="6320" w:type="dxa"/>
            <w:vAlign w:val="bottom"/>
          </w:tcPr>
          <w:p>
            <w:pPr>
              <w:spacing w:after="0" w:line="133" w:lineRule="exact"/>
              <w:rPr>
                <w:sz w:val="20"/>
                <w:szCs w:val="20"/>
                <w:color w:val="auto"/>
              </w:rPr>
            </w:pPr>
            <w:r>
              <w:rPr>
                <w:rFonts w:ascii="Arial" w:cs="Arial" w:eastAsia="Arial" w:hAnsi="Arial"/>
                <w:sz w:val="12"/>
                <w:szCs w:val="12"/>
                <w:color w:val="auto"/>
              </w:rPr>
              <w:t>Social law taxes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854</w:t>
            </w:r>
          </w:p>
        </w:tc>
        <w:tc>
          <w:tcPr>
            <w:tcW w:w="13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712</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681</w:t>
            </w:r>
          </w:p>
        </w:tc>
      </w:tr>
      <w:tr>
        <w:trPr>
          <w:trHeight w:val="133"/>
        </w:trPr>
        <w:tc>
          <w:tcPr>
            <w:tcW w:w="6320" w:type="dxa"/>
            <w:vAlign w:val="bottom"/>
          </w:tcPr>
          <w:p>
            <w:pPr>
              <w:spacing w:after="0" w:line="133" w:lineRule="exact"/>
              <w:rPr>
                <w:sz w:val="20"/>
                <w:szCs w:val="20"/>
                <w:color w:val="auto"/>
              </w:rPr>
            </w:pPr>
            <w:r>
              <w:rPr>
                <w:rFonts w:ascii="Arial" w:cs="Arial" w:eastAsia="Arial" w:hAnsi="Arial"/>
                <w:sz w:val="12"/>
                <w:szCs w:val="12"/>
                <w:color w:val="auto"/>
              </w:rPr>
              <w:t>Retirement benefits (see Note 21)</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98</w:t>
            </w:r>
          </w:p>
        </w:tc>
        <w:tc>
          <w:tcPr>
            <w:tcW w:w="13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743</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768</w:t>
            </w:r>
          </w:p>
        </w:tc>
      </w:tr>
      <w:tr>
        <w:trPr>
          <w:trHeight w:val="139"/>
        </w:trPr>
        <w:tc>
          <w:tcPr>
            <w:tcW w:w="6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Share-based compensation (see Note 27)</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589</w:t>
            </w:r>
          </w:p>
        </w:tc>
        <w:tc>
          <w:tcPr>
            <w:tcW w:w="13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462</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376</w:t>
            </w:r>
          </w:p>
        </w:tc>
      </w:tr>
      <w:tr>
        <w:trPr>
          <w:trHeight w:val="146"/>
        </w:trPr>
        <w:tc>
          <w:tcPr>
            <w:tcW w:w="6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11,562</w:t>
            </w:r>
          </w:p>
        </w:tc>
        <w:tc>
          <w:tcPr>
            <w:tcW w:w="13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10,744</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10,111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-625475</wp:posOffset>
            </wp:positionV>
            <wp:extent cx="8255" cy="38906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3890645"/>
                    </a:xfrm>
                    <a:prstGeom prst="rect">
                      <a:avLst/>
                    </a:prstGeom>
                    <a:noFill/>
                  </pic:spPr>
                </pic:pic>
              </a:graphicData>
            </a:graphic>
          </wp:anchor>
        </w:drawing>
      </w:r>
    </w:p>
    <w:p>
      <w:pPr>
        <w:spacing w:after="0" w:line="81"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In addition to the above emoluments, there were redundancy costs in 2007 of $397 million (2006: $66 million; 2005: $109 million).</w:t>
      </w:r>
    </w:p>
    <w:p>
      <w:pPr>
        <w:spacing w:after="0" w:line="345"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320" w:type="dxa"/>
            <w:vAlign w:val="bottom"/>
            <w:shd w:val="clear" w:color="auto" w:fill="7DD0E3"/>
          </w:tcPr>
          <w:p>
            <w:pPr>
              <w:ind w:left="60"/>
              <w:spacing w:after="0"/>
              <w:rPr>
                <w:sz w:val="20"/>
                <w:szCs w:val="20"/>
                <w:color w:val="auto"/>
              </w:rPr>
            </w:pPr>
            <w:r>
              <w:rPr>
                <w:rFonts w:ascii="Arial" w:cs="Arial" w:eastAsia="Arial" w:hAnsi="Arial"/>
                <w:sz w:val="12"/>
                <w:szCs w:val="12"/>
                <w:b w:val="1"/>
                <w:bCs w:val="1"/>
                <w:color w:val="auto"/>
              </w:rPr>
              <w:t>[B] AVERAGE EMPLOYEE NUMBERS BY SEGMENT[A]</w:t>
            </w:r>
          </w:p>
        </w:tc>
        <w:tc>
          <w:tcPr>
            <w:tcW w:w="640" w:type="dxa"/>
            <w:vAlign w:val="bottom"/>
            <w:shd w:val="clear" w:color="auto" w:fill="7DD0E3"/>
          </w:tcPr>
          <w:p>
            <w:pPr>
              <w:spacing w:after="0"/>
              <w:rPr>
                <w:sz w:val="12"/>
                <w:szCs w:val="12"/>
                <w:color w:val="auto"/>
              </w:rPr>
            </w:pPr>
          </w:p>
        </w:tc>
        <w:tc>
          <w:tcPr>
            <w:tcW w:w="1240" w:type="dxa"/>
            <w:vAlign w:val="bottom"/>
            <w:shd w:val="clear" w:color="auto" w:fill="7DD0E3"/>
          </w:tcPr>
          <w:p>
            <w:pPr>
              <w:spacing w:after="0"/>
              <w:rPr>
                <w:sz w:val="12"/>
                <w:szCs w:val="12"/>
                <w:color w:val="auto"/>
              </w:rPr>
            </w:pPr>
          </w:p>
        </w:tc>
        <w:tc>
          <w:tcPr>
            <w:tcW w:w="92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thousands</w:t>
            </w:r>
          </w:p>
        </w:tc>
      </w:tr>
      <w:tr>
        <w:trPr>
          <w:trHeight w:val="133"/>
        </w:trPr>
        <w:tc>
          <w:tcPr>
            <w:tcW w:w="20" w:type="dxa"/>
            <w:vAlign w:val="bottom"/>
          </w:tcPr>
          <w:p>
            <w:pPr>
              <w:spacing w:after="0"/>
              <w:rPr>
                <w:sz w:val="11"/>
                <w:szCs w:val="11"/>
                <w:color w:val="auto"/>
              </w:rPr>
            </w:pPr>
          </w:p>
        </w:tc>
        <w:tc>
          <w:tcPr>
            <w:tcW w:w="632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24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2006</w:t>
            </w:r>
          </w:p>
        </w:tc>
        <w:tc>
          <w:tcPr>
            <w:tcW w:w="9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20" w:type="dxa"/>
            <w:vAlign w:val="bottom"/>
          </w:tcPr>
          <w:p>
            <w:pPr>
              <w:spacing w:after="0"/>
              <w:rPr>
                <w:sz w:val="11"/>
                <w:szCs w:val="11"/>
                <w:color w:val="auto"/>
              </w:rPr>
            </w:pPr>
          </w:p>
        </w:tc>
        <w:tc>
          <w:tcPr>
            <w:tcW w:w="6320" w:type="dxa"/>
            <w:vAlign w:val="bottom"/>
          </w:tcPr>
          <w:p>
            <w:pPr>
              <w:spacing w:after="0" w:line="128" w:lineRule="exact"/>
              <w:rPr>
                <w:sz w:val="20"/>
                <w:szCs w:val="20"/>
                <w:color w:val="auto"/>
              </w:rPr>
            </w:pPr>
            <w:r>
              <w:rPr>
                <w:rFonts w:ascii="Arial" w:cs="Arial" w:eastAsia="Arial" w:hAnsi="Arial"/>
                <w:sz w:val="12"/>
                <w:szCs w:val="12"/>
                <w:color w:val="auto"/>
              </w:rPr>
              <w:t>Exploration &amp; Production</w:t>
            </w:r>
          </w:p>
        </w:tc>
        <w:tc>
          <w:tcPr>
            <w:tcW w:w="6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18</w:t>
            </w:r>
          </w:p>
        </w:tc>
        <w:tc>
          <w:tcPr>
            <w:tcW w:w="124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18</w:t>
            </w:r>
          </w:p>
        </w:tc>
        <w:tc>
          <w:tcPr>
            <w:tcW w:w="9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17</w:t>
            </w:r>
          </w:p>
        </w:tc>
      </w:tr>
      <w:tr>
        <w:trPr>
          <w:trHeight w:val="133"/>
        </w:trPr>
        <w:tc>
          <w:tcPr>
            <w:tcW w:w="63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Gas &amp; Power</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w:t>
            </w:r>
          </w:p>
        </w:tc>
        <w:tc>
          <w:tcPr>
            <w:tcW w:w="12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w:t>
            </w:r>
          </w:p>
        </w:tc>
        <w:tc>
          <w:tcPr>
            <w:tcW w:w="9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w:t>
            </w:r>
          </w:p>
        </w:tc>
      </w:tr>
      <w:tr>
        <w:trPr>
          <w:trHeight w:val="133"/>
        </w:trPr>
        <w:tc>
          <w:tcPr>
            <w:tcW w:w="63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Oil Sands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w:t>
            </w:r>
          </w:p>
        </w:tc>
        <w:tc>
          <w:tcPr>
            <w:tcW w:w="12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9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w:t>
            </w:r>
          </w:p>
        </w:tc>
      </w:tr>
      <w:tr>
        <w:trPr>
          <w:trHeight w:val="133"/>
        </w:trPr>
        <w:tc>
          <w:tcPr>
            <w:tcW w:w="63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Oil Products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63</w:t>
            </w:r>
          </w:p>
        </w:tc>
        <w:tc>
          <w:tcPr>
            <w:tcW w:w="12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67</w:t>
            </w:r>
          </w:p>
        </w:tc>
        <w:tc>
          <w:tcPr>
            <w:tcW w:w="9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71</w:t>
            </w:r>
          </w:p>
        </w:tc>
      </w:tr>
      <w:tr>
        <w:trPr>
          <w:trHeight w:val="133"/>
        </w:trPr>
        <w:tc>
          <w:tcPr>
            <w:tcW w:w="6340" w:type="dxa"/>
            <w:vAlign w:val="bottom"/>
            <w:gridSpan w:val="2"/>
          </w:tcPr>
          <w:p>
            <w:pPr>
              <w:ind w:left="20"/>
              <w:spacing w:after="0" w:line="133" w:lineRule="exact"/>
              <w:rPr>
                <w:sz w:val="20"/>
                <w:szCs w:val="20"/>
                <w:color w:val="auto"/>
              </w:rPr>
            </w:pPr>
            <w:r>
              <w:rPr>
                <w:rFonts w:ascii="Arial" w:cs="Arial" w:eastAsia="Arial" w:hAnsi="Arial"/>
                <w:sz w:val="12"/>
                <w:szCs w:val="12"/>
                <w:color w:val="auto"/>
              </w:rPr>
              <w:t>Chemicals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w:t>
            </w:r>
          </w:p>
        </w:tc>
        <w:tc>
          <w:tcPr>
            <w:tcW w:w="12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w:t>
            </w:r>
          </w:p>
        </w:tc>
        <w:tc>
          <w:tcPr>
            <w:tcW w:w="9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w:t>
            </w:r>
          </w:p>
        </w:tc>
      </w:tr>
      <w:tr>
        <w:trPr>
          <w:trHeight w:val="139"/>
        </w:trPr>
        <w:tc>
          <w:tcPr>
            <w:tcW w:w="6340" w:type="dxa"/>
            <w:vAlign w:val="bottom"/>
            <w:gridSpan w:val="2"/>
          </w:tcPr>
          <w:p>
            <w:pPr>
              <w:ind w:left="20"/>
              <w:spacing w:after="0"/>
              <w:rPr>
                <w:sz w:val="20"/>
                <w:szCs w:val="20"/>
                <w:color w:val="auto"/>
              </w:rPr>
            </w:pPr>
            <w:r>
              <w:rPr>
                <w:rFonts w:ascii="Arial" w:cs="Arial" w:eastAsia="Arial" w:hAnsi="Arial"/>
                <w:sz w:val="12"/>
                <w:szCs w:val="12"/>
                <w:color w:val="auto"/>
              </w:rPr>
              <w:t>Corporate</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13</w:t>
            </w:r>
          </w:p>
        </w:tc>
        <w:tc>
          <w:tcPr>
            <w:tcW w:w="1240" w:type="dxa"/>
            <w:vAlign w:val="bottom"/>
          </w:tcPr>
          <w:p>
            <w:pPr>
              <w:jc w:val="right"/>
              <w:ind w:right="158"/>
              <w:spacing w:after="0"/>
              <w:rPr>
                <w:sz w:val="20"/>
                <w:szCs w:val="20"/>
                <w:color w:val="auto"/>
              </w:rPr>
            </w:pPr>
            <w:r>
              <w:rPr>
                <w:rFonts w:ascii="Arial" w:cs="Arial" w:eastAsia="Arial" w:hAnsi="Arial"/>
                <w:sz w:val="12"/>
                <w:szCs w:val="12"/>
                <w:color w:val="auto"/>
              </w:rPr>
              <w:t>13</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9</w:t>
            </w:r>
          </w:p>
        </w:tc>
      </w:tr>
      <w:tr>
        <w:trPr>
          <w:trHeight w:val="146"/>
        </w:trPr>
        <w:tc>
          <w:tcPr>
            <w:tcW w:w="20" w:type="dxa"/>
            <w:vAlign w:val="bottom"/>
          </w:tcPr>
          <w:p>
            <w:pPr>
              <w:spacing w:after="0"/>
              <w:rPr>
                <w:sz w:val="12"/>
                <w:szCs w:val="12"/>
                <w:color w:val="auto"/>
              </w:rPr>
            </w:pPr>
          </w:p>
        </w:tc>
        <w:tc>
          <w:tcPr>
            <w:tcW w:w="6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104</w:t>
            </w:r>
          </w:p>
        </w:tc>
        <w:tc>
          <w:tcPr>
            <w:tcW w:w="124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2"/>
                <w:szCs w:val="12"/>
                <w:color w:val="auto"/>
              </w:rPr>
              <w:t>108</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109</w:t>
            </w:r>
          </w:p>
        </w:tc>
      </w:tr>
      <w:tr>
        <w:trPr>
          <w:trHeight w:val="209"/>
        </w:trPr>
        <w:tc>
          <w:tcPr>
            <w:tcW w:w="6340" w:type="dxa"/>
            <w:vAlign w:val="bottom"/>
            <w:gridSpan w:val="2"/>
          </w:tcPr>
          <w:p>
            <w:pPr>
              <w:spacing w:after="0"/>
              <w:rPr>
                <w:sz w:val="20"/>
                <w:szCs w:val="20"/>
                <w:color w:val="auto"/>
              </w:rPr>
            </w:pPr>
            <w:r>
              <w:rPr>
                <w:rFonts w:ascii="Arial" w:cs="Arial" w:eastAsia="Arial" w:hAnsi="Arial"/>
                <w:sz w:val="12"/>
                <w:szCs w:val="12"/>
                <w:color w:val="auto"/>
              </w:rPr>
              <w:t>[A] See Note 10[A] regarding changes in segments.</w:t>
            </w:r>
          </w:p>
        </w:tc>
        <w:tc>
          <w:tcPr>
            <w:tcW w:w="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331" w:lineRule="exact"/>
        <w:rPr>
          <w:sz w:val="20"/>
          <w:szCs w:val="20"/>
          <w:color w:val="auto"/>
        </w:rPr>
      </w:pPr>
    </w:p>
    <w:tbl>
      <w:tblPr>
        <w:tblLayout w:type="fixed"/>
        <w:tblInd w:w="2300" w:type="dxa"/>
        <w:tblCellMar>
          <w:top w:w="0" w:type="dxa"/>
          <w:left w:w="0" w:type="dxa"/>
          <w:bottom w:w="0" w:type="dxa"/>
          <w:right w:w="0" w:type="dxa"/>
        </w:tblCellMar>
      </w:tblPr>
      <w:tr>
        <w:trPr>
          <w:trHeight w:val="139"/>
        </w:trPr>
        <w:tc>
          <w:tcPr>
            <w:tcW w:w="6320" w:type="dxa"/>
            <w:vAlign w:val="bottom"/>
            <w:shd w:val="clear" w:color="auto" w:fill="7DD0E3"/>
          </w:tcPr>
          <w:p>
            <w:pPr>
              <w:ind w:left="60"/>
              <w:spacing w:after="0"/>
              <w:rPr>
                <w:sz w:val="20"/>
                <w:szCs w:val="20"/>
                <w:color w:val="auto"/>
              </w:rPr>
            </w:pPr>
            <w:r>
              <w:rPr>
                <w:rFonts w:ascii="Arial" w:cs="Arial" w:eastAsia="Arial" w:hAnsi="Arial"/>
                <w:sz w:val="12"/>
                <w:szCs w:val="12"/>
                <w:b w:val="1"/>
                <w:bCs w:val="1"/>
                <w:color w:val="auto"/>
              </w:rPr>
              <w:t>[C] DIRECTORS AND SENIOR MANAGEMENT COMPENSATION</w:t>
            </w:r>
          </w:p>
        </w:tc>
        <w:tc>
          <w:tcPr>
            <w:tcW w:w="640" w:type="dxa"/>
            <w:vAlign w:val="bottom"/>
            <w:shd w:val="clear" w:color="auto" w:fill="7DD0E3"/>
          </w:tcPr>
          <w:p>
            <w:pPr>
              <w:spacing w:after="0"/>
              <w:rPr>
                <w:sz w:val="12"/>
                <w:szCs w:val="12"/>
                <w:color w:val="auto"/>
              </w:rPr>
            </w:pPr>
          </w:p>
        </w:tc>
        <w:tc>
          <w:tcPr>
            <w:tcW w:w="1300" w:type="dxa"/>
            <w:vAlign w:val="bottom"/>
            <w:shd w:val="clear" w:color="auto" w:fill="7DD0E3"/>
          </w:tcPr>
          <w:p>
            <w:pPr>
              <w:spacing w:after="0"/>
              <w:rPr>
                <w:sz w:val="12"/>
                <w:szCs w:val="12"/>
                <w:color w:val="auto"/>
              </w:rPr>
            </w:pPr>
          </w:p>
        </w:tc>
        <w:tc>
          <w:tcPr>
            <w:tcW w:w="8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32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30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2006</w:t>
            </w:r>
          </w:p>
        </w:tc>
        <w:tc>
          <w:tcPr>
            <w:tcW w:w="8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13"/>
        </w:trPr>
        <w:tc>
          <w:tcPr>
            <w:tcW w:w="6320" w:type="dxa"/>
            <w:vAlign w:val="bottom"/>
          </w:tcPr>
          <w:p>
            <w:pPr>
              <w:spacing w:after="0" w:line="114" w:lineRule="exact"/>
              <w:rPr>
                <w:sz w:val="20"/>
                <w:szCs w:val="20"/>
                <w:color w:val="auto"/>
              </w:rPr>
            </w:pPr>
            <w:r>
              <w:rPr>
                <w:rFonts w:ascii="Arial" w:cs="Arial" w:eastAsia="Arial" w:hAnsi="Arial"/>
                <w:sz w:val="12"/>
                <w:szCs w:val="12"/>
                <w:color w:val="auto"/>
              </w:rPr>
              <w:t>Short-term employee benefits</w:t>
            </w:r>
            <w:r>
              <w:rPr>
                <w:rFonts w:ascii="Arial" w:cs="Arial" w:eastAsia="Arial" w:hAnsi="Arial"/>
                <w:sz w:val="12"/>
                <w:szCs w:val="12"/>
                <w:b w:val="1"/>
                <w:bCs w:val="1"/>
                <w:color w:val="auto"/>
              </w:rPr>
              <w:t>[A]</w:t>
            </w:r>
          </w:p>
        </w:tc>
        <w:tc>
          <w:tcPr>
            <w:tcW w:w="640" w:type="dxa"/>
            <w:vAlign w:val="bottom"/>
            <w:shd w:val="clear" w:color="auto" w:fill="E4E3E1"/>
          </w:tcPr>
          <w:p>
            <w:pPr>
              <w:jc w:val="right"/>
              <w:ind w:right="38"/>
              <w:spacing w:after="0" w:line="114" w:lineRule="exact"/>
              <w:rPr>
                <w:sz w:val="20"/>
                <w:szCs w:val="20"/>
                <w:color w:val="auto"/>
              </w:rPr>
            </w:pPr>
            <w:r>
              <w:rPr>
                <w:rFonts w:ascii="Arial" w:cs="Arial" w:eastAsia="Arial" w:hAnsi="Arial"/>
                <w:sz w:val="12"/>
                <w:szCs w:val="12"/>
                <w:color w:val="auto"/>
              </w:rPr>
              <w:t>27.6</w:t>
            </w:r>
          </w:p>
        </w:tc>
        <w:tc>
          <w:tcPr>
            <w:tcW w:w="1300" w:type="dxa"/>
            <w:vAlign w:val="bottom"/>
          </w:tcPr>
          <w:p>
            <w:pPr>
              <w:jc w:val="right"/>
              <w:ind w:right="218"/>
              <w:spacing w:after="0" w:line="114" w:lineRule="exact"/>
              <w:rPr>
                <w:sz w:val="20"/>
                <w:szCs w:val="20"/>
                <w:color w:val="auto"/>
              </w:rPr>
            </w:pPr>
            <w:r>
              <w:rPr>
                <w:rFonts w:ascii="Arial" w:cs="Arial" w:eastAsia="Arial" w:hAnsi="Arial"/>
                <w:sz w:val="12"/>
                <w:szCs w:val="12"/>
                <w:color w:val="auto"/>
              </w:rPr>
              <w:t>15.9</w:t>
            </w:r>
          </w:p>
        </w:tc>
        <w:tc>
          <w:tcPr>
            <w:tcW w:w="860" w:type="dxa"/>
            <w:vAlign w:val="bottom"/>
          </w:tcPr>
          <w:p>
            <w:pPr>
              <w:jc w:val="right"/>
              <w:ind w:right="18"/>
              <w:spacing w:after="0" w:line="114" w:lineRule="exact"/>
              <w:rPr>
                <w:sz w:val="20"/>
                <w:szCs w:val="20"/>
                <w:color w:val="auto"/>
              </w:rPr>
            </w:pPr>
            <w:r>
              <w:rPr>
                <w:rFonts w:ascii="Arial" w:cs="Arial" w:eastAsia="Arial" w:hAnsi="Arial"/>
                <w:sz w:val="12"/>
                <w:szCs w:val="12"/>
                <w:color w:val="auto"/>
              </w:rPr>
              <w:t>14.4</w:t>
            </w:r>
          </w:p>
        </w:tc>
      </w:tr>
      <w:tr>
        <w:trPr>
          <w:trHeight w:val="133"/>
        </w:trPr>
        <w:tc>
          <w:tcPr>
            <w:tcW w:w="6320" w:type="dxa"/>
            <w:vAlign w:val="bottom"/>
          </w:tcPr>
          <w:p>
            <w:pPr>
              <w:spacing w:after="0" w:line="133" w:lineRule="exact"/>
              <w:rPr>
                <w:sz w:val="20"/>
                <w:szCs w:val="20"/>
                <w:color w:val="auto"/>
              </w:rPr>
            </w:pPr>
            <w:r>
              <w:rPr>
                <w:rFonts w:ascii="Arial" w:cs="Arial" w:eastAsia="Arial" w:hAnsi="Arial"/>
                <w:sz w:val="12"/>
                <w:szCs w:val="12"/>
                <w:color w:val="auto"/>
              </w:rPr>
              <w:t>Post-employment benefits</w:t>
            </w:r>
            <w:r>
              <w:rPr>
                <w:rFonts w:ascii="Arial" w:cs="Arial" w:eastAsia="Arial" w:hAnsi="Arial"/>
                <w:sz w:val="12"/>
                <w:szCs w:val="12"/>
                <w:b w:val="1"/>
                <w:bCs w:val="1"/>
                <w:color w:val="auto"/>
              </w:rPr>
              <w:t>[B]</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3.1</w:t>
            </w:r>
          </w:p>
        </w:tc>
        <w:tc>
          <w:tcPr>
            <w:tcW w:w="13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2.1</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4.3</w:t>
            </w:r>
          </w:p>
        </w:tc>
      </w:tr>
      <w:tr>
        <w:trPr>
          <w:trHeight w:val="133"/>
        </w:trPr>
        <w:tc>
          <w:tcPr>
            <w:tcW w:w="6320" w:type="dxa"/>
            <w:vAlign w:val="bottom"/>
          </w:tcPr>
          <w:p>
            <w:pPr>
              <w:spacing w:after="0" w:line="133" w:lineRule="exact"/>
              <w:rPr>
                <w:sz w:val="20"/>
                <w:szCs w:val="20"/>
                <w:color w:val="auto"/>
              </w:rPr>
            </w:pPr>
            <w:r>
              <w:rPr>
                <w:rFonts w:ascii="Arial" w:cs="Arial" w:eastAsia="Arial" w:hAnsi="Arial"/>
                <w:sz w:val="12"/>
                <w:szCs w:val="12"/>
                <w:color w:val="auto"/>
              </w:rPr>
              <w:t>Other long-term benefits</w:t>
            </w:r>
            <w:r>
              <w:rPr>
                <w:rFonts w:ascii="Arial" w:cs="Arial" w:eastAsia="Arial" w:hAnsi="Arial"/>
                <w:sz w:val="12"/>
                <w:szCs w:val="12"/>
                <w:b w:val="1"/>
                <w:bCs w:val="1"/>
                <w:color w:val="auto"/>
              </w:rPr>
              <w:t>[C]</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5.3</w:t>
            </w:r>
          </w:p>
        </w:tc>
        <w:tc>
          <w:tcPr>
            <w:tcW w:w="13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4.1</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w:t>
            </w:r>
          </w:p>
        </w:tc>
      </w:tr>
      <w:tr>
        <w:trPr>
          <w:trHeight w:val="147"/>
        </w:trPr>
        <w:tc>
          <w:tcPr>
            <w:tcW w:w="6320" w:type="dxa"/>
            <w:vAlign w:val="bottom"/>
          </w:tcPr>
          <w:p>
            <w:pPr>
              <w:spacing w:after="0"/>
              <w:rPr>
                <w:sz w:val="20"/>
                <w:szCs w:val="20"/>
                <w:color w:val="auto"/>
              </w:rPr>
            </w:pPr>
            <w:r>
              <w:rPr>
                <w:rFonts w:ascii="Arial" w:cs="Arial" w:eastAsia="Arial" w:hAnsi="Arial"/>
                <w:sz w:val="12"/>
                <w:szCs w:val="12"/>
                <w:color w:val="auto"/>
              </w:rPr>
              <w:t>Share-based payments</w:t>
            </w:r>
            <w:r>
              <w:rPr>
                <w:rFonts w:ascii="Arial" w:cs="Arial" w:eastAsia="Arial" w:hAnsi="Arial"/>
                <w:sz w:val="12"/>
                <w:szCs w:val="12"/>
                <w:b w:val="1"/>
                <w:bCs w:val="1"/>
                <w:color w:val="auto"/>
              </w:rPr>
              <w:t>[D]</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18.0</w:t>
            </w:r>
          </w:p>
        </w:tc>
        <w:tc>
          <w:tcPr>
            <w:tcW w:w="1300" w:type="dxa"/>
            <w:vAlign w:val="bottom"/>
          </w:tcPr>
          <w:p>
            <w:pPr>
              <w:jc w:val="right"/>
              <w:ind w:right="218"/>
              <w:spacing w:after="0"/>
              <w:rPr>
                <w:sz w:val="20"/>
                <w:szCs w:val="20"/>
                <w:color w:val="auto"/>
              </w:rPr>
            </w:pPr>
            <w:r>
              <w:rPr>
                <w:rFonts w:ascii="Arial" w:cs="Arial" w:eastAsia="Arial" w:hAnsi="Arial"/>
                <w:sz w:val="12"/>
                <w:szCs w:val="12"/>
                <w:color w:val="auto"/>
              </w:rPr>
              <w:t>12.5</w:t>
            </w:r>
          </w:p>
        </w:tc>
        <w:tc>
          <w:tcPr>
            <w:tcW w:w="860" w:type="dxa"/>
            <w:vAlign w:val="bottom"/>
          </w:tcPr>
          <w:p>
            <w:pPr>
              <w:jc w:val="right"/>
              <w:ind w:right="18"/>
              <w:spacing w:after="0"/>
              <w:rPr>
                <w:sz w:val="20"/>
                <w:szCs w:val="20"/>
                <w:color w:val="auto"/>
              </w:rPr>
            </w:pPr>
            <w:r>
              <w:rPr>
                <w:rFonts w:ascii="Arial" w:cs="Arial" w:eastAsia="Arial" w:hAnsi="Arial"/>
                <w:sz w:val="12"/>
                <w:szCs w:val="12"/>
                <w:color w:val="auto"/>
              </w:rPr>
              <w:t>4.9</w:t>
            </w:r>
          </w:p>
        </w:tc>
      </w:tr>
      <w:tr>
        <w:trPr>
          <w:trHeight w:val="146"/>
        </w:trPr>
        <w:tc>
          <w:tcPr>
            <w:tcW w:w="63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Realised gains on exercise of share options</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3.5</w:t>
            </w:r>
          </w:p>
        </w:tc>
        <w:tc>
          <w:tcPr>
            <w:tcW w:w="13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1.5</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0.2</w:t>
            </w:r>
          </w:p>
        </w:tc>
      </w:tr>
    </w:tbl>
    <w:p>
      <w:pPr>
        <w:spacing w:after="0" w:line="61" w:lineRule="exact"/>
        <w:rPr>
          <w:sz w:val="20"/>
          <w:szCs w:val="20"/>
          <w:color w:val="auto"/>
        </w:rPr>
      </w:pPr>
    </w:p>
    <w:p>
      <w:pPr>
        <w:ind w:left="2520" w:right="300" w:hanging="230"/>
        <w:spacing w:after="0" w:line="231" w:lineRule="auto"/>
        <w:tabs>
          <w:tab w:leader="none" w:pos="25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In addition to salaries and fees, this includes annual bonus (shown in the related performance year and not in the following year in which they are paid), cash benefits, car benefits, and other benefits such as medicare contributions and social law taxes.</w:t>
      </w:r>
    </w:p>
    <w:p>
      <w:pPr>
        <w:ind w:left="2520" w:right="120" w:hanging="230"/>
        <w:spacing w:after="0" w:line="231" w:lineRule="auto"/>
        <w:tabs>
          <w:tab w:leader="none" w:pos="25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amounts contributed by the Shell group to pension funds. 2005 includes a one-off payment of $ 2.6 million made on behalf of Peter Voser to the Shell Swiss Expatriate Pension Fund.</w:t>
      </w:r>
    </w:p>
    <w:p>
      <w:pPr>
        <w:ind w:left="2520" w:hanging="230"/>
        <w:spacing w:after="0" w:line="231" w:lineRule="auto"/>
        <w:tabs>
          <w:tab w:leader="none" w:pos="25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The annual bonus deferred under the Deferred Bonus Plan.</w:t>
      </w:r>
    </w:p>
    <w:p>
      <w:pPr>
        <w:ind w:left="2520" w:hanging="230"/>
        <w:spacing w:after="0"/>
        <w:tabs>
          <w:tab w:leader="none" w:pos="2520" w:val="left"/>
        </w:tabs>
        <w:numPr>
          <w:ilvl w:val="0"/>
          <w:numId w:val="135"/>
        </w:numPr>
        <w:rPr>
          <w:rFonts w:ascii="Arial" w:cs="Arial" w:eastAsia="Arial" w:hAnsi="Arial"/>
          <w:sz w:val="12"/>
          <w:szCs w:val="12"/>
          <w:color w:val="auto"/>
        </w:rPr>
      </w:pPr>
      <w:r>
        <w:rPr>
          <w:rFonts w:ascii="Arial" w:cs="Arial" w:eastAsia="Arial" w:hAnsi="Arial"/>
          <w:sz w:val="12"/>
          <w:szCs w:val="12"/>
          <w:color w:val="auto"/>
        </w:rPr>
        <w:t>Cost to the Shell group of Directors and Senior Management participation in share-based payment plans.</w:t>
      </w:r>
    </w:p>
    <w:p>
      <w:pPr>
        <w:spacing w:after="0" w:line="89" w:lineRule="exact"/>
        <w:rPr>
          <w:sz w:val="20"/>
          <w:szCs w:val="20"/>
          <w:color w:val="auto"/>
        </w:rPr>
      </w:pPr>
    </w:p>
    <w:p>
      <w:pPr>
        <w:ind w:left="2280" w:right="220"/>
        <w:spacing w:after="0" w:line="247" w:lineRule="auto"/>
        <w:rPr>
          <w:sz w:val="20"/>
          <w:szCs w:val="20"/>
          <w:color w:val="auto"/>
        </w:rPr>
      </w:pPr>
      <w:r>
        <w:rPr>
          <w:rFonts w:ascii="Arial" w:cs="Arial" w:eastAsia="Arial" w:hAnsi="Arial"/>
          <w:sz w:val="14"/>
          <w:szCs w:val="14"/>
          <w:color w:val="auto"/>
        </w:rPr>
        <w:t>There were five members of Senior Management in 2007 compared to one in 2006. In 2005, Directors and Senior Management comprised the Executive and Non-executive Directors of Royal Dutch Shell.</w:t>
      </w:r>
    </w:p>
    <w:p>
      <w:pPr>
        <w:spacing w:after="0" w:line="68"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There were no termination benefits in 2007, 2006 and 2005.</w:t>
      </w:r>
    </w:p>
    <w:p>
      <w:pPr>
        <w:spacing w:after="0" w:line="92"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Aggregate Directors’ emoluments in respect of qualifying services to Royal Dutch Shell are $23.3 million (2006: $18.2 million; 2005: $7.9 million).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7</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w:t>
      </w:r>
    </w:p>
    <w:p>
      <w:pPr>
        <w:spacing w:after="0" w:line="221" w:lineRule="auto"/>
        <w:rPr>
          <w:sz w:val="20"/>
          <w:szCs w:val="20"/>
          <w:color w:val="auto"/>
        </w:rPr>
      </w:pPr>
      <w:r>
        <w:rPr>
          <w:rFonts w:ascii="Arial" w:cs="Arial" w:eastAsia="Arial" w:hAnsi="Arial"/>
          <w:sz w:val="14"/>
          <w:szCs w:val="14"/>
          <w:b w:val="1"/>
          <w:bCs w:val="1"/>
          <w:color w:val="auto"/>
        </w:rPr>
        <w:t>DEVELOPMENT</w:t>
      </w:r>
    </w:p>
    <w:p>
      <w:pPr>
        <w:ind w:left="2280"/>
        <w:spacing w:after="0"/>
        <w:rPr>
          <w:sz w:val="20"/>
          <w:szCs w:val="20"/>
          <w:color w:val="auto"/>
        </w:rPr>
      </w:pPr>
      <w:r>
        <w:rPr>
          <w:rFonts w:ascii="Arial" w:cs="Arial" w:eastAsia="Arial" w:hAnsi="Arial"/>
          <w:sz w:val="14"/>
          <w:szCs w:val="14"/>
          <w:color w:val="auto"/>
        </w:rPr>
        <w:t>In 2007, $1,201 million (2006: $885 million; 2005: $588 million) was charged to cost of sales in respect of research and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-97155</wp:posOffset>
            </wp:positionV>
            <wp:extent cx="8255" cy="279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27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126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7252970"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8</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DEPRECIATION, DEPLETION AND AMORTISATION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Depreciation, depletion and amortisation charges are included within the following expense headings in the Consolidated Statement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-82550</wp:posOffset>
            </wp:positionV>
            <wp:extent cx="8255" cy="72707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72707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52070</wp:posOffset>
            </wp:positionV>
            <wp:extent cx="282575" cy="70199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82575" cy="7019925"/>
                    </a:xfrm>
                    <a:prstGeom prst="rect">
                      <a:avLst/>
                    </a:prstGeom>
                    <a:noFill/>
                  </pic:spPr>
                </pic:pic>
              </a:graphicData>
            </a:graphic>
          </wp:anchor>
        </w:drawing>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920" w:type="dxa"/>
            <w:vAlign w:val="bottom"/>
            <w:shd w:val="clear" w:color="auto" w:fill="7DD0E3"/>
          </w:tcPr>
          <w:p>
            <w:pPr>
              <w:spacing w:after="0"/>
              <w:rPr>
                <w:sz w:val="12"/>
                <w:szCs w:val="12"/>
                <w:color w:val="auto"/>
              </w:rPr>
            </w:pPr>
          </w:p>
        </w:tc>
        <w:tc>
          <w:tcPr>
            <w:tcW w:w="600" w:type="dxa"/>
            <w:vAlign w:val="bottom"/>
            <w:shd w:val="clear" w:color="auto" w:fill="7DD0E3"/>
          </w:tcPr>
          <w:p>
            <w:pPr>
              <w:spacing w:after="0"/>
              <w:rPr>
                <w:sz w:val="12"/>
                <w:szCs w:val="12"/>
                <w:color w:val="auto"/>
              </w:rPr>
            </w:pPr>
          </w:p>
        </w:tc>
        <w:tc>
          <w:tcPr>
            <w:tcW w:w="1180" w:type="dxa"/>
            <w:vAlign w:val="bottom"/>
            <w:shd w:val="clear" w:color="auto" w:fill="7DD0E3"/>
          </w:tcPr>
          <w:p>
            <w:pPr>
              <w:spacing w:after="0"/>
              <w:rPr>
                <w:sz w:val="12"/>
                <w:szCs w:val="12"/>
                <w:color w:val="auto"/>
              </w:rPr>
            </w:pPr>
          </w:p>
        </w:tc>
        <w:tc>
          <w:tcPr>
            <w:tcW w:w="8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5920" w:type="dxa"/>
            <w:vAlign w:val="bottom"/>
            <w:shd w:val="clear" w:color="auto" w:fill="CECAC6"/>
          </w:tcPr>
          <w:p>
            <w:pPr>
              <w:spacing w:after="0"/>
              <w:rPr>
                <w:sz w:val="11"/>
                <w:szCs w:val="11"/>
                <w:color w:val="auto"/>
              </w:rPr>
            </w:pPr>
          </w:p>
        </w:tc>
        <w:tc>
          <w:tcPr>
            <w:tcW w:w="6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5920" w:type="dxa"/>
            <w:vAlign w:val="bottom"/>
          </w:tcPr>
          <w:p>
            <w:pPr>
              <w:spacing w:after="0" w:line="128" w:lineRule="exact"/>
              <w:rPr>
                <w:sz w:val="20"/>
                <w:szCs w:val="20"/>
                <w:color w:val="auto"/>
              </w:rPr>
            </w:pPr>
            <w:r>
              <w:rPr>
                <w:rFonts w:ascii="Arial" w:cs="Arial" w:eastAsia="Arial" w:hAnsi="Arial"/>
                <w:sz w:val="12"/>
                <w:szCs w:val="12"/>
                <w:color w:val="auto"/>
              </w:rPr>
              <w:t>Cost of sales</w:t>
            </w:r>
          </w:p>
        </w:tc>
        <w:tc>
          <w:tcPr>
            <w:tcW w:w="60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11,898</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11,275</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10,384</w:t>
            </w:r>
          </w:p>
        </w:tc>
      </w:tr>
      <w:tr>
        <w:trPr>
          <w:trHeight w:val="133"/>
        </w:trPr>
        <w:tc>
          <w:tcPr>
            <w:tcW w:w="5920" w:type="dxa"/>
            <w:vAlign w:val="bottom"/>
          </w:tcPr>
          <w:p>
            <w:pPr>
              <w:spacing w:after="0" w:line="133" w:lineRule="exact"/>
              <w:rPr>
                <w:sz w:val="20"/>
                <w:szCs w:val="20"/>
                <w:color w:val="auto"/>
              </w:rPr>
            </w:pPr>
            <w:r>
              <w:rPr>
                <w:rFonts w:ascii="Arial" w:cs="Arial" w:eastAsia="Arial" w:hAnsi="Arial"/>
                <w:sz w:val="12"/>
                <w:szCs w:val="12"/>
                <w:color w:val="auto"/>
              </w:rPr>
              <w:t>Selling, distribution and administrative expenses</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1,189</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1,176</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1,472</w:t>
            </w:r>
          </w:p>
        </w:tc>
      </w:tr>
      <w:tr>
        <w:trPr>
          <w:trHeight w:val="139"/>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Exploration</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93</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164</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125</w:t>
            </w:r>
          </w:p>
        </w:tc>
      </w:tr>
      <w:tr>
        <w:trPr>
          <w:trHeight w:val="146"/>
        </w:trPr>
        <w:tc>
          <w:tcPr>
            <w:tcW w:w="5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13,180</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12,615</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11,981</w:t>
            </w:r>
          </w:p>
        </w:tc>
      </w:tr>
    </w:tbl>
    <w:p>
      <w:pPr>
        <w:spacing w:after="0" w:line="200" w:lineRule="exact"/>
        <w:rPr>
          <w:sz w:val="20"/>
          <w:szCs w:val="20"/>
          <w:color w:val="auto"/>
        </w:rPr>
      </w:pPr>
    </w:p>
    <w:p>
      <w:pPr>
        <w:sectPr>
          <w:pgSz w:w="11900" w:h="16838" w:orient="portrait"/>
          <w:cols w:equalWidth="0" w:num="2">
            <w:col w:w="1960" w:space="460"/>
            <w:col w:w="8540"/>
          </w:cols>
          <w:pgMar w:left="240" w:top="415" w:right="69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DISCONTINUED OPERATIONS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In 2005, discontinued operations comprise Basell, a Chemicals joint venture entity (Shell interest 50%) reported on an equity-accounted basis, which was sold in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-198120</wp:posOffset>
            </wp:positionV>
            <wp:extent cx="8255" cy="5327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532765"/>
                    </a:xfrm>
                    <a:prstGeom prst="rect">
                      <a:avLst/>
                    </a:prstGeom>
                    <a:noFill/>
                  </pic:spPr>
                </pic:pic>
              </a:graphicData>
            </a:graphic>
          </wp:anchor>
        </w:drawing>
      </w:r>
    </w:p>
    <w:p>
      <w:pPr>
        <w:spacing w:after="0" w:line="48"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No Shell share of profit was reported in 2005 as the investment was held at estimated fair value less costs to sell. The loss from discontinued operations of $307 million comprises an additional impairment to reflect actual proceeds on sale. The impact on the Consolidated Statement of Cash Flows is included in proceeds from sale of equity-accounted investments.</w:t>
      </w:r>
    </w:p>
    <w:p>
      <w:pPr>
        <w:spacing w:after="0" w:line="200" w:lineRule="exact"/>
        <w:rPr>
          <w:sz w:val="20"/>
          <w:szCs w:val="20"/>
          <w:color w:val="auto"/>
        </w:rPr>
      </w:pPr>
    </w:p>
    <w:p>
      <w:pPr>
        <w:sectPr>
          <w:pgSz w:w="11900" w:h="16838" w:orient="portrait"/>
          <w:cols w:equalWidth="0" w:num="2">
            <w:col w:w="2060" w:space="360"/>
            <w:col w:w="8540"/>
          </w:cols>
          <w:pgMar w:left="240" w:top="415" w:right="699" w:bottom="1440" w:gutter="0" w:footer="0" w:header="0"/>
          <w:type w:val="continuous"/>
        </w:sect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540"/>
        <w:spacing w:after="0" w:line="247" w:lineRule="auto"/>
        <w:rPr>
          <w:sz w:val="20"/>
          <w:szCs w:val="20"/>
          <w:color w:val="auto"/>
        </w:rPr>
      </w:pPr>
      <w:r>
        <w:rPr>
          <w:rFonts w:ascii="Arial" w:cs="Arial" w:eastAsia="Arial" w:hAnsi="Arial"/>
          <w:sz w:val="14"/>
          <w:szCs w:val="14"/>
          <w:color w:val="auto"/>
        </w:rPr>
        <w:t xml:space="preserve">With effect from 2007, segment information is reported in accordance with IFRS 8 </w:t>
      </w:r>
      <w:r>
        <w:rPr>
          <w:rFonts w:ascii="Arial" w:cs="Arial" w:eastAsia="Arial" w:hAnsi="Arial"/>
          <w:sz w:val="14"/>
          <w:szCs w:val="14"/>
          <w:i w:val="1"/>
          <w:iCs w:val="1"/>
          <w:color w:val="auto"/>
        </w:rPr>
        <w:t>Operating Segments</w:t>
      </w:r>
      <w:r>
        <w:rPr>
          <w:rFonts w:ascii="Arial" w:cs="Arial" w:eastAsia="Arial" w:hAnsi="Arial"/>
          <w:sz w:val="14"/>
          <w:szCs w:val="14"/>
          <w:color w:val="auto"/>
        </w:rPr>
        <w:t xml:space="preserve">, which has replaced IAS 14 </w:t>
      </w:r>
      <w:r>
        <w:rPr>
          <w:rFonts w:ascii="Arial" w:cs="Arial" w:eastAsia="Arial" w:hAnsi="Arial"/>
          <w:sz w:val="14"/>
          <w:szCs w:val="14"/>
          <w:i w:val="1"/>
          <w:iCs w:val="1"/>
          <w:color w:val="auto"/>
        </w:rPr>
        <w:t>Segment</w:t>
      </w:r>
      <w:r>
        <w:rPr>
          <w:rFonts w:ascii="Arial" w:cs="Arial" w:eastAsia="Arial" w:hAnsi="Arial"/>
          <w:sz w:val="14"/>
          <w:szCs w:val="14"/>
          <w:color w:val="auto"/>
        </w:rPr>
        <w:t xml:space="preserve"> </w:t>
      </w:r>
      <w:r>
        <w:rPr>
          <w:rFonts w:ascii="Arial" w:cs="Arial" w:eastAsia="Arial" w:hAnsi="Arial"/>
          <w:sz w:val="14"/>
          <w:szCs w:val="14"/>
          <w:i w:val="1"/>
          <w:iCs w:val="1"/>
          <w:color w:val="auto"/>
        </w:rPr>
        <w:t>Reporting</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-198120</wp:posOffset>
            </wp:positionV>
            <wp:extent cx="8255" cy="34759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34759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INFORMATION BY BUSINESS SEGMENT</w:t>
      </w:r>
    </w:p>
    <w:p>
      <w:pPr>
        <w:spacing w:after="0" w:line="6"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With effect from 2007, wind and solar activities, which were previously reported within Other industry segments, are reported within the Gas &amp; Power segment and Oil Sands activities, which were previously reported within the Exploration &amp; Production segment, are reported as a separate segment. Prior period financial statements have been reclassified accordingly. During 2007, the hydrogen and CO</w:t>
      </w:r>
      <w:r>
        <w:rPr>
          <w:rFonts w:ascii="Arial" w:cs="Arial" w:eastAsia="Arial" w:hAnsi="Arial"/>
          <w:sz w:val="12"/>
          <w:szCs w:val="12"/>
          <w:color w:val="auto"/>
        </w:rPr>
        <w:t>2</w:t>
      </w:r>
      <w:r>
        <w:rPr>
          <w:rFonts w:ascii="Arial" w:cs="Arial" w:eastAsia="Arial" w:hAnsi="Arial"/>
          <w:sz w:val="14"/>
          <w:szCs w:val="14"/>
          <w:color w:val="auto"/>
        </w:rPr>
        <w:t xml:space="preserve"> coordination activities were moved from Other industry segments to the Oil Products segment and all other activities within Other industry segments are now reported within the Corporate segment.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840" w:type="dxa"/>
            <w:vAlign w:val="bottom"/>
            <w:shd w:val="clear" w:color="auto" w:fill="7DD0E3"/>
          </w:tcPr>
          <w:p>
            <w:pPr>
              <w:spacing w:after="0"/>
              <w:rPr>
                <w:sz w:val="12"/>
                <w:szCs w:val="12"/>
                <w:color w:val="auto"/>
              </w:rPr>
            </w:pPr>
          </w:p>
        </w:tc>
        <w:tc>
          <w:tcPr>
            <w:tcW w:w="300" w:type="dxa"/>
            <w:vAlign w:val="bottom"/>
            <w:shd w:val="clear" w:color="auto" w:fill="7DD0E3"/>
          </w:tcPr>
          <w:p>
            <w:pPr>
              <w:spacing w:after="0"/>
              <w:rPr>
                <w:sz w:val="12"/>
                <w:szCs w:val="12"/>
                <w:color w:val="auto"/>
              </w:rPr>
            </w:pPr>
          </w:p>
        </w:tc>
        <w:tc>
          <w:tcPr>
            <w:tcW w:w="1020" w:type="dxa"/>
            <w:vAlign w:val="bottom"/>
            <w:shd w:val="clear" w:color="auto" w:fill="7DD0E3"/>
          </w:tcPr>
          <w:p>
            <w:pPr>
              <w:spacing w:after="0"/>
              <w:rPr>
                <w:sz w:val="12"/>
                <w:szCs w:val="12"/>
                <w:color w:val="auto"/>
              </w:rPr>
            </w:pPr>
          </w:p>
        </w:tc>
        <w:tc>
          <w:tcPr>
            <w:tcW w:w="900" w:type="dxa"/>
            <w:vAlign w:val="bottom"/>
            <w:shd w:val="clear" w:color="auto" w:fill="7DD0E3"/>
          </w:tcPr>
          <w:p>
            <w:pPr>
              <w:spacing w:after="0"/>
              <w:rPr>
                <w:sz w:val="12"/>
                <w:szCs w:val="12"/>
                <w:color w:val="auto"/>
              </w:rPr>
            </w:pPr>
          </w:p>
        </w:tc>
        <w:tc>
          <w:tcPr>
            <w:tcW w:w="840" w:type="dxa"/>
            <w:vAlign w:val="bottom"/>
            <w:shd w:val="clear" w:color="auto" w:fill="7DD0E3"/>
          </w:tcPr>
          <w:p>
            <w:pPr>
              <w:spacing w:after="0"/>
              <w:rPr>
                <w:sz w:val="12"/>
                <w:szCs w:val="12"/>
                <w:color w:val="auto"/>
              </w:rPr>
            </w:pPr>
          </w:p>
        </w:tc>
        <w:tc>
          <w:tcPr>
            <w:tcW w:w="920" w:type="dxa"/>
            <w:vAlign w:val="bottom"/>
            <w:shd w:val="clear" w:color="auto" w:fill="7DD0E3"/>
          </w:tcPr>
          <w:p>
            <w:pPr>
              <w:spacing w:after="0"/>
              <w:rPr>
                <w:sz w:val="12"/>
                <w:szCs w:val="12"/>
                <w:color w:val="auto"/>
              </w:rPr>
            </w:pPr>
          </w:p>
        </w:tc>
        <w:tc>
          <w:tcPr>
            <w:tcW w:w="980" w:type="dxa"/>
            <w:vAlign w:val="bottom"/>
            <w:shd w:val="clear" w:color="auto" w:fill="7DD0E3"/>
          </w:tcPr>
          <w:p>
            <w:pPr>
              <w:spacing w:after="0"/>
              <w:rPr>
                <w:sz w:val="12"/>
                <w:szCs w:val="12"/>
                <w:color w:val="auto"/>
              </w:rPr>
            </w:pPr>
          </w:p>
        </w:tc>
        <w:tc>
          <w:tcPr>
            <w:tcW w:w="960" w:type="dxa"/>
            <w:vAlign w:val="bottom"/>
            <w:shd w:val="clear" w:color="auto" w:fill="7DD0E3"/>
          </w:tcPr>
          <w:p>
            <w:pPr>
              <w:spacing w:after="0"/>
              <w:rPr>
                <w:sz w:val="12"/>
                <w:szCs w:val="12"/>
                <w:color w:val="auto"/>
              </w:rPr>
            </w:pPr>
          </w:p>
        </w:tc>
        <w:tc>
          <w:tcPr>
            <w:tcW w:w="78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840" w:type="dxa"/>
            <w:vAlign w:val="bottom"/>
            <w:shd w:val="clear" w:color="auto" w:fill="CECAC6"/>
          </w:tcPr>
          <w:p>
            <w:pPr>
              <w:spacing w:after="0"/>
              <w:rPr>
                <w:sz w:val="12"/>
                <w:szCs w:val="12"/>
                <w:color w:val="auto"/>
              </w:rPr>
            </w:pPr>
          </w:p>
        </w:tc>
        <w:tc>
          <w:tcPr>
            <w:tcW w:w="300" w:type="dxa"/>
            <w:vAlign w:val="bottom"/>
            <w:shd w:val="clear" w:color="auto" w:fill="CECAC6"/>
          </w:tcPr>
          <w:p>
            <w:pPr>
              <w:spacing w:after="0"/>
              <w:rPr>
                <w:sz w:val="12"/>
                <w:szCs w:val="12"/>
                <w:color w:val="auto"/>
              </w:rPr>
            </w:pPr>
          </w:p>
        </w:tc>
        <w:tc>
          <w:tcPr>
            <w:tcW w:w="1020" w:type="dxa"/>
            <w:vAlign w:val="bottom"/>
            <w:vMerge w:val="restart"/>
            <w:shd w:val="clear" w:color="auto" w:fill="CECAC6"/>
          </w:tcPr>
          <w:p>
            <w:pPr>
              <w:jc w:val="right"/>
              <w:ind w:right="218"/>
              <w:spacing w:after="0"/>
              <w:rPr>
                <w:sz w:val="20"/>
                <w:szCs w:val="20"/>
                <w:color w:val="auto"/>
              </w:rPr>
            </w:pPr>
            <w:r>
              <w:rPr>
                <w:rFonts w:ascii="Arial" w:cs="Arial" w:eastAsia="Arial" w:hAnsi="Arial"/>
                <w:sz w:val="12"/>
                <w:szCs w:val="12"/>
                <w:color w:val="auto"/>
              </w:rPr>
              <w:t>Exploration &amp;</w:t>
            </w:r>
          </w:p>
        </w:tc>
        <w:tc>
          <w:tcPr>
            <w:tcW w:w="900" w:type="dxa"/>
            <w:vAlign w:val="bottom"/>
            <w:vMerge w:val="restart"/>
            <w:shd w:val="clear" w:color="auto" w:fill="CECAC6"/>
          </w:tcPr>
          <w:p>
            <w:pPr>
              <w:jc w:val="right"/>
              <w:ind w:right="218"/>
              <w:spacing w:after="0"/>
              <w:rPr>
                <w:sz w:val="20"/>
                <w:szCs w:val="20"/>
                <w:color w:val="auto"/>
              </w:rPr>
            </w:pPr>
            <w:r>
              <w:rPr>
                <w:rFonts w:ascii="Arial" w:cs="Arial" w:eastAsia="Arial" w:hAnsi="Arial"/>
                <w:sz w:val="12"/>
                <w:szCs w:val="12"/>
                <w:color w:val="auto"/>
              </w:rPr>
              <w:t>Gas &amp;</w:t>
            </w:r>
          </w:p>
        </w:tc>
        <w:tc>
          <w:tcPr>
            <w:tcW w:w="840" w:type="dxa"/>
            <w:vAlign w:val="bottom"/>
            <w:vMerge w:val="restart"/>
            <w:shd w:val="clear" w:color="auto" w:fill="CECAC6"/>
          </w:tcPr>
          <w:p>
            <w:pPr>
              <w:jc w:val="right"/>
              <w:ind w:right="178"/>
              <w:spacing w:after="0"/>
              <w:rPr>
                <w:sz w:val="20"/>
                <w:szCs w:val="20"/>
                <w:color w:val="auto"/>
              </w:rPr>
            </w:pPr>
            <w:r>
              <w:rPr>
                <w:rFonts w:ascii="Arial" w:cs="Arial" w:eastAsia="Arial" w:hAnsi="Arial"/>
                <w:sz w:val="12"/>
                <w:szCs w:val="12"/>
                <w:color w:val="auto"/>
              </w:rPr>
              <w:t>Oil</w:t>
            </w:r>
          </w:p>
        </w:tc>
        <w:tc>
          <w:tcPr>
            <w:tcW w:w="920" w:type="dxa"/>
            <w:vAlign w:val="bottom"/>
            <w:vMerge w:val="restart"/>
            <w:shd w:val="clear" w:color="auto" w:fill="CECAC6"/>
          </w:tcPr>
          <w:p>
            <w:pPr>
              <w:jc w:val="right"/>
              <w:ind w:right="158"/>
              <w:spacing w:after="0"/>
              <w:rPr>
                <w:sz w:val="20"/>
                <w:szCs w:val="20"/>
                <w:color w:val="auto"/>
              </w:rPr>
            </w:pPr>
            <w:r>
              <w:rPr>
                <w:rFonts w:ascii="Arial" w:cs="Arial" w:eastAsia="Arial" w:hAnsi="Arial"/>
                <w:sz w:val="12"/>
                <w:szCs w:val="12"/>
                <w:color w:val="auto"/>
              </w:rPr>
              <w:t>Oil</w:t>
            </w:r>
          </w:p>
        </w:tc>
        <w:tc>
          <w:tcPr>
            <w:tcW w:w="980" w:type="dxa"/>
            <w:vAlign w:val="bottom"/>
            <w:shd w:val="clear" w:color="auto" w:fill="CECAC6"/>
          </w:tcPr>
          <w:p>
            <w:pPr>
              <w:spacing w:after="0"/>
              <w:rPr>
                <w:sz w:val="12"/>
                <w:szCs w:val="12"/>
                <w:color w:val="auto"/>
              </w:rPr>
            </w:pPr>
          </w:p>
        </w:tc>
        <w:tc>
          <w:tcPr>
            <w:tcW w:w="960" w:type="dxa"/>
            <w:vAlign w:val="bottom"/>
            <w:shd w:val="clear" w:color="auto" w:fill="CECAC6"/>
          </w:tcPr>
          <w:p>
            <w:pPr>
              <w:spacing w:after="0"/>
              <w:rPr>
                <w:sz w:val="12"/>
                <w:szCs w:val="12"/>
                <w:color w:val="auto"/>
              </w:rPr>
            </w:pPr>
          </w:p>
        </w:tc>
        <w:tc>
          <w:tcPr>
            <w:tcW w:w="7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27"/>
        </w:trPr>
        <w:tc>
          <w:tcPr>
            <w:tcW w:w="1840" w:type="dxa"/>
            <w:vAlign w:val="bottom"/>
            <w:shd w:val="clear" w:color="auto" w:fill="CECAC6"/>
          </w:tcPr>
          <w:p>
            <w:pPr>
              <w:spacing w:after="0"/>
              <w:rPr>
                <w:sz w:val="11"/>
                <w:szCs w:val="11"/>
                <w:color w:val="auto"/>
              </w:rPr>
            </w:pPr>
          </w:p>
        </w:tc>
        <w:tc>
          <w:tcPr>
            <w:tcW w:w="300" w:type="dxa"/>
            <w:vAlign w:val="bottom"/>
            <w:shd w:val="clear" w:color="auto" w:fill="CECAC6"/>
          </w:tcPr>
          <w:p>
            <w:pPr>
              <w:spacing w:after="0"/>
              <w:rPr>
                <w:sz w:val="11"/>
                <w:szCs w:val="11"/>
                <w:color w:val="auto"/>
              </w:rPr>
            </w:pPr>
          </w:p>
        </w:tc>
        <w:tc>
          <w:tcPr>
            <w:tcW w:w="1020" w:type="dxa"/>
            <w:vAlign w:val="bottom"/>
            <w:vMerge w:val="continue"/>
            <w:shd w:val="clear" w:color="auto" w:fill="CECAC6"/>
          </w:tcPr>
          <w:p>
            <w:pPr>
              <w:spacing w:after="0"/>
              <w:rPr>
                <w:sz w:val="11"/>
                <w:szCs w:val="11"/>
                <w:color w:val="auto"/>
              </w:rPr>
            </w:pPr>
          </w:p>
        </w:tc>
        <w:tc>
          <w:tcPr>
            <w:tcW w:w="900" w:type="dxa"/>
            <w:vAlign w:val="bottom"/>
            <w:vMerge w:val="continue"/>
            <w:shd w:val="clear" w:color="auto" w:fill="CECAC6"/>
          </w:tcPr>
          <w:p>
            <w:pPr>
              <w:spacing w:after="0"/>
              <w:rPr>
                <w:sz w:val="11"/>
                <w:szCs w:val="11"/>
                <w:color w:val="auto"/>
              </w:rPr>
            </w:pPr>
          </w:p>
        </w:tc>
        <w:tc>
          <w:tcPr>
            <w:tcW w:w="840" w:type="dxa"/>
            <w:vAlign w:val="bottom"/>
            <w:vMerge w:val="continue"/>
            <w:shd w:val="clear" w:color="auto" w:fill="CECAC6"/>
          </w:tcPr>
          <w:p>
            <w:pPr>
              <w:spacing w:after="0"/>
              <w:rPr>
                <w:sz w:val="11"/>
                <w:szCs w:val="11"/>
                <w:color w:val="auto"/>
              </w:rPr>
            </w:pPr>
          </w:p>
        </w:tc>
        <w:tc>
          <w:tcPr>
            <w:tcW w:w="920" w:type="dxa"/>
            <w:vAlign w:val="bottom"/>
            <w:vMerge w:val="continue"/>
            <w:shd w:val="clear" w:color="auto" w:fill="CECAC6"/>
          </w:tcPr>
          <w:p>
            <w:pPr>
              <w:spacing w:after="0"/>
              <w:rPr>
                <w:sz w:val="11"/>
                <w:szCs w:val="11"/>
                <w:color w:val="auto"/>
              </w:rPr>
            </w:pPr>
          </w:p>
        </w:tc>
        <w:tc>
          <w:tcPr>
            <w:tcW w:w="980" w:type="dxa"/>
            <w:vAlign w:val="bottom"/>
            <w:shd w:val="clear" w:color="auto" w:fill="CECAC6"/>
          </w:tcPr>
          <w:p>
            <w:pPr>
              <w:spacing w:after="0"/>
              <w:rPr>
                <w:sz w:val="11"/>
                <w:szCs w:val="11"/>
                <w:color w:val="auto"/>
              </w:rPr>
            </w:pPr>
          </w:p>
        </w:tc>
        <w:tc>
          <w:tcPr>
            <w:tcW w:w="96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40" w:type="dxa"/>
            <w:vAlign w:val="bottom"/>
            <w:shd w:val="clear" w:color="auto" w:fill="CECAC6"/>
          </w:tcPr>
          <w:p>
            <w:pPr>
              <w:spacing w:after="0"/>
              <w:rPr>
                <w:sz w:val="12"/>
                <w:szCs w:val="12"/>
                <w:color w:val="auto"/>
              </w:rPr>
            </w:pPr>
          </w:p>
        </w:tc>
        <w:tc>
          <w:tcPr>
            <w:tcW w:w="300" w:type="dxa"/>
            <w:vAlign w:val="bottom"/>
            <w:shd w:val="clear" w:color="auto" w:fill="CECAC6"/>
          </w:tcPr>
          <w:p>
            <w:pPr>
              <w:spacing w:after="0"/>
              <w:rPr>
                <w:sz w:val="12"/>
                <w:szCs w:val="12"/>
                <w:color w:val="auto"/>
              </w:rPr>
            </w:pPr>
          </w:p>
        </w:tc>
        <w:tc>
          <w:tcPr>
            <w:tcW w:w="10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Production</w:t>
            </w:r>
          </w:p>
        </w:tc>
        <w:tc>
          <w:tcPr>
            <w:tcW w:w="90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Power</w:t>
            </w:r>
          </w:p>
        </w:tc>
        <w:tc>
          <w:tcPr>
            <w:tcW w:w="8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Sands</w:t>
            </w:r>
          </w:p>
        </w:tc>
        <w:tc>
          <w:tcPr>
            <w:tcW w:w="9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Products</w:t>
            </w:r>
          </w:p>
        </w:tc>
        <w:tc>
          <w:tcPr>
            <w:tcW w:w="9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Chemicals</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Corporate</w:t>
            </w:r>
          </w:p>
        </w:tc>
        <w:tc>
          <w:tcPr>
            <w:tcW w:w="7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84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ind w:left="200"/>
              <w:spacing w:after="0" w:line="133" w:lineRule="exact"/>
              <w:rPr>
                <w:sz w:val="20"/>
                <w:szCs w:val="20"/>
                <w:color w:val="auto"/>
              </w:rPr>
            </w:pPr>
            <w:r>
              <w:rPr>
                <w:rFonts w:ascii="Arial" w:cs="Arial" w:eastAsia="Arial" w:hAnsi="Arial"/>
                <w:sz w:val="12"/>
                <w:szCs w:val="12"/>
                <w:color w:val="auto"/>
              </w:rPr>
              <w:t>Third party</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14,963</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15,982</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1,069</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282,665</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41,046</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57</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355,782</w:t>
            </w:r>
          </w:p>
        </w:tc>
        <w:tc>
          <w:tcPr>
            <w:tcW w:w="0" w:type="dxa"/>
            <w:vAlign w:val="bottom"/>
          </w:tcPr>
          <w:p>
            <w:pPr>
              <w:spacing w:after="0"/>
              <w:rPr>
                <w:sz w:val="1"/>
                <w:szCs w:val="1"/>
                <w:color w:val="auto"/>
              </w:rPr>
            </w:pPr>
          </w:p>
        </w:tc>
      </w:tr>
      <w:tr>
        <w:trPr>
          <w:trHeight w:val="133"/>
        </w:trPr>
        <w:tc>
          <w:tcPr>
            <w:tcW w:w="1840" w:type="dxa"/>
            <w:vAlign w:val="bottom"/>
          </w:tcPr>
          <w:p>
            <w:pPr>
              <w:ind w:left="200"/>
              <w:spacing w:after="0" w:line="133" w:lineRule="exact"/>
              <w:rPr>
                <w:sz w:val="20"/>
                <w:szCs w:val="20"/>
                <w:color w:val="auto"/>
              </w:rPr>
            </w:pPr>
            <w:r>
              <w:rPr>
                <w:rFonts w:ascii="Arial" w:cs="Arial" w:eastAsia="Arial" w:hAnsi="Arial"/>
                <w:sz w:val="12"/>
                <w:szCs w:val="12"/>
                <w:color w:val="auto"/>
              </w:rPr>
              <w:t>Intersegment</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38,345</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1,056</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1,785</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3,407</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4,865</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Share of profit of equity-</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accounted investments</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3,583</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1,852</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2,221</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694</w:t>
            </w:r>
          </w:p>
        </w:tc>
        <w:tc>
          <w:tcPr>
            <w:tcW w:w="9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(116)</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8,234</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Interest and other income</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73</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743</w:t>
            </w:r>
          </w:p>
        </w:tc>
        <w:tc>
          <w:tcPr>
            <w:tcW w:w="8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71</w:t>
            </w:r>
          </w:p>
        </w:tc>
        <w:tc>
          <w:tcPr>
            <w:tcW w:w="9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(11)</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1,823</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2,698</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Interest expense</w:t>
            </w:r>
          </w:p>
        </w:tc>
        <w:tc>
          <w:tcPr>
            <w:tcW w:w="1320" w:type="dxa"/>
            <w:vAlign w:val="bottom"/>
            <w:gridSpan w:val="2"/>
          </w:tcPr>
          <w:p>
            <w:pPr>
              <w:jc w:val="right"/>
              <w:ind w:right="178"/>
              <w:spacing w:after="0" w:line="133" w:lineRule="exact"/>
              <w:rPr>
                <w:sz w:val="20"/>
                <w:szCs w:val="20"/>
                <w:color w:val="auto"/>
              </w:rPr>
            </w:pPr>
            <w:r>
              <w:rPr>
                <w:rFonts w:ascii="Arial" w:cs="Arial" w:eastAsia="Arial" w:hAnsi="Arial"/>
                <w:sz w:val="12"/>
                <w:szCs w:val="12"/>
                <w:color w:val="auto"/>
              </w:rPr>
              <w:t>(463)</w:t>
            </w:r>
          </w:p>
        </w:tc>
        <w:tc>
          <w:tcPr>
            <w:tcW w:w="9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w:t>
            </w:r>
          </w:p>
        </w:tc>
        <w:tc>
          <w:tcPr>
            <w:tcW w:w="8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(58)</w:t>
            </w:r>
          </w:p>
        </w:tc>
        <w:tc>
          <w:tcPr>
            <w:tcW w:w="9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(10)</w:t>
            </w:r>
          </w:p>
        </w:tc>
        <w:tc>
          <w:tcPr>
            <w:tcW w:w="9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(569)</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(1,108)</w:t>
            </w:r>
          </w:p>
        </w:tc>
        <w:tc>
          <w:tcPr>
            <w:tcW w:w="0" w:type="dxa"/>
            <w:vAlign w:val="bottom"/>
          </w:tcPr>
          <w:p>
            <w:pPr>
              <w:spacing w:after="0"/>
              <w:rPr>
                <w:sz w:val="1"/>
                <w:szCs w:val="1"/>
                <w:color w:val="auto"/>
              </w:rPr>
            </w:pPr>
          </w:p>
        </w:tc>
      </w:tr>
      <w:tr>
        <w:trPr>
          <w:trHeight w:val="139"/>
        </w:trPr>
        <w:tc>
          <w:tcPr>
            <w:tcW w:w="1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32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2"/>
                <w:szCs w:val="12"/>
                <w:color w:val="auto"/>
              </w:rPr>
              <w:t>(15,372)</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(197)</w:t>
            </w:r>
          </w:p>
        </w:tc>
        <w:tc>
          <w:tcPr>
            <w:tcW w:w="8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(124)</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(3,113)</w:t>
            </w:r>
          </w:p>
        </w:tc>
        <w:tc>
          <w:tcPr>
            <w:tcW w:w="9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(396)</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552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(18,650)</w:t>
            </w:r>
          </w:p>
        </w:tc>
        <w:tc>
          <w:tcPr>
            <w:tcW w:w="0" w:type="dxa"/>
            <w:vAlign w:val="bottom"/>
          </w:tcPr>
          <w:p>
            <w:pPr>
              <w:spacing w:after="0"/>
              <w:rPr>
                <w:sz w:val="1"/>
                <w:szCs w:val="1"/>
                <w:color w:val="auto"/>
              </w:rPr>
            </w:pPr>
          </w:p>
        </w:tc>
      </w:tr>
      <w:tr>
        <w:trPr>
          <w:trHeight w:val="120"/>
        </w:trPr>
        <w:tc>
          <w:tcPr>
            <w:tcW w:w="1840" w:type="dxa"/>
            <w:vAlign w:val="bottom"/>
          </w:tcPr>
          <w:p>
            <w:pPr>
              <w:spacing w:after="0" w:line="120" w:lineRule="exact"/>
              <w:rPr>
                <w:sz w:val="20"/>
                <w:szCs w:val="20"/>
                <w:color w:val="auto"/>
              </w:rPr>
            </w:pPr>
            <w:r>
              <w:rPr>
                <w:rFonts w:ascii="Arial" w:cs="Arial" w:eastAsia="Arial" w:hAnsi="Arial"/>
                <w:sz w:val="12"/>
                <w:szCs w:val="12"/>
                <w:b w:val="1"/>
                <w:bCs w:val="1"/>
                <w:color w:val="auto"/>
              </w:rPr>
              <w:t>Income from continuing</w:t>
            </w: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840" w:type="dxa"/>
            <w:vAlign w:val="bottom"/>
          </w:tcPr>
          <w:p>
            <w:pPr>
              <w:spacing w:after="0"/>
              <w:rPr>
                <w:sz w:val="20"/>
                <w:szCs w:val="20"/>
                <w:color w:val="auto"/>
              </w:rPr>
            </w:pPr>
            <w:r>
              <w:rPr>
                <w:rFonts w:ascii="Arial" w:cs="Arial" w:eastAsia="Arial" w:hAnsi="Arial"/>
                <w:sz w:val="12"/>
                <w:szCs w:val="12"/>
                <w:b w:val="1"/>
                <w:bCs w:val="1"/>
                <w:color w:val="auto"/>
              </w:rPr>
              <w:t>operations</w:t>
            </w:r>
          </w:p>
        </w:tc>
        <w:tc>
          <w:tcPr>
            <w:tcW w:w="1320" w:type="dxa"/>
            <w:vAlign w:val="bottom"/>
            <w:gridSpan w:val="2"/>
          </w:tcPr>
          <w:p>
            <w:pPr>
              <w:jc w:val="right"/>
              <w:ind w:right="218"/>
              <w:spacing w:after="0"/>
              <w:rPr>
                <w:sz w:val="20"/>
                <w:szCs w:val="20"/>
                <w:color w:val="auto"/>
              </w:rPr>
            </w:pPr>
            <w:r>
              <w:rPr>
                <w:rFonts w:ascii="Arial" w:cs="Arial" w:eastAsia="Arial" w:hAnsi="Arial"/>
                <w:sz w:val="12"/>
                <w:szCs w:val="12"/>
                <w:color w:val="auto"/>
              </w:rPr>
              <w:t>14,686</w:t>
            </w:r>
          </w:p>
        </w:tc>
        <w:tc>
          <w:tcPr>
            <w:tcW w:w="900" w:type="dxa"/>
            <w:vAlign w:val="bottom"/>
          </w:tcPr>
          <w:p>
            <w:pPr>
              <w:jc w:val="right"/>
              <w:ind w:right="218"/>
              <w:spacing w:after="0"/>
              <w:rPr>
                <w:sz w:val="20"/>
                <w:szCs w:val="20"/>
                <w:color w:val="auto"/>
              </w:rPr>
            </w:pPr>
            <w:r>
              <w:rPr>
                <w:rFonts w:ascii="Arial" w:cs="Arial" w:eastAsia="Arial" w:hAnsi="Arial"/>
                <w:sz w:val="12"/>
                <w:szCs w:val="12"/>
                <w:color w:val="auto"/>
              </w:rPr>
              <w:t>2,781</w:t>
            </w:r>
          </w:p>
        </w:tc>
        <w:tc>
          <w:tcPr>
            <w:tcW w:w="840" w:type="dxa"/>
            <w:vAlign w:val="bottom"/>
          </w:tcPr>
          <w:p>
            <w:pPr>
              <w:jc w:val="right"/>
              <w:ind w:right="178"/>
              <w:spacing w:after="0"/>
              <w:rPr>
                <w:sz w:val="20"/>
                <w:szCs w:val="20"/>
                <w:color w:val="auto"/>
              </w:rPr>
            </w:pPr>
            <w:r>
              <w:rPr>
                <w:rFonts w:ascii="Arial" w:cs="Arial" w:eastAsia="Arial" w:hAnsi="Arial"/>
                <w:sz w:val="12"/>
                <w:szCs w:val="12"/>
                <w:color w:val="auto"/>
              </w:rPr>
              <w:t>582</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10,439</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2,051</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1,387</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31,926</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Income/(loss) from discontinued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operations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Income for the period</w:t>
            </w:r>
          </w:p>
        </w:tc>
        <w:tc>
          <w:tcPr>
            <w:tcW w:w="132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14,686</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2,781</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582</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10,439</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2,051</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1,387</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31,926</w:t>
            </w:r>
          </w:p>
        </w:tc>
        <w:tc>
          <w:tcPr>
            <w:tcW w:w="0" w:type="dxa"/>
            <w:vAlign w:val="bottom"/>
          </w:tcPr>
          <w:p>
            <w:pPr>
              <w:spacing w:after="0"/>
              <w:rPr>
                <w:sz w:val="1"/>
                <w:szCs w:val="1"/>
                <w:color w:val="auto"/>
              </w:rPr>
            </w:pP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color w:val="auto"/>
              </w:rPr>
              <w:t>Depreciation, depletion and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amortisation charge</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9,432</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315</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166</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2,440</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666</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161</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13,180</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of which:</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ind w:left="200"/>
              <w:spacing w:after="0" w:line="133" w:lineRule="exact"/>
              <w:rPr>
                <w:sz w:val="20"/>
                <w:szCs w:val="20"/>
                <w:color w:val="auto"/>
              </w:rPr>
            </w:pPr>
            <w:r>
              <w:rPr>
                <w:rFonts w:ascii="Arial" w:cs="Arial" w:eastAsia="Arial" w:hAnsi="Arial"/>
                <w:sz w:val="12"/>
                <w:szCs w:val="12"/>
                <w:color w:val="auto"/>
              </w:rPr>
              <w:t>Impairment losses</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575</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126</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47</w:t>
            </w:r>
          </w:p>
        </w:tc>
        <w:tc>
          <w:tcPr>
            <w:tcW w:w="9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745</w:t>
            </w:r>
          </w:p>
        </w:tc>
        <w:tc>
          <w:tcPr>
            <w:tcW w:w="0" w:type="dxa"/>
            <w:vAlign w:val="bottom"/>
          </w:tcPr>
          <w:p>
            <w:pPr>
              <w:spacing w:after="0"/>
              <w:rPr>
                <w:sz w:val="1"/>
                <w:szCs w:val="1"/>
                <w:color w:val="auto"/>
              </w:rPr>
            </w:pPr>
          </w:p>
        </w:tc>
      </w:tr>
      <w:tr>
        <w:trPr>
          <w:trHeight w:val="148"/>
        </w:trPr>
        <w:tc>
          <w:tcPr>
            <w:tcW w:w="1840" w:type="dxa"/>
            <w:vAlign w:val="bottom"/>
          </w:tcPr>
          <w:p>
            <w:pPr>
              <w:ind w:left="200"/>
              <w:spacing w:after="0"/>
              <w:rPr>
                <w:sz w:val="20"/>
                <w:szCs w:val="20"/>
                <w:color w:val="auto"/>
              </w:rPr>
            </w:pPr>
            <w:r>
              <w:rPr>
                <w:rFonts w:ascii="Arial" w:cs="Arial" w:eastAsia="Arial" w:hAnsi="Arial"/>
                <w:sz w:val="12"/>
                <w:szCs w:val="12"/>
                <w:color w:val="auto"/>
              </w:rPr>
              <w:t>Impairment reversals</w:t>
            </w:r>
          </w:p>
        </w:tc>
        <w:tc>
          <w:tcPr>
            <w:tcW w:w="1320" w:type="dxa"/>
            <w:vAlign w:val="bottom"/>
            <w:gridSpan w:val="2"/>
          </w:tcPr>
          <w:p>
            <w:pPr>
              <w:jc w:val="right"/>
              <w:ind w:right="218"/>
              <w:spacing w:after="0"/>
              <w:rPr>
                <w:sz w:val="20"/>
                <w:szCs w:val="20"/>
                <w:color w:val="auto"/>
              </w:rPr>
            </w:pPr>
            <w:r>
              <w:rPr>
                <w:rFonts w:ascii="Arial" w:cs="Arial" w:eastAsia="Arial" w:hAnsi="Arial"/>
                <w:sz w:val="12"/>
                <w:szCs w:val="12"/>
                <w:color w:val="auto"/>
              </w:rPr>
              <w:t>120</w:t>
            </w:r>
          </w:p>
        </w:tc>
        <w:tc>
          <w:tcPr>
            <w:tcW w:w="90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5</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125</w:t>
            </w:r>
          </w:p>
        </w:tc>
        <w:tc>
          <w:tcPr>
            <w:tcW w:w="0" w:type="dxa"/>
            <w:vAlign w:val="bottom"/>
          </w:tcPr>
          <w:p>
            <w:pPr>
              <w:spacing w:after="0"/>
              <w:rPr>
                <w:sz w:val="1"/>
                <w:szCs w:val="1"/>
                <w:color w:val="auto"/>
              </w:rPr>
            </w:pPr>
          </w:p>
        </w:tc>
      </w:tr>
      <w:tr>
        <w:trPr>
          <w:trHeight w:val="251"/>
        </w:trPr>
        <w:tc>
          <w:tcPr>
            <w:tcW w:w="1840" w:type="dxa"/>
            <w:vAlign w:val="bottom"/>
          </w:tcPr>
          <w:p>
            <w:pPr>
              <w:spacing w:after="0"/>
              <w:rPr>
                <w:sz w:val="20"/>
                <w:szCs w:val="20"/>
                <w:color w:val="auto"/>
              </w:rPr>
            </w:pPr>
            <w:r>
              <w:rPr>
                <w:rFonts w:ascii="Arial" w:cs="Arial" w:eastAsia="Arial" w:hAnsi="Arial"/>
                <w:sz w:val="12"/>
                <w:szCs w:val="12"/>
                <w:color w:val="auto"/>
              </w:rPr>
              <w:t>Total assets at December 31</w:t>
            </w:r>
          </w:p>
        </w:tc>
        <w:tc>
          <w:tcPr>
            <w:tcW w:w="1320" w:type="dxa"/>
            <w:vAlign w:val="bottom"/>
            <w:gridSpan w:val="2"/>
          </w:tcPr>
          <w:p>
            <w:pPr>
              <w:jc w:val="right"/>
              <w:ind w:right="218"/>
              <w:spacing w:after="0"/>
              <w:rPr>
                <w:sz w:val="20"/>
                <w:szCs w:val="20"/>
                <w:color w:val="auto"/>
              </w:rPr>
            </w:pPr>
            <w:r>
              <w:rPr>
                <w:rFonts w:ascii="Arial" w:cs="Arial" w:eastAsia="Arial" w:hAnsi="Arial"/>
                <w:sz w:val="12"/>
                <w:szCs w:val="12"/>
                <w:color w:val="auto"/>
              </w:rPr>
              <w:t>78,184</w:t>
            </w:r>
          </w:p>
        </w:tc>
        <w:tc>
          <w:tcPr>
            <w:tcW w:w="900" w:type="dxa"/>
            <w:vAlign w:val="bottom"/>
          </w:tcPr>
          <w:p>
            <w:pPr>
              <w:jc w:val="right"/>
              <w:ind w:right="218"/>
              <w:spacing w:after="0"/>
              <w:rPr>
                <w:sz w:val="20"/>
                <w:szCs w:val="20"/>
                <w:color w:val="auto"/>
              </w:rPr>
            </w:pPr>
            <w:r>
              <w:rPr>
                <w:rFonts w:ascii="Arial" w:cs="Arial" w:eastAsia="Arial" w:hAnsi="Arial"/>
                <w:sz w:val="12"/>
                <w:szCs w:val="12"/>
                <w:color w:val="auto"/>
              </w:rPr>
              <w:t>40,432</w:t>
            </w:r>
          </w:p>
        </w:tc>
        <w:tc>
          <w:tcPr>
            <w:tcW w:w="840" w:type="dxa"/>
            <w:vAlign w:val="bottom"/>
          </w:tcPr>
          <w:p>
            <w:pPr>
              <w:jc w:val="right"/>
              <w:ind w:right="178"/>
              <w:spacing w:after="0"/>
              <w:rPr>
                <w:sz w:val="20"/>
                <w:szCs w:val="20"/>
                <w:color w:val="auto"/>
              </w:rPr>
            </w:pPr>
            <w:r>
              <w:rPr>
                <w:rFonts w:ascii="Arial" w:cs="Arial" w:eastAsia="Arial" w:hAnsi="Arial"/>
                <w:sz w:val="12"/>
                <w:szCs w:val="12"/>
                <w:color w:val="auto"/>
              </w:rPr>
              <w:t>7,388</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113,158</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17,692</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12,616</w:t>
            </w:r>
          </w:p>
        </w:tc>
        <w:tc>
          <w:tcPr>
            <w:tcW w:w="780" w:type="dxa"/>
            <w:vAlign w:val="bottom"/>
          </w:tcPr>
          <w:p>
            <w:pPr>
              <w:jc w:val="right"/>
              <w:ind w:right="18"/>
              <w:spacing w:after="0"/>
              <w:rPr>
                <w:sz w:val="20"/>
                <w:szCs w:val="20"/>
                <w:color w:val="auto"/>
              </w:rPr>
            </w:pPr>
            <w:r>
              <w:rPr>
                <w:rFonts w:ascii="Arial" w:cs="Arial" w:eastAsia="Arial" w:hAnsi="Arial"/>
                <w:sz w:val="12"/>
                <w:szCs w:val="12"/>
                <w:color w:val="auto"/>
              </w:rPr>
              <w:t>269,470</w:t>
            </w: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Equity-accounted investments at</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Pr>
          <w:p>
            <w:pPr>
              <w:spacing w:after="0" w:line="133" w:lineRule="exact"/>
              <w:rPr>
                <w:sz w:val="20"/>
                <w:szCs w:val="20"/>
                <w:color w:val="auto"/>
              </w:rPr>
            </w:pPr>
            <w:r>
              <w:rPr>
                <w:rFonts w:ascii="Arial" w:cs="Arial" w:eastAsia="Arial" w:hAnsi="Arial"/>
                <w:sz w:val="12"/>
                <w:szCs w:val="12"/>
                <w:color w:val="auto"/>
              </w:rPr>
              <w:t>December 31</w:t>
            </w:r>
          </w:p>
        </w:tc>
        <w:tc>
          <w:tcPr>
            <w:tcW w:w="132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11,017</w:t>
            </w:r>
          </w:p>
        </w:tc>
        <w:tc>
          <w:tcPr>
            <w:tcW w:w="9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6,155</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9,296</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2,618</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67</w:t>
            </w:r>
          </w:p>
        </w:tc>
        <w:tc>
          <w:tcPr>
            <w:tcW w:w="7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29,153</w:t>
            </w:r>
          </w:p>
        </w:tc>
        <w:tc>
          <w:tcPr>
            <w:tcW w:w="0" w:type="dxa"/>
            <w:vAlign w:val="bottom"/>
          </w:tcPr>
          <w:p>
            <w:pPr>
              <w:spacing w:after="0"/>
              <w:rPr>
                <w:sz w:val="1"/>
                <w:szCs w:val="1"/>
                <w:color w:val="auto"/>
              </w:rPr>
            </w:pPr>
          </w:p>
        </w:tc>
      </w:tr>
      <w:tr>
        <w:trPr>
          <w:trHeight w:val="146"/>
        </w:trPr>
        <w:tc>
          <w:tcPr>
            <w:tcW w:w="1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Capital expenditure</w:t>
            </w:r>
          </w:p>
        </w:tc>
        <w:tc>
          <w:tcPr>
            <w:tcW w:w="132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13,723</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2,951</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1,931</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3,671</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1,415</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414</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24,105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-2274570</wp:posOffset>
            </wp:positionV>
            <wp:extent cx="4068445" cy="262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068445"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1241425</wp:posOffset>
            </wp:positionV>
            <wp:extent cx="7252970"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740" w:space="680"/>
            <w:col w:w="8540"/>
          </w:cols>
          <w:pgMar w:left="240" w:top="415" w:right="69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10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1551940</wp:posOffset>
            </wp:positionH>
            <wp:positionV relativeFrom="paragraph">
              <wp:posOffset>-74295</wp:posOffset>
            </wp:positionV>
            <wp:extent cx="8255" cy="50406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5040630"/>
                    </a:xfrm>
                    <a:prstGeom prst="rect">
                      <a:avLst/>
                    </a:prstGeom>
                    <a:noFill/>
                  </pic:spPr>
                </pic:pic>
              </a:graphicData>
            </a:graphic>
          </wp:anchor>
        </w:drawing>
      </w:r>
    </w:p>
    <w:tbl>
      <w:tblPr>
        <w:tblLayout w:type="fixed"/>
        <w:tblInd w:w="2520" w:type="dxa"/>
        <w:tblCellMar>
          <w:top w:w="0" w:type="dxa"/>
          <w:left w:w="0" w:type="dxa"/>
          <w:bottom w:w="0" w:type="dxa"/>
          <w:right w:w="0" w:type="dxa"/>
        </w:tblCellMar>
      </w:tblPr>
      <w:tr>
        <w:trPr>
          <w:trHeight w:val="139"/>
        </w:trPr>
        <w:tc>
          <w:tcPr>
            <w:tcW w:w="1980" w:type="dxa"/>
            <w:vAlign w:val="bottom"/>
            <w:shd w:val="clear" w:color="auto" w:fill="7DD0E0"/>
          </w:tcPr>
          <w:p>
            <w:pPr>
              <w:spacing w:after="0"/>
              <w:rPr>
                <w:sz w:val="12"/>
                <w:szCs w:val="12"/>
                <w:color w:val="auto"/>
              </w:rPr>
            </w:pPr>
          </w:p>
        </w:tc>
        <w:tc>
          <w:tcPr>
            <w:tcW w:w="34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960" w:type="dxa"/>
            <w:vAlign w:val="bottom"/>
            <w:shd w:val="clear" w:color="auto" w:fill="7DD0E0"/>
          </w:tcPr>
          <w:p>
            <w:pPr>
              <w:spacing w:after="0"/>
              <w:rPr>
                <w:sz w:val="12"/>
                <w:szCs w:val="12"/>
                <w:color w:val="auto"/>
              </w:rPr>
            </w:pPr>
          </w:p>
        </w:tc>
        <w:tc>
          <w:tcPr>
            <w:tcW w:w="880" w:type="dxa"/>
            <w:vAlign w:val="bottom"/>
            <w:shd w:val="clear" w:color="auto" w:fill="7DD0E0"/>
          </w:tcPr>
          <w:p>
            <w:pPr>
              <w:spacing w:after="0"/>
              <w:rPr>
                <w:sz w:val="12"/>
                <w:szCs w:val="12"/>
                <w:color w:val="auto"/>
              </w:rPr>
            </w:pPr>
          </w:p>
        </w:tc>
        <w:tc>
          <w:tcPr>
            <w:tcW w:w="92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980" w:type="dxa"/>
            <w:vAlign w:val="bottom"/>
            <w:shd w:val="clear" w:color="auto" w:fill="7DD0E0"/>
          </w:tcPr>
          <w:p>
            <w:pPr>
              <w:spacing w:after="0"/>
              <w:rPr>
                <w:sz w:val="12"/>
                <w:szCs w:val="12"/>
                <w:color w:val="auto"/>
              </w:rPr>
            </w:pPr>
          </w:p>
        </w:tc>
        <w:tc>
          <w:tcPr>
            <w:tcW w:w="80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980" w:type="dxa"/>
            <w:vAlign w:val="bottom"/>
            <w:shd w:val="clear" w:color="auto" w:fill="CECAC6"/>
          </w:tcPr>
          <w:p>
            <w:pPr>
              <w:spacing w:after="0"/>
              <w:rPr>
                <w:sz w:val="12"/>
                <w:szCs w:val="12"/>
                <w:color w:val="auto"/>
              </w:rPr>
            </w:pPr>
          </w:p>
        </w:tc>
        <w:tc>
          <w:tcPr>
            <w:tcW w:w="340" w:type="dxa"/>
            <w:vAlign w:val="bottom"/>
            <w:shd w:val="clear" w:color="auto" w:fill="CECAC6"/>
          </w:tcPr>
          <w:p>
            <w:pPr>
              <w:spacing w:after="0"/>
              <w:rPr>
                <w:sz w:val="12"/>
                <w:szCs w:val="12"/>
                <w:color w:val="auto"/>
              </w:rPr>
            </w:pPr>
          </w:p>
        </w:tc>
        <w:tc>
          <w:tcPr>
            <w:tcW w:w="1020" w:type="dxa"/>
            <w:vAlign w:val="bottom"/>
            <w:vMerge w:val="restart"/>
            <w:shd w:val="clear" w:color="auto" w:fill="CECAC6"/>
          </w:tcPr>
          <w:p>
            <w:pPr>
              <w:jc w:val="right"/>
              <w:ind w:right="218"/>
              <w:spacing w:after="0"/>
              <w:rPr>
                <w:sz w:val="20"/>
                <w:szCs w:val="20"/>
                <w:color w:val="auto"/>
              </w:rPr>
            </w:pPr>
            <w:r>
              <w:rPr>
                <w:rFonts w:ascii="Arial" w:cs="Arial" w:eastAsia="Arial" w:hAnsi="Arial"/>
                <w:sz w:val="12"/>
                <w:szCs w:val="12"/>
                <w:color w:val="auto"/>
              </w:rPr>
              <w:t>Exploration &amp;</w:t>
            </w:r>
          </w:p>
        </w:tc>
        <w:tc>
          <w:tcPr>
            <w:tcW w:w="960" w:type="dxa"/>
            <w:vAlign w:val="bottom"/>
            <w:vMerge w:val="restart"/>
            <w:shd w:val="clear" w:color="auto" w:fill="CECAC6"/>
          </w:tcPr>
          <w:p>
            <w:pPr>
              <w:jc w:val="right"/>
              <w:ind w:right="258"/>
              <w:spacing w:after="0"/>
              <w:rPr>
                <w:sz w:val="20"/>
                <w:szCs w:val="20"/>
                <w:color w:val="auto"/>
              </w:rPr>
            </w:pPr>
            <w:r>
              <w:rPr>
                <w:rFonts w:ascii="Arial" w:cs="Arial" w:eastAsia="Arial" w:hAnsi="Arial"/>
                <w:sz w:val="12"/>
                <w:szCs w:val="12"/>
                <w:color w:val="auto"/>
              </w:rPr>
              <w:t>Gas &amp;</w:t>
            </w:r>
          </w:p>
        </w:tc>
        <w:tc>
          <w:tcPr>
            <w:tcW w:w="880" w:type="dxa"/>
            <w:vAlign w:val="bottom"/>
            <w:vMerge w:val="restart"/>
            <w:shd w:val="clear" w:color="auto" w:fill="CECAC6"/>
          </w:tcPr>
          <w:p>
            <w:pPr>
              <w:jc w:val="right"/>
              <w:ind w:right="198"/>
              <w:spacing w:after="0"/>
              <w:rPr>
                <w:sz w:val="20"/>
                <w:szCs w:val="20"/>
                <w:color w:val="auto"/>
              </w:rPr>
            </w:pPr>
            <w:r>
              <w:rPr>
                <w:rFonts w:ascii="Arial" w:cs="Arial" w:eastAsia="Arial" w:hAnsi="Arial"/>
                <w:sz w:val="12"/>
                <w:szCs w:val="12"/>
                <w:color w:val="auto"/>
              </w:rPr>
              <w:t>Oil</w:t>
            </w:r>
          </w:p>
        </w:tc>
        <w:tc>
          <w:tcPr>
            <w:tcW w:w="920" w:type="dxa"/>
            <w:vAlign w:val="bottom"/>
            <w:vMerge w:val="restart"/>
            <w:shd w:val="clear" w:color="auto" w:fill="CECAC6"/>
          </w:tcPr>
          <w:p>
            <w:pPr>
              <w:jc w:val="right"/>
              <w:ind w:right="158"/>
              <w:spacing w:after="0"/>
              <w:rPr>
                <w:sz w:val="20"/>
                <w:szCs w:val="20"/>
                <w:color w:val="auto"/>
              </w:rPr>
            </w:pPr>
            <w:r>
              <w:rPr>
                <w:rFonts w:ascii="Arial" w:cs="Arial" w:eastAsia="Arial" w:hAnsi="Arial"/>
                <w:sz w:val="12"/>
                <w:szCs w:val="12"/>
                <w:color w:val="auto"/>
              </w:rPr>
              <w:t>Oil</w:t>
            </w:r>
          </w:p>
        </w:tc>
        <w:tc>
          <w:tcPr>
            <w:tcW w:w="1020" w:type="dxa"/>
            <w:vAlign w:val="bottom"/>
            <w:shd w:val="clear" w:color="auto" w:fill="CECAC6"/>
          </w:tcPr>
          <w:p>
            <w:pPr>
              <w:spacing w:after="0"/>
              <w:rPr>
                <w:sz w:val="12"/>
                <w:szCs w:val="12"/>
                <w:color w:val="auto"/>
              </w:rPr>
            </w:pPr>
          </w:p>
        </w:tc>
        <w:tc>
          <w:tcPr>
            <w:tcW w:w="980" w:type="dxa"/>
            <w:vAlign w:val="bottom"/>
            <w:shd w:val="clear" w:color="auto" w:fill="CECAC6"/>
          </w:tcPr>
          <w:p>
            <w:pPr>
              <w:spacing w:after="0"/>
              <w:rPr>
                <w:sz w:val="12"/>
                <w:szCs w:val="12"/>
                <w:color w:val="auto"/>
              </w:rPr>
            </w:pP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1980" w:type="dxa"/>
            <w:vAlign w:val="bottom"/>
            <w:shd w:val="clear" w:color="auto" w:fill="CECAC6"/>
          </w:tcPr>
          <w:p>
            <w:pPr>
              <w:spacing w:after="0"/>
              <w:rPr>
                <w:sz w:val="11"/>
                <w:szCs w:val="11"/>
                <w:color w:val="auto"/>
              </w:rPr>
            </w:pPr>
          </w:p>
        </w:tc>
        <w:tc>
          <w:tcPr>
            <w:tcW w:w="340" w:type="dxa"/>
            <w:vAlign w:val="bottom"/>
            <w:shd w:val="clear" w:color="auto" w:fill="CECAC6"/>
          </w:tcPr>
          <w:p>
            <w:pPr>
              <w:spacing w:after="0"/>
              <w:rPr>
                <w:sz w:val="11"/>
                <w:szCs w:val="11"/>
                <w:color w:val="auto"/>
              </w:rPr>
            </w:pPr>
          </w:p>
        </w:tc>
        <w:tc>
          <w:tcPr>
            <w:tcW w:w="1020" w:type="dxa"/>
            <w:vAlign w:val="bottom"/>
            <w:vMerge w:val="continue"/>
            <w:shd w:val="clear" w:color="auto" w:fill="CECAC6"/>
          </w:tcPr>
          <w:p>
            <w:pPr>
              <w:spacing w:after="0"/>
              <w:rPr>
                <w:sz w:val="11"/>
                <w:szCs w:val="11"/>
                <w:color w:val="auto"/>
              </w:rPr>
            </w:pPr>
          </w:p>
        </w:tc>
        <w:tc>
          <w:tcPr>
            <w:tcW w:w="960" w:type="dxa"/>
            <w:vAlign w:val="bottom"/>
            <w:vMerge w:val="continue"/>
            <w:shd w:val="clear" w:color="auto" w:fill="CECAC6"/>
          </w:tcPr>
          <w:p>
            <w:pPr>
              <w:spacing w:after="0"/>
              <w:rPr>
                <w:sz w:val="11"/>
                <w:szCs w:val="11"/>
                <w:color w:val="auto"/>
              </w:rPr>
            </w:pPr>
          </w:p>
        </w:tc>
        <w:tc>
          <w:tcPr>
            <w:tcW w:w="880" w:type="dxa"/>
            <w:vAlign w:val="bottom"/>
            <w:vMerge w:val="continue"/>
            <w:shd w:val="clear" w:color="auto" w:fill="CECAC6"/>
          </w:tcPr>
          <w:p>
            <w:pPr>
              <w:spacing w:after="0"/>
              <w:rPr>
                <w:sz w:val="11"/>
                <w:szCs w:val="11"/>
                <w:color w:val="auto"/>
              </w:rPr>
            </w:pPr>
          </w:p>
        </w:tc>
        <w:tc>
          <w:tcPr>
            <w:tcW w:w="920" w:type="dxa"/>
            <w:vAlign w:val="bottom"/>
            <w:vMerge w:val="continue"/>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98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ECAC6"/>
          </w:tcPr>
          <w:p>
            <w:pPr>
              <w:spacing w:after="0"/>
              <w:rPr>
                <w:sz w:val="12"/>
                <w:szCs w:val="12"/>
                <w:color w:val="auto"/>
              </w:rPr>
            </w:pPr>
          </w:p>
        </w:tc>
        <w:tc>
          <w:tcPr>
            <w:tcW w:w="340" w:type="dxa"/>
            <w:vAlign w:val="bottom"/>
            <w:shd w:val="clear" w:color="auto" w:fill="CECAC6"/>
          </w:tcPr>
          <w:p>
            <w:pPr>
              <w:spacing w:after="0"/>
              <w:rPr>
                <w:sz w:val="12"/>
                <w:szCs w:val="12"/>
                <w:color w:val="auto"/>
              </w:rPr>
            </w:pPr>
          </w:p>
        </w:tc>
        <w:tc>
          <w:tcPr>
            <w:tcW w:w="10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Production</w:t>
            </w:r>
          </w:p>
        </w:tc>
        <w:tc>
          <w:tcPr>
            <w:tcW w:w="96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Power</w:t>
            </w:r>
          </w:p>
        </w:tc>
        <w:tc>
          <w:tcPr>
            <w:tcW w:w="8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Sands</w:t>
            </w:r>
          </w:p>
        </w:tc>
        <w:tc>
          <w:tcPr>
            <w:tcW w:w="9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Products</w:t>
            </w:r>
          </w:p>
        </w:tc>
        <w:tc>
          <w:tcPr>
            <w:tcW w:w="10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Chemicals</w:t>
            </w:r>
          </w:p>
        </w:tc>
        <w:tc>
          <w:tcPr>
            <w:tcW w:w="9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Corporate</w:t>
            </w: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98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Third party</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16,750</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16,035</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1,159</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248,581</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36,306</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14</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318,845</w:t>
            </w: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Intersegment</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35,796</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1,303</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1,340</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2,728</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4,444</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Share of profit of equity-accounted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investments</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3,075</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1,509</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1,712</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494</w:t>
            </w:r>
          </w:p>
        </w:tc>
        <w:tc>
          <w:tcPr>
            <w:tcW w:w="9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6,671</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Interest and other income</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31</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235</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59</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1,104</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1,428</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Interest expense</w:t>
            </w:r>
          </w:p>
        </w:tc>
        <w:tc>
          <w:tcPr>
            <w:tcW w:w="1360" w:type="dxa"/>
            <w:vAlign w:val="bottom"/>
            <w:gridSpan w:val="2"/>
          </w:tcPr>
          <w:p>
            <w:pPr>
              <w:jc w:val="right"/>
              <w:ind w:right="178"/>
              <w:spacing w:after="0" w:line="133" w:lineRule="exact"/>
              <w:rPr>
                <w:sz w:val="20"/>
                <w:szCs w:val="20"/>
                <w:color w:val="auto"/>
              </w:rPr>
            </w:pPr>
            <w:r>
              <w:rPr>
                <w:rFonts w:ascii="Arial" w:cs="Arial" w:eastAsia="Arial" w:hAnsi="Arial"/>
                <w:sz w:val="12"/>
                <w:szCs w:val="12"/>
                <w:color w:val="auto"/>
              </w:rPr>
              <w:t>(347)</w:t>
            </w:r>
          </w:p>
        </w:tc>
        <w:tc>
          <w:tcPr>
            <w:tcW w:w="9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(52)</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w:t>
            </w:r>
          </w:p>
        </w:tc>
        <w:tc>
          <w:tcPr>
            <w:tcW w:w="9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(732)</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(1,149)</w:t>
            </w:r>
          </w:p>
        </w:tc>
        <w:tc>
          <w:tcPr>
            <w:tcW w:w="0" w:type="dxa"/>
            <w:vAlign w:val="bottom"/>
          </w:tcPr>
          <w:p>
            <w:pPr>
              <w:spacing w:after="0"/>
              <w:rPr>
                <w:sz w:val="1"/>
                <w:szCs w:val="1"/>
                <w:color w:val="auto"/>
              </w:rPr>
            </w:pPr>
          </w:p>
        </w:tc>
      </w:tr>
      <w:tr>
        <w:trPr>
          <w:trHeight w:val="139"/>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3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2"/>
                <w:szCs w:val="12"/>
                <w:color w:val="auto"/>
              </w:rPr>
              <w:t>(16,817)</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(299)</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(123)</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(1,972)</w:t>
            </w: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(119)</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(18,317)</w:t>
            </w:r>
          </w:p>
        </w:tc>
        <w:tc>
          <w:tcPr>
            <w:tcW w:w="0" w:type="dxa"/>
            <w:vAlign w:val="bottom"/>
          </w:tcPr>
          <w:p>
            <w:pPr>
              <w:spacing w:after="0"/>
              <w:rPr>
                <w:sz w:val="1"/>
                <w:szCs w:val="1"/>
                <w:color w:val="auto"/>
              </w:rPr>
            </w:pPr>
          </w:p>
        </w:tc>
      </w:tr>
      <w:tr>
        <w:trPr>
          <w:trHeight w:val="120"/>
        </w:trPr>
        <w:tc>
          <w:tcPr>
            <w:tcW w:w="1980" w:type="dxa"/>
            <w:vAlign w:val="bottom"/>
          </w:tcPr>
          <w:p>
            <w:pPr>
              <w:spacing w:after="0" w:line="120" w:lineRule="exact"/>
              <w:rPr>
                <w:sz w:val="20"/>
                <w:szCs w:val="20"/>
                <w:color w:val="auto"/>
              </w:rPr>
            </w:pPr>
            <w:r>
              <w:rPr>
                <w:rFonts w:ascii="Arial" w:cs="Arial" w:eastAsia="Arial" w:hAnsi="Arial"/>
                <w:sz w:val="12"/>
                <w:szCs w:val="12"/>
                <w:b w:val="1"/>
                <w:bCs w:val="1"/>
                <w:color w:val="auto"/>
              </w:rPr>
              <w:t>Income from continuing</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20"/>
                <w:szCs w:val="20"/>
                <w:color w:val="auto"/>
              </w:rPr>
            </w:pPr>
            <w:r>
              <w:rPr>
                <w:rFonts w:ascii="Arial" w:cs="Arial" w:eastAsia="Arial" w:hAnsi="Arial"/>
                <w:sz w:val="12"/>
                <w:szCs w:val="12"/>
                <w:b w:val="1"/>
                <w:bCs w:val="1"/>
                <w:color w:val="auto"/>
              </w:rPr>
              <w:t>operations</w:t>
            </w:r>
          </w:p>
        </w:tc>
        <w:tc>
          <w:tcPr>
            <w:tcW w:w="1360" w:type="dxa"/>
            <w:vAlign w:val="bottom"/>
            <w:gridSpan w:val="2"/>
          </w:tcPr>
          <w:p>
            <w:pPr>
              <w:jc w:val="right"/>
              <w:ind w:right="218"/>
              <w:spacing w:after="0"/>
              <w:rPr>
                <w:sz w:val="20"/>
                <w:szCs w:val="20"/>
                <w:color w:val="auto"/>
              </w:rPr>
            </w:pPr>
            <w:r>
              <w:rPr>
                <w:rFonts w:ascii="Arial" w:cs="Arial" w:eastAsia="Arial" w:hAnsi="Arial"/>
                <w:sz w:val="12"/>
                <w:szCs w:val="12"/>
                <w:color w:val="auto"/>
              </w:rPr>
              <w:t>14,544</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2,633</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651</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7,125</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1,064</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294</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26,311</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Income/(loss) from discontinued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operations</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Income for the period</w:t>
            </w:r>
          </w:p>
        </w:tc>
        <w:tc>
          <w:tcPr>
            <w:tcW w:w="13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14,544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2,633</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651</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7,125</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1,064</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294</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26,311</w:t>
            </w:r>
          </w:p>
        </w:tc>
        <w:tc>
          <w:tcPr>
            <w:tcW w:w="0" w:type="dxa"/>
            <w:vAlign w:val="bottom"/>
          </w:tcPr>
          <w:p>
            <w:pPr>
              <w:spacing w:after="0"/>
              <w:rPr>
                <w:sz w:val="1"/>
                <w:szCs w:val="1"/>
                <w:color w:val="auto"/>
              </w:rPr>
            </w:pPr>
          </w:p>
        </w:tc>
      </w:tr>
      <w:tr>
        <w:trPr>
          <w:trHeight w:val="134"/>
        </w:trPr>
        <w:tc>
          <w:tcPr>
            <w:tcW w:w="1980" w:type="dxa"/>
            <w:vAlign w:val="bottom"/>
          </w:tcPr>
          <w:p>
            <w:pPr>
              <w:spacing w:after="0" w:line="134" w:lineRule="exact"/>
              <w:rPr>
                <w:sz w:val="20"/>
                <w:szCs w:val="20"/>
                <w:color w:val="auto"/>
              </w:rPr>
            </w:pPr>
            <w:r>
              <w:rPr>
                <w:rFonts w:ascii="Arial" w:cs="Arial" w:eastAsia="Arial" w:hAnsi="Arial"/>
                <w:sz w:val="12"/>
                <w:szCs w:val="12"/>
                <w:color w:val="auto"/>
              </w:rPr>
              <w:t>Depreciation, depletion and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amortisation charge</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8,836</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284</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172</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2,580</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668</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75</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12,615</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of which:</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Impairment losses</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1</w:t>
            </w:r>
          </w:p>
        </w:tc>
        <w:tc>
          <w:tcPr>
            <w:tcW w:w="9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(6)</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140</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66</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212</w:t>
            </w:r>
          </w:p>
        </w:tc>
        <w:tc>
          <w:tcPr>
            <w:tcW w:w="0" w:type="dxa"/>
            <w:vAlign w:val="bottom"/>
          </w:tcPr>
          <w:p>
            <w:pPr>
              <w:spacing w:after="0"/>
              <w:rPr>
                <w:sz w:val="1"/>
                <w:szCs w:val="1"/>
                <w:color w:val="auto"/>
              </w:rPr>
            </w:pPr>
          </w:p>
        </w:tc>
      </w:tr>
      <w:tr>
        <w:trPr>
          <w:trHeight w:val="148"/>
        </w:trPr>
        <w:tc>
          <w:tcPr>
            <w:tcW w:w="1980" w:type="dxa"/>
            <w:vAlign w:val="bottom"/>
          </w:tcPr>
          <w:p>
            <w:pPr>
              <w:ind w:left="200"/>
              <w:spacing w:after="0"/>
              <w:rPr>
                <w:sz w:val="20"/>
                <w:szCs w:val="20"/>
                <w:color w:val="auto"/>
              </w:rPr>
            </w:pPr>
            <w:r>
              <w:rPr>
                <w:rFonts w:ascii="Arial" w:cs="Arial" w:eastAsia="Arial" w:hAnsi="Arial"/>
                <w:sz w:val="12"/>
                <w:szCs w:val="12"/>
                <w:color w:val="auto"/>
              </w:rPr>
              <w:t>Impairment reversals</w:t>
            </w:r>
          </w:p>
        </w:tc>
        <w:tc>
          <w:tcPr>
            <w:tcW w:w="340" w:type="dxa"/>
            <w:vAlign w:val="bottom"/>
          </w:tcPr>
          <w:p>
            <w:pPr>
              <w:spacing w:after="0"/>
              <w:rPr>
                <w:sz w:val="12"/>
                <w:szCs w:val="12"/>
                <w:color w:val="auto"/>
              </w:rPr>
            </w:pP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5</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51"/>
        </w:trPr>
        <w:tc>
          <w:tcPr>
            <w:tcW w:w="1980" w:type="dxa"/>
            <w:vAlign w:val="bottom"/>
          </w:tcPr>
          <w:p>
            <w:pPr>
              <w:spacing w:after="0"/>
              <w:rPr>
                <w:sz w:val="20"/>
                <w:szCs w:val="20"/>
                <w:color w:val="auto"/>
              </w:rPr>
            </w:pPr>
            <w:r>
              <w:rPr>
                <w:rFonts w:ascii="Arial" w:cs="Arial" w:eastAsia="Arial" w:hAnsi="Arial"/>
                <w:sz w:val="12"/>
                <w:szCs w:val="12"/>
                <w:color w:val="auto"/>
              </w:rPr>
              <w:t>Total assets at December 31</w:t>
            </w:r>
          </w:p>
        </w:tc>
        <w:tc>
          <w:tcPr>
            <w:tcW w:w="1360" w:type="dxa"/>
            <w:vAlign w:val="bottom"/>
            <w:gridSpan w:val="2"/>
          </w:tcPr>
          <w:p>
            <w:pPr>
              <w:jc w:val="right"/>
              <w:ind w:right="218"/>
              <w:spacing w:after="0"/>
              <w:rPr>
                <w:sz w:val="20"/>
                <w:szCs w:val="20"/>
                <w:color w:val="auto"/>
              </w:rPr>
            </w:pPr>
            <w:r>
              <w:rPr>
                <w:rFonts w:ascii="Arial" w:cs="Arial" w:eastAsia="Arial" w:hAnsi="Arial"/>
                <w:sz w:val="12"/>
                <w:szCs w:val="12"/>
                <w:color w:val="auto"/>
              </w:rPr>
              <w:t>76,264</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43,474</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4,920</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84,783</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15,229</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10,606</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235,276</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Equity-accounted investments at</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December 31</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6,595</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4,315</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7,242</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2,454</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134</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20,740</w:t>
            </w:r>
          </w:p>
        </w:tc>
        <w:tc>
          <w:tcPr>
            <w:tcW w:w="0" w:type="dxa"/>
            <w:vAlign w:val="bottom"/>
          </w:tcPr>
          <w:p>
            <w:pPr>
              <w:spacing w:after="0"/>
              <w:rPr>
                <w:sz w:val="1"/>
                <w:szCs w:val="1"/>
                <w:color w:val="auto"/>
              </w:rPr>
            </w:pPr>
          </w:p>
        </w:tc>
      </w:tr>
      <w:tr>
        <w:trPr>
          <w:trHeight w:val="146"/>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Capital expenditure</w:t>
            </w:r>
          </w:p>
        </w:tc>
        <w:tc>
          <w:tcPr>
            <w:tcW w:w="13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15,773</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2,009</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865</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3,363</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821</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265</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-2274570</wp:posOffset>
            </wp:positionV>
            <wp:extent cx="4186555" cy="262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86555" cy="262255"/>
                    </a:xfrm>
                    <a:prstGeom prst="rect">
                      <a:avLst/>
                    </a:prstGeom>
                    <a:noFill/>
                  </pic:spPr>
                </pic:pic>
              </a:graphicData>
            </a:graphic>
          </wp:anchor>
        </w:drawing>
      </w:r>
    </w:p>
    <w:p>
      <w:pPr>
        <w:spacing w:after="0" w:line="334" w:lineRule="exact"/>
        <w:rPr>
          <w:sz w:val="20"/>
          <w:szCs w:val="20"/>
          <w:color w:val="auto"/>
        </w:rPr>
      </w:pPr>
    </w:p>
    <w:tbl>
      <w:tblPr>
        <w:tblLayout w:type="fixed"/>
        <w:tblInd w:w="2520" w:type="dxa"/>
        <w:tblCellMar>
          <w:top w:w="0" w:type="dxa"/>
          <w:left w:w="0" w:type="dxa"/>
          <w:bottom w:w="0" w:type="dxa"/>
          <w:right w:w="0" w:type="dxa"/>
        </w:tblCellMar>
      </w:tblPr>
      <w:tr>
        <w:trPr>
          <w:trHeight w:val="139"/>
        </w:trPr>
        <w:tc>
          <w:tcPr>
            <w:tcW w:w="1980" w:type="dxa"/>
            <w:vAlign w:val="bottom"/>
            <w:shd w:val="clear" w:color="auto" w:fill="7DD0E0"/>
          </w:tcPr>
          <w:p>
            <w:pPr>
              <w:spacing w:after="0"/>
              <w:rPr>
                <w:sz w:val="12"/>
                <w:szCs w:val="12"/>
                <w:color w:val="auto"/>
              </w:rPr>
            </w:pPr>
          </w:p>
        </w:tc>
        <w:tc>
          <w:tcPr>
            <w:tcW w:w="34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960" w:type="dxa"/>
            <w:vAlign w:val="bottom"/>
            <w:shd w:val="clear" w:color="auto" w:fill="7DD0E0"/>
          </w:tcPr>
          <w:p>
            <w:pPr>
              <w:spacing w:after="0"/>
              <w:rPr>
                <w:sz w:val="12"/>
                <w:szCs w:val="12"/>
                <w:color w:val="auto"/>
              </w:rPr>
            </w:pPr>
          </w:p>
        </w:tc>
        <w:tc>
          <w:tcPr>
            <w:tcW w:w="880" w:type="dxa"/>
            <w:vAlign w:val="bottom"/>
            <w:shd w:val="clear" w:color="auto" w:fill="7DD0E0"/>
          </w:tcPr>
          <w:p>
            <w:pPr>
              <w:spacing w:after="0"/>
              <w:rPr>
                <w:sz w:val="12"/>
                <w:szCs w:val="12"/>
                <w:color w:val="auto"/>
              </w:rPr>
            </w:pPr>
          </w:p>
        </w:tc>
        <w:tc>
          <w:tcPr>
            <w:tcW w:w="92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980" w:type="dxa"/>
            <w:vAlign w:val="bottom"/>
            <w:shd w:val="clear" w:color="auto" w:fill="7DD0E0"/>
          </w:tcPr>
          <w:p>
            <w:pPr>
              <w:spacing w:after="0"/>
              <w:rPr>
                <w:sz w:val="12"/>
                <w:szCs w:val="12"/>
                <w:color w:val="auto"/>
              </w:rPr>
            </w:pPr>
          </w:p>
        </w:tc>
        <w:tc>
          <w:tcPr>
            <w:tcW w:w="80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980" w:type="dxa"/>
            <w:vAlign w:val="bottom"/>
            <w:shd w:val="clear" w:color="auto" w:fill="CECAC6"/>
          </w:tcPr>
          <w:p>
            <w:pPr>
              <w:spacing w:after="0"/>
              <w:rPr>
                <w:sz w:val="12"/>
                <w:szCs w:val="12"/>
                <w:color w:val="auto"/>
              </w:rPr>
            </w:pPr>
          </w:p>
        </w:tc>
        <w:tc>
          <w:tcPr>
            <w:tcW w:w="340" w:type="dxa"/>
            <w:vAlign w:val="bottom"/>
            <w:shd w:val="clear" w:color="auto" w:fill="CECAC6"/>
          </w:tcPr>
          <w:p>
            <w:pPr>
              <w:spacing w:after="0"/>
              <w:rPr>
                <w:sz w:val="12"/>
                <w:szCs w:val="12"/>
                <w:color w:val="auto"/>
              </w:rPr>
            </w:pPr>
          </w:p>
        </w:tc>
        <w:tc>
          <w:tcPr>
            <w:tcW w:w="1020" w:type="dxa"/>
            <w:vAlign w:val="bottom"/>
            <w:vMerge w:val="restart"/>
            <w:shd w:val="clear" w:color="auto" w:fill="CECAC6"/>
          </w:tcPr>
          <w:p>
            <w:pPr>
              <w:jc w:val="right"/>
              <w:ind w:right="218"/>
              <w:spacing w:after="0"/>
              <w:rPr>
                <w:sz w:val="20"/>
                <w:szCs w:val="20"/>
                <w:color w:val="auto"/>
              </w:rPr>
            </w:pPr>
            <w:r>
              <w:rPr>
                <w:rFonts w:ascii="Arial" w:cs="Arial" w:eastAsia="Arial" w:hAnsi="Arial"/>
                <w:sz w:val="12"/>
                <w:szCs w:val="12"/>
                <w:color w:val="auto"/>
              </w:rPr>
              <w:t>Exploration &amp;</w:t>
            </w:r>
          </w:p>
        </w:tc>
        <w:tc>
          <w:tcPr>
            <w:tcW w:w="960" w:type="dxa"/>
            <w:vAlign w:val="bottom"/>
            <w:vMerge w:val="restart"/>
            <w:shd w:val="clear" w:color="auto" w:fill="CECAC6"/>
          </w:tcPr>
          <w:p>
            <w:pPr>
              <w:jc w:val="right"/>
              <w:ind w:right="258"/>
              <w:spacing w:after="0"/>
              <w:rPr>
                <w:sz w:val="20"/>
                <w:szCs w:val="20"/>
                <w:color w:val="auto"/>
              </w:rPr>
            </w:pPr>
            <w:r>
              <w:rPr>
                <w:rFonts w:ascii="Arial" w:cs="Arial" w:eastAsia="Arial" w:hAnsi="Arial"/>
                <w:sz w:val="12"/>
                <w:szCs w:val="12"/>
                <w:color w:val="auto"/>
              </w:rPr>
              <w:t>Gas &amp;</w:t>
            </w:r>
          </w:p>
        </w:tc>
        <w:tc>
          <w:tcPr>
            <w:tcW w:w="880" w:type="dxa"/>
            <w:vAlign w:val="bottom"/>
            <w:vMerge w:val="restart"/>
            <w:shd w:val="clear" w:color="auto" w:fill="CECAC6"/>
          </w:tcPr>
          <w:p>
            <w:pPr>
              <w:jc w:val="right"/>
              <w:ind w:right="198"/>
              <w:spacing w:after="0"/>
              <w:rPr>
                <w:sz w:val="20"/>
                <w:szCs w:val="20"/>
                <w:color w:val="auto"/>
              </w:rPr>
            </w:pPr>
            <w:r>
              <w:rPr>
                <w:rFonts w:ascii="Arial" w:cs="Arial" w:eastAsia="Arial" w:hAnsi="Arial"/>
                <w:sz w:val="12"/>
                <w:szCs w:val="12"/>
                <w:color w:val="auto"/>
              </w:rPr>
              <w:t>Oil</w:t>
            </w:r>
          </w:p>
        </w:tc>
        <w:tc>
          <w:tcPr>
            <w:tcW w:w="920" w:type="dxa"/>
            <w:vAlign w:val="bottom"/>
            <w:vMerge w:val="restart"/>
            <w:shd w:val="clear" w:color="auto" w:fill="CECAC6"/>
          </w:tcPr>
          <w:p>
            <w:pPr>
              <w:jc w:val="right"/>
              <w:ind w:right="158"/>
              <w:spacing w:after="0"/>
              <w:rPr>
                <w:sz w:val="20"/>
                <w:szCs w:val="20"/>
                <w:color w:val="auto"/>
              </w:rPr>
            </w:pPr>
            <w:r>
              <w:rPr>
                <w:rFonts w:ascii="Arial" w:cs="Arial" w:eastAsia="Arial" w:hAnsi="Arial"/>
                <w:sz w:val="12"/>
                <w:szCs w:val="12"/>
                <w:color w:val="auto"/>
              </w:rPr>
              <w:t>Oil</w:t>
            </w:r>
          </w:p>
        </w:tc>
        <w:tc>
          <w:tcPr>
            <w:tcW w:w="1020" w:type="dxa"/>
            <w:vAlign w:val="bottom"/>
            <w:shd w:val="clear" w:color="auto" w:fill="CECAC6"/>
          </w:tcPr>
          <w:p>
            <w:pPr>
              <w:spacing w:after="0"/>
              <w:rPr>
                <w:sz w:val="12"/>
                <w:szCs w:val="12"/>
                <w:color w:val="auto"/>
              </w:rPr>
            </w:pPr>
          </w:p>
        </w:tc>
        <w:tc>
          <w:tcPr>
            <w:tcW w:w="980" w:type="dxa"/>
            <w:vAlign w:val="bottom"/>
            <w:shd w:val="clear" w:color="auto" w:fill="CECAC6"/>
          </w:tcPr>
          <w:p>
            <w:pPr>
              <w:spacing w:after="0"/>
              <w:rPr>
                <w:sz w:val="12"/>
                <w:szCs w:val="12"/>
                <w:color w:val="auto"/>
              </w:rPr>
            </w:pP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27"/>
        </w:trPr>
        <w:tc>
          <w:tcPr>
            <w:tcW w:w="1980" w:type="dxa"/>
            <w:vAlign w:val="bottom"/>
            <w:shd w:val="clear" w:color="auto" w:fill="CECAC6"/>
          </w:tcPr>
          <w:p>
            <w:pPr>
              <w:spacing w:after="0"/>
              <w:rPr>
                <w:sz w:val="11"/>
                <w:szCs w:val="11"/>
                <w:color w:val="auto"/>
              </w:rPr>
            </w:pPr>
          </w:p>
        </w:tc>
        <w:tc>
          <w:tcPr>
            <w:tcW w:w="340" w:type="dxa"/>
            <w:vAlign w:val="bottom"/>
            <w:shd w:val="clear" w:color="auto" w:fill="CECAC6"/>
          </w:tcPr>
          <w:p>
            <w:pPr>
              <w:spacing w:after="0"/>
              <w:rPr>
                <w:sz w:val="11"/>
                <w:szCs w:val="11"/>
                <w:color w:val="auto"/>
              </w:rPr>
            </w:pPr>
          </w:p>
        </w:tc>
        <w:tc>
          <w:tcPr>
            <w:tcW w:w="1020" w:type="dxa"/>
            <w:vAlign w:val="bottom"/>
            <w:vMerge w:val="continue"/>
            <w:shd w:val="clear" w:color="auto" w:fill="CECAC6"/>
          </w:tcPr>
          <w:p>
            <w:pPr>
              <w:spacing w:after="0"/>
              <w:rPr>
                <w:sz w:val="11"/>
                <w:szCs w:val="11"/>
                <w:color w:val="auto"/>
              </w:rPr>
            </w:pPr>
          </w:p>
        </w:tc>
        <w:tc>
          <w:tcPr>
            <w:tcW w:w="960" w:type="dxa"/>
            <w:vAlign w:val="bottom"/>
            <w:vMerge w:val="continue"/>
            <w:shd w:val="clear" w:color="auto" w:fill="CECAC6"/>
          </w:tcPr>
          <w:p>
            <w:pPr>
              <w:spacing w:after="0"/>
              <w:rPr>
                <w:sz w:val="11"/>
                <w:szCs w:val="11"/>
                <w:color w:val="auto"/>
              </w:rPr>
            </w:pPr>
          </w:p>
        </w:tc>
        <w:tc>
          <w:tcPr>
            <w:tcW w:w="880" w:type="dxa"/>
            <w:vAlign w:val="bottom"/>
            <w:vMerge w:val="continue"/>
            <w:shd w:val="clear" w:color="auto" w:fill="CECAC6"/>
          </w:tcPr>
          <w:p>
            <w:pPr>
              <w:spacing w:after="0"/>
              <w:rPr>
                <w:sz w:val="11"/>
                <w:szCs w:val="11"/>
                <w:color w:val="auto"/>
              </w:rPr>
            </w:pPr>
          </w:p>
        </w:tc>
        <w:tc>
          <w:tcPr>
            <w:tcW w:w="920" w:type="dxa"/>
            <w:vAlign w:val="bottom"/>
            <w:vMerge w:val="continue"/>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98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80" w:type="dxa"/>
            <w:vAlign w:val="bottom"/>
            <w:shd w:val="clear" w:color="auto" w:fill="CECAC6"/>
          </w:tcPr>
          <w:p>
            <w:pPr>
              <w:spacing w:after="0"/>
              <w:rPr>
                <w:sz w:val="12"/>
                <w:szCs w:val="12"/>
                <w:color w:val="auto"/>
              </w:rPr>
            </w:pPr>
          </w:p>
        </w:tc>
        <w:tc>
          <w:tcPr>
            <w:tcW w:w="340" w:type="dxa"/>
            <w:vAlign w:val="bottom"/>
            <w:shd w:val="clear" w:color="auto" w:fill="CECAC6"/>
          </w:tcPr>
          <w:p>
            <w:pPr>
              <w:spacing w:after="0"/>
              <w:rPr>
                <w:sz w:val="12"/>
                <w:szCs w:val="12"/>
                <w:color w:val="auto"/>
              </w:rPr>
            </w:pPr>
          </w:p>
        </w:tc>
        <w:tc>
          <w:tcPr>
            <w:tcW w:w="10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Production</w:t>
            </w:r>
          </w:p>
        </w:tc>
        <w:tc>
          <w:tcPr>
            <w:tcW w:w="96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Power</w:t>
            </w:r>
          </w:p>
        </w:tc>
        <w:tc>
          <w:tcPr>
            <w:tcW w:w="8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Sands</w:t>
            </w:r>
          </w:p>
        </w:tc>
        <w:tc>
          <w:tcPr>
            <w:tcW w:w="9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Products</w:t>
            </w:r>
          </w:p>
        </w:tc>
        <w:tc>
          <w:tcPr>
            <w:tcW w:w="10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Chemicals</w:t>
            </w:r>
          </w:p>
        </w:tc>
        <w:tc>
          <w:tcPr>
            <w:tcW w:w="9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Corporate</w:t>
            </w: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98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Third party</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22,865</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14,014</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1,105</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237,210</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31,018</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519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306,731</w:t>
            </w: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Intersegment</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20,416</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1,858</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1,359</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16,643</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3,978</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Share of profit of equity-accounted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investments</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4,112</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1,007</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1,713</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423</w:t>
            </w:r>
          </w:p>
        </w:tc>
        <w:tc>
          <w:tcPr>
            <w:tcW w:w="9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(132)</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7,123</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Interest and other income</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26</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226</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110</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792</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1,171</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Interest expense</w:t>
            </w:r>
          </w:p>
        </w:tc>
        <w:tc>
          <w:tcPr>
            <w:tcW w:w="1360" w:type="dxa"/>
            <w:vAlign w:val="bottom"/>
            <w:gridSpan w:val="2"/>
          </w:tcPr>
          <w:p>
            <w:pPr>
              <w:jc w:val="right"/>
              <w:ind w:right="178"/>
              <w:spacing w:after="0" w:line="133" w:lineRule="exact"/>
              <w:rPr>
                <w:sz w:val="20"/>
                <w:szCs w:val="20"/>
                <w:color w:val="auto"/>
              </w:rPr>
            </w:pPr>
            <w:r>
              <w:rPr>
                <w:rFonts w:ascii="Arial" w:cs="Arial" w:eastAsia="Arial" w:hAnsi="Arial"/>
                <w:sz w:val="12"/>
                <w:szCs w:val="12"/>
                <w:color w:val="auto"/>
              </w:rPr>
              <w:t>(308)</w:t>
            </w:r>
          </w:p>
        </w:tc>
        <w:tc>
          <w:tcPr>
            <w:tcW w:w="9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(41)</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(15)</w:t>
            </w:r>
          </w:p>
        </w:tc>
        <w:tc>
          <w:tcPr>
            <w:tcW w:w="9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(698)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(1,068)</w:t>
            </w:r>
          </w:p>
        </w:tc>
        <w:tc>
          <w:tcPr>
            <w:tcW w:w="0" w:type="dxa"/>
            <w:vAlign w:val="bottom"/>
          </w:tcPr>
          <w:p>
            <w:pPr>
              <w:spacing w:after="0"/>
              <w:rPr>
                <w:sz w:val="1"/>
                <w:szCs w:val="1"/>
                <w:color w:val="auto"/>
              </w:rPr>
            </w:pPr>
          </w:p>
        </w:tc>
      </w:tr>
      <w:tr>
        <w:trPr>
          <w:trHeight w:val="139"/>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36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2"/>
                <w:szCs w:val="12"/>
                <w:color w:val="auto"/>
              </w:rPr>
              <w:t>(14,523)</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15</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(347)</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(3,408)</w:t>
            </w: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(335)</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599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(17,999)</w:t>
            </w:r>
          </w:p>
        </w:tc>
        <w:tc>
          <w:tcPr>
            <w:tcW w:w="0" w:type="dxa"/>
            <w:vAlign w:val="bottom"/>
          </w:tcPr>
          <w:p>
            <w:pPr>
              <w:spacing w:after="0"/>
              <w:rPr>
                <w:sz w:val="1"/>
                <w:szCs w:val="1"/>
                <w:color w:val="auto"/>
              </w:rPr>
            </w:pPr>
          </w:p>
        </w:tc>
      </w:tr>
      <w:tr>
        <w:trPr>
          <w:trHeight w:val="120"/>
        </w:trPr>
        <w:tc>
          <w:tcPr>
            <w:tcW w:w="1980" w:type="dxa"/>
            <w:vAlign w:val="bottom"/>
          </w:tcPr>
          <w:p>
            <w:pPr>
              <w:spacing w:after="0" w:line="120" w:lineRule="exact"/>
              <w:rPr>
                <w:sz w:val="20"/>
                <w:szCs w:val="20"/>
                <w:color w:val="auto"/>
              </w:rPr>
            </w:pPr>
            <w:r>
              <w:rPr>
                <w:rFonts w:ascii="Arial" w:cs="Arial" w:eastAsia="Arial" w:hAnsi="Arial"/>
                <w:sz w:val="12"/>
                <w:szCs w:val="12"/>
                <w:b w:val="1"/>
                <w:bCs w:val="1"/>
                <w:color w:val="auto"/>
              </w:rPr>
              <w:t>Income from continuing</w:t>
            </w: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80" w:type="dxa"/>
            <w:vAlign w:val="bottom"/>
          </w:tcPr>
          <w:p>
            <w:pPr>
              <w:spacing w:after="0"/>
              <w:rPr>
                <w:sz w:val="20"/>
                <w:szCs w:val="20"/>
                <w:color w:val="auto"/>
              </w:rPr>
            </w:pPr>
            <w:r>
              <w:rPr>
                <w:rFonts w:ascii="Arial" w:cs="Arial" w:eastAsia="Arial" w:hAnsi="Arial"/>
                <w:sz w:val="12"/>
                <w:szCs w:val="12"/>
                <w:b w:val="1"/>
                <w:bCs w:val="1"/>
                <w:color w:val="auto"/>
              </w:rPr>
              <w:t>operations</w:t>
            </w:r>
          </w:p>
        </w:tc>
        <w:tc>
          <w:tcPr>
            <w:tcW w:w="1360" w:type="dxa"/>
            <w:vAlign w:val="bottom"/>
            <w:gridSpan w:val="2"/>
          </w:tcPr>
          <w:p>
            <w:pPr>
              <w:jc w:val="right"/>
              <w:ind w:right="218"/>
              <w:spacing w:after="0"/>
              <w:rPr>
                <w:sz w:val="20"/>
                <w:szCs w:val="20"/>
                <w:color w:val="auto"/>
              </w:rPr>
            </w:pPr>
            <w:r>
              <w:rPr>
                <w:rFonts w:ascii="Arial" w:cs="Arial" w:eastAsia="Arial" w:hAnsi="Arial"/>
                <w:sz w:val="12"/>
                <w:szCs w:val="12"/>
                <w:color w:val="auto"/>
              </w:rPr>
              <w:t>13,577</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1,378</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661</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9,982</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1,298</w:t>
            </w:r>
          </w:p>
        </w:tc>
        <w:tc>
          <w:tcPr>
            <w:tcW w:w="980" w:type="dxa"/>
            <w:vAlign w:val="bottom"/>
          </w:tcPr>
          <w:p>
            <w:pPr>
              <w:jc w:val="right"/>
              <w:ind w:right="138"/>
              <w:spacing w:after="0"/>
              <w:rPr>
                <w:sz w:val="20"/>
                <w:szCs w:val="20"/>
                <w:color w:val="auto"/>
              </w:rPr>
            </w:pPr>
            <w:r>
              <w:rPr>
                <w:rFonts w:ascii="Arial" w:cs="Arial" w:eastAsia="Arial" w:hAnsi="Arial"/>
                <w:sz w:val="12"/>
                <w:szCs w:val="12"/>
                <w:color w:val="auto"/>
              </w:rPr>
              <w:t>(328)</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26,568</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Income/(loss) from discontinued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operations</w:t>
            </w: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(307)</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(307)</w:t>
            </w:r>
          </w:p>
        </w:tc>
        <w:tc>
          <w:tcPr>
            <w:tcW w:w="0" w:type="dxa"/>
            <w:vAlign w:val="bottom"/>
          </w:tcPr>
          <w:p>
            <w:pPr>
              <w:spacing w:after="0"/>
              <w:rPr>
                <w:sz w:val="1"/>
                <w:szCs w:val="1"/>
                <w:color w:val="auto"/>
              </w:rPr>
            </w:pPr>
          </w:p>
        </w:tc>
      </w:tr>
      <w:tr>
        <w:trPr>
          <w:trHeight w:val="140"/>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Income for the period</w:t>
            </w:r>
          </w:p>
        </w:tc>
        <w:tc>
          <w:tcPr>
            <w:tcW w:w="13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13,577</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1,378</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661</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9,982</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991</w:t>
            </w: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(328)</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26,261</w:t>
            </w:r>
          </w:p>
        </w:tc>
        <w:tc>
          <w:tcPr>
            <w:tcW w:w="0" w:type="dxa"/>
            <w:vAlign w:val="bottom"/>
          </w:tcPr>
          <w:p>
            <w:pPr>
              <w:spacing w:after="0"/>
              <w:rPr>
                <w:sz w:val="1"/>
                <w:szCs w:val="1"/>
                <w:color w:val="auto"/>
              </w:rPr>
            </w:pPr>
          </w:p>
        </w:tc>
      </w:tr>
      <w:tr>
        <w:trPr>
          <w:trHeight w:val="134"/>
        </w:trPr>
        <w:tc>
          <w:tcPr>
            <w:tcW w:w="1980" w:type="dxa"/>
            <w:vAlign w:val="bottom"/>
          </w:tcPr>
          <w:p>
            <w:pPr>
              <w:spacing w:after="0" w:line="134" w:lineRule="exact"/>
              <w:rPr>
                <w:sz w:val="20"/>
                <w:szCs w:val="20"/>
                <w:color w:val="auto"/>
              </w:rPr>
            </w:pPr>
            <w:r>
              <w:rPr>
                <w:rFonts w:ascii="Arial" w:cs="Arial" w:eastAsia="Arial" w:hAnsi="Arial"/>
                <w:sz w:val="12"/>
                <w:szCs w:val="12"/>
                <w:color w:val="auto"/>
              </w:rPr>
              <w:t>Depreciation, depletion and</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amortisation charge</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8,098</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372</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179</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2,622</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599</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111</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11,981</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of which:</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ind w:left="200"/>
              <w:spacing w:after="0" w:line="133" w:lineRule="exact"/>
              <w:rPr>
                <w:sz w:val="20"/>
                <w:szCs w:val="20"/>
                <w:color w:val="auto"/>
              </w:rPr>
            </w:pPr>
            <w:r>
              <w:rPr>
                <w:rFonts w:ascii="Arial" w:cs="Arial" w:eastAsia="Arial" w:hAnsi="Arial"/>
                <w:sz w:val="12"/>
                <w:szCs w:val="12"/>
                <w:color w:val="auto"/>
              </w:rPr>
              <w:t>Impairment losses</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130</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70</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85</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305</w:t>
            </w:r>
          </w:p>
        </w:tc>
        <w:tc>
          <w:tcPr>
            <w:tcW w:w="0" w:type="dxa"/>
            <w:vAlign w:val="bottom"/>
          </w:tcPr>
          <w:p>
            <w:pPr>
              <w:spacing w:after="0"/>
              <w:rPr>
                <w:sz w:val="1"/>
                <w:szCs w:val="1"/>
                <w:color w:val="auto"/>
              </w:rPr>
            </w:pPr>
          </w:p>
        </w:tc>
      </w:tr>
      <w:tr>
        <w:trPr>
          <w:trHeight w:val="148"/>
        </w:trPr>
        <w:tc>
          <w:tcPr>
            <w:tcW w:w="1980" w:type="dxa"/>
            <w:vAlign w:val="bottom"/>
          </w:tcPr>
          <w:p>
            <w:pPr>
              <w:ind w:left="200"/>
              <w:spacing w:after="0"/>
              <w:rPr>
                <w:sz w:val="20"/>
                <w:szCs w:val="20"/>
                <w:color w:val="auto"/>
              </w:rPr>
            </w:pPr>
            <w:r>
              <w:rPr>
                <w:rFonts w:ascii="Arial" w:cs="Arial" w:eastAsia="Arial" w:hAnsi="Arial"/>
                <w:sz w:val="12"/>
                <w:szCs w:val="12"/>
                <w:color w:val="auto"/>
              </w:rPr>
              <w:t>Impairment reversals</w:t>
            </w:r>
          </w:p>
        </w:tc>
        <w:tc>
          <w:tcPr>
            <w:tcW w:w="340" w:type="dxa"/>
            <w:vAlign w:val="bottom"/>
          </w:tcPr>
          <w:p>
            <w:pPr>
              <w:spacing w:after="0"/>
              <w:rPr>
                <w:sz w:val="12"/>
                <w:szCs w:val="12"/>
                <w:color w:val="auto"/>
              </w:rPr>
            </w:pPr>
          </w:p>
        </w:tc>
        <w:tc>
          <w:tcPr>
            <w:tcW w:w="102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5</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4</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51"/>
        </w:trPr>
        <w:tc>
          <w:tcPr>
            <w:tcW w:w="1980" w:type="dxa"/>
            <w:vAlign w:val="bottom"/>
          </w:tcPr>
          <w:p>
            <w:pPr>
              <w:spacing w:after="0"/>
              <w:rPr>
                <w:sz w:val="20"/>
                <w:szCs w:val="20"/>
                <w:color w:val="auto"/>
              </w:rPr>
            </w:pPr>
            <w:r>
              <w:rPr>
                <w:rFonts w:ascii="Arial" w:cs="Arial" w:eastAsia="Arial" w:hAnsi="Arial"/>
                <w:sz w:val="12"/>
                <w:szCs w:val="12"/>
                <w:color w:val="auto"/>
              </w:rPr>
              <w:t>Total assets at December 31</w:t>
            </w:r>
          </w:p>
        </w:tc>
        <w:tc>
          <w:tcPr>
            <w:tcW w:w="1360" w:type="dxa"/>
            <w:vAlign w:val="bottom"/>
            <w:gridSpan w:val="2"/>
          </w:tcPr>
          <w:p>
            <w:pPr>
              <w:jc w:val="right"/>
              <w:ind w:right="218"/>
              <w:spacing w:after="0"/>
              <w:rPr>
                <w:sz w:val="20"/>
                <w:szCs w:val="20"/>
                <w:color w:val="auto"/>
              </w:rPr>
            </w:pPr>
            <w:r>
              <w:rPr>
                <w:rFonts w:ascii="Arial" w:cs="Arial" w:eastAsia="Arial" w:hAnsi="Arial"/>
                <w:sz w:val="12"/>
                <w:szCs w:val="12"/>
                <w:color w:val="auto"/>
              </w:rPr>
              <w:t>63,801</w:t>
            </w:r>
          </w:p>
        </w:tc>
        <w:tc>
          <w:tcPr>
            <w:tcW w:w="960" w:type="dxa"/>
            <w:vAlign w:val="bottom"/>
          </w:tcPr>
          <w:p>
            <w:pPr>
              <w:jc w:val="right"/>
              <w:ind w:right="258"/>
              <w:spacing w:after="0"/>
              <w:rPr>
                <w:sz w:val="20"/>
                <w:szCs w:val="20"/>
                <w:color w:val="auto"/>
              </w:rPr>
            </w:pPr>
            <w:r>
              <w:rPr>
                <w:rFonts w:ascii="Arial" w:cs="Arial" w:eastAsia="Arial" w:hAnsi="Arial"/>
                <w:sz w:val="12"/>
                <w:szCs w:val="12"/>
                <w:color w:val="auto"/>
              </w:rPr>
              <w:t>48,905</w:t>
            </w:r>
          </w:p>
        </w:tc>
        <w:tc>
          <w:tcPr>
            <w:tcW w:w="880" w:type="dxa"/>
            <w:vAlign w:val="bottom"/>
          </w:tcPr>
          <w:p>
            <w:pPr>
              <w:jc w:val="right"/>
              <w:ind w:right="198"/>
              <w:spacing w:after="0"/>
              <w:rPr>
                <w:sz w:val="20"/>
                <w:szCs w:val="20"/>
                <w:color w:val="auto"/>
              </w:rPr>
            </w:pPr>
            <w:r>
              <w:rPr>
                <w:rFonts w:ascii="Arial" w:cs="Arial" w:eastAsia="Arial" w:hAnsi="Arial"/>
                <w:sz w:val="12"/>
                <w:szCs w:val="12"/>
                <w:color w:val="auto"/>
              </w:rPr>
              <w:t>4,175</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74,987</w:t>
            </w:r>
          </w:p>
        </w:tc>
        <w:tc>
          <w:tcPr>
            <w:tcW w:w="1020" w:type="dxa"/>
            <w:vAlign w:val="bottom"/>
          </w:tcPr>
          <w:p>
            <w:pPr>
              <w:jc w:val="right"/>
              <w:ind w:right="178"/>
              <w:spacing w:after="0"/>
              <w:rPr>
                <w:sz w:val="20"/>
                <w:szCs w:val="20"/>
                <w:color w:val="auto"/>
              </w:rPr>
            </w:pPr>
            <w:r>
              <w:rPr>
                <w:rFonts w:ascii="Arial" w:cs="Arial" w:eastAsia="Arial" w:hAnsi="Arial"/>
                <w:sz w:val="12"/>
                <w:szCs w:val="12"/>
                <w:color w:val="auto"/>
              </w:rPr>
              <w:t>14,443</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13,205</w:t>
            </w:r>
          </w:p>
        </w:tc>
        <w:tc>
          <w:tcPr>
            <w:tcW w:w="800" w:type="dxa"/>
            <w:vAlign w:val="bottom"/>
          </w:tcPr>
          <w:p>
            <w:pPr>
              <w:jc w:val="right"/>
              <w:ind w:right="18"/>
              <w:spacing w:after="0"/>
              <w:rPr>
                <w:sz w:val="20"/>
                <w:szCs w:val="20"/>
                <w:color w:val="auto"/>
              </w:rPr>
            </w:pPr>
            <w:r>
              <w:rPr>
                <w:rFonts w:ascii="Arial" w:cs="Arial" w:eastAsia="Arial" w:hAnsi="Arial"/>
                <w:sz w:val="12"/>
                <w:szCs w:val="12"/>
                <w:color w:val="auto"/>
              </w:rPr>
              <w:t>219,516</w:t>
            </w: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Equity-accounted investments at</w:t>
            </w:r>
          </w:p>
        </w:tc>
        <w:tc>
          <w:tcPr>
            <w:tcW w:w="3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80" w:type="dxa"/>
            <w:vAlign w:val="bottom"/>
          </w:tcPr>
          <w:p>
            <w:pPr>
              <w:spacing w:after="0" w:line="133" w:lineRule="exact"/>
              <w:rPr>
                <w:sz w:val="20"/>
                <w:szCs w:val="20"/>
                <w:color w:val="auto"/>
              </w:rPr>
            </w:pPr>
            <w:r>
              <w:rPr>
                <w:rFonts w:ascii="Arial" w:cs="Arial" w:eastAsia="Arial" w:hAnsi="Arial"/>
                <w:sz w:val="12"/>
                <w:szCs w:val="12"/>
                <w:color w:val="auto"/>
              </w:rPr>
              <w:t>December 31</w:t>
            </w:r>
          </w:p>
        </w:tc>
        <w:tc>
          <w:tcPr>
            <w:tcW w:w="1360" w:type="dxa"/>
            <w:vAlign w:val="bottom"/>
            <w:gridSpan w:val="2"/>
          </w:tcPr>
          <w:p>
            <w:pPr>
              <w:jc w:val="right"/>
              <w:ind w:right="218"/>
              <w:spacing w:after="0" w:line="133" w:lineRule="exact"/>
              <w:rPr>
                <w:sz w:val="20"/>
                <w:szCs w:val="20"/>
                <w:color w:val="auto"/>
              </w:rPr>
            </w:pPr>
            <w:r>
              <w:rPr>
                <w:rFonts w:ascii="Arial" w:cs="Arial" w:eastAsia="Arial" w:hAnsi="Arial"/>
                <w:sz w:val="12"/>
                <w:szCs w:val="12"/>
                <w:color w:val="auto"/>
              </w:rPr>
              <w:t>5,152</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3,164</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6,173</w:t>
            </w:r>
          </w:p>
        </w:tc>
        <w:tc>
          <w:tcPr>
            <w:tcW w:w="10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2,330</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86</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16,905</w:t>
            </w:r>
          </w:p>
        </w:tc>
        <w:tc>
          <w:tcPr>
            <w:tcW w:w="0" w:type="dxa"/>
            <w:vAlign w:val="bottom"/>
          </w:tcPr>
          <w:p>
            <w:pPr>
              <w:spacing w:after="0"/>
              <w:rPr>
                <w:sz w:val="1"/>
                <w:szCs w:val="1"/>
                <w:color w:val="auto"/>
              </w:rPr>
            </w:pPr>
          </w:p>
        </w:tc>
      </w:tr>
      <w:tr>
        <w:trPr>
          <w:trHeight w:val="146"/>
        </w:trPr>
        <w:tc>
          <w:tcPr>
            <w:tcW w:w="1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Capital expenditure</w:t>
            </w:r>
          </w:p>
        </w:tc>
        <w:tc>
          <w:tcPr>
            <w:tcW w:w="13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2"/>
                <w:szCs w:val="12"/>
                <w:color w:val="auto"/>
              </w:rPr>
              <w:t>10,584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1,573</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274</w:t>
            </w:r>
          </w:p>
        </w:tc>
        <w:tc>
          <w:tcPr>
            <w:tcW w:w="9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2,810</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387</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288</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-2274570</wp:posOffset>
            </wp:positionV>
            <wp:extent cx="4186555" cy="262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186555"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128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4" w:name="page135"/>
    <w:bookmarkEnd w:id="13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10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INFORMATION BY GEOGRAPHICAL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-93345</wp:posOffset>
            </wp:positionV>
            <wp:extent cx="8255" cy="28924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289242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-93345</wp:posOffset>
            </wp:positionV>
            <wp:extent cx="282575" cy="47701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2575" cy="4770120"/>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20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1220" w:type="dxa"/>
            <w:vAlign w:val="bottom"/>
            <w:shd w:val="clear" w:color="auto" w:fill="7DD0E0"/>
          </w:tcPr>
          <w:p>
            <w:pPr>
              <w:spacing w:after="0"/>
              <w:rPr>
                <w:sz w:val="12"/>
                <w:szCs w:val="12"/>
                <w:color w:val="auto"/>
              </w:rPr>
            </w:pPr>
          </w:p>
        </w:tc>
        <w:tc>
          <w:tcPr>
            <w:tcW w:w="92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8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220" w:type="dxa"/>
            <w:vAlign w:val="bottom"/>
            <w:vMerge w:val="restart"/>
            <w:shd w:val="clear" w:color="auto" w:fill="CECAC6"/>
          </w:tcPr>
          <w:p>
            <w:pPr>
              <w:jc w:val="right"/>
              <w:ind w:right="238"/>
              <w:spacing w:after="0"/>
              <w:rPr>
                <w:sz w:val="20"/>
                <w:szCs w:val="20"/>
                <w:color w:val="auto"/>
              </w:rPr>
            </w:pPr>
            <w:r>
              <w:rPr>
                <w:rFonts w:ascii="Arial" w:cs="Arial" w:eastAsia="Arial" w:hAnsi="Arial"/>
                <w:sz w:val="12"/>
                <w:szCs w:val="12"/>
                <w:color w:val="auto"/>
              </w:rPr>
              <w:t>Other</w:t>
            </w:r>
          </w:p>
        </w:tc>
        <w:tc>
          <w:tcPr>
            <w:tcW w:w="920" w:type="dxa"/>
            <w:vAlign w:val="bottom"/>
            <w:shd w:val="clear" w:color="auto" w:fill="CECAC6"/>
          </w:tcPr>
          <w:p>
            <w:pPr>
              <w:spacing w:after="0"/>
              <w:rPr>
                <w:sz w:val="12"/>
                <w:szCs w:val="12"/>
                <w:color w:val="auto"/>
              </w:rPr>
            </w:pPr>
          </w:p>
        </w:tc>
        <w:tc>
          <w:tcPr>
            <w:tcW w:w="1180" w:type="dxa"/>
            <w:vAlign w:val="bottom"/>
            <w:vMerge w:val="restart"/>
            <w:shd w:val="clear" w:color="auto" w:fill="CECAC6"/>
          </w:tcPr>
          <w:p>
            <w:pPr>
              <w:jc w:val="right"/>
              <w:ind w:right="198"/>
              <w:spacing w:after="0"/>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27"/>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220" w:type="dxa"/>
            <w:vAlign w:val="bottom"/>
            <w:vMerge w:val="continue"/>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1180" w:type="dxa"/>
            <w:vAlign w:val="bottom"/>
            <w:vMerge w:val="continue"/>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22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Eastern</w:t>
            </w:r>
          </w:p>
        </w:tc>
        <w:tc>
          <w:tcPr>
            <w:tcW w:w="92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Western</w:t>
            </w: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Europe</w:t>
            </w:r>
          </w:p>
        </w:tc>
        <w:tc>
          <w:tcPr>
            <w:tcW w:w="122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Hemisphere</w:t>
            </w:r>
          </w:p>
        </w:tc>
        <w:tc>
          <w:tcPr>
            <w:tcW w:w="9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USA</w:t>
            </w:r>
          </w:p>
        </w:tc>
        <w:tc>
          <w:tcPr>
            <w:tcW w:w="11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Hemisphere</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3200" w:type="dxa"/>
            <w:vAlign w:val="bottom"/>
          </w:tcPr>
          <w:p>
            <w:pPr>
              <w:spacing w:after="0" w:line="128" w:lineRule="exact"/>
              <w:rPr>
                <w:sz w:val="20"/>
                <w:szCs w:val="20"/>
                <w:color w:val="auto"/>
              </w:rPr>
            </w:pPr>
            <w:r>
              <w:rPr>
                <w:rFonts w:ascii="Arial" w:cs="Arial" w:eastAsia="Arial" w:hAnsi="Arial"/>
                <w:sz w:val="12"/>
                <w:szCs w:val="12"/>
                <w:color w:val="auto"/>
              </w:rPr>
              <w:t>Third party revenue</w:t>
            </w:r>
          </w:p>
        </w:tc>
        <w:tc>
          <w:tcPr>
            <w:tcW w:w="11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148,465</w:t>
            </w:r>
          </w:p>
        </w:tc>
        <w:tc>
          <w:tcPr>
            <w:tcW w:w="12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90,141</w:t>
            </w:r>
          </w:p>
        </w:tc>
        <w:tc>
          <w:tcPr>
            <w:tcW w:w="92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87,548</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29,628</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355,782</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Intangible assets, property, plant and equipment and</w:t>
            </w: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equity-accounted investments at December 31</w:t>
            </w: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36,673</w:t>
            </w: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49,911</w:t>
            </w: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27,606</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21,850</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-616585</wp:posOffset>
            </wp:positionV>
            <wp:extent cx="3138170" cy="3467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138170" cy="34671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20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1220" w:type="dxa"/>
            <w:vAlign w:val="bottom"/>
            <w:shd w:val="clear" w:color="auto" w:fill="7DD0E0"/>
          </w:tcPr>
          <w:p>
            <w:pPr>
              <w:spacing w:after="0"/>
              <w:rPr>
                <w:sz w:val="12"/>
                <w:szCs w:val="12"/>
                <w:color w:val="auto"/>
              </w:rPr>
            </w:pPr>
          </w:p>
        </w:tc>
        <w:tc>
          <w:tcPr>
            <w:tcW w:w="92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8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220" w:type="dxa"/>
            <w:vAlign w:val="bottom"/>
            <w:vMerge w:val="restart"/>
            <w:shd w:val="clear" w:color="auto" w:fill="CECAC6"/>
          </w:tcPr>
          <w:p>
            <w:pPr>
              <w:jc w:val="right"/>
              <w:ind w:right="238"/>
              <w:spacing w:after="0"/>
              <w:rPr>
                <w:sz w:val="20"/>
                <w:szCs w:val="20"/>
                <w:color w:val="auto"/>
              </w:rPr>
            </w:pPr>
            <w:r>
              <w:rPr>
                <w:rFonts w:ascii="Arial" w:cs="Arial" w:eastAsia="Arial" w:hAnsi="Arial"/>
                <w:sz w:val="12"/>
                <w:szCs w:val="12"/>
                <w:color w:val="auto"/>
              </w:rPr>
              <w:t>Other</w:t>
            </w:r>
          </w:p>
        </w:tc>
        <w:tc>
          <w:tcPr>
            <w:tcW w:w="920" w:type="dxa"/>
            <w:vAlign w:val="bottom"/>
            <w:shd w:val="clear" w:color="auto" w:fill="CECAC6"/>
          </w:tcPr>
          <w:p>
            <w:pPr>
              <w:spacing w:after="0"/>
              <w:rPr>
                <w:sz w:val="12"/>
                <w:szCs w:val="12"/>
                <w:color w:val="auto"/>
              </w:rPr>
            </w:pPr>
          </w:p>
        </w:tc>
        <w:tc>
          <w:tcPr>
            <w:tcW w:w="1180" w:type="dxa"/>
            <w:vAlign w:val="bottom"/>
            <w:vMerge w:val="restart"/>
            <w:shd w:val="clear" w:color="auto" w:fill="CECAC6"/>
          </w:tcPr>
          <w:p>
            <w:pPr>
              <w:jc w:val="right"/>
              <w:ind w:right="198"/>
              <w:spacing w:after="0"/>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220" w:type="dxa"/>
            <w:vAlign w:val="bottom"/>
            <w:vMerge w:val="continue"/>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1180" w:type="dxa"/>
            <w:vAlign w:val="bottom"/>
            <w:vMerge w:val="continue"/>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22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Eastern</w:t>
            </w:r>
          </w:p>
        </w:tc>
        <w:tc>
          <w:tcPr>
            <w:tcW w:w="92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Western</w:t>
            </w: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Europe</w:t>
            </w:r>
          </w:p>
        </w:tc>
        <w:tc>
          <w:tcPr>
            <w:tcW w:w="122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Hemisphere</w:t>
            </w:r>
          </w:p>
        </w:tc>
        <w:tc>
          <w:tcPr>
            <w:tcW w:w="9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USA</w:t>
            </w:r>
          </w:p>
        </w:tc>
        <w:tc>
          <w:tcPr>
            <w:tcW w:w="11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Hemisphere</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3200" w:type="dxa"/>
            <w:vAlign w:val="bottom"/>
          </w:tcPr>
          <w:p>
            <w:pPr>
              <w:spacing w:after="0" w:line="128" w:lineRule="exact"/>
              <w:rPr>
                <w:sz w:val="20"/>
                <w:szCs w:val="20"/>
                <w:color w:val="auto"/>
              </w:rPr>
            </w:pPr>
            <w:r>
              <w:rPr>
                <w:rFonts w:ascii="Arial" w:cs="Arial" w:eastAsia="Arial" w:hAnsi="Arial"/>
                <w:sz w:val="12"/>
                <w:szCs w:val="12"/>
                <w:color w:val="auto"/>
              </w:rPr>
              <w:t>Third party revenue</w:t>
            </w:r>
          </w:p>
        </w:tc>
        <w:tc>
          <w:tcPr>
            <w:tcW w:w="11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136,307</w:t>
            </w:r>
          </w:p>
        </w:tc>
        <w:tc>
          <w:tcPr>
            <w:tcW w:w="12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76,898</w:t>
            </w:r>
          </w:p>
        </w:tc>
        <w:tc>
          <w:tcPr>
            <w:tcW w:w="92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80,974</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24,666</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318,845</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Intangible assets, property, plant and equipment and</w:t>
            </w:r>
          </w:p>
        </w:tc>
        <w:tc>
          <w:tcPr>
            <w:tcW w:w="11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equity-accounted investments at December 31</w:t>
            </w: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33,537</w:t>
            </w:r>
          </w:p>
        </w:tc>
        <w:tc>
          <w:tcPr>
            <w:tcW w:w="12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50,167</w:t>
            </w:r>
          </w:p>
        </w:tc>
        <w:tc>
          <w:tcPr>
            <w:tcW w:w="9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26,297</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16,535</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126,536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-616585</wp:posOffset>
            </wp:positionV>
            <wp:extent cx="3138170" cy="3467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138170" cy="34671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20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960" w:type="dxa"/>
            <w:vAlign w:val="bottom"/>
            <w:shd w:val="clear" w:color="auto" w:fill="7DD0E0"/>
          </w:tcPr>
          <w:p>
            <w:pPr>
              <w:spacing w:after="0"/>
              <w:rPr>
                <w:sz w:val="12"/>
                <w:szCs w:val="12"/>
                <w:color w:val="auto"/>
              </w:rPr>
            </w:pPr>
          </w:p>
        </w:tc>
        <w:tc>
          <w:tcPr>
            <w:tcW w:w="1180" w:type="dxa"/>
            <w:vAlign w:val="bottom"/>
            <w:shd w:val="clear" w:color="auto" w:fill="7DD0E0"/>
          </w:tcPr>
          <w:p>
            <w:pPr>
              <w:spacing w:after="0"/>
              <w:rPr>
                <w:sz w:val="12"/>
                <w:szCs w:val="12"/>
                <w:color w:val="auto"/>
              </w:rPr>
            </w:pPr>
          </w:p>
        </w:tc>
        <w:tc>
          <w:tcPr>
            <w:tcW w:w="8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180" w:type="dxa"/>
            <w:vAlign w:val="bottom"/>
            <w:vMerge w:val="restart"/>
            <w:shd w:val="clear" w:color="auto" w:fill="CECAC6"/>
          </w:tcPr>
          <w:p>
            <w:pPr>
              <w:jc w:val="right"/>
              <w:ind w:right="218"/>
              <w:spacing w:after="0"/>
              <w:rPr>
                <w:sz w:val="20"/>
                <w:szCs w:val="20"/>
                <w:color w:val="auto"/>
              </w:rPr>
            </w:pPr>
            <w:r>
              <w:rPr>
                <w:rFonts w:ascii="Arial" w:cs="Arial" w:eastAsia="Arial" w:hAnsi="Arial"/>
                <w:sz w:val="12"/>
                <w:szCs w:val="12"/>
                <w:color w:val="auto"/>
              </w:rPr>
              <w:t>Other</w:t>
            </w:r>
          </w:p>
        </w:tc>
        <w:tc>
          <w:tcPr>
            <w:tcW w:w="960" w:type="dxa"/>
            <w:vAlign w:val="bottom"/>
            <w:shd w:val="clear" w:color="auto" w:fill="CECAC6"/>
          </w:tcPr>
          <w:p>
            <w:pPr>
              <w:spacing w:after="0"/>
              <w:rPr>
                <w:sz w:val="12"/>
                <w:szCs w:val="12"/>
                <w:color w:val="auto"/>
              </w:rPr>
            </w:pPr>
          </w:p>
        </w:tc>
        <w:tc>
          <w:tcPr>
            <w:tcW w:w="1180" w:type="dxa"/>
            <w:vAlign w:val="bottom"/>
            <w:vMerge w:val="restart"/>
            <w:shd w:val="clear" w:color="auto" w:fill="CECAC6"/>
          </w:tcPr>
          <w:p>
            <w:pPr>
              <w:jc w:val="right"/>
              <w:ind w:right="198"/>
              <w:spacing w:after="0"/>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27"/>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80" w:type="dxa"/>
            <w:vAlign w:val="bottom"/>
            <w:vMerge w:val="continue"/>
            <w:shd w:val="clear" w:color="auto" w:fill="CECAC6"/>
          </w:tcPr>
          <w:p>
            <w:pPr>
              <w:spacing w:after="0"/>
              <w:rPr>
                <w:sz w:val="11"/>
                <w:szCs w:val="11"/>
                <w:color w:val="auto"/>
              </w:rPr>
            </w:pPr>
          </w:p>
        </w:tc>
        <w:tc>
          <w:tcPr>
            <w:tcW w:w="960" w:type="dxa"/>
            <w:vAlign w:val="bottom"/>
            <w:shd w:val="clear" w:color="auto" w:fill="CECAC6"/>
          </w:tcPr>
          <w:p>
            <w:pPr>
              <w:spacing w:after="0"/>
              <w:rPr>
                <w:sz w:val="11"/>
                <w:szCs w:val="11"/>
                <w:color w:val="auto"/>
              </w:rPr>
            </w:pPr>
          </w:p>
        </w:tc>
        <w:tc>
          <w:tcPr>
            <w:tcW w:w="1180" w:type="dxa"/>
            <w:vAlign w:val="bottom"/>
            <w:vMerge w:val="continue"/>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Eastern</w:t>
            </w:r>
          </w:p>
        </w:tc>
        <w:tc>
          <w:tcPr>
            <w:tcW w:w="96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Western</w:t>
            </w:r>
          </w:p>
        </w:tc>
        <w:tc>
          <w:tcPr>
            <w:tcW w:w="8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Europe</w:t>
            </w:r>
          </w:p>
        </w:tc>
        <w:tc>
          <w:tcPr>
            <w:tcW w:w="118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Hemisphere</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USA</w:t>
            </w:r>
          </w:p>
        </w:tc>
        <w:tc>
          <w:tcPr>
            <w:tcW w:w="11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Hemisphere</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3200" w:type="dxa"/>
            <w:vAlign w:val="bottom"/>
          </w:tcPr>
          <w:p>
            <w:pPr>
              <w:spacing w:after="0" w:line="128" w:lineRule="exact"/>
              <w:rPr>
                <w:sz w:val="20"/>
                <w:szCs w:val="20"/>
                <w:color w:val="auto"/>
              </w:rPr>
            </w:pPr>
            <w:r>
              <w:rPr>
                <w:rFonts w:ascii="Arial" w:cs="Arial" w:eastAsia="Arial" w:hAnsi="Arial"/>
                <w:sz w:val="12"/>
                <w:szCs w:val="12"/>
                <w:color w:val="auto"/>
              </w:rPr>
              <w:t>Third party revenue</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122,684</w:t>
            </w:r>
          </w:p>
        </w:tc>
        <w:tc>
          <w:tcPr>
            <w:tcW w:w="11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61,388</w:t>
            </w:r>
          </w:p>
        </w:tc>
        <w:tc>
          <w:tcPr>
            <w:tcW w:w="9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101,308</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21,351</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306,731</w:t>
            </w:r>
          </w:p>
        </w:tc>
        <w:tc>
          <w:tcPr>
            <w:tcW w:w="0" w:type="dxa"/>
            <w:vAlign w:val="bottom"/>
          </w:tcPr>
          <w:p>
            <w:pPr>
              <w:spacing w:after="0"/>
              <w:rPr>
                <w:sz w:val="1"/>
                <w:szCs w:val="1"/>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color w:val="auto"/>
              </w:rPr>
              <w:t>Intangible assets, property, plant and equipment and</w:t>
            </w:r>
          </w:p>
        </w:tc>
        <w:tc>
          <w:tcPr>
            <w:tcW w:w="1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equity-accounted investments at December 31</w:t>
            </w: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28,801</w:t>
            </w:r>
          </w:p>
        </w:tc>
        <w:tc>
          <w:tcPr>
            <w:tcW w:w="11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42,258</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25,515</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12,239</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108,813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-616585</wp:posOffset>
            </wp:positionV>
            <wp:extent cx="3146425" cy="3467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14642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1266825</wp:posOffset>
            </wp:positionV>
            <wp:extent cx="7252970"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700" w:space="720"/>
            <w:col w:w="8540"/>
          </w:cols>
          <w:pgMar w:left="240" w:top="415" w:right="6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11</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INTANGIBLE ASSETS</w:t>
      </w:r>
    </w:p>
    <w:tbl>
      <w:tblPr>
        <w:tblLayout w:type="fixed"/>
        <w:tblInd w:w="2300" w:type="dxa"/>
        <w:tblCellMar>
          <w:top w:w="0" w:type="dxa"/>
          <w:left w:w="0" w:type="dxa"/>
          <w:bottom w:w="0" w:type="dxa"/>
          <w:right w:w="0" w:type="dxa"/>
        </w:tblCellMar>
      </w:tblPr>
      <w:tr>
        <w:trPr>
          <w:trHeight w:val="139"/>
        </w:trPr>
        <w:tc>
          <w:tcPr>
            <w:tcW w:w="4400" w:type="dxa"/>
            <w:vAlign w:val="bottom"/>
            <w:shd w:val="clear" w:color="auto" w:fill="7DD0E3"/>
          </w:tcPr>
          <w:p>
            <w:pPr>
              <w:ind w:left="60"/>
              <w:spacing w:after="0"/>
              <w:rPr>
                <w:sz w:val="20"/>
                <w:szCs w:val="20"/>
                <w:color w:val="auto"/>
              </w:rPr>
            </w:pPr>
            <w:r>
              <w:rPr>
                <w:rFonts w:ascii="Arial" w:cs="Arial" w:eastAsia="Arial" w:hAnsi="Arial"/>
                <w:sz w:val="12"/>
                <w:szCs w:val="12"/>
                <w:b w:val="1"/>
                <w:bCs w:val="1"/>
                <w:color w:val="auto"/>
              </w:rPr>
              <w:t>2007</w:t>
            </w:r>
          </w:p>
        </w:tc>
        <w:tc>
          <w:tcPr>
            <w:tcW w:w="2880" w:type="dxa"/>
            <w:vAlign w:val="bottom"/>
            <w:shd w:val="clear" w:color="auto" w:fill="7DD0E3"/>
          </w:tcPr>
          <w:p>
            <w:pPr>
              <w:spacing w:after="0"/>
              <w:rPr>
                <w:sz w:val="12"/>
                <w:szCs w:val="12"/>
                <w:color w:val="auto"/>
              </w:rPr>
            </w:pPr>
          </w:p>
        </w:tc>
        <w:tc>
          <w:tcPr>
            <w:tcW w:w="1000" w:type="dxa"/>
            <w:vAlign w:val="bottom"/>
            <w:shd w:val="clear" w:color="auto" w:fill="7DD0E3"/>
          </w:tcPr>
          <w:p>
            <w:pPr>
              <w:spacing w:after="0"/>
              <w:rPr>
                <w:sz w:val="12"/>
                <w:szCs w:val="12"/>
                <w:color w:val="auto"/>
              </w:rPr>
            </w:pPr>
          </w:p>
        </w:tc>
        <w:tc>
          <w:tcPr>
            <w:tcW w:w="8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4400" w:type="dxa"/>
            <w:vAlign w:val="bottom"/>
            <w:shd w:val="clear" w:color="auto" w:fill="CECAC6"/>
          </w:tcPr>
          <w:p>
            <w:pPr>
              <w:spacing w:after="0"/>
              <w:rPr>
                <w:sz w:val="11"/>
                <w:szCs w:val="11"/>
                <w:color w:val="auto"/>
              </w:rPr>
            </w:pPr>
          </w:p>
        </w:tc>
        <w:tc>
          <w:tcPr>
            <w:tcW w:w="288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Goodwill</w:t>
            </w:r>
          </w:p>
        </w:tc>
        <w:tc>
          <w:tcPr>
            <w:tcW w:w="100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Total</w:t>
            </w:r>
          </w:p>
        </w:tc>
      </w:tr>
      <w:tr>
        <w:trPr>
          <w:trHeight w:val="127"/>
        </w:trPr>
        <w:tc>
          <w:tcPr>
            <w:tcW w:w="4400" w:type="dxa"/>
            <w:vAlign w:val="bottom"/>
          </w:tcPr>
          <w:p>
            <w:pPr>
              <w:spacing w:after="0" w:line="128" w:lineRule="exact"/>
              <w:rPr>
                <w:sz w:val="20"/>
                <w:szCs w:val="20"/>
                <w:color w:val="auto"/>
              </w:rPr>
            </w:pPr>
            <w:r>
              <w:rPr>
                <w:rFonts w:ascii="Arial" w:cs="Arial" w:eastAsia="Arial" w:hAnsi="Arial"/>
                <w:sz w:val="12"/>
                <w:szCs w:val="12"/>
                <w:b w:val="1"/>
                <w:bCs w:val="1"/>
                <w:color w:val="auto"/>
              </w:rPr>
              <w:t>Cost</w:t>
            </w:r>
          </w:p>
        </w:tc>
        <w:tc>
          <w:tcPr>
            <w:tcW w:w="2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At January 1, 2007</w:t>
            </w:r>
          </w:p>
        </w:tc>
        <w:tc>
          <w:tcPr>
            <w:tcW w:w="28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2,953</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3,641</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6,594</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Capital expenditure</w:t>
            </w:r>
          </w:p>
        </w:tc>
        <w:tc>
          <w:tcPr>
            <w:tcW w:w="28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8</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374</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382</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28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125</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128</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253</w:t>
            </w:r>
          </w:p>
        </w:tc>
      </w:tr>
      <w:tr>
        <w:trPr>
          <w:trHeight w:val="139"/>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28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95</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156</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251</w:t>
            </w:r>
          </w:p>
        </w:tc>
      </w:tr>
      <w:tr>
        <w:trPr>
          <w:trHeight w:val="140"/>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2007</w:t>
            </w:r>
          </w:p>
        </w:tc>
        <w:tc>
          <w:tcPr>
            <w:tcW w:w="28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3,181</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4,299</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7,480</w:t>
            </w:r>
          </w:p>
        </w:tc>
      </w:tr>
      <w:tr>
        <w:trPr>
          <w:trHeight w:val="134"/>
        </w:trPr>
        <w:tc>
          <w:tcPr>
            <w:tcW w:w="4400" w:type="dxa"/>
            <w:vAlign w:val="bottom"/>
          </w:tcPr>
          <w:p>
            <w:pPr>
              <w:spacing w:after="0" w:line="134" w:lineRule="exact"/>
              <w:rPr>
                <w:sz w:val="20"/>
                <w:szCs w:val="20"/>
                <w:color w:val="auto"/>
              </w:rPr>
            </w:pPr>
            <w:r>
              <w:rPr>
                <w:rFonts w:ascii="Arial" w:cs="Arial" w:eastAsia="Arial" w:hAnsi="Arial"/>
                <w:sz w:val="12"/>
                <w:szCs w:val="12"/>
                <w:b w:val="1"/>
                <w:bCs w:val="1"/>
                <w:color w:val="auto"/>
              </w:rPr>
              <w:t>Depreciation, depletion and amortisation</w:t>
            </w:r>
          </w:p>
        </w:tc>
        <w:tc>
          <w:tcPr>
            <w:tcW w:w="2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At January 1, 2007</w:t>
            </w:r>
          </w:p>
        </w:tc>
        <w:tc>
          <w:tcPr>
            <w:tcW w:w="28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20</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1,766</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1,786</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Charge for the year</w:t>
            </w:r>
          </w:p>
        </w:tc>
        <w:tc>
          <w:tcPr>
            <w:tcW w:w="28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320</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322</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288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(72)</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(76)</w:t>
            </w:r>
          </w:p>
        </w:tc>
      </w:tr>
      <w:tr>
        <w:trPr>
          <w:trHeight w:val="139"/>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28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82</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82</w:t>
            </w:r>
          </w:p>
        </w:tc>
      </w:tr>
      <w:tr>
        <w:trPr>
          <w:trHeight w:val="140"/>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2007</w:t>
            </w:r>
          </w:p>
        </w:tc>
        <w:tc>
          <w:tcPr>
            <w:tcW w:w="28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18</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2,096</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2,114</w:t>
            </w:r>
          </w:p>
        </w:tc>
      </w:tr>
      <w:tr>
        <w:trPr>
          <w:trHeight w:val="146"/>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 at December 31, 2007</w:t>
            </w:r>
          </w:p>
        </w:tc>
        <w:tc>
          <w:tcPr>
            <w:tcW w:w="28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3,163</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2,203</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-1352550</wp:posOffset>
            </wp:positionV>
            <wp:extent cx="8255" cy="34759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3475990"/>
                    </a:xfrm>
                    <a:prstGeom prst="rect">
                      <a:avLst/>
                    </a:prstGeom>
                    <a:noFill/>
                  </pic:spPr>
                </pic:pic>
              </a:graphicData>
            </a:graphic>
          </wp:anchor>
        </w:drawing>
      </w:r>
    </w:p>
    <w:p>
      <w:pPr>
        <w:spacing w:after="0" w:line="334" w:lineRule="exact"/>
        <w:rPr>
          <w:sz w:val="20"/>
          <w:szCs w:val="20"/>
          <w:color w:val="auto"/>
        </w:rPr>
      </w:pPr>
    </w:p>
    <w:tbl>
      <w:tblPr>
        <w:tblLayout w:type="fixed"/>
        <w:tblInd w:w="2300" w:type="dxa"/>
        <w:tblCellMar>
          <w:top w:w="0" w:type="dxa"/>
          <w:left w:w="0" w:type="dxa"/>
          <w:bottom w:w="0" w:type="dxa"/>
          <w:right w:w="0" w:type="dxa"/>
        </w:tblCellMar>
      </w:tblPr>
      <w:tr>
        <w:trPr>
          <w:trHeight w:val="139"/>
        </w:trPr>
        <w:tc>
          <w:tcPr>
            <w:tcW w:w="4400" w:type="dxa"/>
            <w:vAlign w:val="bottom"/>
            <w:shd w:val="clear" w:color="auto" w:fill="7DD0E3"/>
          </w:tcPr>
          <w:p>
            <w:pPr>
              <w:ind w:left="60"/>
              <w:spacing w:after="0"/>
              <w:rPr>
                <w:sz w:val="20"/>
                <w:szCs w:val="20"/>
                <w:color w:val="auto"/>
              </w:rPr>
            </w:pPr>
            <w:r>
              <w:rPr>
                <w:rFonts w:ascii="Arial" w:cs="Arial" w:eastAsia="Arial" w:hAnsi="Arial"/>
                <w:sz w:val="12"/>
                <w:szCs w:val="12"/>
                <w:b w:val="1"/>
                <w:bCs w:val="1"/>
                <w:color w:val="auto"/>
              </w:rPr>
              <w:t>2006</w:t>
            </w:r>
          </w:p>
        </w:tc>
        <w:tc>
          <w:tcPr>
            <w:tcW w:w="2860" w:type="dxa"/>
            <w:vAlign w:val="bottom"/>
            <w:shd w:val="clear" w:color="auto" w:fill="7DD0E3"/>
          </w:tcPr>
          <w:p>
            <w:pPr>
              <w:spacing w:after="0"/>
              <w:rPr>
                <w:sz w:val="12"/>
                <w:szCs w:val="12"/>
                <w:color w:val="auto"/>
              </w:rPr>
            </w:pPr>
          </w:p>
        </w:tc>
        <w:tc>
          <w:tcPr>
            <w:tcW w:w="1020" w:type="dxa"/>
            <w:vAlign w:val="bottom"/>
            <w:shd w:val="clear" w:color="auto" w:fill="7DD0E3"/>
          </w:tcPr>
          <w:p>
            <w:pPr>
              <w:spacing w:after="0"/>
              <w:rPr>
                <w:sz w:val="12"/>
                <w:szCs w:val="12"/>
                <w:color w:val="auto"/>
              </w:rPr>
            </w:pPr>
          </w:p>
        </w:tc>
        <w:tc>
          <w:tcPr>
            <w:tcW w:w="8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4400" w:type="dxa"/>
            <w:vAlign w:val="bottom"/>
            <w:shd w:val="clear" w:color="auto" w:fill="CECAC6"/>
          </w:tcPr>
          <w:p>
            <w:pPr>
              <w:spacing w:after="0"/>
              <w:rPr>
                <w:sz w:val="11"/>
                <w:szCs w:val="11"/>
                <w:color w:val="auto"/>
              </w:rPr>
            </w:pPr>
          </w:p>
        </w:tc>
        <w:tc>
          <w:tcPr>
            <w:tcW w:w="2860" w:type="dxa"/>
            <w:vAlign w:val="bottom"/>
            <w:shd w:val="clear" w:color="auto" w:fill="CECAC6"/>
          </w:tcPr>
          <w:p>
            <w:pPr>
              <w:jc w:val="right"/>
              <w:ind w:right="338"/>
              <w:spacing w:after="0" w:line="133" w:lineRule="exact"/>
              <w:rPr>
                <w:sz w:val="20"/>
                <w:szCs w:val="20"/>
                <w:color w:val="auto"/>
              </w:rPr>
            </w:pPr>
            <w:r>
              <w:rPr>
                <w:rFonts w:ascii="Arial" w:cs="Arial" w:eastAsia="Arial" w:hAnsi="Arial"/>
                <w:sz w:val="12"/>
                <w:szCs w:val="12"/>
                <w:color w:val="auto"/>
              </w:rPr>
              <w:t>Goodwill</w:t>
            </w:r>
          </w:p>
        </w:tc>
        <w:tc>
          <w:tcPr>
            <w:tcW w:w="102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Total</w:t>
            </w:r>
          </w:p>
        </w:tc>
      </w:tr>
      <w:tr>
        <w:trPr>
          <w:trHeight w:val="127"/>
        </w:trPr>
        <w:tc>
          <w:tcPr>
            <w:tcW w:w="4400" w:type="dxa"/>
            <w:vAlign w:val="bottom"/>
          </w:tcPr>
          <w:p>
            <w:pPr>
              <w:spacing w:after="0" w:line="128" w:lineRule="exact"/>
              <w:rPr>
                <w:sz w:val="20"/>
                <w:szCs w:val="20"/>
                <w:color w:val="auto"/>
              </w:rPr>
            </w:pPr>
            <w:r>
              <w:rPr>
                <w:rFonts w:ascii="Arial" w:cs="Arial" w:eastAsia="Arial" w:hAnsi="Arial"/>
                <w:sz w:val="12"/>
                <w:szCs w:val="12"/>
                <w:b w:val="1"/>
                <w:bCs w:val="1"/>
                <w:color w:val="auto"/>
              </w:rPr>
              <w:t>Cost</w:t>
            </w:r>
          </w:p>
        </w:tc>
        <w:tc>
          <w:tcPr>
            <w:tcW w:w="2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At January 1, 2006</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2,701</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3,145</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5,846</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Capital expenditure</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219</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319</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538</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15</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21</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36</w:t>
            </w:r>
          </w:p>
        </w:tc>
      </w:tr>
      <w:tr>
        <w:trPr>
          <w:trHeight w:val="139"/>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2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18</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156</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174</w:t>
            </w:r>
          </w:p>
        </w:tc>
      </w:tr>
      <w:tr>
        <w:trPr>
          <w:trHeight w:val="140"/>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2006</w:t>
            </w:r>
          </w:p>
        </w:tc>
        <w:tc>
          <w:tcPr>
            <w:tcW w:w="2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2,953</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3,641</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6,594</w:t>
            </w:r>
          </w:p>
        </w:tc>
      </w:tr>
      <w:tr>
        <w:trPr>
          <w:trHeight w:val="134"/>
        </w:trPr>
        <w:tc>
          <w:tcPr>
            <w:tcW w:w="4400" w:type="dxa"/>
            <w:vAlign w:val="bottom"/>
          </w:tcPr>
          <w:p>
            <w:pPr>
              <w:spacing w:after="0" w:line="134" w:lineRule="exact"/>
              <w:rPr>
                <w:sz w:val="20"/>
                <w:szCs w:val="20"/>
                <w:color w:val="auto"/>
              </w:rPr>
            </w:pPr>
            <w:r>
              <w:rPr>
                <w:rFonts w:ascii="Arial" w:cs="Arial" w:eastAsia="Arial" w:hAnsi="Arial"/>
                <w:sz w:val="12"/>
                <w:szCs w:val="12"/>
                <w:b w:val="1"/>
                <w:bCs w:val="1"/>
                <w:color w:val="auto"/>
              </w:rPr>
              <w:t>Depreciation, depletion and amortisation</w:t>
            </w:r>
          </w:p>
        </w:tc>
        <w:tc>
          <w:tcPr>
            <w:tcW w:w="2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At January 1, 2006</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17</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1,479</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1,496</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Charge for the year</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282</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285</w:t>
            </w:r>
          </w:p>
        </w:tc>
      </w:tr>
      <w:tr>
        <w:trPr>
          <w:trHeight w:val="133"/>
        </w:trPr>
        <w:tc>
          <w:tcPr>
            <w:tcW w:w="440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28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(76)</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(76)</w:t>
            </w:r>
          </w:p>
        </w:tc>
      </w:tr>
      <w:tr>
        <w:trPr>
          <w:trHeight w:val="139"/>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2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81</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81</w:t>
            </w:r>
          </w:p>
        </w:tc>
      </w:tr>
      <w:tr>
        <w:trPr>
          <w:trHeight w:val="140"/>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2006</w:t>
            </w:r>
          </w:p>
        </w:tc>
        <w:tc>
          <w:tcPr>
            <w:tcW w:w="2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1,766</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1,786</w:t>
            </w:r>
          </w:p>
        </w:tc>
      </w:tr>
      <w:tr>
        <w:trPr>
          <w:trHeight w:val="146"/>
        </w:trPr>
        <w:tc>
          <w:tcPr>
            <w:tcW w:w="4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 at December 31, 2006</w:t>
            </w:r>
          </w:p>
        </w:tc>
        <w:tc>
          <w:tcPr>
            <w:tcW w:w="28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2,933</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1,875</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4,808</w:t>
            </w:r>
          </w:p>
        </w:tc>
      </w:tr>
    </w:tbl>
    <w:p>
      <w:pPr>
        <w:spacing w:after="0" w:line="101" w:lineRule="exact"/>
        <w:rPr>
          <w:sz w:val="20"/>
          <w:szCs w:val="20"/>
          <w:color w:val="auto"/>
        </w:rPr>
      </w:pPr>
    </w:p>
    <w:p>
      <w:pPr>
        <w:ind w:left="2280" w:right="60"/>
        <w:spacing w:after="0" w:line="273" w:lineRule="auto"/>
        <w:rPr>
          <w:sz w:val="20"/>
          <w:szCs w:val="20"/>
          <w:color w:val="auto"/>
        </w:rPr>
      </w:pPr>
      <w:r>
        <w:rPr>
          <w:rFonts w:ascii="Arial" w:cs="Arial" w:eastAsia="Arial" w:hAnsi="Arial"/>
          <w:sz w:val="12"/>
          <w:szCs w:val="12"/>
          <w:color w:val="auto"/>
        </w:rPr>
        <w:t>Goodwill relates primarily to the acquisition in 2002 of Pennzoil-Quaker State, which is in the Oil Products segment. In 2007, this goodwill of $2,096 million was tested for impairment on a value-in-use basis utilising a 6% nominal discount rate, an average 2.0% inflation rate and a 20-year forecast of risk-adjusted cash flow projections based on past experience and future expectations of volume, margins and cost which had been approved by management covering a five year period. Cash flows beyond the five year period were assumed to have a growth rate equal to the US inflation rate. A sensitivity analysis was performed by reducing the risk-adjusted cash flow projections (decrease in volumes, margins, and increase in costs) by 10% which did not lead to an impairment of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130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320" w:type="dxa"/>
            <w:vAlign w:val="bottom"/>
            <w:vMerge w:val="restart"/>
          </w:tcPr>
          <w:p>
            <w:pPr>
              <w:spacing w:after="0"/>
              <w:rPr>
                <w:sz w:val="20"/>
                <w:szCs w:val="20"/>
                <w:color w:val="auto"/>
              </w:rPr>
            </w:pPr>
            <w:r>
              <w:rPr>
                <w:rFonts w:ascii="Arial" w:cs="Arial" w:eastAsia="Arial" w:hAnsi="Arial"/>
                <w:sz w:val="18"/>
                <w:szCs w:val="18"/>
                <w:b w:val="1"/>
                <w:bCs w:val="1"/>
                <w:color w:val="7DD0E3"/>
              </w:rPr>
              <w:t>12</w:t>
            </w:r>
          </w:p>
        </w:tc>
        <w:tc>
          <w:tcPr>
            <w:tcW w:w="30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320" w:type="dxa"/>
            <w:vAlign w:val="bottom"/>
            <w:vMerge w:val="continue"/>
          </w:tcPr>
          <w:p>
            <w:pPr>
              <w:spacing w:after="0"/>
              <w:rPr>
                <w:sz w:val="11"/>
                <w:szCs w:val="11"/>
                <w:color w:val="auto"/>
              </w:rPr>
            </w:pPr>
          </w:p>
        </w:tc>
        <w:tc>
          <w:tcPr>
            <w:tcW w:w="3060" w:type="dxa"/>
            <w:vAlign w:val="bottom"/>
            <w:shd w:val="clear" w:color="auto" w:fill="7DD0E3"/>
          </w:tcPr>
          <w:p>
            <w:pPr>
              <w:ind w:left="20"/>
              <w:spacing w:after="0" w:line="133" w:lineRule="exact"/>
              <w:rPr>
                <w:sz w:val="20"/>
                <w:szCs w:val="20"/>
                <w:color w:val="auto"/>
              </w:rPr>
            </w:pPr>
            <w:r>
              <w:rPr>
                <w:rFonts w:ascii="Arial" w:cs="Arial" w:eastAsia="Arial" w:hAnsi="Arial"/>
                <w:sz w:val="12"/>
                <w:szCs w:val="12"/>
                <w:b w:val="1"/>
                <w:bCs w:val="1"/>
                <w:color w:val="auto"/>
              </w:rPr>
              <w:t>2007</w:t>
            </w:r>
          </w:p>
        </w:tc>
        <w:tc>
          <w:tcPr>
            <w:tcW w:w="1280" w:type="dxa"/>
            <w:vAlign w:val="bottom"/>
            <w:shd w:val="clear" w:color="auto" w:fill="7DD0E3"/>
          </w:tcPr>
          <w:p>
            <w:pPr>
              <w:spacing w:after="0"/>
              <w:rPr>
                <w:sz w:val="11"/>
                <w:szCs w:val="11"/>
                <w:color w:val="auto"/>
              </w:rPr>
            </w:pPr>
          </w:p>
        </w:tc>
        <w:tc>
          <w:tcPr>
            <w:tcW w:w="124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00" w:type="dxa"/>
            <w:vAlign w:val="bottom"/>
            <w:shd w:val="clear" w:color="auto" w:fill="7DD0E3"/>
          </w:tcPr>
          <w:p>
            <w:pPr>
              <w:spacing w:after="0"/>
              <w:rPr>
                <w:sz w:val="11"/>
                <w:szCs w:val="11"/>
                <w:color w:val="auto"/>
              </w:rPr>
            </w:pPr>
          </w:p>
        </w:tc>
        <w:tc>
          <w:tcPr>
            <w:tcW w:w="800" w:type="dxa"/>
            <w:vAlign w:val="bottom"/>
            <w:shd w:val="clear" w:color="auto" w:fill="7DD0E3"/>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2320" w:type="dxa"/>
            <w:vAlign w:val="bottom"/>
            <w:vMerge w:val="restart"/>
          </w:tcPr>
          <w:p>
            <w:pPr>
              <w:spacing w:after="0"/>
              <w:rPr>
                <w:sz w:val="20"/>
                <w:szCs w:val="20"/>
                <w:color w:val="auto"/>
              </w:rPr>
            </w:pPr>
            <w:r>
              <w:rPr>
                <w:rFonts w:ascii="Arial" w:cs="Arial" w:eastAsia="Arial" w:hAnsi="Arial"/>
                <w:sz w:val="14"/>
                <w:szCs w:val="14"/>
                <w:b w:val="1"/>
                <w:bCs w:val="1"/>
                <w:color w:val="auto"/>
              </w:rPr>
              <w:t>PROPERTY,</w:t>
            </w:r>
          </w:p>
        </w:tc>
        <w:tc>
          <w:tcPr>
            <w:tcW w:w="306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178"/>
              <w:spacing w:after="0" w:line="128" w:lineRule="exact"/>
              <w:rPr>
                <w:sz w:val="20"/>
                <w:szCs w:val="20"/>
                <w:color w:val="auto"/>
              </w:rPr>
            </w:pPr>
            <w:r>
              <w:rPr>
                <w:rFonts w:ascii="Arial" w:cs="Arial" w:eastAsia="Arial" w:hAnsi="Arial"/>
                <w:sz w:val="12"/>
                <w:szCs w:val="12"/>
                <w:color w:val="auto"/>
              </w:rPr>
              <w:t>Manufacturing</w:t>
            </w:r>
          </w:p>
        </w:tc>
        <w:tc>
          <w:tcPr>
            <w:tcW w:w="126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Transportation</w:t>
            </w:r>
          </w:p>
        </w:tc>
        <w:tc>
          <w:tcPr>
            <w:tcW w:w="10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320" w:type="dxa"/>
            <w:vAlign w:val="bottom"/>
            <w:vMerge w:val="continue"/>
          </w:tcPr>
          <w:p>
            <w:pPr>
              <w:spacing w:after="0"/>
              <w:rPr>
                <w:sz w:val="9"/>
                <w:szCs w:val="9"/>
                <w:color w:val="auto"/>
              </w:rPr>
            </w:pPr>
          </w:p>
        </w:tc>
        <w:tc>
          <w:tcPr>
            <w:tcW w:w="3060" w:type="dxa"/>
            <w:vAlign w:val="bottom"/>
            <w:shd w:val="clear" w:color="auto" w:fill="CECAC6"/>
          </w:tcPr>
          <w:p>
            <w:pPr>
              <w:spacing w:after="0"/>
              <w:rPr>
                <w:sz w:val="9"/>
                <w:szCs w:val="9"/>
                <w:color w:val="auto"/>
              </w:rPr>
            </w:pPr>
          </w:p>
        </w:tc>
        <w:tc>
          <w:tcPr>
            <w:tcW w:w="1280" w:type="dxa"/>
            <w:vAlign w:val="bottom"/>
            <w:shd w:val="clear" w:color="auto" w:fill="CECAC6"/>
          </w:tcPr>
          <w:p>
            <w:pPr>
              <w:jc w:val="right"/>
              <w:ind w:right="198"/>
              <w:spacing w:after="0" w:line="113" w:lineRule="exact"/>
              <w:rPr>
                <w:sz w:val="20"/>
                <w:szCs w:val="20"/>
                <w:color w:val="auto"/>
              </w:rPr>
            </w:pPr>
            <w:r>
              <w:rPr>
                <w:rFonts w:ascii="Arial" w:cs="Arial" w:eastAsia="Arial" w:hAnsi="Arial"/>
                <w:sz w:val="12"/>
                <w:szCs w:val="12"/>
                <w:color w:val="auto"/>
              </w:rPr>
              <w:t>Oil and gas</w:t>
            </w:r>
          </w:p>
        </w:tc>
        <w:tc>
          <w:tcPr>
            <w:tcW w:w="1240" w:type="dxa"/>
            <w:vAlign w:val="bottom"/>
            <w:shd w:val="clear" w:color="auto" w:fill="CECAC6"/>
          </w:tcPr>
          <w:p>
            <w:pPr>
              <w:jc w:val="right"/>
              <w:ind w:right="178"/>
              <w:spacing w:after="0" w:line="113" w:lineRule="exact"/>
              <w:rPr>
                <w:sz w:val="20"/>
                <w:szCs w:val="20"/>
                <w:color w:val="auto"/>
              </w:rPr>
            </w:pPr>
            <w:r>
              <w:rPr>
                <w:rFonts w:ascii="Arial" w:cs="Arial" w:eastAsia="Arial" w:hAnsi="Arial"/>
                <w:sz w:val="12"/>
                <w:szCs w:val="12"/>
                <w:color w:val="auto"/>
              </w:rPr>
              <w:t>and</w:t>
            </w:r>
          </w:p>
        </w:tc>
        <w:tc>
          <w:tcPr>
            <w:tcW w:w="1260" w:type="dxa"/>
            <w:vAlign w:val="bottom"/>
            <w:shd w:val="clear" w:color="auto" w:fill="CECAC6"/>
          </w:tcPr>
          <w:p>
            <w:pPr>
              <w:jc w:val="right"/>
              <w:ind w:right="198"/>
              <w:spacing w:after="0" w:line="113" w:lineRule="exact"/>
              <w:rPr>
                <w:sz w:val="20"/>
                <w:szCs w:val="20"/>
                <w:color w:val="auto"/>
              </w:rPr>
            </w:pPr>
            <w:r>
              <w:rPr>
                <w:rFonts w:ascii="Arial" w:cs="Arial" w:eastAsia="Arial" w:hAnsi="Arial"/>
                <w:sz w:val="12"/>
                <w:szCs w:val="12"/>
                <w:color w:val="auto"/>
              </w:rPr>
              <w:t>and</w:t>
            </w:r>
          </w:p>
        </w:tc>
        <w:tc>
          <w:tcPr>
            <w:tcW w:w="1000" w:type="dxa"/>
            <w:vAlign w:val="bottom"/>
            <w:shd w:val="clear" w:color="auto" w:fill="CECAC6"/>
          </w:tcPr>
          <w:p>
            <w:pPr>
              <w:ind w:left="200"/>
              <w:spacing w:after="0" w:line="113" w:lineRule="exact"/>
              <w:rPr>
                <w:sz w:val="20"/>
                <w:szCs w:val="20"/>
                <w:color w:val="auto"/>
              </w:rPr>
            </w:pPr>
            <w:r>
              <w:rPr>
                <w:rFonts w:ascii="Arial" w:cs="Arial" w:eastAsia="Arial" w:hAnsi="Arial"/>
                <w:sz w:val="12"/>
                <w:szCs w:val="12"/>
                <w:color w:val="auto"/>
              </w:rPr>
              <w:t>Marketing</w:t>
            </w:r>
          </w:p>
        </w:tc>
        <w:tc>
          <w:tcPr>
            <w:tcW w:w="800" w:type="dxa"/>
            <w:vAlign w:val="bottom"/>
            <w:shd w:val="clear" w:color="auto" w:fill="CECAC6"/>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320" w:type="dxa"/>
            <w:vAlign w:val="bottom"/>
          </w:tcPr>
          <w:p>
            <w:pPr>
              <w:spacing w:after="0" w:line="160" w:lineRule="exact"/>
              <w:rPr>
                <w:sz w:val="20"/>
                <w:szCs w:val="20"/>
                <w:color w:val="auto"/>
              </w:rPr>
            </w:pPr>
            <w:r>
              <w:rPr>
                <w:rFonts w:ascii="Arial" w:cs="Arial" w:eastAsia="Arial" w:hAnsi="Arial"/>
                <w:sz w:val="14"/>
                <w:szCs w:val="14"/>
                <w:b w:val="1"/>
                <w:bCs w:val="1"/>
                <w:color w:val="auto"/>
              </w:rPr>
              <w:t>PLANT AND EQUIPMENT</w:t>
            </w:r>
          </w:p>
        </w:tc>
        <w:tc>
          <w:tcPr>
            <w:tcW w:w="3060" w:type="dxa"/>
            <w:vAlign w:val="bottom"/>
            <w:shd w:val="clear" w:color="auto" w:fill="CECAC6"/>
          </w:tcPr>
          <w:p>
            <w:pPr>
              <w:spacing w:after="0"/>
              <w:rPr>
                <w:sz w:val="13"/>
                <w:szCs w:val="13"/>
                <w:color w:val="auto"/>
              </w:rPr>
            </w:pPr>
          </w:p>
        </w:tc>
        <w:tc>
          <w:tcPr>
            <w:tcW w:w="12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properties</w:t>
            </w:r>
          </w:p>
        </w:tc>
        <w:tc>
          <w:tcPr>
            <w:tcW w:w="12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processing</w:t>
            </w:r>
          </w:p>
        </w:tc>
        <w:tc>
          <w:tcPr>
            <w:tcW w:w="12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storage</w:t>
            </w:r>
          </w:p>
        </w:tc>
        <w:tc>
          <w:tcPr>
            <w:tcW w:w="1000" w:type="dxa"/>
            <w:vAlign w:val="bottom"/>
            <w:shd w:val="clear" w:color="auto" w:fill="CECAC6"/>
          </w:tcPr>
          <w:p>
            <w:pPr>
              <w:ind w:left="200"/>
              <w:spacing w:after="0"/>
              <w:rPr>
                <w:sz w:val="20"/>
                <w:szCs w:val="20"/>
                <w:color w:val="auto"/>
              </w:rPr>
            </w:pPr>
            <w:r>
              <w:rPr>
                <w:rFonts w:ascii="Arial" w:cs="Arial" w:eastAsia="Arial" w:hAnsi="Arial"/>
                <w:sz w:val="12"/>
                <w:szCs w:val="12"/>
                <w:color w:val="auto"/>
              </w:rPr>
              <w:t>and other</w:t>
            </w: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2"/>
                <w:szCs w:val="12"/>
                <w:b w:val="1"/>
                <w:bCs w:val="1"/>
                <w:color w:val="auto"/>
              </w:rPr>
              <w:t>Cost</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At January 1, 2007</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141,652</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44,257</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5,028</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28,239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219,176</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Capital expenditure</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18,160</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3,140</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104</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2,319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23,723</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12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(16,334)</w:t>
            </w:r>
          </w:p>
        </w:tc>
        <w:tc>
          <w:tcPr>
            <w:tcW w:w="12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(2,111)</w:t>
            </w:r>
          </w:p>
        </w:tc>
        <w:tc>
          <w:tcPr>
            <w:tcW w:w="12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(251)</w:t>
            </w:r>
          </w:p>
        </w:tc>
        <w:tc>
          <w:tcPr>
            <w:tcW w:w="10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(2,162)</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(20,858)</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7,262</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3,187</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242</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2,546</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13,237</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2007</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150,740</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48,473</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5,123</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30,942</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235,278</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3060" w:type="dxa"/>
            <w:vAlign w:val="bottom"/>
          </w:tcPr>
          <w:p>
            <w:pPr>
              <w:spacing w:after="0" w:line="134" w:lineRule="exact"/>
              <w:rPr>
                <w:sz w:val="20"/>
                <w:szCs w:val="20"/>
                <w:color w:val="auto"/>
              </w:rPr>
            </w:pPr>
            <w:r>
              <w:rPr>
                <w:rFonts w:ascii="Arial" w:cs="Arial" w:eastAsia="Arial" w:hAnsi="Arial"/>
                <w:sz w:val="12"/>
                <w:szCs w:val="12"/>
                <w:b w:val="1"/>
                <w:bCs w:val="1"/>
                <w:color w:val="auto"/>
              </w:rPr>
              <w:t>Depreciation, depletion and amortisation</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At January 1, 2007</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74,434</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25,798</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2,156</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15,800</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118,188</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Charge for the year</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9,653</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1,761</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210</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1,234</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12,858</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12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(1,516)</w:t>
            </w:r>
          </w:p>
        </w:tc>
        <w:tc>
          <w:tcPr>
            <w:tcW w:w="12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(1,139)</w:t>
            </w:r>
          </w:p>
        </w:tc>
        <w:tc>
          <w:tcPr>
            <w:tcW w:w="12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(94)</w:t>
            </w:r>
          </w:p>
        </w:tc>
        <w:tc>
          <w:tcPr>
            <w:tcW w:w="10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(1,572)</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(4,321)</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3,444</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1,978</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158</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1,452</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7,032</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2007</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86,015</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28,398</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2,430</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16,914</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133,757</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 at December 31, 2007</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64,725</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20,075</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2,693</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14,028</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101,521</w:t>
            </w:r>
          </w:p>
        </w:tc>
        <w:tc>
          <w:tcPr>
            <w:tcW w:w="0" w:type="dxa"/>
            <w:vAlign w:val="bottom"/>
          </w:tcPr>
          <w:p>
            <w:pPr>
              <w:spacing w:after="0"/>
              <w:rPr>
                <w:sz w:val="1"/>
                <w:szCs w:val="1"/>
                <w:color w:val="auto"/>
              </w:rPr>
            </w:pPr>
          </w:p>
        </w:tc>
      </w:tr>
      <w:tr>
        <w:trPr>
          <w:trHeight w:val="360"/>
        </w:trPr>
        <w:tc>
          <w:tcPr>
            <w:tcW w:w="2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shd w:val="clear" w:color="auto" w:fill="7DD0E3"/>
          </w:tcPr>
          <w:p>
            <w:pPr>
              <w:ind w:left="20"/>
              <w:spacing w:after="0" w:line="133" w:lineRule="exact"/>
              <w:rPr>
                <w:sz w:val="20"/>
                <w:szCs w:val="20"/>
                <w:color w:val="auto"/>
              </w:rPr>
            </w:pPr>
            <w:r>
              <w:rPr>
                <w:rFonts w:ascii="Arial" w:cs="Arial" w:eastAsia="Arial" w:hAnsi="Arial"/>
                <w:sz w:val="12"/>
                <w:szCs w:val="12"/>
                <w:b w:val="1"/>
                <w:bCs w:val="1"/>
                <w:color w:val="auto"/>
              </w:rPr>
              <w:t>2006</w:t>
            </w:r>
          </w:p>
        </w:tc>
        <w:tc>
          <w:tcPr>
            <w:tcW w:w="1280" w:type="dxa"/>
            <w:vAlign w:val="bottom"/>
            <w:shd w:val="clear" w:color="auto" w:fill="7DD0E3"/>
          </w:tcPr>
          <w:p>
            <w:pPr>
              <w:spacing w:after="0"/>
              <w:rPr>
                <w:sz w:val="11"/>
                <w:szCs w:val="11"/>
                <w:color w:val="auto"/>
              </w:rPr>
            </w:pPr>
          </w:p>
        </w:tc>
        <w:tc>
          <w:tcPr>
            <w:tcW w:w="124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00" w:type="dxa"/>
            <w:vAlign w:val="bottom"/>
            <w:shd w:val="clear" w:color="auto" w:fill="7DD0E3"/>
          </w:tcPr>
          <w:p>
            <w:pPr>
              <w:spacing w:after="0"/>
              <w:rPr>
                <w:sz w:val="11"/>
                <w:szCs w:val="11"/>
                <w:color w:val="auto"/>
              </w:rPr>
            </w:pPr>
          </w:p>
        </w:tc>
        <w:tc>
          <w:tcPr>
            <w:tcW w:w="800" w:type="dxa"/>
            <w:vAlign w:val="bottom"/>
            <w:shd w:val="clear" w:color="auto" w:fill="7DD0E3"/>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306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178"/>
              <w:spacing w:after="0" w:line="128" w:lineRule="exact"/>
              <w:rPr>
                <w:sz w:val="20"/>
                <w:szCs w:val="20"/>
                <w:color w:val="auto"/>
              </w:rPr>
            </w:pPr>
            <w:r>
              <w:rPr>
                <w:rFonts w:ascii="Arial" w:cs="Arial" w:eastAsia="Arial" w:hAnsi="Arial"/>
                <w:sz w:val="12"/>
                <w:szCs w:val="12"/>
                <w:color w:val="auto"/>
              </w:rPr>
              <w:t>Manufacturing</w:t>
            </w:r>
          </w:p>
        </w:tc>
        <w:tc>
          <w:tcPr>
            <w:tcW w:w="126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Transportation</w:t>
            </w:r>
          </w:p>
        </w:tc>
        <w:tc>
          <w:tcPr>
            <w:tcW w:w="10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4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26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and</w:t>
            </w:r>
          </w:p>
        </w:tc>
        <w:tc>
          <w:tcPr>
            <w:tcW w:w="1000" w:type="dxa"/>
            <w:vAlign w:val="bottom"/>
            <w:shd w:val="clear" w:color="auto" w:fill="CECAC6"/>
          </w:tcPr>
          <w:p>
            <w:pPr>
              <w:ind w:left="200"/>
              <w:spacing w:after="0" w:line="133" w:lineRule="exact"/>
              <w:rPr>
                <w:sz w:val="20"/>
                <w:szCs w:val="20"/>
                <w:color w:val="auto"/>
              </w:rPr>
            </w:pPr>
            <w:r>
              <w:rPr>
                <w:rFonts w:ascii="Arial" w:cs="Arial" w:eastAsia="Arial" w:hAnsi="Arial"/>
                <w:sz w:val="12"/>
                <w:szCs w:val="12"/>
                <w:color w:val="auto"/>
              </w:rPr>
              <w:t>Marketing</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3060" w:type="dxa"/>
            <w:vAlign w:val="bottom"/>
            <w:shd w:val="clear" w:color="auto" w:fill="CECAC6"/>
          </w:tcPr>
          <w:p>
            <w:pPr>
              <w:spacing w:after="0"/>
              <w:rPr>
                <w:sz w:val="12"/>
                <w:szCs w:val="12"/>
                <w:color w:val="auto"/>
              </w:rPr>
            </w:pPr>
          </w:p>
        </w:tc>
        <w:tc>
          <w:tcPr>
            <w:tcW w:w="12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properties</w:t>
            </w:r>
          </w:p>
        </w:tc>
        <w:tc>
          <w:tcPr>
            <w:tcW w:w="12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processing</w:t>
            </w:r>
          </w:p>
        </w:tc>
        <w:tc>
          <w:tcPr>
            <w:tcW w:w="12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storage</w:t>
            </w:r>
          </w:p>
        </w:tc>
        <w:tc>
          <w:tcPr>
            <w:tcW w:w="1000" w:type="dxa"/>
            <w:vAlign w:val="bottom"/>
            <w:shd w:val="clear" w:color="auto" w:fill="CECAC6"/>
          </w:tcPr>
          <w:p>
            <w:pPr>
              <w:ind w:left="200"/>
              <w:spacing w:after="0"/>
              <w:rPr>
                <w:sz w:val="20"/>
                <w:szCs w:val="20"/>
                <w:color w:val="auto"/>
              </w:rPr>
            </w:pPr>
            <w:r>
              <w:rPr>
                <w:rFonts w:ascii="Arial" w:cs="Arial" w:eastAsia="Arial" w:hAnsi="Arial"/>
                <w:sz w:val="12"/>
                <w:szCs w:val="12"/>
                <w:color w:val="auto"/>
              </w:rPr>
              <w:t>and other</w:t>
            </w:r>
          </w:p>
        </w:tc>
        <w:tc>
          <w:tcPr>
            <w:tcW w:w="8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320" w:type="dxa"/>
            <w:vAlign w:val="bottom"/>
          </w:tcPr>
          <w:p>
            <w:pPr>
              <w:spacing w:after="0"/>
              <w:rPr>
                <w:sz w:val="11"/>
                <w:szCs w:val="11"/>
                <w:color w:val="auto"/>
              </w:rPr>
            </w:pPr>
          </w:p>
        </w:tc>
        <w:tc>
          <w:tcPr>
            <w:tcW w:w="3060" w:type="dxa"/>
            <w:vAlign w:val="bottom"/>
          </w:tcPr>
          <w:p>
            <w:pPr>
              <w:spacing w:after="0" w:line="128" w:lineRule="exact"/>
              <w:rPr>
                <w:sz w:val="20"/>
                <w:szCs w:val="20"/>
                <w:color w:val="auto"/>
              </w:rPr>
            </w:pPr>
            <w:r>
              <w:rPr>
                <w:rFonts w:ascii="Arial" w:cs="Arial" w:eastAsia="Arial" w:hAnsi="Arial"/>
                <w:sz w:val="12"/>
                <w:szCs w:val="12"/>
                <w:b w:val="1"/>
                <w:bCs w:val="1"/>
                <w:color w:val="auto"/>
              </w:rPr>
              <w:t>Cost</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At January 1, 2006</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117,841</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40,157</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4,921</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27,890</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190,809</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Capital expenditure</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17,892</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2,331</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86</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2,249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22,558</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311</w:t>
            </w:r>
          </w:p>
        </w:tc>
        <w:tc>
          <w:tcPr>
            <w:tcW w:w="12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(617)</w:t>
            </w:r>
          </w:p>
        </w:tc>
        <w:tc>
          <w:tcPr>
            <w:tcW w:w="12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(139)</w:t>
            </w:r>
          </w:p>
        </w:tc>
        <w:tc>
          <w:tcPr>
            <w:tcW w:w="10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(3,763)</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(4,208)</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5,608</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2,386</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160</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1,863</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10,017</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2006</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141,652</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44,257</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5,028</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28,239</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219,176</w:t>
            </w: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3060" w:type="dxa"/>
            <w:vAlign w:val="bottom"/>
          </w:tcPr>
          <w:p>
            <w:pPr>
              <w:spacing w:after="0" w:line="134" w:lineRule="exact"/>
              <w:rPr>
                <w:sz w:val="20"/>
                <w:szCs w:val="20"/>
                <w:color w:val="auto"/>
              </w:rPr>
            </w:pPr>
            <w:r>
              <w:rPr>
                <w:rFonts w:ascii="Arial" w:cs="Arial" w:eastAsia="Arial" w:hAnsi="Arial"/>
                <w:sz w:val="12"/>
                <w:szCs w:val="12"/>
                <w:b w:val="1"/>
                <w:bCs w:val="1"/>
                <w:color w:val="auto"/>
              </w:rPr>
              <w:t>Depreciation, depletion and amortisation</w:t>
            </w:r>
          </w:p>
        </w:tc>
        <w:tc>
          <w:tcPr>
            <w:tcW w:w="1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At January 1, 2006</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63,297</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22,760</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1,967</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15,227</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103,251</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Charge for the year</w:t>
            </w:r>
          </w:p>
        </w:tc>
        <w:tc>
          <w:tcPr>
            <w:tcW w:w="12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9,084</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1,776</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211</w:t>
            </w:r>
          </w:p>
        </w:tc>
        <w:tc>
          <w:tcPr>
            <w:tcW w:w="10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1,259</w:t>
            </w:r>
          </w:p>
        </w:tc>
        <w:tc>
          <w:tcPr>
            <w:tcW w:w="8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12,330</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3060" w:type="dxa"/>
            <w:vAlign w:val="bottom"/>
          </w:tcPr>
          <w:p>
            <w:pPr>
              <w:spacing w:after="0" w:line="133" w:lineRule="exact"/>
              <w:rPr>
                <w:sz w:val="20"/>
                <w:szCs w:val="20"/>
                <w:color w:val="auto"/>
              </w:rPr>
            </w:pPr>
            <w:r>
              <w:rPr>
                <w:rFonts w:ascii="Arial" w:cs="Arial" w:eastAsia="Arial" w:hAnsi="Arial"/>
                <w:sz w:val="12"/>
                <w:szCs w:val="12"/>
                <w:color w:val="auto"/>
              </w:rPr>
              <w:t>Sales, retirements and other movements</w:t>
            </w:r>
          </w:p>
        </w:tc>
        <w:tc>
          <w:tcPr>
            <w:tcW w:w="12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(1,913)</w:t>
            </w:r>
          </w:p>
        </w:tc>
        <w:tc>
          <w:tcPr>
            <w:tcW w:w="12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(280)</w:t>
            </w:r>
          </w:p>
        </w:tc>
        <w:tc>
          <w:tcPr>
            <w:tcW w:w="12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(131)</w:t>
            </w:r>
          </w:p>
        </w:tc>
        <w:tc>
          <w:tcPr>
            <w:tcW w:w="10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(1,821)</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(4,145)</w:t>
            </w:r>
          </w:p>
        </w:tc>
        <w:tc>
          <w:tcPr>
            <w:tcW w:w="0" w:type="dxa"/>
            <w:vAlign w:val="bottom"/>
          </w:tcPr>
          <w:p>
            <w:pPr>
              <w:spacing w:after="0"/>
              <w:rPr>
                <w:sz w:val="1"/>
                <w:szCs w:val="1"/>
                <w:color w:val="auto"/>
              </w:rPr>
            </w:pPr>
          </w:p>
        </w:tc>
      </w:tr>
      <w:tr>
        <w:trPr>
          <w:trHeight w:val="139"/>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3,966</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1,542</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109</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1,135</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6,752</w:t>
            </w:r>
          </w:p>
        </w:tc>
        <w:tc>
          <w:tcPr>
            <w:tcW w:w="0" w:type="dxa"/>
            <w:vAlign w:val="bottom"/>
          </w:tcPr>
          <w:p>
            <w:pPr>
              <w:spacing w:after="0"/>
              <w:rPr>
                <w:sz w:val="1"/>
                <w:szCs w:val="1"/>
                <w:color w:val="auto"/>
              </w:rPr>
            </w:pPr>
          </w:p>
        </w:tc>
      </w:tr>
      <w:tr>
        <w:trPr>
          <w:trHeight w:val="140"/>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At December 31, 2006</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74,434</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25,798</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2,156</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15,800</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118,188</w:t>
            </w:r>
          </w:p>
        </w:tc>
        <w:tc>
          <w:tcPr>
            <w:tcW w:w="0" w:type="dxa"/>
            <w:vAlign w:val="bottom"/>
          </w:tcPr>
          <w:p>
            <w:pPr>
              <w:spacing w:after="0"/>
              <w:rPr>
                <w:sz w:val="1"/>
                <w:szCs w:val="1"/>
                <w:color w:val="auto"/>
              </w:rPr>
            </w:pPr>
          </w:p>
        </w:tc>
      </w:tr>
      <w:tr>
        <w:trPr>
          <w:trHeight w:val="146"/>
        </w:trPr>
        <w:tc>
          <w:tcPr>
            <w:tcW w:w="2320" w:type="dxa"/>
            <w:vAlign w:val="bottom"/>
          </w:tcPr>
          <w:p>
            <w:pPr>
              <w:spacing w:after="0"/>
              <w:rPr>
                <w:sz w:val="12"/>
                <w:szCs w:val="12"/>
                <w:color w:val="auto"/>
              </w:rPr>
            </w:pPr>
          </w:p>
        </w:tc>
        <w:tc>
          <w:tcPr>
            <w:tcW w:w="3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 at December 31, 2006</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67,218</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18,459</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2,872</w:t>
            </w:r>
          </w:p>
        </w:tc>
        <w:tc>
          <w:tcPr>
            <w:tcW w:w="10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12,439</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100,988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-3272790</wp:posOffset>
            </wp:positionV>
            <wp:extent cx="8255" cy="44316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4431665"/>
                    </a:xfrm>
                    <a:prstGeom prst="rect">
                      <a:avLst/>
                    </a:prstGeom>
                    <a:noFill/>
                  </pic:spPr>
                </pic:pic>
              </a:graphicData>
            </a:graphic>
          </wp:anchor>
        </w:drawing>
        <w:drawing>
          <wp:anchor simplePos="0" relativeHeight="251657728" behindDoc="1" locked="0" layoutInCell="0" allowOverlap="1">
            <wp:simplePos x="0" y="0"/>
            <wp:positionH relativeFrom="column">
              <wp:posOffset>7032625</wp:posOffset>
            </wp:positionH>
            <wp:positionV relativeFrom="paragraph">
              <wp:posOffset>-3272790</wp:posOffset>
            </wp:positionV>
            <wp:extent cx="282575" cy="674116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2575" cy="6741160"/>
                    </a:xfrm>
                    <a:prstGeom prst="rect">
                      <a:avLst/>
                    </a:prstGeom>
                    <a:noFill/>
                  </pic:spPr>
                </pic:pic>
              </a:graphicData>
            </a:graphic>
          </wp:anchor>
        </w:drawing>
      </w:r>
    </w:p>
    <w:p>
      <w:pPr>
        <w:spacing w:after="0" w:line="81"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The net book amount at December 31, 2007, includes $20,691 million (2006: $25,908 million) of assets in the course of construction.</w:t>
      </w:r>
    </w:p>
    <w:p>
      <w:pPr>
        <w:spacing w:after="0" w:line="92"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Oil and gas properties at December 31, 2007, include rights and concessions of $13,486 million (2006: $13,177 million).</w:t>
      </w:r>
    </w:p>
    <w:p>
      <w:pPr>
        <w:spacing w:after="0" w:line="92"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Contractual commitments for capital expenditure at December 31, 2007, amounted to $8.4 billion (2006: $11.4 billion).</w:t>
      </w:r>
    </w:p>
    <w:p>
      <w:pPr>
        <w:spacing w:after="0" w:line="92" w:lineRule="exact"/>
        <w:rPr>
          <w:sz w:val="20"/>
          <w:szCs w:val="20"/>
          <w:color w:val="auto"/>
        </w:rPr>
      </w:pPr>
    </w:p>
    <w:p>
      <w:pPr>
        <w:ind w:left="2300" w:right="160"/>
        <w:spacing w:after="0" w:line="247" w:lineRule="auto"/>
        <w:rPr>
          <w:sz w:val="20"/>
          <w:szCs w:val="20"/>
          <w:color w:val="auto"/>
        </w:rPr>
      </w:pPr>
      <w:r>
        <w:rPr>
          <w:rFonts w:ascii="Arial" w:cs="Arial" w:eastAsia="Arial" w:hAnsi="Arial"/>
          <w:sz w:val="14"/>
          <w:szCs w:val="14"/>
          <w:color w:val="auto"/>
        </w:rPr>
        <w:t>Sales, retirements and other movements (net) in 2007 include $15.7 billion as a result of the divestment of half of the interest in Sakhalin II (see Note 28).</w:t>
      </w:r>
    </w:p>
    <w:p>
      <w:pPr>
        <w:spacing w:after="0" w:line="68" w:lineRule="exact"/>
        <w:rPr>
          <w:sz w:val="20"/>
          <w:szCs w:val="20"/>
          <w:color w:val="auto"/>
        </w:rPr>
      </w:pPr>
    </w:p>
    <w:p>
      <w:pPr>
        <w:ind w:left="2300" w:right="20"/>
        <w:spacing w:after="0" w:line="285" w:lineRule="auto"/>
        <w:rPr>
          <w:sz w:val="20"/>
          <w:szCs w:val="20"/>
          <w:color w:val="auto"/>
        </w:rPr>
      </w:pPr>
      <w:r>
        <w:rPr>
          <w:rFonts w:ascii="Arial" w:cs="Arial" w:eastAsia="Arial" w:hAnsi="Arial"/>
          <w:sz w:val="13"/>
          <w:szCs w:val="13"/>
          <w:color w:val="auto"/>
        </w:rPr>
        <w:t>Shell acquired BlackRock Ventures during 2006 for a total consideration of $2.2 billion. As a result, the cost of property, plant and equipment within oil and gas properties increased by $2.8 billion. Goodwill of $0.2 billion arose on this acquisition and is included in intangible assets (Note 11).</w:t>
      </w:r>
    </w:p>
    <w:p>
      <w:pPr>
        <w:spacing w:after="0" w:line="45" w:lineRule="exact"/>
        <w:rPr>
          <w:sz w:val="20"/>
          <w:szCs w:val="20"/>
          <w:color w:val="auto"/>
        </w:rPr>
      </w:pPr>
    </w:p>
    <w:p>
      <w:pPr>
        <w:ind w:left="2300"/>
        <w:spacing w:after="0"/>
        <w:rPr>
          <w:sz w:val="20"/>
          <w:szCs w:val="20"/>
          <w:color w:val="auto"/>
        </w:rPr>
      </w:pPr>
      <w:r>
        <w:rPr>
          <w:rFonts w:ascii="Arial" w:cs="Arial" w:eastAsia="Arial" w:hAnsi="Arial"/>
          <w:sz w:val="14"/>
          <w:szCs w:val="14"/>
          <w:color w:val="auto"/>
        </w:rPr>
        <w:t>Oil and gas properties comprise Exploration &amp; Production, Gas &amp; Power and Oil Sands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1697990</wp:posOffset>
            </wp:positionV>
            <wp:extent cx="725297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680" w:type="dxa"/>
            <w:vAlign w:val="bottom"/>
          </w:tcPr>
          <w:p>
            <w:pPr>
              <w:spacing w:after="0"/>
              <w:rPr>
                <w:sz w:val="20"/>
                <w:szCs w:val="20"/>
                <w:color w:val="auto"/>
              </w:rPr>
            </w:pPr>
            <w:r>
              <w:rPr>
                <w:rFonts w:ascii="Arial" w:cs="Arial" w:eastAsia="Arial" w:hAnsi="Arial"/>
                <w:sz w:val="12"/>
                <w:szCs w:val="12"/>
                <w:b w:val="1"/>
                <w:bCs w:val="1"/>
                <w:i w:val="1"/>
                <w:iCs w:val="1"/>
                <w:color w:val="7DD0E0"/>
              </w:rPr>
              <w:t>Note 12 continued</w:t>
            </w:r>
          </w:p>
        </w:tc>
        <w:tc>
          <w:tcPr>
            <w:tcW w:w="5260" w:type="dxa"/>
            <w:vAlign w:val="bottom"/>
            <w:gridSpan w:val="3"/>
          </w:tcPr>
          <w:p>
            <w:pPr>
              <w:ind w:left="600"/>
              <w:spacing w:after="0"/>
              <w:rPr>
                <w:sz w:val="20"/>
                <w:szCs w:val="20"/>
                <w:color w:val="auto"/>
              </w:rPr>
            </w:pPr>
            <w:r>
              <w:rPr>
                <w:rFonts w:ascii="Arial" w:cs="Arial" w:eastAsia="Arial" w:hAnsi="Arial"/>
                <w:sz w:val="14"/>
                <w:szCs w:val="14"/>
                <w:color w:val="auto"/>
              </w:rPr>
              <w:t>The depreciation, depletion and amortisation charge for the year includes:</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7DD1E1"/>
          </w:tcPr>
          <w:p>
            <w:pPr>
              <w:spacing w:after="0"/>
              <w:rPr>
                <w:sz w:val="11"/>
                <w:szCs w:val="11"/>
                <w:color w:val="auto"/>
              </w:rPr>
            </w:pPr>
          </w:p>
        </w:tc>
        <w:tc>
          <w:tcPr>
            <w:tcW w:w="1220" w:type="dxa"/>
            <w:vAlign w:val="bottom"/>
            <w:shd w:val="clear" w:color="auto" w:fill="7DD1E1"/>
          </w:tcPr>
          <w:p>
            <w:pPr>
              <w:spacing w:after="0"/>
              <w:rPr>
                <w:sz w:val="11"/>
                <w:szCs w:val="11"/>
                <w:color w:val="auto"/>
              </w:rPr>
            </w:pPr>
          </w:p>
        </w:tc>
        <w:tc>
          <w:tcPr>
            <w:tcW w:w="1280" w:type="dxa"/>
            <w:vAlign w:val="bottom"/>
            <w:shd w:val="clear" w:color="auto" w:fill="7DD1E1"/>
          </w:tcPr>
          <w:p>
            <w:pPr>
              <w:spacing w:after="0"/>
              <w:rPr>
                <w:sz w:val="11"/>
                <w:szCs w:val="11"/>
                <w:color w:val="auto"/>
              </w:rPr>
            </w:pPr>
          </w:p>
        </w:tc>
        <w:tc>
          <w:tcPr>
            <w:tcW w:w="1300" w:type="dxa"/>
            <w:vAlign w:val="bottom"/>
            <w:shd w:val="clear" w:color="auto" w:fill="7DD1E1"/>
          </w:tcPr>
          <w:p>
            <w:pPr>
              <w:spacing w:after="0"/>
              <w:rPr>
                <w:sz w:val="11"/>
                <w:szCs w:val="11"/>
                <w:color w:val="auto"/>
              </w:rPr>
            </w:pPr>
          </w:p>
        </w:tc>
        <w:tc>
          <w:tcPr>
            <w:tcW w:w="1060" w:type="dxa"/>
            <w:vAlign w:val="bottom"/>
            <w:shd w:val="clear" w:color="auto" w:fill="7DD1E1"/>
          </w:tcPr>
          <w:p>
            <w:pPr>
              <w:spacing w:after="0"/>
              <w:rPr>
                <w:sz w:val="11"/>
                <w:szCs w:val="11"/>
                <w:color w:val="auto"/>
              </w:rPr>
            </w:pPr>
          </w:p>
        </w:tc>
        <w:tc>
          <w:tcPr>
            <w:tcW w:w="840" w:type="dxa"/>
            <w:vAlign w:val="bottom"/>
            <w:shd w:val="clear" w:color="auto" w:fill="7DD1E1"/>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spacing w:after="0"/>
              <w:rPr>
                <w:sz w:val="12"/>
                <w:szCs w:val="12"/>
                <w:color w:val="auto"/>
              </w:rPr>
            </w:pPr>
          </w:p>
        </w:tc>
        <w:tc>
          <w:tcPr>
            <w:tcW w:w="128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Manufacturing</w:t>
            </w:r>
          </w:p>
        </w:tc>
        <w:tc>
          <w:tcPr>
            <w:tcW w:w="130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Transportation</w:t>
            </w:r>
          </w:p>
        </w:tc>
        <w:tc>
          <w:tcPr>
            <w:tcW w:w="10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spacing w:after="0"/>
              <w:rPr>
                <w:sz w:val="11"/>
                <w:szCs w:val="11"/>
                <w:color w:val="auto"/>
              </w:rPr>
            </w:pPr>
          </w:p>
        </w:tc>
        <w:tc>
          <w:tcPr>
            <w:tcW w:w="1280" w:type="dxa"/>
            <w:vAlign w:val="bottom"/>
            <w:vMerge w:val="continue"/>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10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8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30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060" w:type="dxa"/>
            <w:vAlign w:val="bottom"/>
            <w:shd w:val="clear" w:color="auto" w:fill="D8D1C9"/>
          </w:tcPr>
          <w:p>
            <w:pPr>
              <w:ind w:left="260"/>
              <w:spacing w:after="0" w:line="133" w:lineRule="exact"/>
              <w:rPr>
                <w:sz w:val="20"/>
                <w:szCs w:val="20"/>
                <w:color w:val="auto"/>
              </w:rPr>
            </w:pPr>
            <w:r>
              <w:rPr>
                <w:rFonts w:ascii="Arial" w:cs="Arial" w:eastAsia="Arial" w:hAnsi="Arial"/>
                <w:sz w:val="12"/>
                <w:szCs w:val="12"/>
                <w:color w:val="auto"/>
              </w:rPr>
              <w:t>Marketing</w:t>
            </w: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properties</w:t>
            </w:r>
          </w:p>
        </w:tc>
        <w:tc>
          <w:tcPr>
            <w:tcW w:w="128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processing</w:t>
            </w:r>
          </w:p>
        </w:tc>
        <w:tc>
          <w:tcPr>
            <w:tcW w:w="130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storage</w:t>
            </w:r>
          </w:p>
        </w:tc>
        <w:tc>
          <w:tcPr>
            <w:tcW w:w="1060" w:type="dxa"/>
            <w:vAlign w:val="bottom"/>
            <w:shd w:val="clear" w:color="auto" w:fill="D8D1C9"/>
          </w:tcPr>
          <w:p>
            <w:pPr>
              <w:ind w:left="260"/>
              <w:spacing w:after="0"/>
              <w:rPr>
                <w:sz w:val="20"/>
                <w:szCs w:val="20"/>
                <w:color w:val="auto"/>
              </w:rPr>
            </w:pPr>
            <w:r>
              <w:rPr>
                <w:rFonts w:ascii="Arial" w:cs="Arial" w:eastAsia="Arial" w:hAnsi="Arial"/>
                <w:sz w:val="12"/>
                <w:szCs w:val="12"/>
                <w:color w:val="auto"/>
              </w:rPr>
              <w:t>and other</w:t>
            </w: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Impairment losses</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577</w:t>
            </w:r>
          </w:p>
        </w:tc>
        <w:tc>
          <w:tcPr>
            <w:tcW w:w="12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142</w:t>
            </w:r>
          </w:p>
        </w:tc>
        <w:tc>
          <w:tcPr>
            <w:tcW w:w="13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22</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741</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Impairment reversals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117</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124</w:t>
            </w:r>
          </w:p>
        </w:tc>
        <w:tc>
          <w:tcPr>
            <w:tcW w:w="0" w:type="dxa"/>
            <w:vAlign w:val="bottom"/>
          </w:tcPr>
          <w:p>
            <w:pPr>
              <w:spacing w:after="0"/>
              <w:rPr>
                <w:sz w:val="1"/>
                <w:szCs w:val="1"/>
                <w:color w:val="auto"/>
              </w:rPr>
            </w:pPr>
          </w:p>
        </w:tc>
      </w:tr>
      <w:tr>
        <w:trPr>
          <w:trHeight w:val="360"/>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7DD1E1"/>
          </w:tcPr>
          <w:p>
            <w:pPr>
              <w:spacing w:after="0"/>
              <w:rPr>
                <w:sz w:val="11"/>
                <w:szCs w:val="11"/>
                <w:color w:val="auto"/>
              </w:rPr>
            </w:pPr>
          </w:p>
        </w:tc>
        <w:tc>
          <w:tcPr>
            <w:tcW w:w="1220" w:type="dxa"/>
            <w:vAlign w:val="bottom"/>
            <w:shd w:val="clear" w:color="auto" w:fill="7DD1E1"/>
          </w:tcPr>
          <w:p>
            <w:pPr>
              <w:spacing w:after="0"/>
              <w:rPr>
                <w:sz w:val="11"/>
                <w:szCs w:val="11"/>
                <w:color w:val="auto"/>
              </w:rPr>
            </w:pPr>
          </w:p>
        </w:tc>
        <w:tc>
          <w:tcPr>
            <w:tcW w:w="1280" w:type="dxa"/>
            <w:vAlign w:val="bottom"/>
            <w:shd w:val="clear" w:color="auto" w:fill="7DD1E1"/>
          </w:tcPr>
          <w:p>
            <w:pPr>
              <w:spacing w:after="0"/>
              <w:rPr>
                <w:sz w:val="11"/>
                <w:szCs w:val="11"/>
                <w:color w:val="auto"/>
              </w:rPr>
            </w:pPr>
          </w:p>
        </w:tc>
        <w:tc>
          <w:tcPr>
            <w:tcW w:w="1300" w:type="dxa"/>
            <w:vAlign w:val="bottom"/>
            <w:shd w:val="clear" w:color="auto" w:fill="7DD1E1"/>
          </w:tcPr>
          <w:p>
            <w:pPr>
              <w:spacing w:after="0"/>
              <w:rPr>
                <w:sz w:val="11"/>
                <w:szCs w:val="11"/>
                <w:color w:val="auto"/>
              </w:rPr>
            </w:pPr>
          </w:p>
        </w:tc>
        <w:tc>
          <w:tcPr>
            <w:tcW w:w="1060" w:type="dxa"/>
            <w:vAlign w:val="bottom"/>
            <w:shd w:val="clear" w:color="auto" w:fill="7DD1E1"/>
          </w:tcPr>
          <w:p>
            <w:pPr>
              <w:spacing w:after="0"/>
              <w:rPr>
                <w:sz w:val="11"/>
                <w:szCs w:val="11"/>
                <w:color w:val="auto"/>
              </w:rPr>
            </w:pPr>
          </w:p>
        </w:tc>
        <w:tc>
          <w:tcPr>
            <w:tcW w:w="840" w:type="dxa"/>
            <w:vAlign w:val="bottom"/>
            <w:shd w:val="clear" w:color="auto" w:fill="7DD1E1"/>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spacing w:after="0"/>
              <w:rPr>
                <w:sz w:val="12"/>
                <w:szCs w:val="12"/>
                <w:color w:val="auto"/>
              </w:rPr>
            </w:pPr>
          </w:p>
        </w:tc>
        <w:tc>
          <w:tcPr>
            <w:tcW w:w="128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Manufacturing</w:t>
            </w:r>
          </w:p>
        </w:tc>
        <w:tc>
          <w:tcPr>
            <w:tcW w:w="130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Transportation</w:t>
            </w:r>
          </w:p>
        </w:tc>
        <w:tc>
          <w:tcPr>
            <w:tcW w:w="10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spacing w:after="0"/>
              <w:rPr>
                <w:sz w:val="11"/>
                <w:szCs w:val="11"/>
                <w:color w:val="auto"/>
              </w:rPr>
            </w:pPr>
          </w:p>
        </w:tc>
        <w:tc>
          <w:tcPr>
            <w:tcW w:w="1280" w:type="dxa"/>
            <w:vAlign w:val="bottom"/>
            <w:vMerge w:val="continue"/>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10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8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30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060" w:type="dxa"/>
            <w:vAlign w:val="bottom"/>
            <w:shd w:val="clear" w:color="auto" w:fill="D8D1C9"/>
          </w:tcPr>
          <w:p>
            <w:pPr>
              <w:ind w:left="260"/>
              <w:spacing w:after="0" w:line="133" w:lineRule="exact"/>
              <w:rPr>
                <w:sz w:val="20"/>
                <w:szCs w:val="20"/>
                <w:color w:val="auto"/>
              </w:rPr>
            </w:pPr>
            <w:r>
              <w:rPr>
                <w:rFonts w:ascii="Arial" w:cs="Arial" w:eastAsia="Arial" w:hAnsi="Arial"/>
                <w:sz w:val="12"/>
                <w:szCs w:val="12"/>
                <w:color w:val="auto"/>
              </w:rPr>
              <w:t>Marketing</w:t>
            </w: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properties</w:t>
            </w:r>
          </w:p>
        </w:tc>
        <w:tc>
          <w:tcPr>
            <w:tcW w:w="128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processing</w:t>
            </w:r>
          </w:p>
        </w:tc>
        <w:tc>
          <w:tcPr>
            <w:tcW w:w="130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storage</w:t>
            </w:r>
          </w:p>
        </w:tc>
        <w:tc>
          <w:tcPr>
            <w:tcW w:w="1060" w:type="dxa"/>
            <w:vAlign w:val="bottom"/>
            <w:shd w:val="clear" w:color="auto" w:fill="D8D1C9"/>
          </w:tcPr>
          <w:p>
            <w:pPr>
              <w:ind w:left="260"/>
              <w:spacing w:after="0"/>
              <w:rPr>
                <w:sz w:val="20"/>
                <w:szCs w:val="20"/>
                <w:color w:val="auto"/>
              </w:rPr>
            </w:pPr>
            <w:r>
              <w:rPr>
                <w:rFonts w:ascii="Arial" w:cs="Arial" w:eastAsia="Arial" w:hAnsi="Arial"/>
                <w:sz w:val="12"/>
                <w:szCs w:val="12"/>
                <w:color w:val="auto"/>
              </w:rPr>
              <w:t>and other</w:t>
            </w: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Impairment losses</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w:t>
            </w:r>
          </w:p>
        </w:tc>
        <w:tc>
          <w:tcPr>
            <w:tcW w:w="12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145</w:t>
            </w:r>
          </w:p>
        </w:tc>
        <w:tc>
          <w:tcPr>
            <w:tcW w:w="13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4</w:t>
            </w:r>
          </w:p>
        </w:tc>
        <w:tc>
          <w:tcPr>
            <w:tcW w:w="10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57</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209</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Impairment reversals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360"/>
        </w:trPr>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7DD1E1"/>
          </w:tcPr>
          <w:p>
            <w:pPr>
              <w:spacing w:after="0"/>
              <w:rPr>
                <w:sz w:val="11"/>
                <w:szCs w:val="11"/>
                <w:color w:val="auto"/>
              </w:rPr>
            </w:pPr>
          </w:p>
        </w:tc>
        <w:tc>
          <w:tcPr>
            <w:tcW w:w="1220" w:type="dxa"/>
            <w:vAlign w:val="bottom"/>
            <w:shd w:val="clear" w:color="auto" w:fill="7DD1E1"/>
          </w:tcPr>
          <w:p>
            <w:pPr>
              <w:spacing w:after="0"/>
              <w:rPr>
                <w:sz w:val="11"/>
                <w:szCs w:val="11"/>
                <w:color w:val="auto"/>
              </w:rPr>
            </w:pPr>
          </w:p>
        </w:tc>
        <w:tc>
          <w:tcPr>
            <w:tcW w:w="1280" w:type="dxa"/>
            <w:vAlign w:val="bottom"/>
            <w:shd w:val="clear" w:color="auto" w:fill="7DD1E1"/>
          </w:tcPr>
          <w:p>
            <w:pPr>
              <w:spacing w:after="0"/>
              <w:rPr>
                <w:sz w:val="11"/>
                <w:szCs w:val="11"/>
                <w:color w:val="auto"/>
              </w:rPr>
            </w:pPr>
          </w:p>
        </w:tc>
        <w:tc>
          <w:tcPr>
            <w:tcW w:w="1300" w:type="dxa"/>
            <w:vAlign w:val="bottom"/>
            <w:shd w:val="clear" w:color="auto" w:fill="7DD1E1"/>
          </w:tcPr>
          <w:p>
            <w:pPr>
              <w:spacing w:after="0"/>
              <w:rPr>
                <w:sz w:val="11"/>
                <w:szCs w:val="11"/>
                <w:color w:val="auto"/>
              </w:rPr>
            </w:pPr>
          </w:p>
        </w:tc>
        <w:tc>
          <w:tcPr>
            <w:tcW w:w="1060" w:type="dxa"/>
            <w:vAlign w:val="bottom"/>
            <w:shd w:val="clear" w:color="auto" w:fill="7DD1E1"/>
          </w:tcPr>
          <w:p>
            <w:pPr>
              <w:spacing w:after="0"/>
              <w:rPr>
                <w:sz w:val="11"/>
                <w:szCs w:val="11"/>
                <w:color w:val="auto"/>
              </w:rPr>
            </w:pPr>
          </w:p>
        </w:tc>
        <w:tc>
          <w:tcPr>
            <w:tcW w:w="840" w:type="dxa"/>
            <w:vAlign w:val="bottom"/>
            <w:shd w:val="clear" w:color="auto" w:fill="7DD1E1"/>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spacing w:after="0"/>
              <w:rPr>
                <w:sz w:val="12"/>
                <w:szCs w:val="12"/>
                <w:color w:val="auto"/>
              </w:rPr>
            </w:pPr>
          </w:p>
        </w:tc>
        <w:tc>
          <w:tcPr>
            <w:tcW w:w="128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Manufacturing</w:t>
            </w:r>
          </w:p>
        </w:tc>
        <w:tc>
          <w:tcPr>
            <w:tcW w:w="130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Transportation</w:t>
            </w:r>
          </w:p>
        </w:tc>
        <w:tc>
          <w:tcPr>
            <w:tcW w:w="10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spacing w:after="0"/>
              <w:rPr>
                <w:sz w:val="11"/>
                <w:szCs w:val="11"/>
                <w:color w:val="auto"/>
              </w:rPr>
            </w:pPr>
          </w:p>
        </w:tc>
        <w:tc>
          <w:tcPr>
            <w:tcW w:w="1280" w:type="dxa"/>
            <w:vAlign w:val="bottom"/>
            <w:vMerge w:val="continue"/>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10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8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30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060" w:type="dxa"/>
            <w:vAlign w:val="bottom"/>
            <w:shd w:val="clear" w:color="auto" w:fill="D8D1C9"/>
          </w:tcPr>
          <w:p>
            <w:pPr>
              <w:ind w:left="260"/>
              <w:spacing w:after="0" w:line="133" w:lineRule="exact"/>
              <w:rPr>
                <w:sz w:val="20"/>
                <w:szCs w:val="20"/>
                <w:color w:val="auto"/>
              </w:rPr>
            </w:pPr>
            <w:r>
              <w:rPr>
                <w:rFonts w:ascii="Arial" w:cs="Arial" w:eastAsia="Arial" w:hAnsi="Arial"/>
                <w:sz w:val="12"/>
                <w:szCs w:val="12"/>
                <w:color w:val="auto"/>
              </w:rPr>
              <w:t>Marketing</w:t>
            </w: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properties</w:t>
            </w:r>
          </w:p>
        </w:tc>
        <w:tc>
          <w:tcPr>
            <w:tcW w:w="128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processing</w:t>
            </w:r>
          </w:p>
        </w:tc>
        <w:tc>
          <w:tcPr>
            <w:tcW w:w="130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storage</w:t>
            </w:r>
          </w:p>
        </w:tc>
        <w:tc>
          <w:tcPr>
            <w:tcW w:w="1060" w:type="dxa"/>
            <w:vAlign w:val="bottom"/>
            <w:shd w:val="clear" w:color="auto" w:fill="D8D1C9"/>
          </w:tcPr>
          <w:p>
            <w:pPr>
              <w:ind w:left="260"/>
              <w:spacing w:after="0"/>
              <w:rPr>
                <w:sz w:val="20"/>
                <w:szCs w:val="20"/>
                <w:color w:val="auto"/>
              </w:rPr>
            </w:pPr>
            <w:r>
              <w:rPr>
                <w:rFonts w:ascii="Arial" w:cs="Arial" w:eastAsia="Arial" w:hAnsi="Arial"/>
                <w:sz w:val="12"/>
                <w:szCs w:val="12"/>
                <w:color w:val="auto"/>
              </w:rPr>
              <w:t>and other</w:t>
            </w: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20" w:type="dxa"/>
            <w:vAlign w:val="bottom"/>
          </w:tcPr>
          <w:p>
            <w:pPr>
              <w:spacing w:after="0" w:line="128" w:lineRule="exact"/>
              <w:rPr>
                <w:sz w:val="20"/>
                <w:szCs w:val="20"/>
                <w:color w:val="auto"/>
              </w:rPr>
            </w:pPr>
            <w:r>
              <w:rPr>
                <w:rFonts w:ascii="Arial" w:cs="Arial" w:eastAsia="Arial" w:hAnsi="Arial"/>
                <w:sz w:val="12"/>
                <w:szCs w:val="12"/>
                <w:color w:val="auto"/>
              </w:rPr>
              <w:t>Impairment losses</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130</w:t>
            </w:r>
          </w:p>
        </w:tc>
        <w:tc>
          <w:tcPr>
            <w:tcW w:w="12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28</w:t>
            </w:r>
          </w:p>
        </w:tc>
        <w:tc>
          <w:tcPr>
            <w:tcW w:w="13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w:t>
            </w:r>
          </w:p>
        </w:tc>
        <w:tc>
          <w:tcPr>
            <w:tcW w:w="10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123</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283</w:t>
            </w:r>
          </w:p>
        </w:tc>
        <w:tc>
          <w:tcPr>
            <w:tcW w:w="0" w:type="dxa"/>
            <w:vAlign w:val="bottom"/>
          </w:tcPr>
          <w:p>
            <w:pPr>
              <w:spacing w:after="0"/>
              <w:rPr>
                <w:sz w:val="1"/>
                <w:szCs w:val="1"/>
                <w:color w:val="auto"/>
              </w:rPr>
            </w:pPr>
          </w:p>
        </w:tc>
      </w:tr>
      <w:tr>
        <w:trPr>
          <w:trHeight w:val="146"/>
        </w:trPr>
        <w:tc>
          <w:tcPr>
            <w:tcW w:w="1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Impairment reversals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1399540</wp:posOffset>
            </wp:positionH>
            <wp:positionV relativeFrom="paragraph">
              <wp:posOffset>-2401570</wp:posOffset>
            </wp:positionV>
            <wp:extent cx="8255" cy="42456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42456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-2223770</wp:posOffset>
            </wp:positionV>
            <wp:extent cx="3467735" cy="3467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67735" cy="3467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-1377950</wp:posOffset>
            </wp:positionV>
            <wp:extent cx="3467735" cy="3467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67735" cy="34671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-532130</wp:posOffset>
            </wp:positionV>
            <wp:extent cx="3467735" cy="3467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67735" cy="346710"/>
                    </a:xfrm>
                    <a:prstGeom prst="rect">
                      <a:avLst/>
                    </a:prstGeom>
                    <a:noFill/>
                  </pic:spPr>
                </pic:pic>
              </a:graphicData>
            </a:graphic>
          </wp:anchor>
        </w:drawing>
      </w:r>
    </w:p>
    <w:p>
      <w:pPr>
        <w:spacing w:after="0" w:line="79" w:lineRule="exact"/>
        <w:rPr>
          <w:sz w:val="20"/>
          <w:szCs w:val="20"/>
          <w:color w:val="auto"/>
        </w:rPr>
      </w:pPr>
    </w:p>
    <w:p>
      <w:pPr>
        <w:ind w:left="2280"/>
        <w:spacing w:after="0"/>
        <w:rPr>
          <w:sz w:val="20"/>
          <w:szCs w:val="20"/>
          <w:color w:val="auto"/>
        </w:rPr>
      </w:pPr>
      <w:r>
        <w:rPr>
          <w:rFonts w:ascii="Arial" w:cs="Arial" w:eastAsia="Arial" w:hAnsi="Arial"/>
          <w:sz w:val="14"/>
          <w:szCs w:val="14"/>
          <w:color w:val="auto"/>
        </w:rPr>
        <w:t>The net book amount at December 31 includes assets held under finance leases of:</w:t>
      </w:r>
    </w:p>
    <w:tbl>
      <w:tblPr>
        <w:tblLayout w:type="fixed"/>
        <w:tblInd w:w="2300" w:type="dxa"/>
        <w:tblCellMar>
          <w:top w:w="0" w:type="dxa"/>
          <w:left w:w="0" w:type="dxa"/>
          <w:bottom w:w="0" w:type="dxa"/>
          <w:right w:w="0" w:type="dxa"/>
        </w:tblCellMar>
      </w:tblPr>
      <w:tr>
        <w:trPr>
          <w:trHeight w:val="139"/>
        </w:trPr>
        <w:tc>
          <w:tcPr>
            <w:tcW w:w="3420" w:type="dxa"/>
            <w:vAlign w:val="bottom"/>
            <w:shd w:val="clear" w:color="auto" w:fill="7DD1E1"/>
          </w:tcPr>
          <w:p>
            <w:pPr>
              <w:spacing w:after="0"/>
              <w:rPr>
                <w:sz w:val="12"/>
                <w:szCs w:val="12"/>
                <w:color w:val="auto"/>
              </w:rPr>
            </w:pPr>
          </w:p>
        </w:tc>
        <w:tc>
          <w:tcPr>
            <w:tcW w:w="1220" w:type="dxa"/>
            <w:vAlign w:val="bottom"/>
            <w:shd w:val="clear" w:color="auto" w:fill="7DD1E1"/>
          </w:tcPr>
          <w:p>
            <w:pPr>
              <w:spacing w:after="0"/>
              <w:rPr>
                <w:sz w:val="12"/>
                <w:szCs w:val="12"/>
                <w:color w:val="auto"/>
              </w:rPr>
            </w:pPr>
          </w:p>
        </w:tc>
        <w:tc>
          <w:tcPr>
            <w:tcW w:w="1280" w:type="dxa"/>
            <w:vAlign w:val="bottom"/>
            <w:shd w:val="clear" w:color="auto" w:fill="7DD1E1"/>
          </w:tcPr>
          <w:p>
            <w:pPr>
              <w:spacing w:after="0"/>
              <w:rPr>
                <w:sz w:val="12"/>
                <w:szCs w:val="12"/>
                <w:color w:val="auto"/>
              </w:rPr>
            </w:pPr>
          </w:p>
        </w:tc>
        <w:tc>
          <w:tcPr>
            <w:tcW w:w="1300" w:type="dxa"/>
            <w:vAlign w:val="bottom"/>
            <w:shd w:val="clear" w:color="auto" w:fill="7DD1E1"/>
          </w:tcPr>
          <w:p>
            <w:pPr>
              <w:spacing w:after="0"/>
              <w:rPr>
                <w:sz w:val="12"/>
                <w:szCs w:val="12"/>
                <w:color w:val="auto"/>
              </w:rPr>
            </w:pPr>
          </w:p>
        </w:tc>
        <w:tc>
          <w:tcPr>
            <w:tcW w:w="1060" w:type="dxa"/>
            <w:vAlign w:val="bottom"/>
            <w:shd w:val="clear" w:color="auto" w:fill="7DD1E1"/>
          </w:tcPr>
          <w:p>
            <w:pPr>
              <w:spacing w:after="0"/>
              <w:rPr>
                <w:sz w:val="12"/>
                <w:szCs w:val="12"/>
                <w:color w:val="auto"/>
              </w:rPr>
            </w:pPr>
          </w:p>
        </w:tc>
        <w:tc>
          <w:tcPr>
            <w:tcW w:w="84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spacing w:after="0"/>
              <w:rPr>
                <w:sz w:val="12"/>
                <w:szCs w:val="12"/>
                <w:color w:val="auto"/>
              </w:rPr>
            </w:pPr>
          </w:p>
        </w:tc>
        <w:tc>
          <w:tcPr>
            <w:tcW w:w="128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Manufacturing</w:t>
            </w:r>
          </w:p>
        </w:tc>
        <w:tc>
          <w:tcPr>
            <w:tcW w:w="130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Transportation</w:t>
            </w:r>
          </w:p>
        </w:tc>
        <w:tc>
          <w:tcPr>
            <w:tcW w:w="10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2007</w:t>
            </w:r>
          </w:p>
        </w:tc>
        <w:tc>
          <w:tcPr>
            <w:tcW w:w="0" w:type="dxa"/>
            <w:vAlign w:val="bottom"/>
          </w:tcPr>
          <w:p>
            <w:pPr>
              <w:spacing w:after="0"/>
              <w:rPr>
                <w:sz w:val="1"/>
                <w:szCs w:val="1"/>
                <w:color w:val="auto"/>
              </w:rPr>
            </w:pPr>
          </w:p>
        </w:tc>
      </w:tr>
      <w:tr>
        <w:trPr>
          <w:trHeight w:val="127"/>
        </w:trPr>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spacing w:after="0"/>
              <w:rPr>
                <w:sz w:val="11"/>
                <w:szCs w:val="11"/>
                <w:color w:val="auto"/>
              </w:rPr>
            </w:pPr>
          </w:p>
        </w:tc>
        <w:tc>
          <w:tcPr>
            <w:tcW w:w="1280" w:type="dxa"/>
            <w:vAlign w:val="bottom"/>
            <w:vMerge w:val="continue"/>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10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8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30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06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Marketing</w:t>
            </w: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properties</w:t>
            </w:r>
          </w:p>
        </w:tc>
        <w:tc>
          <w:tcPr>
            <w:tcW w:w="128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processing</w:t>
            </w:r>
          </w:p>
        </w:tc>
        <w:tc>
          <w:tcPr>
            <w:tcW w:w="130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storage</w:t>
            </w:r>
          </w:p>
        </w:tc>
        <w:tc>
          <w:tcPr>
            <w:tcW w:w="106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and other</w:t>
            </w: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3420" w:type="dxa"/>
            <w:vAlign w:val="bottom"/>
          </w:tcPr>
          <w:p>
            <w:pPr>
              <w:spacing w:after="0" w:line="128" w:lineRule="exact"/>
              <w:rPr>
                <w:sz w:val="20"/>
                <w:szCs w:val="20"/>
                <w:color w:val="auto"/>
              </w:rPr>
            </w:pPr>
            <w:r>
              <w:rPr>
                <w:rFonts w:ascii="Arial" w:cs="Arial" w:eastAsia="Arial" w:hAnsi="Arial"/>
                <w:sz w:val="12"/>
                <w:szCs w:val="12"/>
                <w:color w:val="auto"/>
              </w:rPr>
              <w:t>Cost</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3,388</w:t>
            </w:r>
          </w:p>
        </w:tc>
        <w:tc>
          <w:tcPr>
            <w:tcW w:w="12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300</w:t>
            </w:r>
          </w:p>
        </w:tc>
        <w:tc>
          <w:tcPr>
            <w:tcW w:w="13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336</w:t>
            </w:r>
          </w:p>
        </w:tc>
        <w:tc>
          <w:tcPr>
            <w:tcW w:w="106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632</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4,656</w:t>
            </w:r>
          </w:p>
        </w:tc>
        <w:tc>
          <w:tcPr>
            <w:tcW w:w="0" w:type="dxa"/>
            <w:vAlign w:val="bottom"/>
          </w:tcPr>
          <w:p>
            <w:pPr>
              <w:spacing w:after="0"/>
              <w:rPr>
                <w:sz w:val="1"/>
                <w:szCs w:val="1"/>
                <w:color w:val="auto"/>
              </w:rPr>
            </w:pPr>
          </w:p>
        </w:tc>
      </w:tr>
      <w:tr>
        <w:trPr>
          <w:trHeight w:val="139"/>
        </w:trPr>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depletion and amortisation</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1,375</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91</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45</w:t>
            </w: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223</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1,734</w:t>
            </w:r>
          </w:p>
        </w:tc>
        <w:tc>
          <w:tcPr>
            <w:tcW w:w="0" w:type="dxa"/>
            <w:vAlign w:val="bottom"/>
          </w:tcPr>
          <w:p>
            <w:pPr>
              <w:spacing w:after="0"/>
              <w:rPr>
                <w:sz w:val="1"/>
                <w:szCs w:val="1"/>
                <w:color w:val="auto"/>
              </w:rPr>
            </w:pPr>
          </w:p>
        </w:tc>
      </w:tr>
      <w:tr>
        <w:trPr>
          <w:trHeight w:val="146"/>
        </w:trPr>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2,013</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209</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291</w:t>
            </w: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409</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2,922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-633730</wp:posOffset>
            </wp:positionV>
            <wp:extent cx="3467735" cy="3467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467735" cy="346710"/>
                    </a:xfrm>
                    <a:prstGeom prst="rect">
                      <a:avLst/>
                    </a:prstGeom>
                    <a:noFill/>
                  </pic:spPr>
                </pic:pic>
              </a:graphicData>
            </a:graphic>
          </wp:anchor>
        </w:drawing>
      </w:r>
    </w:p>
    <w:p>
      <w:pPr>
        <w:spacing w:after="0" w:line="334" w:lineRule="exact"/>
        <w:rPr>
          <w:sz w:val="20"/>
          <w:szCs w:val="20"/>
          <w:color w:val="auto"/>
        </w:rPr>
      </w:pPr>
    </w:p>
    <w:tbl>
      <w:tblPr>
        <w:tblLayout w:type="fixed"/>
        <w:tblInd w:w="2300" w:type="dxa"/>
        <w:tblCellMar>
          <w:top w:w="0" w:type="dxa"/>
          <w:left w:w="0" w:type="dxa"/>
          <w:bottom w:w="0" w:type="dxa"/>
          <w:right w:w="0" w:type="dxa"/>
        </w:tblCellMar>
      </w:tblPr>
      <w:tr>
        <w:trPr>
          <w:trHeight w:val="139"/>
        </w:trPr>
        <w:tc>
          <w:tcPr>
            <w:tcW w:w="3420" w:type="dxa"/>
            <w:vAlign w:val="bottom"/>
            <w:shd w:val="clear" w:color="auto" w:fill="7DD1E1"/>
          </w:tcPr>
          <w:p>
            <w:pPr>
              <w:spacing w:after="0"/>
              <w:rPr>
                <w:sz w:val="12"/>
                <w:szCs w:val="12"/>
                <w:color w:val="auto"/>
              </w:rPr>
            </w:pPr>
          </w:p>
        </w:tc>
        <w:tc>
          <w:tcPr>
            <w:tcW w:w="1220" w:type="dxa"/>
            <w:vAlign w:val="bottom"/>
            <w:shd w:val="clear" w:color="auto" w:fill="7DD1E1"/>
          </w:tcPr>
          <w:p>
            <w:pPr>
              <w:spacing w:after="0"/>
              <w:rPr>
                <w:sz w:val="12"/>
                <w:szCs w:val="12"/>
                <w:color w:val="auto"/>
              </w:rPr>
            </w:pPr>
          </w:p>
        </w:tc>
        <w:tc>
          <w:tcPr>
            <w:tcW w:w="1280" w:type="dxa"/>
            <w:vAlign w:val="bottom"/>
            <w:shd w:val="clear" w:color="auto" w:fill="7DD1E1"/>
          </w:tcPr>
          <w:p>
            <w:pPr>
              <w:spacing w:after="0"/>
              <w:rPr>
                <w:sz w:val="12"/>
                <w:szCs w:val="12"/>
                <w:color w:val="auto"/>
              </w:rPr>
            </w:pPr>
          </w:p>
        </w:tc>
        <w:tc>
          <w:tcPr>
            <w:tcW w:w="1300" w:type="dxa"/>
            <w:vAlign w:val="bottom"/>
            <w:shd w:val="clear" w:color="auto" w:fill="7DD1E1"/>
          </w:tcPr>
          <w:p>
            <w:pPr>
              <w:spacing w:after="0"/>
              <w:rPr>
                <w:sz w:val="12"/>
                <w:szCs w:val="12"/>
                <w:color w:val="auto"/>
              </w:rPr>
            </w:pPr>
          </w:p>
        </w:tc>
        <w:tc>
          <w:tcPr>
            <w:tcW w:w="1060" w:type="dxa"/>
            <w:vAlign w:val="bottom"/>
            <w:shd w:val="clear" w:color="auto" w:fill="7DD1E1"/>
          </w:tcPr>
          <w:p>
            <w:pPr>
              <w:spacing w:after="0"/>
              <w:rPr>
                <w:sz w:val="12"/>
                <w:szCs w:val="12"/>
                <w:color w:val="auto"/>
              </w:rPr>
            </w:pPr>
          </w:p>
        </w:tc>
        <w:tc>
          <w:tcPr>
            <w:tcW w:w="84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spacing w:after="0"/>
              <w:rPr>
                <w:sz w:val="12"/>
                <w:szCs w:val="12"/>
                <w:color w:val="auto"/>
              </w:rPr>
            </w:pPr>
          </w:p>
        </w:tc>
        <w:tc>
          <w:tcPr>
            <w:tcW w:w="128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Manufacturing</w:t>
            </w:r>
          </w:p>
        </w:tc>
        <w:tc>
          <w:tcPr>
            <w:tcW w:w="1300" w:type="dxa"/>
            <w:vAlign w:val="bottom"/>
            <w:vMerge w:val="restart"/>
            <w:shd w:val="clear" w:color="auto" w:fill="D8D1C9"/>
          </w:tcPr>
          <w:p>
            <w:pPr>
              <w:jc w:val="right"/>
              <w:ind w:right="178"/>
              <w:spacing w:after="0"/>
              <w:rPr>
                <w:sz w:val="20"/>
                <w:szCs w:val="20"/>
                <w:color w:val="auto"/>
              </w:rPr>
            </w:pPr>
            <w:r>
              <w:rPr>
                <w:rFonts w:ascii="Arial" w:cs="Arial" w:eastAsia="Arial" w:hAnsi="Arial"/>
                <w:sz w:val="12"/>
                <w:szCs w:val="12"/>
                <w:color w:val="auto"/>
              </w:rPr>
              <w:t>Transportation</w:t>
            </w:r>
          </w:p>
        </w:tc>
        <w:tc>
          <w:tcPr>
            <w:tcW w:w="10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spacing w:after="0"/>
              <w:rPr>
                <w:sz w:val="11"/>
                <w:szCs w:val="11"/>
                <w:color w:val="auto"/>
              </w:rPr>
            </w:pPr>
          </w:p>
        </w:tc>
        <w:tc>
          <w:tcPr>
            <w:tcW w:w="1280" w:type="dxa"/>
            <w:vAlign w:val="bottom"/>
            <w:vMerge w:val="continue"/>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10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420" w:type="dxa"/>
            <w:vAlign w:val="bottom"/>
            <w:shd w:val="clear" w:color="auto" w:fill="D8D1C9"/>
          </w:tcPr>
          <w:p>
            <w:pPr>
              <w:spacing w:after="0"/>
              <w:rPr>
                <w:sz w:val="11"/>
                <w:szCs w:val="11"/>
                <w:color w:val="auto"/>
              </w:rPr>
            </w:pPr>
          </w:p>
        </w:tc>
        <w:tc>
          <w:tcPr>
            <w:tcW w:w="122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Oil and gas</w:t>
            </w:r>
          </w:p>
        </w:tc>
        <w:tc>
          <w:tcPr>
            <w:tcW w:w="128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30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and</w:t>
            </w:r>
          </w:p>
        </w:tc>
        <w:tc>
          <w:tcPr>
            <w:tcW w:w="106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Marketing</w:t>
            </w:r>
          </w:p>
        </w:tc>
        <w:tc>
          <w:tcPr>
            <w:tcW w:w="84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20" w:type="dxa"/>
            <w:vAlign w:val="bottom"/>
            <w:shd w:val="clear" w:color="auto" w:fill="D8D1C9"/>
          </w:tcPr>
          <w:p>
            <w:pPr>
              <w:spacing w:after="0"/>
              <w:rPr>
                <w:sz w:val="12"/>
                <w:szCs w:val="12"/>
                <w:color w:val="auto"/>
              </w:rPr>
            </w:pPr>
          </w:p>
        </w:tc>
        <w:tc>
          <w:tcPr>
            <w:tcW w:w="122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properties</w:t>
            </w:r>
          </w:p>
        </w:tc>
        <w:tc>
          <w:tcPr>
            <w:tcW w:w="128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processing</w:t>
            </w:r>
          </w:p>
        </w:tc>
        <w:tc>
          <w:tcPr>
            <w:tcW w:w="1300" w:type="dxa"/>
            <w:vAlign w:val="bottom"/>
            <w:shd w:val="clear" w:color="auto" w:fill="D8D1C9"/>
          </w:tcPr>
          <w:p>
            <w:pPr>
              <w:jc w:val="right"/>
              <w:ind w:right="178"/>
              <w:spacing w:after="0"/>
              <w:rPr>
                <w:sz w:val="20"/>
                <w:szCs w:val="20"/>
                <w:color w:val="auto"/>
              </w:rPr>
            </w:pPr>
            <w:r>
              <w:rPr>
                <w:rFonts w:ascii="Arial" w:cs="Arial" w:eastAsia="Arial" w:hAnsi="Arial"/>
                <w:sz w:val="12"/>
                <w:szCs w:val="12"/>
                <w:color w:val="auto"/>
              </w:rPr>
              <w:t>storage</w:t>
            </w:r>
          </w:p>
        </w:tc>
        <w:tc>
          <w:tcPr>
            <w:tcW w:w="106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and other</w:t>
            </w:r>
          </w:p>
        </w:tc>
        <w:tc>
          <w:tcPr>
            <w:tcW w:w="84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3420" w:type="dxa"/>
            <w:vAlign w:val="bottom"/>
          </w:tcPr>
          <w:p>
            <w:pPr>
              <w:spacing w:after="0" w:line="128" w:lineRule="exact"/>
              <w:rPr>
                <w:sz w:val="20"/>
                <w:szCs w:val="20"/>
                <w:color w:val="auto"/>
              </w:rPr>
            </w:pPr>
            <w:r>
              <w:rPr>
                <w:rFonts w:ascii="Arial" w:cs="Arial" w:eastAsia="Arial" w:hAnsi="Arial"/>
                <w:sz w:val="12"/>
                <w:szCs w:val="12"/>
                <w:color w:val="auto"/>
              </w:rPr>
              <w:t>Cost</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3,631</w:t>
            </w:r>
          </w:p>
        </w:tc>
        <w:tc>
          <w:tcPr>
            <w:tcW w:w="12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316</w:t>
            </w:r>
          </w:p>
        </w:tc>
        <w:tc>
          <w:tcPr>
            <w:tcW w:w="13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334</w:t>
            </w:r>
          </w:p>
        </w:tc>
        <w:tc>
          <w:tcPr>
            <w:tcW w:w="106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581</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4,862</w:t>
            </w:r>
          </w:p>
        </w:tc>
        <w:tc>
          <w:tcPr>
            <w:tcW w:w="0" w:type="dxa"/>
            <w:vAlign w:val="bottom"/>
          </w:tcPr>
          <w:p>
            <w:pPr>
              <w:spacing w:after="0"/>
              <w:rPr>
                <w:sz w:val="1"/>
                <w:szCs w:val="1"/>
                <w:color w:val="auto"/>
              </w:rPr>
            </w:pPr>
          </w:p>
        </w:tc>
      </w:tr>
      <w:tr>
        <w:trPr>
          <w:trHeight w:val="139"/>
        </w:trPr>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Depreciation, depletion and amortisation</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1,233</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89</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33</w:t>
            </w: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179</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1,534</w:t>
            </w:r>
          </w:p>
        </w:tc>
        <w:tc>
          <w:tcPr>
            <w:tcW w:w="0" w:type="dxa"/>
            <w:vAlign w:val="bottom"/>
          </w:tcPr>
          <w:p>
            <w:pPr>
              <w:spacing w:after="0"/>
              <w:rPr>
                <w:sz w:val="1"/>
                <w:szCs w:val="1"/>
                <w:color w:val="auto"/>
              </w:rPr>
            </w:pPr>
          </w:p>
        </w:tc>
      </w:tr>
      <w:tr>
        <w:trPr>
          <w:trHeight w:val="146"/>
        </w:trPr>
        <w:tc>
          <w:tcPr>
            <w:tcW w:w="34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book amount</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2,398</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227</w:t>
            </w: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301</w:t>
            </w:r>
          </w:p>
        </w:tc>
        <w:tc>
          <w:tcPr>
            <w:tcW w:w="10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402</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-633730</wp:posOffset>
            </wp:positionV>
            <wp:extent cx="3467735" cy="3467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6773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132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2"/>
                <w:szCs w:val="12"/>
                <w:b w:val="1"/>
                <w:bCs w:val="1"/>
                <w:i w:val="1"/>
                <w:iCs w:val="1"/>
                <w:color w:val="7DD0E0"/>
              </w:rPr>
              <w:t>Note 12 continued</w:t>
            </w:r>
          </w:p>
        </w:tc>
        <w:tc>
          <w:tcPr>
            <w:tcW w:w="8780" w:type="dxa"/>
            <w:vAlign w:val="bottom"/>
            <w:gridSpan w:val="5"/>
          </w:tcPr>
          <w:p>
            <w:pPr>
              <w:ind w:left="480"/>
              <w:spacing w:after="0"/>
              <w:rPr>
                <w:sz w:val="20"/>
                <w:szCs w:val="20"/>
                <w:color w:val="auto"/>
              </w:rPr>
            </w:pPr>
            <w:r>
              <w:rPr>
                <w:rFonts w:ascii="Arial" w:cs="Arial" w:eastAsia="Arial" w:hAnsi="Arial"/>
                <w:sz w:val="14"/>
                <w:szCs w:val="14"/>
                <w:color w:val="auto"/>
                <w:w w:val="92"/>
              </w:rPr>
              <w:t>Exploration and evaluation assets, which mainly comprise unproved properties (rights and concessions) and capitalised exploration drilling costs,</w:t>
            </w:r>
          </w:p>
        </w:tc>
      </w:tr>
      <w:tr>
        <w:trPr>
          <w:trHeight w:val="165"/>
        </w:trPr>
        <w:tc>
          <w:tcPr>
            <w:tcW w:w="1580" w:type="dxa"/>
            <w:vAlign w:val="bottom"/>
          </w:tcPr>
          <w:p>
            <w:pPr>
              <w:spacing w:after="0"/>
              <w:rPr>
                <w:sz w:val="14"/>
                <w:szCs w:val="14"/>
                <w:color w:val="auto"/>
              </w:rPr>
            </w:pPr>
          </w:p>
        </w:tc>
        <w:tc>
          <w:tcPr>
            <w:tcW w:w="7240" w:type="dxa"/>
            <w:vAlign w:val="bottom"/>
            <w:gridSpan w:val="3"/>
          </w:tcPr>
          <w:p>
            <w:pPr>
              <w:ind w:left="480"/>
              <w:spacing w:after="0"/>
              <w:rPr>
                <w:sz w:val="20"/>
                <w:szCs w:val="20"/>
                <w:color w:val="auto"/>
              </w:rPr>
            </w:pPr>
            <w:r>
              <w:rPr>
                <w:rFonts w:ascii="Arial" w:cs="Arial" w:eastAsia="Arial" w:hAnsi="Arial"/>
                <w:sz w:val="14"/>
                <w:szCs w:val="14"/>
                <w:color w:val="auto"/>
              </w:rPr>
              <w:t>included within the amounts shown above for oil and gas properties are as follows:</w:t>
            </w: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40" w:type="dxa"/>
            <w:vAlign w:val="bottom"/>
            <w:shd w:val="clear" w:color="auto" w:fill="7DD0E0"/>
          </w:tcPr>
          <w:p>
            <w:pPr>
              <w:spacing w:after="0"/>
              <w:rPr>
                <w:sz w:val="11"/>
                <w:szCs w:val="11"/>
                <w:color w:val="auto"/>
              </w:rPr>
            </w:pPr>
          </w:p>
        </w:tc>
        <w:tc>
          <w:tcPr>
            <w:tcW w:w="560" w:type="dxa"/>
            <w:vAlign w:val="bottom"/>
            <w:shd w:val="clear" w:color="auto" w:fill="7DD0E0"/>
          </w:tcPr>
          <w:p>
            <w:pPr>
              <w:spacing w:after="0"/>
              <w:rPr>
                <w:sz w:val="11"/>
                <w:szCs w:val="11"/>
                <w:color w:val="auto"/>
              </w:rPr>
            </w:pPr>
          </w:p>
        </w:tc>
        <w:tc>
          <w:tcPr>
            <w:tcW w:w="980" w:type="dxa"/>
            <w:vAlign w:val="bottom"/>
            <w:shd w:val="clear" w:color="auto" w:fill="7DD0E0"/>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40" w:type="dxa"/>
            <w:vAlign w:val="bottom"/>
            <w:shd w:val="clear" w:color="auto" w:fill="D8D1C9"/>
          </w:tcPr>
          <w:p>
            <w:pPr>
              <w:spacing w:after="0"/>
              <w:rPr>
                <w:sz w:val="11"/>
                <w:szCs w:val="11"/>
                <w:color w:val="auto"/>
              </w:rPr>
            </w:pP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98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740" w:type="dxa"/>
            <w:vAlign w:val="bottom"/>
          </w:tcPr>
          <w:p>
            <w:pPr>
              <w:spacing w:after="0" w:line="128" w:lineRule="exact"/>
              <w:rPr>
                <w:sz w:val="20"/>
                <w:szCs w:val="20"/>
                <w:color w:val="auto"/>
              </w:rPr>
            </w:pPr>
            <w:r>
              <w:rPr>
                <w:rFonts w:ascii="Arial" w:cs="Arial" w:eastAsia="Arial" w:hAnsi="Arial"/>
                <w:sz w:val="12"/>
                <w:szCs w:val="12"/>
                <w:b w:val="1"/>
                <w:bCs w:val="1"/>
                <w:color w:val="auto"/>
              </w:rPr>
              <w:t>Cost</w:t>
            </w:r>
          </w:p>
        </w:tc>
        <w:tc>
          <w:tcPr>
            <w:tcW w:w="560" w:type="dxa"/>
            <w:vAlign w:val="bottom"/>
            <w:shd w:val="clear" w:color="auto" w:fill="D8D1C9"/>
          </w:tcPr>
          <w:p>
            <w:pPr>
              <w:spacing w:after="0"/>
              <w:rPr>
                <w:sz w:val="11"/>
                <w:szCs w:val="11"/>
                <w:color w:val="auto"/>
              </w:rPr>
            </w:pPr>
          </w:p>
        </w:tc>
        <w:tc>
          <w:tcPr>
            <w:tcW w:w="980" w:type="dxa"/>
            <w:vAlign w:val="bottom"/>
          </w:tcPr>
          <w:p>
            <w:pPr>
              <w:spacing w:after="0"/>
              <w:rPr>
                <w:sz w:val="11"/>
                <w:szCs w:val="11"/>
                <w:color w:val="auto"/>
              </w:rPr>
            </w:pP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At January 1</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8,963</w:t>
            </w:r>
          </w:p>
        </w:tc>
        <w:tc>
          <w:tcPr>
            <w:tcW w:w="9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4,386</w:t>
            </w: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Capital expenditure</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2,947</w:t>
            </w:r>
          </w:p>
        </w:tc>
        <w:tc>
          <w:tcPr>
            <w:tcW w:w="9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4,649</w:t>
            </w:r>
          </w:p>
        </w:tc>
      </w:tr>
      <w:tr>
        <w:trPr>
          <w:trHeight w:val="139"/>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760" w:type="dxa"/>
            <w:vAlign w:val="bottom"/>
            <w:gridSpan w:val="2"/>
          </w:tcPr>
          <w:p>
            <w:pPr>
              <w:spacing w:after="0"/>
              <w:rPr>
                <w:sz w:val="20"/>
                <w:szCs w:val="20"/>
                <w:color w:val="auto"/>
              </w:rPr>
            </w:pPr>
            <w:r>
              <w:rPr>
                <w:rFonts w:ascii="Arial" w:cs="Arial" w:eastAsia="Arial" w:hAnsi="Arial"/>
                <w:sz w:val="12"/>
                <w:szCs w:val="12"/>
                <w:color w:val="auto"/>
              </w:rPr>
              <w:t>Sales, retirements, currency translation differences and other movements</w:t>
            </w:r>
          </w:p>
        </w:tc>
        <w:tc>
          <w:tcPr>
            <w:tcW w:w="56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(430)</w:t>
            </w:r>
          </w:p>
        </w:tc>
        <w:tc>
          <w:tcPr>
            <w:tcW w:w="98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20"/>
        </w:trPr>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40"/>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At December 31</w:t>
            </w:r>
          </w:p>
        </w:tc>
        <w:tc>
          <w:tcPr>
            <w:tcW w:w="56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11,480</w:t>
            </w: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8,963</w:t>
            </w:r>
          </w:p>
        </w:tc>
      </w:tr>
      <w:tr>
        <w:trPr>
          <w:trHeight w:val="134"/>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7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Depreciation, depletion and amortisation</w:t>
            </w:r>
          </w:p>
        </w:tc>
        <w:tc>
          <w:tcPr>
            <w:tcW w:w="560" w:type="dxa"/>
            <w:vAlign w:val="bottom"/>
            <w:shd w:val="clear" w:color="auto" w:fill="D8D1C9"/>
          </w:tcPr>
          <w:p>
            <w:pPr>
              <w:spacing w:after="0"/>
              <w:rPr>
                <w:sz w:val="11"/>
                <w:szCs w:val="11"/>
                <w:color w:val="auto"/>
              </w:rPr>
            </w:pPr>
          </w:p>
        </w:tc>
        <w:tc>
          <w:tcPr>
            <w:tcW w:w="980" w:type="dxa"/>
            <w:vAlign w:val="bottom"/>
          </w:tcPr>
          <w:p>
            <w:pPr>
              <w:spacing w:after="0"/>
              <w:rPr>
                <w:sz w:val="11"/>
                <w:szCs w:val="11"/>
                <w:color w:val="auto"/>
              </w:rPr>
            </w:pP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At January 1</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1,633</w:t>
            </w:r>
          </w:p>
        </w:tc>
        <w:tc>
          <w:tcPr>
            <w:tcW w:w="9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1,439</w:t>
            </w:r>
          </w:p>
        </w:tc>
      </w:tr>
      <w:tr>
        <w:trPr>
          <w:trHeight w:val="133"/>
        </w:trPr>
        <w:tc>
          <w:tcPr>
            <w:tcW w:w="1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Charge for the year</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97</w:t>
            </w:r>
          </w:p>
        </w:tc>
        <w:tc>
          <w:tcPr>
            <w:tcW w:w="9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164</w:t>
            </w:r>
          </w:p>
        </w:tc>
      </w:tr>
      <w:tr>
        <w:trPr>
          <w:trHeight w:val="139"/>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760" w:type="dxa"/>
            <w:vAlign w:val="bottom"/>
            <w:gridSpan w:val="2"/>
          </w:tcPr>
          <w:p>
            <w:pPr>
              <w:spacing w:after="0"/>
              <w:rPr>
                <w:sz w:val="20"/>
                <w:szCs w:val="20"/>
                <w:color w:val="auto"/>
              </w:rPr>
            </w:pPr>
            <w:r>
              <w:rPr>
                <w:rFonts w:ascii="Arial" w:cs="Arial" w:eastAsia="Arial" w:hAnsi="Arial"/>
                <w:sz w:val="12"/>
                <w:szCs w:val="12"/>
                <w:color w:val="auto"/>
              </w:rPr>
              <w:t>Sales, retirements, currency translation differences and other movements</w:t>
            </w:r>
          </w:p>
        </w:tc>
        <w:tc>
          <w:tcPr>
            <w:tcW w:w="56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(52)</w:t>
            </w:r>
          </w:p>
        </w:tc>
        <w:tc>
          <w:tcPr>
            <w:tcW w:w="980" w:type="dxa"/>
            <w:vAlign w:val="bottom"/>
          </w:tcPr>
          <w:p>
            <w:pPr>
              <w:jc w:val="right"/>
              <w:ind w:right="18"/>
              <w:spacing w:after="0"/>
              <w:rPr>
                <w:sz w:val="20"/>
                <w:szCs w:val="20"/>
                <w:color w:val="auto"/>
              </w:rPr>
            </w:pPr>
            <w:r>
              <w:rPr>
                <w:rFonts w:ascii="Arial" w:cs="Arial" w:eastAsia="Arial" w:hAnsi="Arial"/>
                <w:sz w:val="12"/>
                <w:szCs w:val="12"/>
                <w:color w:val="auto"/>
              </w:rPr>
              <w:t>30</w:t>
            </w:r>
          </w:p>
        </w:tc>
      </w:tr>
      <w:tr>
        <w:trPr>
          <w:trHeight w:val="20"/>
        </w:trPr>
        <w:tc>
          <w:tcPr>
            <w:tcW w:w="1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140"/>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At December 31</w:t>
            </w:r>
          </w:p>
        </w:tc>
        <w:tc>
          <w:tcPr>
            <w:tcW w:w="56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1,678</w:t>
            </w:r>
          </w:p>
        </w:tc>
        <w:tc>
          <w:tcPr>
            <w:tcW w:w="9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1,633</w:t>
            </w:r>
          </w:p>
        </w:tc>
      </w:tr>
      <w:tr>
        <w:trPr>
          <w:trHeight w:val="140"/>
        </w:trPr>
        <w:tc>
          <w:tcPr>
            <w:tcW w:w="1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760" w:type="dxa"/>
            <w:vAlign w:val="bottom"/>
            <w:gridSpan w:val="2"/>
          </w:tcPr>
          <w:p>
            <w:pPr>
              <w:spacing w:after="0"/>
              <w:rPr>
                <w:sz w:val="20"/>
                <w:szCs w:val="20"/>
                <w:color w:val="auto"/>
              </w:rPr>
            </w:pPr>
            <w:r>
              <w:rPr>
                <w:rFonts w:ascii="Arial" w:cs="Arial" w:eastAsia="Arial" w:hAnsi="Arial"/>
                <w:sz w:val="12"/>
                <w:szCs w:val="12"/>
                <w:b w:val="1"/>
                <w:bCs w:val="1"/>
                <w:color w:val="auto"/>
              </w:rPr>
              <w:t>Net book amount at December 31</w:t>
            </w:r>
          </w:p>
        </w:tc>
        <w:tc>
          <w:tcPr>
            <w:tcW w:w="56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9,802</w:t>
            </w:r>
          </w:p>
        </w:tc>
        <w:tc>
          <w:tcPr>
            <w:tcW w:w="980" w:type="dxa"/>
            <w:vAlign w:val="bottom"/>
          </w:tcPr>
          <w:p>
            <w:pPr>
              <w:jc w:val="right"/>
              <w:ind w:right="18"/>
              <w:spacing w:after="0"/>
              <w:rPr>
                <w:sz w:val="20"/>
                <w:szCs w:val="20"/>
                <w:color w:val="auto"/>
              </w:rPr>
            </w:pPr>
            <w:r>
              <w:rPr>
                <w:rFonts w:ascii="Arial" w:cs="Arial" w:eastAsia="Arial" w:hAnsi="Arial"/>
                <w:sz w:val="12"/>
                <w:szCs w:val="12"/>
                <w:color w:val="auto"/>
              </w:rPr>
              <w:t>7,330</w:t>
            </w:r>
          </w:p>
        </w:tc>
      </w:tr>
      <w:tr>
        <w:trPr>
          <w:trHeight w:val="27"/>
        </w:trPr>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7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1256030</wp:posOffset>
            </wp:positionH>
            <wp:positionV relativeFrom="paragraph">
              <wp:posOffset>-1369695</wp:posOffset>
            </wp:positionV>
            <wp:extent cx="8255" cy="384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3848100"/>
                    </a:xfrm>
                    <a:prstGeom prst="rect">
                      <a:avLst/>
                    </a:prstGeom>
                    <a:noFill/>
                  </pic:spPr>
                </pic:pic>
              </a:graphicData>
            </a:graphic>
          </wp:anchor>
        </w:drawing>
        <w:drawing>
          <wp:anchor simplePos="0" relativeHeight="251657728" behindDoc="1" locked="0" layoutInCell="0" allowOverlap="1">
            <wp:simplePos x="0" y="0"/>
            <wp:positionH relativeFrom="column">
              <wp:posOffset>7032625</wp:posOffset>
            </wp:positionH>
            <wp:positionV relativeFrom="paragraph">
              <wp:posOffset>-1369695</wp:posOffset>
            </wp:positionV>
            <wp:extent cx="282575" cy="64617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82575" cy="6461760"/>
                    </a:xfrm>
                    <a:prstGeom prst="rect">
                      <a:avLst/>
                    </a:prstGeom>
                    <a:noFill/>
                  </pic:spPr>
                </pic:pic>
              </a:graphicData>
            </a:graphic>
          </wp:anchor>
        </w:drawing>
      </w:r>
    </w:p>
    <w:p>
      <w:pPr>
        <w:spacing w:after="0" w:line="239"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Capitalised exploration drilling costs are as follows:</w:t>
      </w:r>
    </w:p>
    <w:tbl>
      <w:tblPr>
        <w:tblLayout w:type="fixed"/>
        <w:tblInd w:w="20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74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CAPITALISED EXPLORATION DRILLING COSTS</w:t>
            </w:r>
          </w:p>
        </w:tc>
        <w:tc>
          <w:tcPr>
            <w:tcW w:w="560" w:type="dxa"/>
            <w:vAlign w:val="bottom"/>
            <w:shd w:val="clear" w:color="auto" w:fill="7DD0E0"/>
          </w:tcPr>
          <w:p>
            <w:pPr>
              <w:spacing w:after="0"/>
              <w:rPr>
                <w:sz w:val="12"/>
                <w:szCs w:val="12"/>
                <w:color w:val="auto"/>
              </w:rPr>
            </w:pPr>
          </w:p>
        </w:tc>
        <w:tc>
          <w:tcPr>
            <w:tcW w:w="98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6740" w:type="dxa"/>
            <w:vAlign w:val="bottom"/>
            <w:shd w:val="clear" w:color="auto" w:fill="D8D1C9"/>
          </w:tcPr>
          <w:p>
            <w:pPr>
              <w:spacing w:after="0"/>
              <w:rPr>
                <w:sz w:val="11"/>
                <w:szCs w:val="11"/>
                <w:color w:val="auto"/>
              </w:rPr>
            </w:pPr>
          </w:p>
        </w:tc>
        <w:tc>
          <w:tcPr>
            <w:tcW w:w="56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2007</w:t>
            </w:r>
          </w:p>
        </w:tc>
        <w:tc>
          <w:tcPr>
            <w:tcW w:w="98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2006</w:t>
            </w:r>
          </w:p>
        </w:tc>
      </w:tr>
      <w:tr>
        <w:trPr>
          <w:trHeight w:val="127"/>
        </w:trPr>
        <w:tc>
          <w:tcPr>
            <w:tcW w:w="20" w:type="dxa"/>
            <w:vAlign w:val="bottom"/>
          </w:tcPr>
          <w:p>
            <w:pPr>
              <w:spacing w:after="0"/>
              <w:rPr>
                <w:sz w:val="11"/>
                <w:szCs w:val="11"/>
                <w:color w:val="auto"/>
              </w:rPr>
            </w:pPr>
          </w:p>
        </w:tc>
        <w:tc>
          <w:tcPr>
            <w:tcW w:w="6740" w:type="dxa"/>
            <w:vAlign w:val="bottom"/>
          </w:tcPr>
          <w:p>
            <w:pPr>
              <w:spacing w:after="0" w:line="128" w:lineRule="exact"/>
              <w:rPr>
                <w:sz w:val="20"/>
                <w:szCs w:val="20"/>
                <w:color w:val="auto"/>
              </w:rPr>
            </w:pPr>
            <w:r>
              <w:rPr>
                <w:rFonts w:ascii="Arial" w:cs="Arial" w:eastAsia="Arial" w:hAnsi="Arial"/>
                <w:sz w:val="12"/>
                <w:szCs w:val="12"/>
                <w:color w:val="auto"/>
              </w:rPr>
              <w:t>At January 1</w:t>
            </w:r>
          </w:p>
        </w:tc>
        <w:tc>
          <w:tcPr>
            <w:tcW w:w="56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1,708</w:t>
            </w:r>
          </w:p>
        </w:tc>
        <w:tc>
          <w:tcPr>
            <w:tcW w:w="9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832</w:t>
            </w:r>
          </w:p>
        </w:tc>
      </w:tr>
      <w:tr>
        <w:trPr>
          <w:trHeight w:val="133"/>
        </w:trPr>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Capital expenditure (additions pending determination of proved reserves)</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1,606</w:t>
            </w:r>
          </w:p>
        </w:tc>
        <w:tc>
          <w:tcPr>
            <w:tcW w:w="9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1,182</w:t>
            </w:r>
          </w:p>
        </w:tc>
      </w:tr>
      <w:tr>
        <w:trPr>
          <w:trHeight w:val="133"/>
        </w:trPr>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Amounts charged to expense</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(222)</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(72)</w:t>
            </w:r>
          </w:p>
        </w:tc>
      </w:tr>
      <w:tr>
        <w:trPr>
          <w:trHeight w:val="133"/>
        </w:trPr>
        <w:tc>
          <w:tcPr>
            <w:tcW w:w="6760" w:type="dxa"/>
            <w:vAlign w:val="bottom"/>
            <w:gridSpan w:val="2"/>
          </w:tcPr>
          <w:p>
            <w:pPr>
              <w:spacing w:after="0" w:line="133" w:lineRule="exact"/>
              <w:rPr>
                <w:sz w:val="20"/>
                <w:szCs w:val="20"/>
                <w:color w:val="auto"/>
              </w:rPr>
            </w:pPr>
            <w:r>
              <w:rPr>
                <w:rFonts w:ascii="Arial" w:cs="Arial" w:eastAsia="Arial" w:hAnsi="Arial"/>
                <w:sz w:val="12"/>
                <w:szCs w:val="12"/>
                <w:color w:val="auto"/>
              </w:rPr>
              <w:t>Reclassifications to productive wells on determination of proved reserves</w:t>
            </w:r>
          </w:p>
        </w:tc>
        <w:tc>
          <w:tcPr>
            <w:tcW w:w="5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(593)</w:t>
            </w:r>
          </w:p>
        </w:tc>
        <w:tc>
          <w:tcPr>
            <w:tcW w:w="980" w:type="dxa"/>
            <w:vAlign w:val="bottom"/>
          </w:tcPr>
          <w:p>
            <w:pPr>
              <w:jc w:val="right"/>
              <w:spacing w:after="0" w:line="133" w:lineRule="exact"/>
              <w:rPr>
                <w:sz w:val="20"/>
                <w:szCs w:val="20"/>
                <w:color w:val="auto"/>
              </w:rPr>
            </w:pPr>
            <w:r>
              <w:rPr>
                <w:rFonts w:ascii="Arial" w:cs="Arial" w:eastAsia="Arial" w:hAnsi="Arial"/>
                <w:sz w:val="12"/>
                <w:szCs w:val="12"/>
                <w:color w:val="auto"/>
              </w:rPr>
              <w:t>(228)</w:t>
            </w:r>
          </w:p>
        </w:tc>
      </w:tr>
      <w:tr>
        <w:trPr>
          <w:trHeight w:val="139"/>
        </w:trPr>
        <w:tc>
          <w:tcPr>
            <w:tcW w:w="6760" w:type="dxa"/>
            <w:vAlign w:val="bottom"/>
            <w:gridSpan w:val="2"/>
          </w:tcPr>
          <w:p>
            <w:pPr>
              <w:spacing w:after="0"/>
              <w:rPr>
                <w:sz w:val="20"/>
                <w:szCs w:val="20"/>
                <w:color w:val="auto"/>
              </w:rPr>
            </w:pPr>
            <w:r>
              <w:rPr>
                <w:rFonts w:ascii="Arial" w:cs="Arial" w:eastAsia="Arial" w:hAnsi="Arial"/>
                <w:sz w:val="12"/>
                <w:szCs w:val="12"/>
                <w:color w:val="auto"/>
              </w:rPr>
              <w:t>Other movements, including acquisitions, disposals and currency translation differences</w:t>
            </w:r>
          </w:p>
        </w:tc>
        <w:tc>
          <w:tcPr>
            <w:tcW w:w="56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1</w:t>
            </w: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6"/>
        </w:trPr>
        <w:tc>
          <w:tcPr>
            <w:tcW w:w="20" w:type="dxa"/>
            <w:vAlign w:val="bottom"/>
          </w:tcPr>
          <w:p>
            <w:pPr>
              <w:spacing w:after="0"/>
              <w:rPr>
                <w:sz w:val="12"/>
                <w:szCs w:val="12"/>
                <w:color w:val="auto"/>
              </w:rPr>
            </w:pPr>
          </w:p>
        </w:tc>
        <w:tc>
          <w:tcPr>
            <w:tcW w:w="6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560" w:type="dxa"/>
            <w:vAlign w:val="bottom"/>
            <w:tcBorders>
              <w:top w:val="single" w:sz="8" w:color="auto"/>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2,500</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1,708</w:t>
            </w:r>
          </w:p>
        </w:tc>
      </w:tr>
    </w:tbl>
    <w:p>
      <w:pPr>
        <w:spacing w:after="0" w:line="101" w:lineRule="exact"/>
        <w:rPr>
          <w:sz w:val="20"/>
          <w:szCs w:val="20"/>
          <w:color w:val="auto"/>
        </w:rPr>
      </w:pPr>
    </w:p>
    <w:p>
      <w:pPr>
        <w:ind w:left="2060"/>
        <w:spacing w:after="0"/>
        <w:rPr>
          <w:sz w:val="20"/>
          <w:szCs w:val="20"/>
          <w:color w:val="auto"/>
        </w:rPr>
      </w:pPr>
      <w:r>
        <w:rPr>
          <w:rFonts w:ascii="Arial" w:cs="Arial" w:eastAsia="Arial" w:hAnsi="Arial"/>
          <w:sz w:val="13"/>
          <w:szCs w:val="13"/>
          <w:color w:val="auto"/>
        </w:rPr>
        <w:t>There were $1,044 million exploration drilling costs at December 31, 2007, capitalised for periods greater than one year, representing 136 wells.</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4"/>
          <w:szCs w:val="14"/>
          <w:color w:val="auto"/>
        </w:rPr>
        <w:t>Information by year of expenditure is as follows:</w:t>
      </w:r>
    </w:p>
    <w:p>
      <w:pPr>
        <w:spacing w:after="0" w:line="20" w:lineRule="exact"/>
        <w:rPr>
          <w:sz w:val="20"/>
          <w:szCs w:val="20"/>
          <w:color w:val="auto"/>
        </w:rPr>
      </w:pPr>
    </w:p>
    <w:tbl>
      <w:tblPr>
        <w:tblLayout w:type="fixed"/>
        <w:tblInd w:w="206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3340" w:type="dxa"/>
            <w:vAlign w:val="bottom"/>
            <w:shd w:val="clear" w:color="auto" w:fill="7DD0E0"/>
          </w:tcPr>
          <w:p>
            <w:pPr>
              <w:spacing w:after="0"/>
              <w:rPr>
                <w:sz w:val="9"/>
                <w:szCs w:val="9"/>
                <w:color w:val="auto"/>
              </w:rPr>
            </w:pPr>
          </w:p>
        </w:tc>
        <w:tc>
          <w:tcPr>
            <w:tcW w:w="3740" w:type="dxa"/>
            <w:vAlign w:val="bottom"/>
            <w:shd w:val="clear" w:color="auto" w:fill="7DD0E0"/>
          </w:tcPr>
          <w:p>
            <w:pPr>
              <w:spacing w:after="0"/>
              <w:rPr>
                <w:sz w:val="9"/>
                <w:szCs w:val="9"/>
                <w:color w:val="auto"/>
              </w:rPr>
            </w:pPr>
          </w:p>
        </w:tc>
        <w:tc>
          <w:tcPr>
            <w:tcW w:w="1200" w:type="dxa"/>
            <w:vAlign w:val="bottom"/>
            <w:shd w:val="clear" w:color="auto" w:fill="7DD0E0"/>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340" w:type="dxa"/>
            <w:vAlign w:val="bottom"/>
            <w:shd w:val="clear" w:color="auto" w:fill="D8D1C9"/>
          </w:tcPr>
          <w:p>
            <w:pPr>
              <w:spacing w:after="0"/>
              <w:rPr>
                <w:sz w:val="11"/>
                <w:szCs w:val="11"/>
                <w:color w:val="auto"/>
              </w:rPr>
            </w:pPr>
          </w:p>
        </w:tc>
        <w:tc>
          <w:tcPr>
            <w:tcW w:w="3740" w:type="dxa"/>
            <w:vAlign w:val="bottom"/>
            <w:shd w:val="clear" w:color="auto" w:fill="D8D1C9"/>
          </w:tcPr>
          <w:p>
            <w:pPr>
              <w:jc w:val="right"/>
              <w:ind w:right="178"/>
              <w:spacing w:after="0" w:line="133" w:lineRule="exact"/>
              <w:rPr>
                <w:sz w:val="20"/>
                <w:szCs w:val="20"/>
                <w:color w:val="auto"/>
              </w:rPr>
            </w:pPr>
            <w:r>
              <w:rPr>
                <w:rFonts w:ascii="Arial" w:cs="Arial" w:eastAsia="Arial" w:hAnsi="Arial"/>
                <w:sz w:val="12"/>
                <w:szCs w:val="12"/>
                <w:color w:val="auto"/>
              </w:rPr>
              <w:t>$ million</w:t>
            </w:r>
          </w:p>
        </w:tc>
        <w:tc>
          <w:tcPr>
            <w:tcW w:w="1200" w:type="dxa"/>
            <w:vAlign w:val="bottom"/>
            <w:shd w:val="clear" w:color="auto" w:fill="D8D1C9"/>
          </w:tcPr>
          <w:p>
            <w:pPr>
              <w:jc w:val="right"/>
              <w:spacing w:after="0" w:line="133" w:lineRule="exact"/>
              <w:rPr>
                <w:sz w:val="20"/>
                <w:szCs w:val="20"/>
                <w:color w:val="auto"/>
              </w:rPr>
            </w:pPr>
            <w:r>
              <w:rPr>
                <w:rFonts w:ascii="Arial" w:cs="Arial" w:eastAsia="Arial" w:hAnsi="Arial"/>
                <w:sz w:val="12"/>
                <w:szCs w:val="12"/>
                <w:color w:val="auto"/>
              </w:rPr>
              <w:t>Number of wells</w:t>
            </w:r>
          </w:p>
        </w:tc>
      </w:tr>
      <w:tr>
        <w:trPr>
          <w:trHeight w:val="127"/>
        </w:trPr>
        <w:tc>
          <w:tcPr>
            <w:tcW w:w="20" w:type="dxa"/>
            <w:vAlign w:val="bottom"/>
          </w:tcPr>
          <w:p>
            <w:pPr>
              <w:spacing w:after="0"/>
              <w:rPr>
                <w:sz w:val="11"/>
                <w:szCs w:val="11"/>
                <w:color w:val="auto"/>
              </w:rPr>
            </w:pPr>
          </w:p>
        </w:tc>
        <w:tc>
          <w:tcPr>
            <w:tcW w:w="3340" w:type="dxa"/>
            <w:vAlign w:val="bottom"/>
          </w:tcPr>
          <w:p>
            <w:pPr>
              <w:jc w:val="right"/>
              <w:ind w:right="3018"/>
              <w:spacing w:after="0" w:line="128" w:lineRule="exact"/>
              <w:rPr>
                <w:sz w:val="20"/>
                <w:szCs w:val="20"/>
                <w:color w:val="auto"/>
              </w:rPr>
            </w:pPr>
            <w:r>
              <w:rPr>
                <w:rFonts w:ascii="Arial" w:cs="Arial" w:eastAsia="Arial" w:hAnsi="Arial"/>
                <w:sz w:val="12"/>
                <w:szCs w:val="12"/>
                <w:color w:val="auto"/>
                <w:w w:val="89"/>
              </w:rPr>
              <w:t>2000</w:t>
            </w:r>
          </w:p>
        </w:tc>
        <w:tc>
          <w:tcPr>
            <w:tcW w:w="37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21</w:t>
            </w:r>
          </w:p>
        </w:tc>
        <w:tc>
          <w:tcPr>
            <w:tcW w:w="12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w:t>
            </w:r>
          </w:p>
        </w:tc>
      </w:tr>
      <w:tr>
        <w:trPr>
          <w:trHeight w:val="133"/>
        </w:trPr>
        <w:tc>
          <w:tcPr>
            <w:tcW w:w="3360" w:type="dxa"/>
            <w:vAlign w:val="bottom"/>
            <w:gridSpan w:val="2"/>
          </w:tcPr>
          <w:p>
            <w:pPr>
              <w:jc w:val="right"/>
              <w:ind w:right="3018"/>
              <w:spacing w:after="0" w:line="133" w:lineRule="exact"/>
              <w:rPr>
                <w:sz w:val="20"/>
                <w:szCs w:val="20"/>
                <w:color w:val="auto"/>
              </w:rPr>
            </w:pPr>
            <w:r>
              <w:rPr>
                <w:rFonts w:ascii="Arial" w:cs="Arial" w:eastAsia="Arial" w:hAnsi="Arial"/>
                <w:sz w:val="12"/>
                <w:szCs w:val="12"/>
                <w:color w:val="auto"/>
                <w:w w:val="97"/>
              </w:rPr>
              <w:t>2001</w:t>
            </w:r>
          </w:p>
        </w:tc>
        <w:tc>
          <w:tcPr>
            <w:tcW w:w="3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w:t>
            </w:r>
          </w:p>
        </w:tc>
      </w:tr>
      <w:tr>
        <w:trPr>
          <w:trHeight w:val="133"/>
        </w:trPr>
        <w:tc>
          <w:tcPr>
            <w:tcW w:w="3360" w:type="dxa"/>
            <w:vAlign w:val="bottom"/>
            <w:gridSpan w:val="2"/>
          </w:tcPr>
          <w:p>
            <w:pPr>
              <w:jc w:val="right"/>
              <w:ind w:right="3018"/>
              <w:spacing w:after="0" w:line="133" w:lineRule="exact"/>
              <w:rPr>
                <w:sz w:val="20"/>
                <w:szCs w:val="20"/>
                <w:color w:val="auto"/>
              </w:rPr>
            </w:pPr>
            <w:r>
              <w:rPr>
                <w:rFonts w:ascii="Arial" w:cs="Arial" w:eastAsia="Arial" w:hAnsi="Arial"/>
                <w:sz w:val="12"/>
                <w:szCs w:val="12"/>
                <w:color w:val="auto"/>
                <w:w w:val="97"/>
              </w:rPr>
              <w:t>2002</w:t>
            </w:r>
          </w:p>
        </w:tc>
        <w:tc>
          <w:tcPr>
            <w:tcW w:w="3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66</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w:t>
            </w:r>
          </w:p>
        </w:tc>
      </w:tr>
      <w:tr>
        <w:trPr>
          <w:trHeight w:val="133"/>
        </w:trPr>
        <w:tc>
          <w:tcPr>
            <w:tcW w:w="3360" w:type="dxa"/>
            <w:vAlign w:val="bottom"/>
            <w:gridSpan w:val="2"/>
          </w:tcPr>
          <w:p>
            <w:pPr>
              <w:jc w:val="right"/>
              <w:ind w:right="3018"/>
              <w:spacing w:after="0" w:line="133" w:lineRule="exact"/>
              <w:rPr>
                <w:sz w:val="20"/>
                <w:szCs w:val="20"/>
                <w:color w:val="auto"/>
              </w:rPr>
            </w:pPr>
            <w:r>
              <w:rPr>
                <w:rFonts w:ascii="Arial" w:cs="Arial" w:eastAsia="Arial" w:hAnsi="Arial"/>
                <w:sz w:val="12"/>
                <w:szCs w:val="12"/>
                <w:color w:val="auto"/>
                <w:w w:val="97"/>
              </w:rPr>
              <w:t>2003</w:t>
            </w:r>
          </w:p>
        </w:tc>
        <w:tc>
          <w:tcPr>
            <w:tcW w:w="3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84</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w:t>
            </w:r>
          </w:p>
        </w:tc>
      </w:tr>
      <w:tr>
        <w:trPr>
          <w:trHeight w:val="133"/>
        </w:trPr>
        <w:tc>
          <w:tcPr>
            <w:tcW w:w="3360" w:type="dxa"/>
            <w:vAlign w:val="bottom"/>
            <w:gridSpan w:val="2"/>
          </w:tcPr>
          <w:p>
            <w:pPr>
              <w:jc w:val="right"/>
              <w:ind w:right="3018"/>
              <w:spacing w:after="0" w:line="133" w:lineRule="exact"/>
              <w:rPr>
                <w:sz w:val="20"/>
                <w:szCs w:val="20"/>
                <w:color w:val="auto"/>
              </w:rPr>
            </w:pPr>
            <w:r>
              <w:rPr>
                <w:rFonts w:ascii="Arial" w:cs="Arial" w:eastAsia="Arial" w:hAnsi="Arial"/>
                <w:sz w:val="12"/>
                <w:szCs w:val="12"/>
                <w:color w:val="auto"/>
                <w:w w:val="97"/>
              </w:rPr>
              <w:t>2004</w:t>
            </w:r>
          </w:p>
        </w:tc>
        <w:tc>
          <w:tcPr>
            <w:tcW w:w="3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100</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w:t>
            </w:r>
          </w:p>
        </w:tc>
      </w:tr>
      <w:tr>
        <w:trPr>
          <w:trHeight w:val="133"/>
        </w:trPr>
        <w:tc>
          <w:tcPr>
            <w:tcW w:w="3360" w:type="dxa"/>
            <w:vAlign w:val="bottom"/>
            <w:gridSpan w:val="2"/>
          </w:tcPr>
          <w:p>
            <w:pPr>
              <w:jc w:val="right"/>
              <w:ind w:right="3018"/>
              <w:spacing w:after="0" w:line="133" w:lineRule="exact"/>
              <w:rPr>
                <w:sz w:val="20"/>
                <w:szCs w:val="20"/>
                <w:color w:val="auto"/>
              </w:rPr>
            </w:pPr>
            <w:r>
              <w:rPr>
                <w:rFonts w:ascii="Arial" w:cs="Arial" w:eastAsia="Arial" w:hAnsi="Arial"/>
                <w:sz w:val="12"/>
                <w:szCs w:val="12"/>
                <w:color w:val="auto"/>
                <w:w w:val="97"/>
              </w:rPr>
              <w:t>2005</w:t>
            </w:r>
          </w:p>
        </w:tc>
        <w:tc>
          <w:tcPr>
            <w:tcW w:w="3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206</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15</w:t>
            </w:r>
          </w:p>
        </w:tc>
      </w:tr>
      <w:tr>
        <w:trPr>
          <w:trHeight w:val="139"/>
        </w:trPr>
        <w:tc>
          <w:tcPr>
            <w:tcW w:w="3360" w:type="dxa"/>
            <w:vAlign w:val="bottom"/>
            <w:tcBorders>
              <w:bottom w:val="single" w:sz="8" w:color="auto"/>
            </w:tcBorders>
            <w:gridSpan w:val="2"/>
          </w:tcPr>
          <w:p>
            <w:pPr>
              <w:jc w:val="right"/>
              <w:ind w:right="3018"/>
              <w:spacing w:after="0"/>
              <w:rPr>
                <w:sz w:val="20"/>
                <w:szCs w:val="20"/>
                <w:color w:val="auto"/>
              </w:rPr>
            </w:pPr>
            <w:r>
              <w:rPr>
                <w:rFonts w:ascii="Arial" w:cs="Arial" w:eastAsia="Arial" w:hAnsi="Arial"/>
                <w:sz w:val="12"/>
                <w:szCs w:val="12"/>
                <w:color w:val="auto"/>
                <w:w w:val="97"/>
              </w:rPr>
              <w:t>2006</w:t>
            </w:r>
          </w:p>
        </w:tc>
        <w:tc>
          <w:tcPr>
            <w:tcW w:w="3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547</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99</w:t>
            </w:r>
          </w:p>
        </w:tc>
      </w:tr>
      <w:tr>
        <w:trPr>
          <w:trHeight w:val="146"/>
        </w:trPr>
        <w:tc>
          <w:tcPr>
            <w:tcW w:w="3360" w:type="dxa"/>
            <w:vAlign w:val="bottom"/>
            <w:tcBorders>
              <w:bottom w:val="single" w:sz="8" w:color="auto"/>
            </w:tcBorders>
            <w:gridSpan w:val="2"/>
          </w:tcPr>
          <w:p>
            <w:pPr>
              <w:jc w:val="right"/>
              <w:ind w:right="2998"/>
              <w:spacing w:after="0"/>
              <w:rPr>
                <w:sz w:val="20"/>
                <w:szCs w:val="20"/>
                <w:color w:val="auto"/>
              </w:rPr>
            </w:pPr>
            <w:r>
              <w:rPr>
                <w:rFonts w:ascii="Arial" w:cs="Arial" w:eastAsia="Arial" w:hAnsi="Arial"/>
                <w:sz w:val="12"/>
                <w:szCs w:val="12"/>
                <w:b w:val="1"/>
                <w:bCs w:val="1"/>
                <w:color w:val="auto"/>
                <w:w w:val="97"/>
              </w:rPr>
              <w:t>Total</w:t>
            </w:r>
          </w:p>
        </w:tc>
        <w:tc>
          <w:tcPr>
            <w:tcW w:w="3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1,044</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w:t>
            </w:r>
          </w:p>
        </w:tc>
      </w:tr>
    </w:tbl>
    <w:p>
      <w:pPr>
        <w:spacing w:after="0" w:line="101" w:lineRule="exact"/>
        <w:rPr>
          <w:sz w:val="20"/>
          <w:szCs w:val="20"/>
          <w:color w:val="auto"/>
        </w:rPr>
      </w:pPr>
    </w:p>
    <w:p>
      <w:pPr>
        <w:ind w:left="2060" w:right="180"/>
        <w:spacing w:after="0" w:line="235" w:lineRule="auto"/>
        <w:rPr>
          <w:sz w:val="20"/>
          <w:szCs w:val="20"/>
          <w:color w:val="auto"/>
        </w:rPr>
      </w:pPr>
      <w:r>
        <w:rPr>
          <w:rFonts w:ascii="Arial" w:cs="Arial" w:eastAsia="Arial" w:hAnsi="Arial"/>
          <w:sz w:val="14"/>
          <w:szCs w:val="14"/>
          <w:color w:val="auto"/>
        </w:rPr>
        <w:t>These costs remain capitalised for more than one year because, for the related projects, either (a) firm exploration/exploratory appraisal wells were executed in 2007 and/or are planned in the near future, and/or (b) firm development activities are being progressed with a final investment decision expected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2011045</wp:posOffset>
            </wp:positionV>
            <wp:extent cx="725297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CONSOLIDATED FINANCIAL STATEMENTS</w:t>
      </w:r>
    </w:p>
    <w:p>
      <w:pPr>
        <w:sectPr>
          <w:pgSz w:w="11900" w:h="16838" w:orient="portrait"/>
          <w:cols w:equalWidth="0" w:num="1">
            <w:col w:w="11420"/>
          </w:cols>
          <w:pgMar w:left="240" w:top="41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13</w:t>
      </w:r>
    </w:p>
    <w:p>
      <w:pPr>
        <w:spacing w:after="0" w:line="20" w:lineRule="exact"/>
        <w:rPr>
          <w:sz w:val="20"/>
          <w:szCs w:val="20"/>
          <w:color w:val="auto"/>
        </w:rPr>
      </w:pPr>
    </w:p>
    <w:p>
      <w:pPr>
        <w:spacing w:after="0" w:line="242" w:lineRule="auto"/>
        <w:rPr>
          <w:sz w:val="20"/>
          <w:szCs w:val="20"/>
          <w:color w:val="auto"/>
        </w:rPr>
      </w:pPr>
      <w:r>
        <w:rPr>
          <w:rFonts w:ascii="Arial" w:cs="Arial" w:eastAsia="Arial" w:hAnsi="Arial"/>
          <w:sz w:val="14"/>
          <w:szCs w:val="14"/>
          <w:b w:val="1"/>
          <w:bCs w:val="1"/>
          <w:color w:val="auto"/>
        </w:rPr>
        <w:t>RELATED PARTIES: ASSOCIATED COMPANIES AND JOINT VENTURES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380" w:type="dxa"/>
            <w:vAlign w:val="bottom"/>
            <w:gridSpan w:val="6"/>
            <w:shd w:val="clear" w:color="auto" w:fill="7DD0E3"/>
          </w:tcPr>
          <w:p>
            <w:pPr>
              <w:spacing w:after="0"/>
              <w:rPr>
                <w:sz w:val="20"/>
                <w:szCs w:val="20"/>
                <w:color w:val="auto"/>
              </w:rPr>
            </w:pPr>
            <w:r>
              <w:rPr>
                <w:rFonts w:ascii="Arial" w:cs="Arial" w:eastAsia="Arial" w:hAnsi="Arial"/>
                <w:sz w:val="12"/>
                <w:szCs w:val="12"/>
                <w:b w:val="1"/>
                <w:bCs w:val="1"/>
                <w:color w:val="auto"/>
              </w:rPr>
              <w:t>[A] INFORMATION ON THE SHELL SHARE OF INVESTMENTS ACCOUNTED FOR BY THE EQUITY METHOD</w:t>
            </w:r>
          </w:p>
        </w:tc>
        <w:tc>
          <w:tcPr>
            <w:tcW w:w="600" w:type="dxa"/>
            <w:vAlign w:val="bottom"/>
            <w:shd w:val="clear" w:color="auto" w:fill="7DD0E3"/>
          </w:tcPr>
          <w:p>
            <w:pPr>
              <w:spacing w:after="0"/>
              <w:rPr>
                <w:sz w:val="12"/>
                <w:szCs w:val="12"/>
                <w:color w:val="auto"/>
              </w:rPr>
            </w:pPr>
          </w:p>
        </w:tc>
        <w:tc>
          <w:tcPr>
            <w:tcW w:w="940" w:type="dxa"/>
            <w:vAlign w:val="bottom"/>
            <w:shd w:val="clear" w:color="auto" w:fill="7DD0E3"/>
          </w:tcPr>
          <w:p>
            <w:pPr>
              <w:spacing w:after="0"/>
              <w:rPr>
                <w:sz w:val="12"/>
                <w:szCs w:val="12"/>
                <w:color w:val="auto"/>
              </w:rPr>
            </w:pPr>
          </w:p>
        </w:tc>
        <w:tc>
          <w:tcPr>
            <w:tcW w:w="840" w:type="dxa"/>
            <w:vAlign w:val="bottom"/>
            <w:shd w:val="clear" w:color="auto" w:fill="7DD0E3"/>
          </w:tcPr>
          <w:p>
            <w:pPr>
              <w:spacing w:after="0"/>
              <w:rPr>
                <w:sz w:val="12"/>
                <w:szCs w:val="12"/>
                <w:color w:val="auto"/>
              </w:rPr>
            </w:pPr>
          </w:p>
        </w:tc>
        <w:tc>
          <w:tcPr>
            <w:tcW w:w="70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20" w:type="dxa"/>
            <w:vAlign w:val="bottom"/>
            <w:shd w:val="clear" w:color="auto" w:fill="D8D1C9"/>
          </w:tcPr>
          <w:p>
            <w:pPr>
              <w:spacing w:after="0"/>
              <w:rPr>
                <w:sz w:val="12"/>
                <w:szCs w:val="12"/>
                <w:color w:val="auto"/>
              </w:rPr>
            </w:pPr>
          </w:p>
        </w:tc>
        <w:tc>
          <w:tcPr>
            <w:tcW w:w="940" w:type="dxa"/>
            <w:vAlign w:val="bottom"/>
            <w:shd w:val="clear" w:color="auto" w:fill="D8D1C9"/>
          </w:tcPr>
          <w:p>
            <w:pPr>
              <w:spacing w:after="0"/>
              <w:rPr>
                <w:sz w:val="12"/>
                <w:szCs w:val="12"/>
                <w:color w:val="auto"/>
              </w:rPr>
            </w:pPr>
          </w:p>
        </w:tc>
        <w:tc>
          <w:tcPr>
            <w:tcW w:w="1020" w:type="dxa"/>
            <w:vAlign w:val="bottom"/>
            <w:vMerge w:val="restart"/>
            <w:shd w:val="clear" w:color="auto" w:fill="D8D1C9"/>
          </w:tcPr>
          <w:p>
            <w:pPr>
              <w:jc w:val="right"/>
              <w:ind w:right="258"/>
              <w:spacing w:after="0"/>
              <w:rPr>
                <w:sz w:val="20"/>
                <w:szCs w:val="20"/>
                <w:color w:val="auto"/>
              </w:rPr>
            </w:pPr>
            <w:r>
              <w:rPr>
                <w:rFonts w:ascii="Arial" w:cs="Arial" w:eastAsia="Arial" w:hAnsi="Arial"/>
                <w:sz w:val="12"/>
                <w:szCs w:val="12"/>
                <w:color w:val="auto"/>
              </w:rPr>
              <w:t>Jointly</w:t>
            </w:r>
          </w:p>
        </w:tc>
        <w:tc>
          <w:tcPr>
            <w:tcW w:w="680" w:type="dxa"/>
            <w:vAlign w:val="bottom"/>
            <w:shd w:val="clear" w:color="auto" w:fill="D8D1C9"/>
          </w:tcPr>
          <w:p>
            <w:pPr>
              <w:jc w:val="right"/>
              <w:ind w:right="138"/>
              <w:spacing w:after="0"/>
              <w:rPr>
                <w:sz w:val="20"/>
                <w:szCs w:val="20"/>
                <w:color w:val="auto"/>
              </w:rPr>
            </w:pPr>
            <w:r>
              <w:rPr>
                <w:rFonts w:ascii="Arial" w:cs="Arial" w:eastAsia="Arial" w:hAnsi="Arial"/>
                <w:sz w:val="12"/>
                <w:szCs w:val="12"/>
                <w:color w:val="auto"/>
              </w:rPr>
              <w:t>2007</w:t>
            </w:r>
          </w:p>
        </w:tc>
        <w:tc>
          <w:tcPr>
            <w:tcW w:w="860" w:type="dxa"/>
            <w:vAlign w:val="bottom"/>
            <w:shd w:val="clear" w:color="auto" w:fill="D8D1C9"/>
          </w:tcPr>
          <w:p>
            <w:pPr>
              <w:spacing w:after="0"/>
              <w:rPr>
                <w:sz w:val="12"/>
                <w:szCs w:val="12"/>
                <w:color w:val="auto"/>
              </w:rPr>
            </w:pPr>
          </w:p>
        </w:tc>
        <w:tc>
          <w:tcPr>
            <w:tcW w:w="1060" w:type="dxa"/>
            <w:vAlign w:val="bottom"/>
            <w:vMerge w:val="restart"/>
            <w:shd w:val="clear" w:color="auto" w:fill="D8D1C9"/>
          </w:tcPr>
          <w:p>
            <w:pPr>
              <w:jc w:val="right"/>
              <w:ind w:right="298"/>
              <w:spacing w:after="0"/>
              <w:rPr>
                <w:sz w:val="20"/>
                <w:szCs w:val="20"/>
                <w:color w:val="auto"/>
              </w:rPr>
            </w:pPr>
            <w:r>
              <w:rPr>
                <w:rFonts w:ascii="Arial" w:cs="Arial" w:eastAsia="Arial" w:hAnsi="Arial"/>
                <w:sz w:val="12"/>
                <w:szCs w:val="12"/>
                <w:color w:val="auto"/>
              </w:rPr>
              <w:t>Jointly</w:t>
            </w:r>
          </w:p>
        </w:tc>
        <w:tc>
          <w:tcPr>
            <w:tcW w:w="600" w:type="dxa"/>
            <w:vAlign w:val="bottom"/>
            <w:shd w:val="clear" w:color="auto" w:fill="D8D1C9"/>
          </w:tcPr>
          <w:p>
            <w:pPr>
              <w:jc w:val="right"/>
              <w:ind w:right="78"/>
              <w:spacing w:after="0"/>
              <w:rPr>
                <w:sz w:val="20"/>
                <w:szCs w:val="20"/>
                <w:color w:val="auto"/>
              </w:rPr>
            </w:pPr>
            <w:r>
              <w:rPr>
                <w:rFonts w:ascii="Arial" w:cs="Arial" w:eastAsia="Arial" w:hAnsi="Arial"/>
                <w:sz w:val="12"/>
                <w:szCs w:val="12"/>
                <w:color w:val="auto"/>
              </w:rPr>
              <w:t>2006</w:t>
            </w:r>
          </w:p>
        </w:tc>
        <w:tc>
          <w:tcPr>
            <w:tcW w:w="940" w:type="dxa"/>
            <w:vAlign w:val="bottom"/>
            <w:shd w:val="clear" w:color="auto" w:fill="D8D1C9"/>
          </w:tcPr>
          <w:p>
            <w:pPr>
              <w:spacing w:after="0"/>
              <w:rPr>
                <w:sz w:val="12"/>
                <w:szCs w:val="12"/>
                <w:color w:val="auto"/>
              </w:rPr>
            </w:pPr>
          </w:p>
        </w:tc>
        <w:tc>
          <w:tcPr>
            <w:tcW w:w="840" w:type="dxa"/>
            <w:vAlign w:val="bottom"/>
            <w:vMerge w:val="restart"/>
            <w:shd w:val="clear" w:color="auto" w:fill="D8D1C9"/>
          </w:tcPr>
          <w:p>
            <w:pPr>
              <w:jc w:val="right"/>
              <w:ind w:right="78"/>
              <w:spacing w:after="0"/>
              <w:rPr>
                <w:sz w:val="20"/>
                <w:szCs w:val="20"/>
                <w:color w:val="auto"/>
              </w:rPr>
            </w:pPr>
            <w:r>
              <w:rPr>
                <w:rFonts w:ascii="Arial" w:cs="Arial" w:eastAsia="Arial" w:hAnsi="Arial"/>
                <w:sz w:val="12"/>
                <w:szCs w:val="12"/>
                <w:color w:val="auto"/>
              </w:rPr>
              <w:t>Jointly</w:t>
            </w:r>
          </w:p>
        </w:tc>
        <w:tc>
          <w:tcPr>
            <w:tcW w:w="70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20" w:type="dxa"/>
            <w:vAlign w:val="bottom"/>
            <w:shd w:val="clear" w:color="auto" w:fill="D8D1C9"/>
          </w:tcPr>
          <w:p>
            <w:pPr>
              <w:spacing w:after="0"/>
              <w:rPr>
                <w:sz w:val="11"/>
                <w:szCs w:val="11"/>
                <w:color w:val="auto"/>
              </w:rPr>
            </w:pPr>
          </w:p>
        </w:tc>
        <w:tc>
          <w:tcPr>
            <w:tcW w:w="940" w:type="dxa"/>
            <w:vAlign w:val="bottom"/>
            <w:shd w:val="clear" w:color="auto" w:fill="D8D1C9"/>
          </w:tcPr>
          <w:p>
            <w:pPr>
              <w:spacing w:after="0"/>
              <w:rPr>
                <w:sz w:val="11"/>
                <w:szCs w:val="11"/>
                <w:color w:val="auto"/>
              </w:rPr>
            </w:pPr>
          </w:p>
        </w:tc>
        <w:tc>
          <w:tcPr>
            <w:tcW w:w="1020" w:type="dxa"/>
            <w:vAlign w:val="bottom"/>
            <w:vMerge w:val="continue"/>
            <w:shd w:val="clear" w:color="auto" w:fill="D8D1C9"/>
          </w:tcPr>
          <w:p>
            <w:pPr>
              <w:spacing w:after="0"/>
              <w:rPr>
                <w:sz w:val="11"/>
                <w:szCs w:val="11"/>
                <w:color w:val="auto"/>
              </w:rPr>
            </w:pPr>
          </w:p>
        </w:tc>
        <w:tc>
          <w:tcPr>
            <w:tcW w:w="680" w:type="dxa"/>
            <w:vAlign w:val="bottom"/>
            <w:shd w:val="clear" w:color="auto" w:fill="D8D1C9"/>
          </w:tcPr>
          <w:p>
            <w:pPr>
              <w:spacing w:after="0"/>
              <w:rPr>
                <w:sz w:val="11"/>
                <w:szCs w:val="11"/>
                <w:color w:val="auto"/>
              </w:rPr>
            </w:pPr>
          </w:p>
        </w:tc>
        <w:tc>
          <w:tcPr>
            <w:tcW w:w="860" w:type="dxa"/>
            <w:vAlign w:val="bottom"/>
            <w:shd w:val="clear" w:color="auto" w:fill="D8D1C9"/>
          </w:tcPr>
          <w:p>
            <w:pPr>
              <w:spacing w:after="0"/>
              <w:rPr>
                <w:sz w:val="11"/>
                <w:szCs w:val="11"/>
                <w:color w:val="auto"/>
              </w:rPr>
            </w:pPr>
          </w:p>
        </w:tc>
        <w:tc>
          <w:tcPr>
            <w:tcW w:w="1060" w:type="dxa"/>
            <w:vAlign w:val="bottom"/>
            <w:vMerge w:val="continue"/>
            <w:shd w:val="clear" w:color="auto" w:fill="D8D1C9"/>
          </w:tcPr>
          <w:p>
            <w:pPr>
              <w:spacing w:after="0"/>
              <w:rPr>
                <w:sz w:val="11"/>
                <w:szCs w:val="11"/>
                <w:color w:val="auto"/>
              </w:rPr>
            </w:pPr>
          </w:p>
        </w:tc>
        <w:tc>
          <w:tcPr>
            <w:tcW w:w="600" w:type="dxa"/>
            <w:vAlign w:val="bottom"/>
            <w:shd w:val="clear" w:color="auto" w:fill="D8D1C9"/>
          </w:tcPr>
          <w:p>
            <w:pPr>
              <w:spacing w:after="0"/>
              <w:rPr>
                <w:sz w:val="11"/>
                <w:szCs w:val="11"/>
                <w:color w:val="auto"/>
              </w:rPr>
            </w:pPr>
          </w:p>
        </w:tc>
        <w:tc>
          <w:tcPr>
            <w:tcW w:w="940" w:type="dxa"/>
            <w:vAlign w:val="bottom"/>
            <w:shd w:val="clear" w:color="auto" w:fill="D8D1C9"/>
          </w:tcPr>
          <w:p>
            <w:pPr>
              <w:spacing w:after="0"/>
              <w:rPr>
                <w:sz w:val="11"/>
                <w:szCs w:val="11"/>
                <w:color w:val="auto"/>
              </w:rPr>
            </w:pPr>
          </w:p>
        </w:tc>
        <w:tc>
          <w:tcPr>
            <w:tcW w:w="840" w:type="dxa"/>
            <w:vAlign w:val="bottom"/>
            <w:vMerge w:val="continue"/>
            <w:shd w:val="clear" w:color="auto" w:fill="D8D1C9"/>
          </w:tcPr>
          <w:p>
            <w:pPr>
              <w:spacing w:after="0"/>
              <w:rPr>
                <w:sz w:val="11"/>
                <w:szCs w:val="11"/>
                <w:color w:val="auto"/>
              </w:rPr>
            </w:pPr>
          </w:p>
        </w:tc>
        <w:tc>
          <w:tcPr>
            <w:tcW w:w="70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820" w:type="dxa"/>
            <w:vAlign w:val="bottom"/>
            <w:shd w:val="clear" w:color="auto" w:fill="D8D1C9"/>
          </w:tcPr>
          <w:p>
            <w:pPr>
              <w:spacing w:after="0"/>
              <w:rPr>
                <w:sz w:val="11"/>
                <w:szCs w:val="11"/>
                <w:color w:val="auto"/>
              </w:rPr>
            </w:pPr>
          </w:p>
        </w:tc>
        <w:tc>
          <w:tcPr>
            <w:tcW w:w="940" w:type="dxa"/>
            <w:vAlign w:val="bottom"/>
            <w:shd w:val="clear" w:color="auto" w:fill="D8D1C9"/>
          </w:tcPr>
          <w:p>
            <w:pPr>
              <w:jc w:val="right"/>
              <w:ind w:right="98"/>
              <w:spacing w:after="0" w:line="133" w:lineRule="exact"/>
              <w:rPr>
                <w:sz w:val="20"/>
                <w:szCs w:val="20"/>
                <w:color w:val="auto"/>
              </w:rPr>
            </w:pPr>
            <w:r>
              <w:rPr>
                <w:rFonts w:ascii="Arial" w:cs="Arial" w:eastAsia="Arial" w:hAnsi="Arial"/>
                <w:sz w:val="12"/>
                <w:szCs w:val="12"/>
                <w:color w:val="auto"/>
              </w:rPr>
              <w:t>Associated</w:t>
            </w:r>
          </w:p>
        </w:tc>
        <w:tc>
          <w:tcPr>
            <w:tcW w:w="1020" w:type="dxa"/>
            <w:vAlign w:val="bottom"/>
            <w:shd w:val="clear" w:color="auto" w:fill="D8D1C9"/>
          </w:tcPr>
          <w:p>
            <w:pPr>
              <w:jc w:val="right"/>
              <w:ind w:right="258"/>
              <w:spacing w:after="0" w:line="133" w:lineRule="exact"/>
              <w:rPr>
                <w:sz w:val="20"/>
                <w:szCs w:val="20"/>
                <w:color w:val="auto"/>
              </w:rPr>
            </w:pPr>
            <w:r>
              <w:rPr>
                <w:rFonts w:ascii="Arial" w:cs="Arial" w:eastAsia="Arial" w:hAnsi="Arial"/>
                <w:sz w:val="12"/>
                <w:szCs w:val="12"/>
                <w:color w:val="auto"/>
              </w:rPr>
              <w:t>controlled</w:t>
            </w:r>
          </w:p>
        </w:tc>
        <w:tc>
          <w:tcPr>
            <w:tcW w:w="680" w:type="dxa"/>
            <w:vAlign w:val="bottom"/>
            <w:shd w:val="clear" w:color="auto" w:fill="D8D1C9"/>
          </w:tcPr>
          <w:p>
            <w:pPr>
              <w:spacing w:after="0"/>
              <w:rPr>
                <w:sz w:val="11"/>
                <w:szCs w:val="11"/>
                <w:color w:val="auto"/>
              </w:rPr>
            </w:pPr>
          </w:p>
        </w:tc>
        <w:tc>
          <w:tcPr>
            <w:tcW w:w="860" w:type="dxa"/>
            <w:vAlign w:val="bottom"/>
            <w:shd w:val="clear" w:color="auto" w:fill="D8D1C9"/>
          </w:tcPr>
          <w:p>
            <w:pPr>
              <w:jc w:val="right"/>
              <w:ind w:right="98"/>
              <w:spacing w:after="0" w:line="133" w:lineRule="exact"/>
              <w:rPr>
                <w:sz w:val="20"/>
                <w:szCs w:val="20"/>
                <w:color w:val="auto"/>
              </w:rPr>
            </w:pPr>
            <w:r>
              <w:rPr>
                <w:rFonts w:ascii="Arial" w:cs="Arial" w:eastAsia="Arial" w:hAnsi="Arial"/>
                <w:sz w:val="12"/>
                <w:szCs w:val="12"/>
                <w:color w:val="auto"/>
              </w:rPr>
              <w:t>Associated</w:t>
            </w:r>
          </w:p>
        </w:tc>
        <w:tc>
          <w:tcPr>
            <w:tcW w:w="1060" w:type="dxa"/>
            <w:vAlign w:val="bottom"/>
            <w:shd w:val="clear" w:color="auto" w:fill="D8D1C9"/>
          </w:tcPr>
          <w:p>
            <w:pPr>
              <w:jc w:val="right"/>
              <w:ind w:right="298"/>
              <w:spacing w:after="0" w:line="133" w:lineRule="exact"/>
              <w:rPr>
                <w:sz w:val="20"/>
                <w:szCs w:val="20"/>
                <w:color w:val="auto"/>
              </w:rPr>
            </w:pPr>
            <w:r>
              <w:rPr>
                <w:rFonts w:ascii="Arial" w:cs="Arial" w:eastAsia="Arial" w:hAnsi="Arial"/>
                <w:sz w:val="12"/>
                <w:szCs w:val="12"/>
                <w:color w:val="auto"/>
              </w:rPr>
              <w:t>controlled</w:t>
            </w:r>
          </w:p>
        </w:tc>
        <w:tc>
          <w:tcPr>
            <w:tcW w:w="600" w:type="dxa"/>
            <w:vAlign w:val="bottom"/>
            <w:shd w:val="clear" w:color="auto" w:fill="D8D1C9"/>
          </w:tcPr>
          <w:p>
            <w:pPr>
              <w:spacing w:after="0"/>
              <w:rPr>
                <w:sz w:val="11"/>
                <w:szCs w:val="11"/>
                <w:color w:val="auto"/>
              </w:rPr>
            </w:pPr>
          </w:p>
        </w:tc>
        <w:tc>
          <w:tcPr>
            <w:tcW w:w="940" w:type="dxa"/>
            <w:vAlign w:val="bottom"/>
            <w:shd w:val="clear" w:color="auto" w:fill="D8D1C9"/>
          </w:tcPr>
          <w:p>
            <w:pPr>
              <w:ind w:left="140"/>
              <w:spacing w:after="0" w:line="133" w:lineRule="exact"/>
              <w:rPr>
                <w:sz w:val="20"/>
                <w:szCs w:val="20"/>
                <w:color w:val="auto"/>
              </w:rPr>
            </w:pPr>
            <w:r>
              <w:rPr>
                <w:rFonts w:ascii="Arial" w:cs="Arial" w:eastAsia="Arial" w:hAnsi="Arial"/>
                <w:sz w:val="12"/>
                <w:szCs w:val="12"/>
                <w:color w:val="auto"/>
              </w:rPr>
              <w:t>Associated</w:t>
            </w:r>
          </w:p>
        </w:tc>
        <w:tc>
          <w:tcPr>
            <w:tcW w:w="840" w:type="dxa"/>
            <w:vAlign w:val="bottom"/>
            <w:shd w:val="clear" w:color="auto" w:fill="D8D1C9"/>
          </w:tcPr>
          <w:p>
            <w:pPr>
              <w:jc w:val="right"/>
              <w:ind w:right="78"/>
              <w:spacing w:after="0" w:line="133" w:lineRule="exact"/>
              <w:rPr>
                <w:sz w:val="20"/>
                <w:szCs w:val="20"/>
                <w:color w:val="auto"/>
              </w:rPr>
            </w:pPr>
            <w:r>
              <w:rPr>
                <w:rFonts w:ascii="Arial" w:cs="Arial" w:eastAsia="Arial" w:hAnsi="Arial"/>
                <w:sz w:val="12"/>
                <w:szCs w:val="12"/>
                <w:color w:val="auto"/>
              </w:rPr>
              <w:t>controlled</w:t>
            </w:r>
          </w:p>
        </w:tc>
        <w:tc>
          <w:tcPr>
            <w:tcW w:w="70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820" w:type="dxa"/>
            <w:vAlign w:val="bottom"/>
            <w:shd w:val="clear" w:color="auto" w:fill="D8D1C9"/>
          </w:tcPr>
          <w:p>
            <w:pPr>
              <w:spacing w:after="0"/>
              <w:rPr>
                <w:sz w:val="12"/>
                <w:szCs w:val="12"/>
                <w:color w:val="auto"/>
              </w:rPr>
            </w:pPr>
          </w:p>
        </w:tc>
        <w:tc>
          <w:tcPr>
            <w:tcW w:w="940" w:type="dxa"/>
            <w:vAlign w:val="bottom"/>
            <w:shd w:val="clear" w:color="auto" w:fill="D8D1C9"/>
          </w:tcPr>
          <w:p>
            <w:pPr>
              <w:jc w:val="right"/>
              <w:ind w:right="118"/>
              <w:spacing w:after="0" w:line="133" w:lineRule="exact"/>
              <w:rPr>
                <w:sz w:val="20"/>
                <w:szCs w:val="20"/>
                <w:color w:val="auto"/>
              </w:rPr>
            </w:pPr>
            <w:r>
              <w:rPr>
                <w:rFonts w:ascii="Arial" w:cs="Arial" w:eastAsia="Arial" w:hAnsi="Arial"/>
                <w:sz w:val="12"/>
                <w:szCs w:val="12"/>
                <w:color w:val="auto"/>
              </w:rPr>
              <w:t>companies</w:t>
            </w:r>
          </w:p>
        </w:tc>
        <w:tc>
          <w:tcPr>
            <w:tcW w:w="1020" w:type="dxa"/>
            <w:vAlign w:val="bottom"/>
            <w:shd w:val="clear" w:color="auto" w:fill="D8D1C9"/>
          </w:tcPr>
          <w:p>
            <w:pPr>
              <w:jc w:val="right"/>
              <w:ind w:right="258"/>
              <w:spacing w:after="0" w:line="133" w:lineRule="exact"/>
              <w:rPr>
                <w:sz w:val="20"/>
                <w:szCs w:val="20"/>
                <w:color w:val="auto"/>
              </w:rPr>
            </w:pPr>
            <w:r>
              <w:rPr>
                <w:rFonts w:ascii="Arial" w:cs="Arial" w:eastAsia="Arial" w:hAnsi="Arial"/>
                <w:sz w:val="12"/>
                <w:szCs w:val="12"/>
                <w:color w:val="auto"/>
              </w:rPr>
              <w:t>entities</w:t>
            </w:r>
          </w:p>
        </w:tc>
        <w:tc>
          <w:tcPr>
            <w:tcW w:w="68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Total</w:t>
            </w:r>
          </w:p>
        </w:tc>
        <w:tc>
          <w:tcPr>
            <w:tcW w:w="860" w:type="dxa"/>
            <w:vAlign w:val="bottom"/>
            <w:shd w:val="clear" w:color="auto" w:fill="D8D1C9"/>
          </w:tcPr>
          <w:p>
            <w:pPr>
              <w:jc w:val="right"/>
              <w:ind w:right="118"/>
              <w:spacing w:after="0" w:line="133" w:lineRule="exact"/>
              <w:rPr>
                <w:sz w:val="20"/>
                <w:szCs w:val="20"/>
                <w:color w:val="auto"/>
              </w:rPr>
            </w:pPr>
            <w:r>
              <w:rPr>
                <w:rFonts w:ascii="Arial" w:cs="Arial" w:eastAsia="Arial" w:hAnsi="Arial"/>
                <w:sz w:val="12"/>
                <w:szCs w:val="12"/>
                <w:color w:val="auto"/>
              </w:rPr>
              <w:t>companies</w:t>
            </w:r>
          </w:p>
        </w:tc>
        <w:tc>
          <w:tcPr>
            <w:tcW w:w="1060" w:type="dxa"/>
            <w:vAlign w:val="bottom"/>
            <w:shd w:val="clear" w:color="auto" w:fill="D8D1C9"/>
          </w:tcPr>
          <w:p>
            <w:pPr>
              <w:jc w:val="right"/>
              <w:ind w:right="298"/>
              <w:spacing w:after="0" w:line="133" w:lineRule="exact"/>
              <w:rPr>
                <w:sz w:val="20"/>
                <w:szCs w:val="20"/>
                <w:color w:val="auto"/>
              </w:rPr>
            </w:pPr>
            <w:r>
              <w:rPr>
                <w:rFonts w:ascii="Arial" w:cs="Arial" w:eastAsia="Arial" w:hAnsi="Arial"/>
                <w:sz w:val="12"/>
                <w:szCs w:val="12"/>
                <w:color w:val="auto"/>
              </w:rPr>
              <w:t>entities</w:t>
            </w:r>
          </w:p>
        </w:tc>
        <w:tc>
          <w:tcPr>
            <w:tcW w:w="600" w:type="dxa"/>
            <w:vAlign w:val="bottom"/>
            <w:shd w:val="clear" w:color="auto" w:fill="D8D1C9"/>
          </w:tcPr>
          <w:p>
            <w:pPr>
              <w:jc w:val="right"/>
              <w:ind w:right="78"/>
              <w:spacing w:after="0" w:line="133" w:lineRule="exact"/>
              <w:rPr>
                <w:sz w:val="20"/>
                <w:szCs w:val="20"/>
                <w:color w:val="auto"/>
              </w:rPr>
            </w:pPr>
            <w:r>
              <w:rPr>
                <w:rFonts w:ascii="Arial" w:cs="Arial" w:eastAsia="Arial" w:hAnsi="Arial"/>
                <w:sz w:val="12"/>
                <w:szCs w:val="12"/>
                <w:color w:val="auto"/>
              </w:rPr>
              <w:t>Total</w:t>
            </w:r>
          </w:p>
        </w:tc>
        <w:tc>
          <w:tcPr>
            <w:tcW w:w="940" w:type="dxa"/>
            <w:vAlign w:val="bottom"/>
            <w:shd w:val="clear" w:color="auto" w:fill="D8D1C9"/>
          </w:tcPr>
          <w:p>
            <w:pPr>
              <w:ind w:left="140"/>
              <w:spacing w:after="0" w:line="133" w:lineRule="exact"/>
              <w:rPr>
                <w:sz w:val="20"/>
                <w:szCs w:val="20"/>
                <w:color w:val="auto"/>
              </w:rPr>
            </w:pPr>
            <w:r>
              <w:rPr>
                <w:rFonts w:ascii="Arial" w:cs="Arial" w:eastAsia="Arial" w:hAnsi="Arial"/>
                <w:sz w:val="12"/>
                <w:szCs w:val="12"/>
                <w:color w:val="auto"/>
              </w:rPr>
              <w:t>companies</w:t>
            </w:r>
          </w:p>
        </w:tc>
        <w:tc>
          <w:tcPr>
            <w:tcW w:w="840" w:type="dxa"/>
            <w:vAlign w:val="bottom"/>
            <w:shd w:val="clear" w:color="auto" w:fill="D8D1C9"/>
          </w:tcPr>
          <w:p>
            <w:pPr>
              <w:jc w:val="right"/>
              <w:ind w:right="78"/>
              <w:spacing w:after="0" w:line="133" w:lineRule="exact"/>
              <w:rPr>
                <w:sz w:val="20"/>
                <w:szCs w:val="20"/>
                <w:color w:val="auto"/>
              </w:rPr>
            </w:pPr>
            <w:r>
              <w:rPr>
                <w:rFonts w:ascii="Arial" w:cs="Arial" w:eastAsia="Arial" w:hAnsi="Arial"/>
                <w:sz w:val="12"/>
                <w:szCs w:val="12"/>
                <w:color w:val="auto"/>
              </w:rPr>
              <w:t>entities</w:t>
            </w:r>
          </w:p>
        </w:tc>
        <w:tc>
          <w:tcPr>
            <w:tcW w:w="7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2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9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26,638</w:t>
            </w:r>
          </w:p>
        </w:tc>
        <w:tc>
          <w:tcPr>
            <w:tcW w:w="102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43,971</w:t>
            </w:r>
          </w:p>
        </w:tc>
        <w:tc>
          <w:tcPr>
            <w:tcW w:w="680" w:type="dxa"/>
            <w:vAlign w:val="bottom"/>
            <w:shd w:val="clear" w:color="auto" w:fill="D8D1C9"/>
          </w:tcPr>
          <w:p>
            <w:pPr>
              <w:jc w:val="right"/>
              <w:ind w:right="138"/>
              <w:spacing w:after="0" w:line="128" w:lineRule="exact"/>
              <w:rPr>
                <w:sz w:val="20"/>
                <w:szCs w:val="20"/>
                <w:color w:val="auto"/>
              </w:rPr>
            </w:pPr>
            <w:r>
              <w:rPr>
                <w:rFonts w:ascii="Arial" w:cs="Arial" w:eastAsia="Arial" w:hAnsi="Arial"/>
                <w:sz w:val="12"/>
                <w:szCs w:val="12"/>
                <w:color w:val="auto"/>
              </w:rPr>
              <w:t>70,609</w:t>
            </w:r>
          </w:p>
        </w:tc>
        <w:tc>
          <w:tcPr>
            <w:tcW w:w="8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25,532</w:t>
            </w:r>
          </w:p>
        </w:tc>
        <w:tc>
          <w:tcPr>
            <w:tcW w:w="106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36,201</w:t>
            </w:r>
          </w:p>
        </w:tc>
        <w:tc>
          <w:tcPr>
            <w:tcW w:w="600" w:type="dxa"/>
            <w:vAlign w:val="bottom"/>
          </w:tcPr>
          <w:p>
            <w:pPr>
              <w:jc w:val="right"/>
              <w:ind w:right="78"/>
              <w:spacing w:after="0" w:line="128" w:lineRule="exact"/>
              <w:rPr>
                <w:sz w:val="20"/>
                <w:szCs w:val="20"/>
                <w:color w:val="auto"/>
              </w:rPr>
            </w:pPr>
            <w:r>
              <w:rPr>
                <w:rFonts w:ascii="Arial" w:cs="Arial" w:eastAsia="Arial" w:hAnsi="Arial"/>
                <w:sz w:val="12"/>
                <w:szCs w:val="12"/>
                <w:color w:val="auto"/>
              </w:rPr>
              <w:t>61,733</w:t>
            </w:r>
          </w:p>
        </w:tc>
        <w:tc>
          <w:tcPr>
            <w:tcW w:w="94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21,393</w:t>
            </w:r>
          </w:p>
        </w:tc>
        <w:tc>
          <w:tcPr>
            <w:tcW w:w="840" w:type="dxa"/>
            <w:vAlign w:val="bottom"/>
          </w:tcPr>
          <w:p>
            <w:pPr>
              <w:jc w:val="right"/>
              <w:ind w:right="78"/>
              <w:spacing w:after="0" w:line="128" w:lineRule="exact"/>
              <w:rPr>
                <w:sz w:val="20"/>
                <w:szCs w:val="20"/>
                <w:color w:val="auto"/>
              </w:rPr>
            </w:pPr>
            <w:r>
              <w:rPr>
                <w:rFonts w:ascii="Arial" w:cs="Arial" w:eastAsia="Arial" w:hAnsi="Arial"/>
                <w:sz w:val="12"/>
                <w:szCs w:val="12"/>
                <w:color w:val="auto"/>
              </w:rPr>
              <w:t>36,172</w:t>
            </w:r>
          </w:p>
        </w:tc>
        <w:tc>
          <w:tcPr>
            <w:tcW w:w="7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57,565</w:t>
            </w:r>
          </w:p>
        </w:tc>
        <w:tc>
          <w:tcPr>
            <w:tcW w:w="0" w:type="dxa"/>
            <w:vAlign w:val="bottom"/>
          </w:tcPr>
          <w:p>
            <w:pPr>
              <w:spacing w:after="0"/>
              <w:rPr>
                <w:sz w:val="1"/>
                <w:szCs w:val="1"/>
                <w:color w:val="auto"/>
              </w:rPr>
            </w:pPr>
          </w:p>
        </w:tc>
      </w:tr>
      <w:tr>
        <w:trPr>
          <w:trHeight w:val="133"/>
        </w:trPr>
        <w:tc>
          <w:tcPr>
            <w:tcW w:w="1840" w:type="dxa"/>
            <w:vAlign w:val="bottom"/>
            <w:gridSpan w:val="2"/>
          </w:tcPr>
          <w:p>
            <w:pPr>
              <w:spacing w:after="0" w:line="133" w:lineRule="exact"/>
              <w:rPr>
                <w:sz w:val="20"/>
                <w:szCs w:val="20"/>
                <w:color w:val="auto"/>
              </w:rPr>
            </w:pPr>
            <w:r>
              <w:rPr>
                <w:rFonts w:ascii="Arial" w:cs="Arial" w:eastAsia="Arial" w:hAnsi="Arial"/>
                <w:sz w:val="12"/>
                <w:szCs w:val="12"/>
                <w:color w:val="auto"/>
              </w:rPr>
              <w:t>Cost of sales</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22,047</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31,508</w:t>
            </w:r>
          </w:p>
        </w:tc>
        <w:tc>
          <w:tcPr>
            <w:tcW w:w="68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53,555</w:t>
            </w:r>
          </w:p>
        </w:tc>
        <w:tc>
          <w:tcPr>
            <w:tcW w:w="8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22,127</w:t>
            </w:r>
          </w:p>
        </w:tc>
        <w:tc>
          <w:tcPr>
            <w:tcW w:w="10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23,760</w:t>
            </w:r>
          </w:p>
        </w:tc>
        <w:tc>
          <w:tcPr>
            <w:tcW w:w="6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45,887</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18,063</w:t>
            </w:r>
          </w:p>
        </w:tc>
        <w:tc>
          <w:tcPr>
            <w:tcW w:w="84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22,824</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40,887</w:t>
            </w:r>
          </w:p>
        </w:tc>
        <w:tc>
          <w:tcPr>
            <w:tcW w:w="0" w:type="dxa"/>
            <w:vAlign w:val="bottom"/>
          </w:tcPr>
          <w:p>
            <w:pPr>
              <w:spacing w:after="0"/>
              <w:rPr>
                <w:sz w:val="1"/>
                <w:szCs w:val="1"/>
                <w:color w:val="auto"/>
              </w:rPr>
            </w:pPr>
          </w:p>
        </w:tc>
      </w:tr>
      <w:tr>
        <w:trPr>
          <w:trHeight w:val="133"/>
        </w:trPr>
        <w:tc>
          <w:tcPr>
            <w:tcW w:w="1840" w:type="dxa"/>
            <w:vAlign w:val="bottom"/>
            <w:gridSpan w:val="2"/>
          </w:tcPr>
          <w:p>
            <w:pPr>
              <w:spacing w:after="0" w:line="133" w:lineRule="exact"/>
              <w:rPr>
                <w:sz w:val="20"/>
                <w:szCs w:val="20"/>
                <w:color w:val="auto"/>
              </w:rPr>
            </w:pPr>
            <w:r>
              <w:rPr>
                <w:rFonts w:ascii="Arial" w:cs="Arial" w:eastAsia="Arial" w:hAnsi="Arial"/>
                <w:sz w:val="12"/>
                <w:szCs w:val="12"/>
                <w:color w:val="auto"/>
              </w:rPr>
              <w:t>Gross profit</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4,591</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12,463</w:t>
            </w:r>
          </w:p>
        </w:tc>
        <w:tc>
          <w:tcPr>
            <w:tcW w:w="68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17,054</w:t>
            </w:r>
          </w:p>
        </w:tc>
        <w:tc>
          <w:tcPr>
            <w:tcW w:w="8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3,405</w:t>
            </w:r>
          </w:p>
        </w:tc>
        <w:tc>
          <w:tcPr>
            <w:tcW w:w="10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12,441</w:t>
            </w:r>
          </w:p>
        </w:tc>
        <w:tc>
          <w:tcPr>
            <w:tcW w:w="6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15,846</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3,330</w:t>
            </w:r>
          </w:p>
        </w:tc>
        <w:tc>
          <w:tcPr>
            <w:tcW w:w="84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13,348</w:t>
            </w:r>
          </w:p>
        </w:tc>
        <w:tc>
          <w:tcPr>
            <w:tcW w:w="7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16,678</w:t>
            </w:r>
          </w:p>
        </w:tc>
        <w:tc>
          <w:tcPr>
            <w:tcW w:w="0" w:type="dxa"/>
            <w:vAlign w:val="bottom"/>
          </w:tcPr>
          <w:p>
            <w:pPr>
              <w:spacing w:after="0"/>
              <w:rPr>
                <w:sz w:val="1"/>
                <w:szCs w:val="1"/>
                <w:color w:val="auto"/>
              </w:rPr>
            </w:pPr>
          </w:p>
        </w:tc>
      </w:tr>
      <w:tr>
        <w:trPr>
          <w:trHeight w:val="133"/>
        </w:trPr>
        <w:tc>
          <w:tcPr>
            <w:tcW w:w="1840" w:type="dxa"/>
            <w:vAlign w:val="bottom"/>
            <w:gridSpan w:val="2"/>
          </w:tcPr>
          <w:p>
            <w:pPr>
              <w:spacing w:after="0" w:line="133" w:lineRule="exact"/>
              <w:rPr>
                <w:sz w:val="20"/>
                <w:szCs w:val="20"/>
                <w:color w:val="auto"/>
              </w:rPr>
            </w:pPr>
            <w:r>
              <w:rPr>
                <w:rFonts w:ascii="Arial" w:cs="Arial" w:eastAsia="Arial" w:hAnsi="Arial"/>
                <w:sz w:val="12"/>
                <w:szCs w:val="12"/>
                <w:color w:val="auto"/>
              </w:rPr>
              <w:t>Other expenses (including</w:t>
            </w: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80" w:type="dxa"/>
            <w:vAlign w:val="bottom"/>
            <w:shd w:val="clear" w:color="auto" w:fill="D8D1C9"/>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840" w:type="dxa"/>
            <w:vAlign w:val="bottom"/>
            <w:gridSpan w:val="2"/>
          </w:tcPr>
          <w:p>
            <w:pPr>
              <w:spacing w:after="0"/>
              <w:rPr>
                <w:sz w:val="20"/>
                <w:szCs w:val="20"/>
                <w:color w:val="auto"/>
              </w:rPr>
            </w:pPr>
            <w:r>
              <w:rPr>
                <w:rFonts w:ascii="Arial" w:cs="Arial" w:eastAsia="Arial" w:hAnsi="Arial"/>
                <w:sz w:val="12"/>
                <w:szCs w:val="12"/>
                <w:color w:val="auto"/>
              </w:rPr>
              <w:t>taxation)</w:t>
            </w:r>
          </w:p>
        </w:tc>
        <w:tc>
          <w:tcPr>
            <w:tcW w:w="940" w:type="dxa"/>
            <w:vAlign w:val="bottom"/>
          </w:tcPr>
          <w:p>
            <w:pPr>
              <w:jc w:val="right"/>
              <w:ind w:right="118"/>
              <w:spacing w:after="0"/>
              <w:rPr>
                <w:sz w:val="20"/>
                <w:szCs w:val="20"/>
                <w:color w:val="auto"/>
              </w:rPr>
            </w:pPr>
            <w:r>
              <w:rPr>
                <w:rFonts w:ascii="Arial" w:cs="Arial" w:eastAsia="Arial" w:hAnsi="Arial"/>
                <w:sz w:val="12"/>
                <w:szCs w:val="12"/>
                <w:color w:val="auto"/>
              </w:rPr>
              <w:t>2,106</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6,714</w:t>
            </w:r>
          </w:p>
        </w:tc>
        <w:tc>
          <w:tcPr>
            <w:tcW w:w="680" w:type="dxa"/>
            <w:vAlign w:val="bottom"/>
            <w:shd w:val="clear" w:color="auto" w:fill="D8D1C9"/>
          </w:tcPr>
          <w:p>
            <w:pPr>
              <w:jc w:val="right"/>
              <w:ind w:right="138"/>
              <w:spacing w:after="0"/>
              <w:rPr>
                <w:sz w:val="20"/>
                <w:szCs w:val="20"/>
                <w:color w:val="auto"/>
              </w:rPr>
            </w:pPr>
            <w:r>
              <w:rPr>
                <w:rFonts w:ascii="Arial" w:cs="Arial" w:eastAsia="Arial" w:hAnsi="Arial"/>
                <w:sz w:val="12"/>
                <w:szCs w:val="12"/>
                <w:color w:val="auto"/>
              </w:rPr>
              <w:t>8,820</w:t>
            </w:r>
          </w:p>
        </w:tc>
        <w:tc>
          <w:tcPr>
            <w:tcW w:w="860" w:type="dxa"/>
            <w:vAlign w:val="bottom"/>
          </w:tcPr>
          <w:p>
            <w:pPr>
              <w:jc w:val="right"/>
              <w:ind w:right="118"/>
              <w:spacing w:after="0"/>
              <w:rPr>
                <w:sz w:val="20"/>
                <w:szCs w:val="20"/>
                <w:color w:val="auto"/>
              </w:rPr>
            </w:pPr>
            <w:r>
              <w:rPr>
                <w:rFonts w:ascii="Arial" w:cs="Arial" w:eastAsia="Arial" w:hAnsi="Arial"/>
                <w:sz w:val="12"/>
                <w:szCs w:val="12"/>
                <w:color w:val="auto"/>
              </w:rPr>
              <w:t>1,460</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7,715</w:t>
            </w:r>
          </w:p>
        </w:tc>
        <w:tc>
          <w:tcPr>
            <w:tcW w:w="600" w:type="dxa"/>
            <w:vAlign w:val="bottom"/>
          </w:tcPr>
          <w:p>
            <w:pPr>
              <w:jc w:val="right"/>
              <w:ind w:right="78"/>
              <w:spacing w:after="0"/>
              <w:rPr>
                <w:sz w:val="20"/>
                <w:szCs w:val="20"/>
                <w:color w:val="auto"/>
              </w:rPr>
            </w:pPr>
            <w:r>
              <w:rPr>
                <w:rFonts w:ascii="Arial" w:cs="Arial" w:eastAsia="Arial" w:hAnsi="Arial"/>
                <w:sz w:val="12"/>
                <w:szCs w:val="12"/>
                <w:color w:val="auto"/>
              </w:rPr>
              <w:t>9,175</w:t>
            </w:r>
          </w:p>
        </w:tc>
        <w:tc>
          <w:tcPr>
            <w:tcW w:w="940" w:type="dxa"/>
            <w:vAlign w:val="bottom"/>
          </w:tcPr>
          <w:p>
            <w:pPr>
              <w:jc w:val="right"/>
              <w:ind w:right="138"/>
              <w:spacing w:after="0"/>
              <w:rPr>
                <w:sz w:val="20"/>
                <w:szCs w:val="20"/>
                <w:color w:val="auto"/>
              </w:rPr>
            </w:pPr>
            <w:r>
              <w:rPr>
                <w:rFonts w:ascii="Arial" w:cs="Arial" w:eastAsia="Arial" w:hAnsi="Arial"/>
                <w:sz w:val="12"/>
                <w:szCs w:val="12"/>
                <w:color w:val="auto"/>
              </w:rPr>
              <w:t>1,355</w:t>
            </w:r>
          </w:p>
        </w:tc>
        <w:tc>
          <w:tcPr>
            <w:tcW w:w="840" w:type="dxa"/>
            <w:vAlign w:val="bottom"/>
          </w:tcPr>
          <w:p>
            <w:pPr>
              <w:jc w:val="right"/>
              <w:ind w:right="78"/>
              <w:spacing w:after="0"/>
              <w:rPr>
                <w:sz w:val="20"/>
                <w:szCs w:val="20"/>
                <w:color w:val="auto"/>
              </w:rPr>
            </w:pPr>
            <w:r>
              <w:rPr>
                <w:rFonts w:ascii="Arial" w:cs="Arial" w:eastAsia="Arial" w:hAnsi="Arial"/>
                <w:sz w:val="12"/>
                <w:szCs w:val="12"/>
                <w:color w:val="auto"/>
              </w:rPr>
              <w:t>8,200</w:t>
            </w:r>
          </w:p>
        </w:tc>
        <w:tc>
          <w:tcPr>
            <w:tcW w:w="700" w:type="dxa"/>
            <w:vAlign w:val="bottom"/>
          </w:tcPr>
          <w:p>
            <w:pPr>
              <w:jc w:val="right"/>
              <w:ind w:right="18"/>
              <w:spacing w:after="0"/>
              <w:rPr>
                <w:sz w:val="20"/>
                <w:szCs w:val="20"/>
                <w:color w:val="auto"/>
              </w:rPr>
            </w:pPr>
            <w:r>
              <w:rPr>
                <w:rFonts w:ascii="Arial" w:cs="Arial" w:eastAsia="Arial" w:hAnsi="Arial"/>
                <w:sz w:val="12"/>
                <w:szCs w:val="12"/>
                <w:color w:val="auto"/>
              </w:rPr>
              <w:t>9,555</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Income for the period</w:t>
            </w:r>
          </w:p>
        </w:tc>
        <w:tc>
          <w:tcPr>
            <w:tcW w:w="9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2,485</w:t>
            </w:r>
          </w:p>
        </w:tc>
        <w:tc>
          <w:tcPr>
            <w:tcW w:w="102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color w:val="auto"/>
              </w:rPr>
              <w:t>5,749</w:t>
            </w:r>
          </w:p>
        </w:tc>
        <w:tc>
          <w:tcPr>
            <w:tcW w:w="680" w:type="dxa"/>
            <w:vAlign w:val="bottom"/>
            <w:tcBorders>
              <w:top w:val="single" w:sz="8" w:color="auto"/>
              <w:bottom w:val="single" w:sz="8" w:color="auto"/>
            </w:tcBorders>
            <w:shd w:val="clear" w:color="auto" w:fill="D8D1C9"/>
          </w:tcPr>
          <w:p>
            <w:pPr>
              <w:jc w:val="right"/>
              <w:ind w:right="138"/>
              <w:spacing w:after="0"/>
              <w:rPr>
                <w:sz w:val="20"/>
                <w:szCs w:val="20"/>
                <w:color w:val="auto"/>
              </w:rPr>
            </w:pPr>
            <w:r>
              <w:rPr>
                <w:rFonts w:ascii="Arial" w:cs="Arial" w:eastAsia="Arial" w:hAnsi="Arial"/>
                <w:sz w:val="12"/>
                <w:szCs w:val="12"/>
                <w:color w:val="auto"/>
              </w:rPr>
              <w:t>8,234</w:t>
            </w:r>
          </w:p>
        </w:tc>
        <w:tc>
          <w:tcPr>
            <w:tcW w:w="8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1,945</w:t>
            </w:r>
          </w:p>
        </w:tc>
        <w:tc>
          <w:tcPr>
            <w:tcW w:w="10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2"/>
                <w:szCs w:val="12"/>
                <w:color w:val="auto"/>
              </w:rPr>
              <w:t>4,726</w:t>
            </w:r>
          </w:p>
        </w:tc>
        <w:tc>
          <w:tcPr>
            <w:tcW w:w="6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6,671</w:t>
            </w:r>
          </w:p>
        </w:tc>
        <w:tc>
          <w:tcPr>
            <w:tcW w:w="9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1,975</w:t>
            </w:r>
          </w:p>
        </w:tc>
        <w:tc>
          <w:tcPr>
            <w:tcW w:w="8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2"/>
                <w:szCs w:val="12"/>
                <w:color w:val="auto"/>
              </w:rPr>
              <w:t>5,148</w:t>
            </w:r>
          </w:p>
        </w:tc>
        <w:tc>
          <w:tcPr>
            <w:tcW w:w="7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7,123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-972185</wp:posOffset>
            </wp:positionV>
            <wp:extent cx="6064250" cy="56838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64250" cy="568388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2840" w:type="dxa"/>
            <w:vAlign w:val="bottom"/>
            <w:shd w:val="clear" w:color="auto" w:fill="7DD0E3"/>
          </w:tcPr>
          <w:p>
            <w:pPr>
              <w:spacing w:after="0"/>
              <w:rPr>
                <w:sz w:val="12"/>
                <w:szCs w:val="12"/>
                <w:color w:val="auto"/>
              </w:rPr>
            </w:pPr>
          </w:p>
        </w:tc>
        <w:tc>
          <w:tcPr>
            <w:tcW w:w="1280" w:type="dxa"/>
            <w:vAlign w:val="bottom"/>
            <w:shd w:val="clear" w:color="auto" w:fill="7DD0E3"/>
          </w:tcPr>
          <w:p>
            <w:pPr>
              <w:spacing w:after="0"/>
              <w:rPr>
                <w:sz w:val="12"/>
                <w:szCs w:val="12"/>
                <w:color w:val="auto"/>
              </w:rPr>
            </w:pPr>
          </w:p>
        </w:tc>
        <w:tc>
          <w:tcPr>
            <w:tcW w:w="1020" w:type="dxa"/>
            <w:vAlign w:val="bottom"/>
            <w:shd w:val="clear" w:color="auto" w:fill="7DD0E3"/>
          </w:tcPr>
          <w:p>
            <w:pPr>
              <w:spacing w:after="0"/>
              <w:rPr>
                <w:sz w:val="12"/>
                <w:szCs w:val="12"/>
                <w:color w:val="auto"/>
              </w:rPr>
            </w:pPr>
          </w:p>
        </w:tc>
        <w:tc>
          <w:tcPr>
            <w:tcW w:w="360" w:type="dxa"/>
            <w:vAlign w:val="bottom"/>
            <w:shd w:val="clear" w:color="auto" w:fill="7DD0E3"/>
          </w:tcPr>
          <w:p>
            <w:pPr>
              <w:spacing w:after="0"/>
              <w:rPr>
                <w:sz w:val="12"/>
                <w:szCs w:val="12"/>
                <w:color w:val="auto"/>
              </w:rPr>
            </w:pPr>
          </w:p>
        </w:tc>
        <w:tc>
          <w:tcPr>
            <w:tcW w:w="840" w:type="dxa"/>
            <w:vAlign w:val="bottom"/>
            <w:shd w:val="clear" w:color="auto" w:fill="7DD0E3"/>
          </w:tcPr>
          <w:p>
            <w:pPr>
              <w:spacing w:after="0"/>
              <w:rPr>
                <w:sz w:val="12"/>
                <w:szCs w:val="12"/>
                <w:color w:val="auto"/>
              </w:rPr>
            </w:pPr>
          </w:p>
        </w:tc>
        <w:tc>
          <w:tcPr>
            <w:tcW w:w="1080" w:type="dxa"/>
            <w:vAlign w:val="bottom"/>
            <w:shd w:val="clear" w:color="auto" w:fill="7DD0E3"/>
          </w:tcPr>
          <w:p>
            <w:pPr>
              <w:spacing w:after="0"/>
              <w:rPr>
                <w:sz w:val="12"/>
                <w:szCs w:val="12"/>
                <w:color w:val="auto"/>
              </w:rPr>
            </w:pPr>
          </w:p>
        </w:tc>
        <w:tc>
          <w:tcPr>
            <w:tcW w:w="1020" w:type="dxa"/>
            <w:vAlign w:val="bottom"/>
            <w:shd w:val="clear" w:color="auto" w:fill="7DD0E3"/>
          </w:tcPr>
          <w:p>
            <w:pPr>
              <w:spacing w:after="0"/>
              <w:rPr>
                <w:sz w:val="12"/>
                <w:szCs w:val="12"/>
                <w:color w:val="auto"/>
              </w:rPr>
            </w:pPr>
          </w:p>
        </w:tc>
        <w:tc>
          <w:tcPr>
            <w:tcW w:w="102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40" w:type="dxa"/>
            <w:vAlign w:val="bottom"/>
            <w:shd w:val="clear" w:color="auto" w:fill="D8D1C9"/>
          </w:tcPr>
          <w:p>
            <w:pPr>
              <w:spacing w:after="0"/>
              <w:rPr>
                <w:sz w:val="12"/>
                <w:szCs w:val="12"/>
                <w:color w:val="auto"/>
              </w:rPr>
            </w:pPr>
          </w:p>
        </w:tc>
        <w:tc>
          <w:tcPr>
            <w:tcW w:w="1280" w:type="dxa"/>
            <w:vAlign w:val="bottom"/>
            <w:shd w:val="clear" w:color="auto" w:fill="D8D1C9"/>
          </w:tcPr>
          <w:p>
            <w:pPr>
              <w:spacing w:after="0"/>
              <w:rPr>
                <w:sz w:val="12"/>
                <w:szCs w:val="12"/>
                <w:color w:val="auto"/>
              </w:rPr>
            </w:pPr>
          </w:p>
        </w:tc>
        <w:tc>
          <w:tcPr>
            <w:tcW w:w="1020" w:type="dxa"/>
            <w:vAlign w:val="bottom"/>
            <w:vMerge w:val="restart"/>
            <w:shd w:val="clear" w:color="auto" w:fill="D8D1C9"/>
          </w:tcPr>
          <w:p>
            <w:pPr>
              <w:jc w:val="right"/>
              <w:ind w:right="138"/>
              <w:spacing w:after="0"/>
              <w:rPr>
                <w:sz w:val="20"/>
                <w:szCs w:val="20"/>
                <w:color w:val="auto"/>
              </w:rPr>
            </w:pPr>
            <w:r>
              <w:rPr>
                <w:rFonts w:ascii="Arial" w:cs="Arial" w:eastAsia="Arial" w:hAnsi="Arial"/>
                <w:sz w:val="12"/>
                <w:szCs w:val="12"/>
                <w:color w:val="auto"/>
              </w:rPr>
              <w:t>Jointly</w:t>
            </w:r>
          </w:p>
        </w:tc>
        <w:tc>
          <w:tcPr>
            <w:tcW w:w="1200" w:type="dxa"/>
            <w:vAlign w:val="bottom"/>
            <w:gridSpan w:val="2"/>
            <w:shd w:val="clear" w:color="auto" w:fill="D8D1C9"/>
          </w:tcPr>
          <w:p>
            <w:pPr>
              <w:jc w:val="right"/>
              <w:ind w:right="218"/>
              <w:spacing w:after="0"/>
              <w:rPr>
                <w:sz w:val="20"/>
                <w:szCs w:val="20"/>
                <w:color w:val="auto"/>
              </w:rPr>
            </w:pPr>
            <w:r>
              <w:rPr>
                <w:rFonts w:ascii="Arial" w:cs="Arial" w:eastAsia="Arial" w:hAnsi="Arial"/>
                <w:sz w:val="12"/>
                <w:szCs w:val="12"/>
                <w:color w:val="auto"/>
              </w:rPr>
              <w:t>Dec 31, 2007</w:t>
            </w:r>
          </w:p>
        </w:tc>
        <w:tc>
          <w:tcPr>
            <w:tcW w:w="1080" w:type="dxa"/>
            <w:vAlign w:val="bottom"/>
            <w:shd w:val="clear" w:color="auto" w:fill="D8D1C9"/>
          </w:tcPr>
          <w:p>
            <w:pPr>
              <w:spacing w:after="0"/>
              <w:rPr>
                <w:sz w:val="12"/>
                <w:szCs w:val="12"/>
                <w:color w:val="auto"/>
              </w:rPr>
            </w:pPr>
          </w:p>
        </w:tc>
        <w:tc>
          <w:tcPr>
            <w:tcW w:w="1020" w:type="dxa"/>
            <w:vAlign w:val="bottom"/>
            <w:vMerge w:val="restart"/>
            <w:shd w:val="clear" w:color="auto" w:fill="D8D1C9"/>
          </w:tcPr>
          <w:p>
            <w:pPr>
              <w:jc w:val="right"/>
              <w:ind w:right="138"/>
              <w:spacing w:after="0"/>
              <w:rPr>
                <w:sz w:val="20"/>
                <w:szCs w:val="20"/>
                <w:color w:val="auto"/>
              </w:rPr>
            </w:pPr>
            <w:r>
              <w:rPr>
                <w:rFonts w:ascii="Arial" w:cs="Arial" w:eastAsia="Arial" w:hAnsi="Arial"/>
                <w:sz w:val="12"/>
                <w:szCs w:val="12"/>
                <w:color w:val="auto"/>
              </w:rPr>
              <w:t>Jointly</w:t>
            </w:r>
          </w:p>
        </w:tc>
        <w:tc>
          <w:tcPr>
            <w:tcW w:w="1020" w:type="dxa"/>
            <w:vAlign w:val="bottom"/>
            <w:shd w:val="clear" w:color="auto" w:fill="D8D1C9"/>
          </w:tcPr>
          <w:p>
            <w:pPr>
              <w:jc w:val="right"/>
              <w:ind w:right="38"/>
              <w:spacing w:after="0"/>
              <w:rPr>
                <w:sz w:val="20"/>
                <w:szCs w:val="20"/>
                <w:color w:val="auto"/>
              </w:rPr>
            </w:pPr>
            <w:r>
              <w:rPr>
                <w:rFonts w:ascii="Arial" w:cs="Arial" w:eastAsia="Arial" w:hAnsi="Arial"/>
                <w:sz w:val="12"/>
                <w:szCs w:val="12"/>
                <w:color w:val="auto"/>
              </w:rPr>
              <w:t>Dec 31, 2006</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40" w:type="dxa"/>
            <w:vAlign w:val="bottom"/>
            <w:shd w:val="clear" w:color="auto" w:fill="D8D1C9"/>
          </w:tcPr>
          <w:p>
            <w:pPr>
              <w:spacing w:after="0"/>
              <w:rPr>
                <w:sz w:val="11"/>
                <w:szCs w:val="11"/>
                <w:color w:val="auto"/>
              </w:rPr>
            </w:pPr>
          </w:p>
        </w:tc>
        <w:tc>
          <w:tcPr>
            <w:tcW w:w="1280" w:type="dxa"/>
            <w:vAlign w:val="bottom"/>
            <w:shd w:val="clear" w:color="auto" w:fill="D8D1C9"/>
          </w:tcPr>
          <w:p>
            <w:pPr>
              <w:spacing w:after="0"/>
              <w:rPr>
                <w:sz w:val="11"/>
                <w:szCs w:val="11"/>
                <w:color w:val="auto"/>
              </w:rPr>
            </w:pPr>
          </w:p>
        </w:tc>
        <w:tc>
          <w:tcPr>
            <w:tcW w:w="1020" w:type="dxa"/>
            <w:vAlign w:val="bottom"/>
            <w:vMerge w:val="continue"/>
            <w:shd w:val="clear" w:color="auto" w:fill="D8D1C9"/>
          </w:tcPr>
          <w:p>
            <w:pPr>
              <w:spacing w:after="0"/>
              <w:rPr>
                <w:sz w:val="11"/>
                <w:szCs w:val="11"/>
                <w:color w:val="auto"/>
              </w:rPr>
            </w:pPr>
          </w:p>
        </w:tc>
        <w:tc>
          <w:tcPr>
            <w:tcW w:w="3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1080" w:type="dxa"/>
            <w:vAlign w:val="bottom"/>
            <w:shd w:val="clear" w:color="auto" w:fill="D8D1C9"/>
          </w:tcPr>
          <w:p>
            <w:pPr>
              <w:spacing w:after="0"/>
              <w:rPr>
                <w:sz w:val="11"/>
                <w:szCs w:val="11"/>
                <w:color w:val="auto"/>
              </w:rPr>
            </w:pPr>
          </w:p>
        </w:tc>
        <w:tc>
          <w:tcPr>
            <w:tcW w:w="1020" w:type="dxa"/>
            <w:vAlign w:val="bottom"/>
            <w:vMerge w:val="continue"/>
            <w:shd w:val="clear" w:color="auto" w:fill="D8D1C9"/>
          </w:tcPr>
          <w:p>
            <w:pPr>
              <w:spacing w:after="0"/>
              <w:rPr>
                <w:sz w:val="11"/>
                <w:szCs w:val="11"/>
                <w:color w:val="auto"/>
              </w:rPr>
            </w:pPr>
          </w:p>
        </w:tc>
        <w:tc>
          <w:tcPr>
            <w:tcW w:w="102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840" w:type="dxa"/>
            <w:vAlign w:val="bottom"/>
            <w:shd w:val="clear" w:color="auto" w:fill="D8D1C9"/>
          </w:tcPr>
          <w:p>
            <w:pPr>
              <w:spacing w:after="0"/>
              <w:rPr>
                <w:sz w:val="11"/>
                <w:szCs w:val="11"/>
                <w:color w:val="auto"/>
              </w:rPr>
            </w:pPr>
          </w:p>
        </w:tc>
        <w:tc>
          <w:tcPr>
            <w:tcW w:w="1280" w:type="dxa"/>
            <w:vAlign w:val="bottom"/>
            <w:shd w:val="clear" w:color="auto" w:fill="D8D1C9"/>
          </w:tcPr>
          <w:p>
            <w:pPr>
              <w:ind w:left="380"/>
              <w:spacing w:after="0" w:line="133" w:lineRule="exact"/>
              <w:rPr>
                <w:sz w:val="20"/>
                <w:szCs w:val="20"/>
                <w:color w:val="auto"/>
              </w:rPr>
            </w:pPr>
            <w:r>
              <w:rPr>
                <w:rFonts w:ascii="Arial" w:cs="Arial" w:eastAsia="Arial" w:hAnsi="Arial"/>
                <w:sz w:val="12"/>
                <w:szCs w:val="12"/>
                <w:color w:val="auto"/>
              </w:rPr>
              <w:t>Associated</w:t>
            </w:r>
          </w:p>
        </w:tc>
        <w:tc>
          <w:tcPr>
            <w:tcW w:w="102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controlled</w:t>
            </w:r>
          </w:p>
        </w:tc>
        <w:tc>
          <w:tcPr>
            <w:tcW w:w="360" w:type="dxa"/>
            <w:vAlign w:val="bottom"/>
            <w:shd w:val="clear" w:color="auto" w:fill="D8D1C9"/>
          </w:tcPr>
          <w:p>
            <w:pPr>
              <w:spacing w:after="0"/>
              <w:rPr>
                <w:sz w:val="11"/>
                <w:szCs w:val="11"/>
                <w:color w:val="auto"/>
              </w:rPr>
            </w:pPr>
          </w:p>
        </w:tc>
        <w:tc>
          <w:tcPr>
            <w:tcW w:w="840" w:type="dxa"/>
            <w:vAlign w:val="bottom"/>
            <w:shd w:val="clear" w:color="auto" w:fill="D8D1C9"/>
          </w:tcPr>
          <w:p>
            <w:pPr>
              <w:spacing w:after="0"/>
              <w:rPr>
                <w:sz w:val="11"/>
                <w:szCs w:val="11"/>
                <w:color w:val="auto"/>
              </w:rPr>
            </w:pPr>
          </w:p>
        </w:tc>
        <w:tc>
          <w:tcPr>
            <w:tcW w:w="1080" w:type="dxa"/>
            <w:vAlign w:val="bottom"/>
            <w:shd w:val="clear" w:color="auto" w:fill="D8D1C9"/>
          </w:tcPr>
          <w:p>
            <w:pPr>
              <w:ind w:left="180"/>
              <w:spacing w:after="0" w:line="133" w:lineRule="exact"/>
              <w:rPr>
                <w:sz w:val="20"/>
                <w:szCs w:val="20"/>
                <w:color w:val="auto"/>
              </w:rPr>
            </w:pPr>
            <w:r>
              <w:rPr>
                <w:rFonts w:ascii="Arial" w:cs="Arial" w:eastAsia="Arial" w:hAnsi="Arial"/>
                <w:sz w:val="12"/>
                <w:szCs w:val="12"/>
                <w:color w:val="auto"/>
              </w:rPr>
              <w:t>Associated</w:t>
            </w:r>
          </w:p>
        </w:tc>
        <w:tc>
          <w:tcPr>
            <w:tcW w:w="102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controlled</w:t>
            </w:r>
          </w:p>
        </w:tc>
        <w:tc>
          <w:tcPr>
            <w:tcW w:w="102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840" w:type="dxa"/>
            <w:vAlign w:val="bottom"/>
            <w:shd w:val="clear" w:color="auto" w:fill="D8D1C9"/>
          </w:tcPr>
          <w:p>
            <w:pPr>
              <w:spacing w:after="0"/>
              <w:rPr>
                <w:sz w:val="12"/>
                <w:szCs w:val="12"/>
                <w:color w:val="auto"/>
              </w:rPr>
            </w:pPr>
          </w:p>
        </w:tc>
        <w:tc>
          <w:tcPr>
            <w:tcW w:w="1280" w:type="dxa"/>
            <w:vAlign w:val="bottom"/>
            <w:shd w:val="clear" w:color="auto" w:fill="D8D1C9"/>
          </w:tcPr>
          <w:p>
            <w:pPr>
              <w:ind w:left="380"/>
              <w:spacing w:after="0" w:line="133" w:lineRule="exact"/>
              <w:rPr>
                <w:sz w:val="20"/>
                <w:szCs w:val="20"/>
                <w:color w:val="auto"/>
              </w:rPr>
            </w:pPr>
            <w:r>
              <w:rPr>
                <w:rFonts w:ascii="Arial" w:cs="Arial" w:eastAsia="Arial" w:hAnsi="Arial"/>
                <w:sz w:val="12"/>
                <w:szCs w:val="12"/>
                <w:color w:val="auto"/>
              </w:rPr>
              <w:t>companies</w:t>
            </w:r>
          </w:p>
        </w:tc>
        <w:tc>
          <w:tcPr>
            <w:tcW w:w="102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entities</w:t>
            </w:r>
          </w:p>
        </w:tc>
        <w:tc>
          <w:tcPr>
            <w:tcW w:w="360" w:type="dxa"/>
            <w:vAlign w:val="bottom"/>
            <w:shd w:val="clear" w:color="auto" w:fill="D8D1C9"/>
          </w:tcPr>
          <w:p>
            <w:pPr>
              <w:spacing w:after="0"/>
              <w:rPr>
                <w:sz w:val="12"/>
                <w:szCs w:val="12"/>
                <w:color w:val="auto"/>
              </w:rPr>
            </w:pPr>
          </w:p>
        </w:tc>
        <w:tc>
          <w:tcPr>
            <w:tcW w:w="840" w:type="dxa"/>
            <w:vAlign w:val="bottom"/>
            <w:shd w:val="clear" w:color="auto" w:fill="D8D1C9"/>
          </w:tcPr>
          <w:p>
            <w:pPr>
              <w:jc w:val="right"/>
              <w:ind w:right="218"/>
              <w:spacing w:after="0" w:line="133" w:lineRule="exact"/>
              <w:rPr>
                <w:sz w:val="20"/>
                <w:szCs w:val="20"/>
                <w:color w:val="auto"/>
              </w:rPr>
            </w:pPr>
            <w:r>
              <w:rPr>
                <w:rFonts w:ascii="Arial" w:cs="Arial" w:eastAsia="Arial" w:hAnsi="Arial"/>
                <w:sz w:val="12"/>
                <w:szCs w:val="12"/>
                <w:color w:val="auto"/>
              </w:rPr>
              <w:t>Total</w:t>
            </w:r>
          </w:p>
        </w:tc>
        <w:tc>
          <w:tcPr>
            <w:tcW w:w="1080" w:type="dxa"/>
            <w:vAlign w:val="bottom"/>
            <w:shd w:val="clear" w:color="auto" w:fill="D8D1C9"/>
          </w:tcPr>
          <w:p>
            <w:pPr>
              <w:ind w:left="180"/>
              <w:spacing w:after="0" w:line="133" w:lineRule="exact"/>
              <w:rPr>
                <w:sz w:val="20"/>
                <w:szCs w:val="20"/>
                <w:color w:val="auto"/>
              </w:rPr>
            </w:pPr>
            <w:r>
              <w:rPr>
                <w:rFonts w:ascii="Arial" w:cs="Arial" w:eastAsia="Arial" w:hAnsi="Arial"/>
                <w:sz w:val="12"/>
                <w:szCs w:val="12"/>
                <w:color w:val="auto"/>
              </w:rPr>
              <w:t>companies</w:t>
            </w:r>
          </w:p>
        </w:tc>
        <w:tc>
          <w:tcPr>
            <w:tcW w:w="1020" w:type="dxa"/>
            <w:vAlign w:val="bottom"/>
            <w:shd w:val="clear" w:color="auto" w:fill="D8D1C9"/>
          </w:tcPr>
          <w:p>
            <w:pPr>
              <w:jc w:val="right"/>
              <w:ind w:right="138"/>
              <w:spacing w:after="0" w:line="133" w:lineRule="exact"/>
              <w:rPr>
                <w:sz w:val="20"/>
                <w:szCs w:val="20"/>
                <w:color w:val="auto"/>
              </w:rPr>
            </w:pPr>
            <w:r>
              <w:rPr>
                <w:rFonts w:ascii="Arial" w:cs="Arial" w:eastAsia="Arial" w:hAnsi="Arial"/>
                <w:sz w:val="12"/>
                <w:szCs w:val="12"/>
                <w:color w:val="auto"/>
              </w:rPr>
              <w:t>entities</w:t>
            </w:r>
          </w:p>
        </w:tc>
        <w:tc>
          <w:tcPr>
            <w:tcW w:w="1020" w:type="dxa"/>
            <w:vAlign w:val="bottom"/>
            <w:shd w:val="clear" w:color="auto" w:fill="D8D1C9"/>
          </w:tcPr>
          <w:p>
            <w:pPr>
              <w:jc w:val="right"/>
              <w:ind w:right="38"/>
              <w:spacing w:after="0" w:line="13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40" w:type="dxa"/>
            <w:vAlign w:val="bottom"/>
          </w:tcPr>
          <w:p>
            <w:pPr>
              <w:spacing w:after="0" w:line="128" w:lineRule="exact"/>
              <w:rPr>
                <w:sz w:val="20"/>
                <w:szCs w:val="20"/>
                <w:color w:val="auto"/>
              </w:rPr>
            </w:pPr>
            <w:r>
              <w:rPr>
                <w:rFonts w:ascii="Arial" w:cs="Arial" w:eastAsia="Arial" w:hAnsi="Arial"/>
                <w:sz w:val="12"/>
                <w:szCs w:val="12"/>
                <w:color w:val="auto"/>
              </w:rPr>
              <w:t>Current assets</w:t>
            </w:r>
          </w:p>
        </w:tc>
        <w:tc>
          <w:tcPr>
            <w:tcW w:w="12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4,904</w:t>
            </w:r>
          </w:p>
        </w:tc>
        <w:tc>
          <w:tcPr>
            <w:tcW w:w="102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11,504</w:t>
            </w:r>
          </w:p>
        </w:tc>
        <w:tc>
          <w:tcPr>
            <w:tcW w:w="360" w:type="dxa"/>
            <w:vAlign w:val="bottom"/>
          </w:tcPr>
          <w:p>
            <w:pPr>
              <w:spacing w:after="0"/>
              <w:rPr>
                <w:sz w:val="11"/>
                <w:szCs w:val="11"/>
                <w:color w:val="auto"/>
              </w:rPr>
            </w:pPr>
          </w:p>
        </w:tc>
        <w:tc>
          <w:tcPr>
            <w:tcW w:w="840" w:type="dxa"/>
            <w:vAlign w:val="bottom"/>
            <w:shd w:val="clear" w:color="auto" w:fill="D8D1C9"/>
          </w:tcPr>
          <w:p>
            <w:pPr>
              <w:jc w:val="right"/>
              <w:ind w:right="218"/>
              <w:spacing w:after="0" w:line="128" w:lineRule="exact"/>
              <w:rPr>
                <w:sz w:val="20"/>
                <w:szCs w:val="20"/>
                <w:color w:val="auto"/>
              </w:rPr>
            </w:pPr>
            <w:r>
              <w:rPr>
                <w:rFonts w:ascii="Arial" w:cs="Arial" w:eastAsia="Arial" w:hAnsi="Arial"/>
                <w:sz w:val="12"/>
                <w:szCs w:val="12"/>
                <w:color w:val="auto"/>
              </w:rPr>
              <w:t>16,408</w:t>
            </w:r>
          </w:p>
        </w:tc>
        <w:tc>
          <w:tcPr>
            <w:tcW w:w="10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7,661</w:t>
            </w:r>
          </w:p>
        </w:tc>
        <w:tc>
          <w:tcPr>
            <w:tcW w:w="102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6,348</w:t>
            </w:r>
          </w:p>
        </w:tc>
        <w:tc>
          <w:tcPr>
            <w:tcW w:w="10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14,009</w:t>
            </w:r>
          </w:p>
        </w:tc>
        <w:tc>
          <w:tcPr>
            <w:tcW w:w="0" w:type="dxa"/>
            <w:vAlign w:val="bottom"/>
          </w:tcPr>
          <w:p>
            <w:pPr>
              <w:spacing w:after="0"/>
              <w:rPr>
                <w:sz w:val="1"/>
                <w:szCs w:val="1"/>
                <w:color w:val="auto"/>
              </w:rPr>
            </w:pPr>
          </w:p>
        </w:tc>
      </w:tr>
      <w:tr>
        <w:trPr>
          <w:trHeight w:val="139"/>
        </w:trPr>
        <w:tc>
          <w:tcPr>
            <w:tcW w:w="2860" w:type="dxa"/>
            <w:vAlign w:val="bottom"/>
            <w:gridSpan w:val="2"/>
          </w:tcPr>
          <w:p>
            <w:pPr>
              <w:spacing w:after="0"/>
              <w:rPr>
                <w:sz w:val="20"/>
                <w:szCs w:val="20"/>
                <w:color w:val="auto"/>
              </w:rPr>
            </w:pPr>
            <w:r>
              <w:rPr>
                <w:rFonts w:ascii="Arial" w:cs="Arial" w:eastAsia="Arial" w:hAnsi="Arial"/>
                <w:sz w:val="12"/>
                <w:szCs w:val="12"/>
                <w:color w:val="auto"/>
              </w:rPr>
              <w:t>Non-current assets</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22,141</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17,375</w:t>
            </w:r>
          </w:p>
        </w:tc>
        <w:tc>
          <w:tcPr>
            <w:tcW w:w="360" w:type="dxa"/>
            <w:vAlign w:val="bottom"/>
          </w:tcPr>
          <w:p>
            <w:pPr>
              <w:spacing w:after="0"/>
              <w:rPr>
                <w:sz w:val="12"/>
                <w:szCs w:val="12"/>
                <w:color w:val="auto"/>
              </w:rPr>
            </w:pPr>
          </w:p>
        </w:tc>
        <w:tc>
          <w:tcPr>
            <w:tcW w:w="84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39,516</w:t>
            </w:r>
          </w:p>
        </w:tc>
        <w:tc>
          <w:tcPr>
            <w:tcW w:w="1080" w:type="dxa"/>
            <w:vAlign w:val="bottom"/>
          </w:tcPr>
          <w:p>
            <w:pPr>
              <w:jc w:val="right"/>
              <w:ind w:right="238"/>
              <w:spacing w:after="0"/>
              <w:rPr>
                <w:sz w:val="20"/>
                <w:szCs w:val="20"/>
                <w:color w:val="auto"/>
              </w:rPr>
            </w:pPr>
            <w:r>
              <w:rPr>
                <w:rFonts w:ascii="Arial" w:cs="Arial" w:eastAsia="Arial" w:hAnsi="Arial"/>
                <w:sz w:val="12"/>
                <w:szCs w:val="12"/>
                <w:color w:val="auto"/>
              </w:rPr>
              <w:t>18,779</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9,947</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28,726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6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27,045</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28,879</w:t>
            </w:r>
          </w:p>
        </w:tc>
        <w:tc>
          <w:tcPr>
            <w:tcW w:w="360" w:type="dxa"/>
            <w:vAlign w:val="bottom"/>
          </w:tcPr>
          <w:p>
            <w:pPr>
              <w:spacing w:after="0"/>
              <w:rPr>
                <w:sz w:val="12"/>
                <w:szCs w:val="12"/>
                <w:color w:val="auto"/>
              </w:rPr>
            </w:pPr>
          </w:p>
        </w:tc>
        <w:tc>
          <w:tcPr>
            <w:tcW w:w="84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55,924</w:t>
            </w:r>
          </w:p>
        </w:tc>
        <w:tc>
          <w:tcPr>
            <w:tcW w:w="1080" w:type="dxa"/>
            <w:vAlign w:val="bottom"/>
          </w:tcPr>
          <w:p>
            <w:pPr>
              <w:jc w:val="right"/>
              <w:ind w:right="238"/>
              <w:spacing w:after="0"/>
              <w:rPr>
                <w:sz w:val="20"/>
                <w:szCs w:val="20"/>
                <w:color w:val="auto"/>
              </w:rPr>
            </w:pPr>
            <w:r>
              <w:rPr>
                <w:rFonts w:ascii="Arial" w:cs="Arial" w:eastAsia="Arial" w:hAnsi="Arial"/>
                <w:sz w:val="12"/>
                <w:szCs w:val="12"/>
                <w:color w:val="auto"/>
              </w:rPr>
              <w:t>26,440</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16,295</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42,735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60" w:type="dxa"/>
            <w:vAlign w:val="bottom"/>
            <w:gridSpan w:val="2"/>
          </w:tcPr>
          <w:p>
            <w:pPr>
              <w:spacing w:after="0" w:line="134" w:lineRule="exact"/>
              <w:rPr>
                <w:sz w:val="20"/>
                <w:szCs w:val="20"/>
                <w:color w:val="auto"/>
              </w:rPr>
            </w:pPr>
            <w:r>
              <w:rPr>
                <w:rFonts w:ascii="Arial" w:cs="Arial" w:eastAsia="Arial" w:hAnsi="Arial"/>
                <w:sz w:val="12"/>
                <w:szCs w:val="12"/>
                <w:color w:val="auto"/>
              </w:rPr>
              <w:t>Current liabilities</w:t>
            </w:r>
          </w:p>
        </w:tc>
        <w:tc>
          <w:tcPr>
            <w:tcW w:w="12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4,866</w:t>
            </w:r>
          </w:p>
        </w:tc>
        <w:tc>
          <w:tcPr>
            <w:tcW w:w="10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6,541</w:t>
            </w:r>
          </w:p>
        </w:tc>
        <w:tc>
          <w:tcPr>
            <w:tcW w:w="360" w:type="dxa"/>
            <w:vAlign w:val="bottom"/>
          </w:tcPr>
          <w:p>
            <w:pPr>
              <w:spacing w:after="0"/>
              <w:rPr>
                <w:sz w:val="11"/>
                <w:szCs w:val="11"/>
                <w:color w:val="auto"/>
              </w:rPr>
            </w:pPr>
          </w:p>
        </w:tc>
        <w:tc>
          <w:tcPr>
            <w:tcW w:w="840" w:type="dxa"/>
            <w:vAlign w:val="bottom"/>
            <w:shd w:val="clear" w:color="auto" w:fill="D8D1C9"/>
          </w:tcPr>
          <w:p>
            <w:pPr>
              <w:jc w:val="right"/>
              <w:ind w:right="218"/>
              <w:spacing w:after="0" w:line="134" w:lineRule="exact"/>
              <w:rPr>
                <w:sz w:val="20"/>
                <w:szCs w:val="20"/>
                <w:color w:val="auto"/>
              </w:rPr>
            </w:pPr>
            <w:r>
              <w:rPr>
                <w:rFonts w:ascii="Arial" w:cs="Arial" w:eastAsia="Arial" w:hAnsi="Arial"/>
                <w:sz w:val="12"/>
                <w:szCs w:val="12"/>
                <w:color w:val="auto"/>
              </w:rPr>
              <w:t>11,407</w:t>
            </w:r>
          </w:p>
        </w:tc>
        <w:tc>
          <w:tcPr>
            <w:tcW w:w="10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5,922</w:t>
            </w:r>
          </w:p>
        </w:tc>
        <w:tc>
          <w:tcPr>
            <w:tcW w:w="10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4,157</w:t>
            </w:r>
          </w:p>
        </w:tc>
        <w:tc>
          <w:tcPr>
            <w:tcW w:w="10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10,079</w:t>
            </w:r>
          </w:p>
        </w:tc>
        <w:tc>
          <w:tcPr>
            <w:tcW w:w="0" w:type="dxa"/>
            <w:vAlign w:val="bottom"/>
          </w:tcPr>
          <w:p>
            <w:pPr>
              <w:spacing w:after="0"/>
              <w:rPr>
                <w:sz w:val="1"/>
                <w:szCs w:val="1"/>
                <w:color w:val="auto"/>
              </w:rPr>
            </w:pPr>
          </w:p>
        </w:tc>
      </w:tr>
      <w:tr>
        <w:trPr>
          <w:trHeight w:val="139"/>
        </w:trPr>
        <w:tc>
          <w:tcPr>
            <w:tcW w:w="2860" w:type="dxa"/>
            <w:vAlign w:val="bottom"/>
            <w:gridSpan w:val="2"/>
          </w:tcPr>
          <w:p>
            <w:pPr>
              <w:spacing w:after="0"/>
              <w:rPr>
                <w:sz w:val="20"/>
                <w:szCs w:val="20"/>
                <w:color w:val="auto"/>
              </w:rPr>
            </w:pPr>
            <w:r>
              <w:rPr>
                <w:rFonts w:ascii="Arial" w:cs="Arial" w:eastAsia="Arial" w:hAnsi="Arial"/>
                <w:sz w:val="12"/>
                <w:szCs w:val="12"/>
                <w:color w:val="auto"/>
              </w:rPr>
              <w:t>Non-current liabilities</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7,230</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8,134</w:t>
            </w:r>
          </w:p>
        </w:tc>
        <w:tc>
          <w:tcPr>
            <w:tcW w:w="360" w:type="dxa"/>
            <w:vAlign w:val="bottom"/>
          </w:tcPr>
          <w:p>
            <w:pPr>
              <w:spacing w:after="0"/>
              <w:rPr>
                <w:sz w:val="12"/>
                <w:szCs w:val="12"/>
                <w:color w:val="auto"/>
              </w:rPr>
            </w:pPr>
          </w:p>
        </w:tc>
        <w:tc>
          <w:tcPr>
            <w:tcW w:w="84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15,364</w:t>
            </w:r>
          </w:p>
        </w:tc>
        <w:tc>
          <w:tcPr>
            <w:tcW w:w="1080" w:type="dxa"/>
            <w:vAlign w:val="bottom"/>
          </w:tcPr>
          <w:p>
            <w:pPr>
              <w:jc w:val="right"/>
              <w:ind w:right="238"/>
              <w:spacing w:after="0"/>
              <w:rPr>
                <w:sz w:val="20"/>
                <w:szCs w:val="20"/>
                <w:color w:val="auto"/>
              </w:rPr>
            </w:pPr>
            <w:r>
              <w:rPr>
                <w:rFonts w:ascii="Arial" w:cs="Arial" w:eastAsia="Arial" w:hAnsi="Arial"/>
                <w:sz w:val="12"/>
                <w:szCs w:val="12"/>
                <w:color w:val="auto"/>
              </w:rPr>
              <w:t>6,718</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5,198</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11,916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860" w:type="dxa"/>
            <w:vAlign w:val="bottom"/>
            <w:gridSpan w:val="2"/>
          </w:tcPr>
          <w:p>
            <w:pPr>
              <w:spacing w:after="0"/>
              <w:rPr>
                <w:sz w:val="20"/>
                <w:szCs w:val="20"/>
                <w:color w:val="auto"/>
              </w:rPr>
            </w:pPr>
            <w:r>
              <w:rPr>
                <w:rFonts w:ascii="Arial" w:cs="Arial" w:eastAsia="Arial" w:hAnsi="Arial"/>
                <w:sz w:val="12"/>
                <w:szCs w:val="12"/>
                <w:color w:val="auto"/>
              </w:rPr>
              <w:t>Total liabilities</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12,096</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14,675</w:t>
            </w:r>
          </w:p>
        </w:tc>
        <w:tc>
          <w:tcPr>
            <w:tcW w:w="360" w:type="dxa"/>
            <w:vAlign w:val="bottom"/>
          </w:tcPr>
          <w:p>
            <w:pPr>
              <w:spacing w:after="0"/>
              <w:rPr>
                <w:sz w:val="12"/>
                <w:szCs w:val="12"/>
                <w:color w:val="auto"/>
              </w:rPr>
            </w:pPr>
          </w:p>
        </w:tc>
        <w:tc>
          <w:tcPr>
            <w:tcW w:w="84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26,771</w:t>
            </w:r>
          </w:p>
        </w:tc>
        <w:tc>
          <w:tcPr>
            <w:tcW w:w="1080" w:type="dxa"/>
            <w:vAlign w:val="bottom"/>
          </w:tcPr>
          <w:p>
            <w:pPr>
              <w:jc w:val="right"/>
              <w:ind w:right="238"/>
              <w:spacing w:after="0"/>
              <w:rPr>
                <w:sz w:val="20"/>
                <w:szCs w:val="20"/>
                <w:color w:val="auto"/>
              </w:rPr>
            </w:pPr>
            <w:r>
              <w:rPr>
                <w:rFonts w:ascii="Arial" w:cs="Arial" w:eastAsia="Arial" w:hAnsi="Arial"/>
                <w:sz w:val="12"/>
                <w:szCs w:val="12"/>
                <w:color w:val="auto"/>
              </w:rPr>
              <w:t>12,640</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9,355</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21,995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 assets less total liabilities</w:t>
            </w:r>
          </w:p>
        </w:tc>
        <w:tc>
          <w:tcPr>
            <w:tcW w:w="12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color w:val="auto"/>
              </w:rPr>
              <w:t>14,949</w:t>
            </w:r>
          </w:p>
        </w:tc>
        <w:tc>
          <w:tcPr>
            <w:tcW w:w="10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14,204</w:t>
            </w:r>
          </w:p>
        </w:tc>
        <w:tc>
          <w:tcPr>
            <w:tcW w:w="3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shd w:val="clear" w:color="auto" w:fill="D8D1C9"/>
          </w:tcPr>
          <w:p>
            <w:pPr>
              <w:jc w:val="right"/>
              <w:ind w:right="218"/>
              <w:spacing w:after="0"/>
              <w:rPr>
                <w:sz w:val="20"/>
                <w:szCs w:val="20"/>
                <w:color w:val="auto"/>
              </w:rPr>
            </w:pPr>
            <w:r>
              <w:rPr>
                <w:rFonts w:ascii="Arial" w:cs="Arial" w:eastAsia="Arial" w:hAnsi="Arial"/>
                <w:sz w:val="12"/>
                <w:szCs w:val="12"/>
                <w:color w:val="auto"/>
              </w:rPr>
              <w:t>29,153</w:t>
            </w:r>
          </w:p>
        </w:tc>
        <w:tc>
          <w:tcPr>
            <w:tcW w:w="108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color w:val="auto"/>
              </w:rPr>
              <w:t>13,800</w:t>
            </w:r>
          </w:p>
        </w:tc>
        <w:tc>
          <w:tcPr>
            <w:tcW w:w="10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6,940</w:t>
            </w: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20,740</w:t>
            </w:r>
          </w:p>
        </w:tc>
        <w:tc>
          <w:tcPr>
            <w:tcW w:w="0" w:type="dxa"/>
            <w:vAlign w:val="bottom"/>
          </w:tcPr>
          <w:p>
            <w:pPr>
              <w:spacing w:after="0"/>
              <w:rPr>
                <w:sz w:val="1"/>
                <w:szCs w:val="1"/>
                <w:color w:val="auto"/>
              </w:rPr>
            </w:pPr>
          </w:p>
        </w:tc>
      </w:tr>
      <w:tr>
        <w:trPr>
          <w:trHeight w:val="134"/>
        </w:trPr>
        <w:tc>
          <w:tcPr>
            <w:tcW w:w="2860" w:type="dxa"/>
            <w:vAlign w:val="bottom"/>
            <w:gridSpan w:val="2"/>
          </w:tcPr>
          <w:p>
            <w:pPr>
              <w:spacing w:after="0" w:line="134" w:lineRule="exact"/>
              <w:rPr>
                <w:sz w:val="20"/>
                <w:szCs w:val="20"/>
                <w:color w:val="auto"/>
              </w:rPr>
            </w:pPr>
            <w:r>
              <w:rPr>
                <w:rFonts w:ascii="Arial" w:cs="Arial" w:eastAsia="Arial" w:hAnsi="Arial"/>
                <w:sz w:val="12"/>
                <w:szCs w:val="12"/>
                <w:color w:val="auto"/>
              </w:rPr>
              <w:t>Shares</w:t>
            </w:r>
          </w:p>
        </w:tc>
        <w:tc>
          <w:tcPr>
            <w:tcW w:w="12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13,558</w:t>
            </w:r>
          </w:p>
        </w:tc>
        <w:tc>
          <w:tcPr>
            <w:tcW w:w="10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14,189</w:t>
            </w:r>
          </w:p>
        </w:tc>
        <w:tc>
          <w:tcPr>
            <w:tcW w:w="360" w:type="dxa"/>
            <w:vAlign w:val="bottom"/>
          </w:tcPr>
          <w:p>
            <w:pPr>
              <w:spacing w:after="0"/>
              <w:rPr>
                <w:sz w:val="11"/>
                <w:szCs w:val="11"/>
                <w:color w:val="auto"/>
              </w:rPr>
            </w:pPr>
          </w:p>
        </w:tc>
        <w:tc>
          <w:tcPr>
            <w:tcW w:w="840" w:type="dxa"/>
            <w:vAlign w:val="bottom"/>
            <w:shd w:val="clear" w:color="auto" w:fill="D8D1C9"/>
          </w:tcPr>
          <w:p>
            <w:pPr>
              <w:jc w:val="right"/>
              <w:ind w:right="218"/>
              <w:spacing w:after="0" w:line="134" w:lineRule="exact"/>
              <w:rPr>
                <w:sz w:val="20"/>
                <w:szCs w:val="20"/>
                <w:color w:val="auto"/>
              </w:rPr>
            </w:pPr>
            <w:r>
              <w:rPr>
                <w:rFonts w:ascii="Arial" w:cs="Arial" w:eastAsia="Arial" w:hAnsi="Arial"/>
                <w:sz w:val="12"/>
                <w:szCs w:val="12"/>
                <w:color w:val="auto"/>
              </w:rPr>
              <w:t>27,747</w:t>
            </w:r>
          </w:p>
        </w:tc>
        <w:tc>
          <w:tcPr>
            <w:tcW w:w="10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12,445</w:t>
            </w:r>
          </w:p>
        </w:tc>
        <w:tc>
          <w:tcPr>
            <w:tcW w:w="102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6,937</w:t>
            </w:r>
          </w:p>
        </w:tc>
        <w:tc>
          <w:tcPr>
            <w:tcW w:w="10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19,382</w:t>
            </w:r>
          </w:p>
        </w:tc>
        <w:tc>
          <w:tcPr>
            <w:tcW w:w="0" w:type="dxa"/>
            <w:vAlign w:val="bottom"/>
          </w:tcPr>
          <w:p>
            <w:pPr>
              <w:spacing w:after="0"/>
              <w:rPr>
                <w:sz w:val="1"/>
                <w:szCs w:val="1"/>
                <w:color w:val="auto"/>
              </w:rPr>
            </w:pPr>
          </w:p>
        </w:tc>
      </w:tr>
      <w:tr>
        <w:trPr>
          <w:trHeight w:val="139"/>
        </w:trPr>
        <w:tc>
          <w:tcPr>
            <w:tcW w:w="2860" w:type="dxa"/>
            <w:vAlign w:val="bottom"/>
            <w:gridSpan w:val="2"/>
          </w:tcPr>
          <w:p>
            <w:pPr>
              <w:spacing w:after="0"/>
              <w:rPr>
                <w:sz w:val="20"/>
                <w:szCs w:val="20"/>
                <w:color w:val="auto"/>
              </w:rPr>
            </w:pPr>
            <w:r>
              <w:rPr>
                <w:rFonts w:ascii="Arial" w:cs="Arial" w:eastAsia="Arial" w:hAnsi="Arial"/>
                <w:sz w:val="12"/>
                <w:szCs w:val="12"/>
                <w:color w:val="auto"/>
              </w:rPr>
              <w:t>Loans (of a long-term investment nature)</w:t>
            </w:r>
          </w:p>
        </w:tc>
        <w:tc>
          <w:tcPr>
            <w:tcW w:w="1280" w:type="dxa"/>
            <w:vAlign w:val="bottom"/>
          </w:tcPr>
          <w:p>
            <w:pPr>
              <w:jc w:val="right"/>
              <w:ind w:right="238"/>
              <w:spacing w:after="0"/>
              <w:rPr>
                <w:sz w:val="20"/>
                <w:szCs w:val="20"/>
                <w:color w:val="auto"/>
              </w:rPr>
            </w:pPr>
            <w:r>
              <w:rPr>
                <w:rFonts w:ascii="Arial" w:cs="Arial" w:eastAsia="Arial" w:hAnsi="Arial"/>
                <w:sz w:val="12"/>
                <w:szCs w:val="12"/>
                <w:color w:val="auto"/>
              </w:rPr>
              <w:t>1,391</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15</w:t>
            </w:r>
          </w:p>
        </w:tc>
        <w:tc>
          <w:tcPr>
            <w:tcW w:w="360" w:type="dxa"/>
            <w:vAlign w:val="bottom"/>
          </w:tcPr>
          <w:p>
            <w:pPr>
              <w:spacing w:after="0"/>
              <w:rPr>
                <w:sz w:val="12"/>
                <w:szCs w:val="12"/>
                <w:color w:val="auto"/>
              </w:rPr>
            </w:pPr>
          </w:p>
        </w:tc>
        <w:tc>
          <w:tcPr>
            <w:tcW w:w="840" w:type="dxa"/>
            <w:vAlign w:val="bottom"/>
            <w:shd w:val="clear" w:color="auto" w:fill="D8D1C9"/>
          </w:tcPr>
          <w:p>
            <w:pPr>
              <w:jc w:val="right"/>
              <w:ind w:right="218"/>
              <w:spacing w:after="0"/>
              <w:rPr>
                <w:sz w:val="20"/>
                <w:szCs w:val="20"/>
                <w:color w:val="auto"/>
              </w:rPr>
            </w:pPr>
            <w:r>
              <w:rPr>
                <w:rFonts w:ascii="Arial" w:cs="Arial" w:eastAsia="Arial" w:hAnsi="Arial"/>
                <w:sz w:val="12"/>
                <w:szCs w:val="12"/>
                <w:color w:val="auto"/>
              </w:rPr>
              <w:t>1,406</w:t>
            </w:r>
          </w:p>
        </w:tc>
        <w:tc>
          <w:tcPr>
            <w:tcW w:w="1080" w:type="dxa"/>
            <w:vAlign w:val="bottom"/>
          </w:tcPr>
          <w:p>
            <w:pPr>
              <w:jc w:val="right"/>
              <w:ind w:right="238"/>
              <w:spacing w:after="0"/>
              <w:rPr>
                <w:sz w:val="20"/>
                <w:szCs w:val="20"/>
                <w:color w:val="auto"/>
              </w:rPr>
            </w:pPr>
            <w:r>
              <w:rPr>
                <w:rFonts w:ascii="Arial" w:cs="Arial" w:eastAsia="Arial" w:hAnsi="Arial"/>
                <w:sz w:val="12"/>
                <w:szCs w:val="12"/>
                <w:color w:val="auto"/>
              </w:rPr>
              <w:t>1,355</w:t>
            </w:r>
          </w:p>
        </w:tc>
        <w:tc>
          <w:tcPr>
            <w:tcW w:w="1020" w:type="dxa"/>
            <w:vAlign w:val="bottom"/>
          </w:tcPr>
          <w:p>
            <w:pPr>
              <w:jc w:val="right"/>
              <w:ind w:right="138"/>
              <w:spacing w:after="0"/>
              <w:rPr>
                <w:sz w:val="20"/>
                <w:szCs w:val="20"/>
                <w:color w:val="auto"/>
              </w:rPr>
            </w:pPr>
            <w:r>
              <w:rPr>
                <w:rFonts w:ascii="Arial" w:cs="Arial" w:eastAsia="Arial" w:hAnsi="Arial"/>
                <w:sz w:val="12"/>
                <w:szCs w:val="12"/>
                <w:color w:val="auto"/>
              </w:rPr>
              <w:t>3</w:t>
            </w:r>
          </w:p>
        </w:tc>
        <w:tc>
          <w:tcPr>
            <w:tcW w:w="1020" w:type="dxa"/>
            <w:vAlign w:val="bottom"/>
          </w:tcPr>
          <w:p>
            <w:pPr>
              <w:jc w:val="right"/>
              <w:ind w:right="38"/>
              <w:spacing w:after="0"/>
              <w:rPr>
                <w:sz w:val="20"/>
                <w:szCs w:val="20"/>
                <w:color w:val="auto"/>
              </w:rPr>
            </w:pPr>
            <w:r>
              <w:rPr>
                <w:rFonts w:ascii="Arial" w:cs="Arial" w:eastAsia="Arial" w:hAnsi="Arial"/>
                <w:sz w:val="12"/>
                <w:szCs w:val="12"/>
                <w:color w:val="auto"/>
              </w:rPr>
              <w:t>1,358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1935480</wp:posOffset>
            </wp:positionH>
            <wp:positionV relativeFrom="paragraph">
              <wp:posOffset>-1209040</wp:posOffset>
            </wp:positionV>
            <wp:extent cx="4084955" cy="34671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084955" cy="346710"/>
                    </a:xfrm>
                    <a:prstGeom prst="rect">
                      <a:avLst/>
                    </a:prstGeom>
                    <a:noFill/>
                  </pic:spPr>
                </pic:pic>
              </a:graphicData>
            </a:graphic>
          </wp:anchor>
        </w:drawing>
      </w:r>
    </w:p>
    <w:p>
      <w:pPr>
        <w:spacing w:after="0" w:line="81"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color w:val="auto"/>
        </w:rPr>
        <w:t>Investments in associated companies increased by $3.7 billion during 2007 as a result of the divestment of half of Shell’s interest in Sakhalin II and the resulting change in classification to an associated company (see Note 28).</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Income for 2005 for jointly controlled entities included gains of $1.7 billion from the disposal of certain operations in the Netherlands.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2007, Shell had capital commitments of $5.5 billion (2006: $5.4 billion; 2005: $3.7 billion) in respect of its joint ventures.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240" w:type="dxa"/>
            <w:vAlign w:val="bottom"/>
            <w:gridSpan w:val="4"/>
            <w:shd w:val="clear" w:color="auto" w:fill="7DD0E3"/>
          </w:tcPr>
          <w:p>
            <w:pPr>
              <w:spacing w:after="0"/>
              <w:rPr>
                <w:sz w:val="20"/>
                <w:szCs w:val="20"/>
                <w:color w:val="auto"/>
              </w:rPr>
            </w:pPr>
            <w:r>
              <w:rPr>
                <w:rFonts w:ascii="Arial" w:cs="Arial" w:eastAsia="Arial" w:hAnsi="Arial"/>
                <w:sz w:val="12"/>
                <w:szCs w:val="12"/>
                <w:b w:val="1"/>
                <w:bCs w:val="1"/>
                <w:color w:val="auto"/>
              </w:rPr>
              <w:t>[B] SHELL’S MAJOR INVESTMENTS IN ASSOCIATED COMPANIES AND JOINT VENTURES AT DECEMBER 31, 2007</w:t>
            </w:r>
          </w:p>
        </w:tc>
        <w:tc>
          <w:tcPr>
            <w:tcW w:w="1200" w:type="dxa"/>
            <w:vAlign w:val="bottom"/>
            <w:shd w:val="clear" w:color="auto" w:fill="7DD0E3"/>
          </w:tcPr>
          <w:p>
            <w:pPr>
              <w:spacing w:after="0"/>
              <w:rPr>
                <w:sz w:val="12"/>
                <w:szCs w:val="12"/>
                <w:color w:val="auto"/>
              </w:rPr>
            </w:pPr>
          </w:p>
        </w:tc>
        <w:tc>
          <w:tcPr>
            <w:tcW w:w="1020" w:type="dxa"/>
            <w:vAlign w:val="bottom"/>
            <w:shd w:val="clear" w:color="auto" w:fill="7DD0E3"/>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780" w:type="dxa"/>
            <w:vAlign w:val="bottom"/>
            <w:shd w:val="clear" w:color="auto" w:fill="D8D1C9"/>
          </w:tcPr>
          <w:p>
            <w:pPr>
              <w:spacing w:after="0"/>
              <w:rPr>
                <w:sz w:val="11"/>
                <w:szCs w:val="11"/>
                <w:color w:val="auto"/>
              </w:rPr>
            </w:pPr>
          </w:p>
        </w:tc>
        <w:tc>
          <w:tcPr>
            <w:tcW w:w="2020" w:type="dxa"/>
            <w:vAlign w:val="bottom"/>
            <w:shd w:val="clear" w:color="auto" w:fill="D8D1C9"/>
          </w:tcPr>
          <w:p>
            <w:pPr>
              <w:spacing w:after="0"/>
              <w:rPr>
                <w:sz w:val="11"/>
                <w:szCs w:val="11"/>
                <w:color w:val="auto"/>
              </w:rPr>
            </w:pPr>
          </w:p>
        </w:tc>
        <w:tc>
          <w:tcPr>
            <w:tcW w:w="2080" w:type="dxa"/>
            <w:vAlign w:val="bottom"/>
            <w:shd w:val="clear" w:color="auto" w:fill="D8D1C9"/>
          </w:tcPr>
          <w:p>
            <w:pPr>
              <w:spacing w:after="0"/>
              <w:rPr>
                <w:sz w:val="11"/>
                <w:szCs w:val="11"/>
                <w:color w:val="auto"/>
              </w:rPr>
            </w:pPr>
          </w:p>
        </w:tc>
        <w:tc>
          <w:tcPr>
            <w:tcW w:w="1360" w:type="dxa"/>
            <w:vAlign w:val="bottom"/>
            <w:shd w:val="clear" w:color="auto" w:fill="D8D1C9"/>
          </w:tcPr>
          <w:p>
            <w:pPr>
              <w:jc w:val="right"/>
              <w:ind w:right="498"/>
              <w:spacing w:after="0" w:line="128" w:lineRule="exact"/>
              <w:rPr>
                <w:sz w:val="20"/>
                <w:szCs w:val="20"/>
                <w:color w:val="auto"/>
              </w:rPr>
            </w:pPr>
            <w:r>
              <w:rPr>
                <w:rFonts w:ascii="Arial" w:cs="Arial" w:eastAsia="Arial" w:hAnsi="Arial"/>
                <w:sz w:val="12"/>
                <w:szCs w:val="12"/>
                <w:color w:val="auto"/>
              </w:rPr>
              <w:t>Country of</w:t>
            </w:r>
          </w:p>
        </w:tc>
        <w:tc>
          <w:tcPr>
            <w:tcW w:w="1200" w:type="dxa"/>
            <w:vAlign w:val="bottom"/>
            <w:shd w:val="clear" w:color="auto" w:fill="D8D1C9"/>
          </w:tcPr>
          <w:p>
            <w:pPr>
              <w:spacing w:after="0"/>
              <w:rPr>
                <w:sz w:val="11"/>
                <w:szCs w:val="11"/>
                <w:color w:val="auto"/>
              </w:rPr>
            </w:pPr>
          </w:p>
        </w:tc>
        <w:tc>
          <w:tcPr>
            <w:tcW w:w="1020" w:type="dxa"/>
            <w:vAlign w:val="bottom"/>
            <w:shd w:val="clear" w:color="auto" w:fill="D8D1C9"/>
          </w:tcPr>
          <w:p>
            <w:pPr>
              <w:jc w:val="right"/>
              <w:ind w:right="118"/>
              <w:spacing w:after="0" w:line="128" w:lineRule="exact"/>
              <w:rPr>
                <w:sz w:val="20"/>
                <w:szCs w:val="20"/>
                <w:color w:val="auto"/>
              </w:rPr>
            </w:pPr>
            <w:r>
              <w:rPr>
                <w:rFonts w:ascii="Arial" w:cs="Arial" w:eastAsia="Arial" w:hAnsi="Arial"/>
                <w:sz w:val="12"/>
                <w:szCs w:val="12"/>
                <w:color w:val="auto"/>
              </w:rPr>
              <w:t>Fair value</w:t>
            </w:r>
            <w:r>
              <w:rPr>
                <w:rFonts w:ascii="Arial" w:cs="Arial" w:eastAsia="Arial" w:hAnsi="Arial"/>
                <w:sz w:val="10"/>
                <w:szCs w:val="10"/>
                <w:color w:val="auto"/>
              </w:rPr>
              <w:t>[B]</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80" w:type="dxa"/>
            <w:vAlign w:val="bottom"/>
            <w:shd w:val="clear" w:color="auto" w:fill="D8D1C9"/>
          </w:tcPr>
          <w:p>
            <w:pPr>
              <w:spacing w:after="0"/>
              <w:rPr>
                <w:sz w:val="20"/>
                <w:szCs w:val="20"/>
                <w:color w:val="auto"/>
              </w:rPr>
            </w:pPr>
            <w:r>
              <w:rPr>
                <w:rFonts w:ascii="Arial" w:cs="Arial" w:eastAsia="Arial" w:hAnsi="Arial"/>
                <w:sz w:val="12"/>
                <w:szCs w:val="12"/>
                <w:color w:val="auto"/>
              </w:rPr>
              <w:t>Segment</w:t>
            </w:r>
          </w:p>
        </w:tc>
        <w:tc>
          <w:tcPr>
            <w:tcW w:w="2020" w:type="dxa"/>
            <w:vAlign w:val="bottom"/>
            <w:shd w:val="clear" w:color="auto" w:fill="D8D1C9"/>
          </w:tcPr>
          <w:p>
            <w:pPr>
              <w:ind w:left="200"/>
              <w:spacing w:after="0"/>
              <w:rPr>
                <w:sz w:val="20"/>
                <w:szCs w:val="20"/>
                <w:color w:val="auto"/>
              </w:rPr>
            </w:pPr>
            <w:r>
              <w:rPr>
                <w:rFonts w:ascii="Arial" w:cs="Arial" w:eastAsia="Arial" w:hAnsi="Arial"/>
                <w:sz w:val="12"/>
                <w:szCs w:val="12"/>
                <w:color w:val="auto"/>
              </w:rPr>
              <w:t>Name</w:t>
            </w:r>
          </w:p>
        </w:tc>
        <w:tc>
          <w:tcPr>
            <w:tcW w:w="2080" w:type="dxa"/>
            <w:vAlign w:val="bottom"/>
            <w:shd w:val="clear" w:color="auto" w:fill="D8D1C9"/>
          </w:tcPr>
          <w:p>
            <w:pPr>
              <w:jc w:val="right"/>
              <w:ind w:right="938"/>
              <w:spacing w:after="0"/>
              <w:rPr>
                <w:sz w:val="20"/>
                <w:szCs w:val="20"/>
                <w:color w:val="auto"/>
              </w:rPr>
            </w:pPr>
            <w:r>
              <w:rPr>
                <w:rFonts w:ascii="Arial" w:cs="Arial" w:eastAsia="Arial" w:hAnsi="Arial"/>
                <w:sz w:val="12"/>
                <w:szCs w:val="12"/>
                <w:color w:val="auto"/>
              </w:rPr>
              <w:t>Description</w:t>
            </w:r>
          </w:p>
        </w:tc>
        <w:tc>
          <w:tcPr>
            <w:tcW w:w="1360" w:type="dxa"/>
            <w:vAlign w:val="bottom"/>
            <w:shd w:val="clear" w:color="auto" w:fill="D8D1C9"/>
          </w:tcPr>
          <w:p>
            <w:pPr>
              <w:jc w:val="right"/>
              <w:ind w:right="478"/>
              <w:spacing w:after="0"/>
              <w:rPr>
                <w:sz w:val="20"/>
                <w:szCs w:val="20"/>
                <w:color w:val="auto"/>
              </w:rPr>
            </w:pPr>
            <w:r>
              <w:rPr>
                <w:rFonts w:ascii="Arial" w:cs="Arial" w:eastAsia="Arial" w:hAnsi="Arial"/>
                <w:sz w:val="12"/>
                <w:szCs w:val="12"/>
                <w:color w:val="auto"/>
              </w:rPr>
              <w:t>incorporation</w:t>
            </w:r>
          </w:p>
        </w:tc>
        <w:tc>
          <w:tcPr>
            <w:tcW w:w="120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Shell interest</w:t>
            </w:r>
            <w:r>
              <w:rPr>
                <w:rFonts w:ascii="Arial" w:cs="Arial" w:eastAsia="Arial" w:hAnsi="Arial"/>
                <w:sz w:val="10"/>
                <w:szCs w:val="10"/>
                <w:color w:val="auto"/>
              </w:rPr>
              <w:t>[A]</w:t>
            </w:r>
          </w:p>
        </w:tc>
        <w:tc>
          <w:tcPr>
            <w:tcW w:w="1020" w:type="dxa"/>
            <w:vAlign w:val="bottom"/>
            <w:shd w:val="clear" w:color="auto" w:fill="D8D1C9"/>
          </w:tcPr>
          <w:p>
            <w:pPr>
              <w:jc w:val="right"/>
              <w:ind w:right="118"/>
              <w:spacing w:after="0"/>
              <w:rPr>
                <w:sz w:val="20"/>
                <w:szCs w:val="20"/>
                <w:color w:val="auto"/>
              </w:rPr>
            </w:pPr>
            <w:r>
              <w:rPr>
                <w:rFonts w:ascii="Arial" w:cs="Arial" w:eastAsia="Arial" w:hAnsi="Arial"/>
                <w:sz w:val="12"/>
                <w:szCs w:val="12"/>
                <w:color w:val="auto"/>
              </w:rPr>
              <w:t>($ million)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780" w:type="dxa"/>
            <w:vAlign w:val="bottom"/>
          </w:tcPr>
          <w:p>
            <w:pPr>
              <w:spacing w:after="0"/>
              <w:rPr>
                <w:sz w:val="20"/>
                <w:szCs w:val="20"/>
                <w:color w:val="auto"/>
              </w:rPr>
            </w:pPr>
            <w:r>
              <w:rPr>
                <w:rFonts w:ascii="Arial" w:cs="Arial" w:eastAsia="Arial" w:hAnsi="Arial"/>
                <w:sz w:val="12"/>
                <w:szCs w:val="12"/>
                <w:color w:val="auto"/>
              </w:rPr>
              <w:t>Exploration &amp; Production</w:t>
            </w:r>
          </w:p>
        </w:tc>
        <w:tc>
          <w:tcPr>
            <w:tcW w:w="2020" w:type="dxa"/>
            <w:vAlign w:val="bottom"/>
            <w:vMerge w:val="restart"/>
          </w:tcPr>
          <w:p>
            <w:pPr>
              <w:ind w:left="200"/>
              <w:spacing w:after="0"/>
              <w:rPr>
                <w:sz w:val="20"/>
                <w:szCs w:val="20"/>
                <w:color w:val="auto"/>
              </w:rPr>
            </w:pPr>
            <w:r>
              <w:rPr>
                <w:rFonts w:ascii="Arial" w:cs="Arial" w:eastAsia="Arial" w:hAnsi="Arial"/>
                <w:sz w:val="12"/>
                <w:szCs w:val="12"/>
                <w:color w:val="auto"/>
              </w:rPr>
              <w:t>Aera</w:t>
            </w:r>
          </w:p>
        </w:tc>
        <w:tc>
          <w:tcPr>
            <w:tcW w:w="2080" w:type="dxa"/>
            <w:vAlign w:val="bottom"/>
            <w:vMerge w:val="restart"/>
          </w:tcPr>
          <w:p>
            <w:pPr>
              <w:jc w:val="right"/>
              <w:ind w:right="18"/>
              <w:spacing w:after="0"/>
              <w:rPr>
                <w:sz w:val="20"/>
                <w:szCs w:val="20"/>
                <w:color w:val="auto"/>
              </w:rPr>
            </w:pPr>
            <w:r>
              <w:rPr>
                <w:rFonts w:ascii="Arial" w:cs="Arial" w:eastAsia="Arial" w:hAnsi="Arial"/>
                <w:sz w:val="12"/>
                <w:szCs w:val="12"/>
                <w:color w:val="auto"/>
              </w:rPr>
              <w:t>Jointly controlled entity</w:t>
            </w:r>
          </w:p>
        </w:tc>
        <w:tc>
          <w:tcPr>
            <w:tcW w:w="1360" w:type="dxa"/>
            <w:vAlign w:val="bottom"/>
            <w:vMerge w:val="restart"/>
          </w:tcPr>
          <w:p>
            <w:pPr>
              <w:jc w:val="right"/>
              <w:ind w:right="38"/>
              <w:spacing w:after="0"/>
              <w:rPr>
                <w:sz w:val="20"/>
                <w:szCs w:val="20"/>
                <w:color w:val="auto"/>
              </w:rPr>
            </w:pPr>
            <w:r>
              <w:rPr>
                <w:rFonts w:ascii="Arial" w:cs="Arial" w:eastAsia="Arial" w:hAnsi="Arial"/>
                <w:sz w:val="12"/>
                <w:szCs w:val="12"/>
                <w:color w:val="auto"/>
              </w:rPr>
              <w:t>USA</w:t>
            </w:r>
          </w:p>
        </w:tc>
        <w:tc>
          <w:tcPr>
            <w:tcW w:w="1200" w:type="dxa"/>
            <w:vAlign w:val="bottom"/>
            <w:vMerge w:val="restart"/>
          </w:tcPr>
          <w:p>
            <w:pPr>
              <w:jc w:val="right"/>
              <w:ind w:right="98"/>
              <w:spacing w:after="0"/>
              <w:rPr>
                <w:sz w:val="20"/>
                <w:szCs w:val="20"/>
                <w:color w:val="auto"/>
              </w:rPr>
            </w:pPr>
            <w:r>
              <w:rPr>
                <w:rFonts w:ascii="Arial" w:cs="Arial" w:eastAsia="Arial" w:hAnsi="Arial"/>
                <w:sz w:val="12"/>
                <w:szCs w:val="12"/>
                <w:color w:val="auto"/>
              </w:rPr>
              <w:t>52%</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20" w:type="dxa"/>
            <w:vAlign w:val="bottom"/>
            <w:vMerge w:val="continue"/>
          </w:tcPr>
          <w:p>
            <w:pPr>
              <w:spacing w:after="0"/>
              <w:rPr>
                <w:sz w:val="9"/>
                <w:szCs w:val="9"/>
                <w:color w:val="auto"/>
              </w:rPr>
            </w:pPr>
          </w:p>
        </w:tc>
        <w:tc>
          <w:tcPr>
            <w:tcW w:w="20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Brunei Shell</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Brunei</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NAM</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The Netherlands</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Sakhalin Energy</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Associated company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Bermuda</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28%</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Woodside</w:t>
            </w:r>
          </w:p>
        </w:tc>
        <w:tc>
          <w:tcPr>
            <w:tcW w:w="20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Associated company</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Australia</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34%</w:t>
            </w: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10,462</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rPr>
                <w:sz w:val="20"/>
                <w:szCs w:val="20"/>
                <w:color w:val="auto"/>
              </w:rPr>
            </w:pPr>
            <w:r>
              <w:rPr>
                <w:rFonts w:ascii="Arial" w:cs="Arial" w:eastAsia="Arial" w:hAnsi="Arial"/>
                <w:sz w:val="12"/>
                <w:szCs w:val="12"/>
                <w:color w:val="auto"/>
              </w:rPr>
              <w:t>Gas &amp; Power</w:t>
            </w:r>
          </w:p>
        </w:tc>
        <w:tc>
          <w:tcPr>
            <w:tcW w:w="2020" w:type="dxa"/>
            <w:vAlign w:val="bottom"/>
            <w:vMerge w:val="restart"/>
          </w:tcPr>
          <w:p>
            <w:pPr>
              <w:ind w:left="200"/>
              <w:spacing w:after="0"/>
              <w:rPr>
                <w:sz w:val="20"/>
                <w:szCs w:val="20"/>
                <w:color w:val="auto"/>
              </w:rPr>
            </w:pPr>
            <w:r>
              <w:rPr>
                <w:rFonts w:ascii="Arial" w:cs="Arial" w:eastAsia="Arial" w:hAnsi="Arial"/>
                <w:sz w:val="12"/>
                <w:szCs w:val="12"/>
                <w:color w:val="auto"/>
              </w:rPr>
              <w:t>Nigeria LNG</w:t>
            </w:r>
          </w:p>
        </w:tc>
        <w:tc>
          <w:tcPr>
            <w:tcW w:w="2080" w:type="dxa"/>
            <w:vAlign w:val="bottom"/>
            <w:vMerge w:val="restart"/>
          </w:tcPr>
          <w:p>
            <w:pPr>
              <w:jc w:val="right"/>
              <w:ind w:right="18"/>
              <w:spacing w:after="0"/>
              <w:rPr>
                <w:sz w:val="20"/>
                <w:szCs w:val="20"/>
                <w:color w:val="auto"/>
              </w:rPr>
            </w:pPr>
            <w:r>
              <w:rPr>
                <w:rFonts w:ascii="Arial" w:cs="Arial" w:eastAsia="Arial" w:hAnsi="Arial"/>
                <w:sz w:val="12"/>
                <w:szCs w:val="12"/>
                <w:color w:val="auto"/>
              </w:rPr>
              <w:t>Associated company</w:t>
            </w:r>
          </w:p>
        </w:tc>
        <w:tc>
          <w:tcPr>
            <w:tcW w:w="1360" w:type="dxa"/>
            <w:vAlign w:val="bottom"/>
            <w:vMerge w:val="restart"/>
          </w:tcPr>
          <w:p>
            <w:pPr>
              <w:jc w:val="right"/>
              <w:ind w:right="38"/>
              <w:spacing w:after="0"/>
              <w:rPr>
                <w:sz w:val="20"/>
                <w:szCs w:val="20"/>
                <w:color w:val="auto"/>
              </w:rPr>
            </w:pPr>
            <w:r>
              <w:rPr>
                <w:rFonts w:ascii="Arial" w:cs="Arial" w:eastAsia="Arial" w:hAnsi="Arial"/>
                <w:sz w:val="12"/>
                <w:szCs w:val="12"/>
                <w:color w:val="auto"/>
              </w:rPr>
              <w:t>Nigeria</w:t>
            </w:r>
          </w:p>
        </w:tc>
        <w:tc>
          <w:tcPr>
            <w:tcW w:w="1200" w:type="dxa"/>
            <w:vAlign w:val="bottom"/>
            <w:vMerge w:val="restart"/>
          </w:tcPr>
          <w:p>
            <w:pPr>
              <w:jc w:val="right"/>
              <w:ind w:right="98"/>
              <w:spacing w:after="0"/>
              <w:rPr>
                <w:sz w:val="20"/>
                <w:szCs w:val="20"/>
                <w:color w:val="auto"/>
              </w:rPr>
            </w:pPr>
            <w:r>
              <w:rPr>
                <w:rFonts w:ascii="Arial" w:cs="Arial" w:eastAsia="Arial" w:hAnsi="Arial"/>
                <w:sz w:val="12"/>
                <w:szCs w:val="12"/>
                <w:color w:val="auto"/>
              </w:rPr>
              <w:t>26%</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Oman LNG</w:t>
            </w:r>
          </w:p>
        </w:tc>
        <w:tc>
          <w:tcPr>
            <w:tcW w:w="20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Associated company</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Oman</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30%</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rPr>
                <w:sz w:val="20"/>
                <w:szCs w:val="20"/>
                <w:color w:val="auto"/>
              </w:rPr>
            </w:pPr>
            <w:r>
              <w:rPr>
                <w:rFonts w:ascii="Arial" w:cs="Arial" w:eastAsia="Arial" w:hAnsi="Arial"/>
                <w:sz w:val="12"/>
                <w:szCs w:val="12"/>
                <w:color w:val="auto"/>
              </w:rPr>
              <w:t>Oil Products</w:t>
            </w:r>
          </w:p>
        </w:tc>
        <w:tc>
          <w:tcPr>
            <w:tcW w:w="2020" w:type="dxa"/>
            <w:vAlign w:val="bottom"/>
            <w:vMerge w:val="restart"/>
          </w:tcPr>
          <w:p>
            <w:pPr>
              <w:ind w:left="200"/>
              <w:spacing w:after="0"/>
              <w:rPr>
                <w:sz w:val="20"/>
                <w:szCs w:val="20"/>
                <w:color w:val="auto"/>
              </w:rPr>
            </w:pPr>
            <w:r>
              <w:rPr>
                <w:rFonts w:ascii="Arial" w:cs="Arial" w:eastAsia="Arial" w:hAnsi="Arial"/>
                <w:sz w:val="12"/>
                <w:szCs w:val="12"/>
                <w:color w:val="auto"/>
              </w:rPr>
              <w:t>Deer Park</w:t>
            </w:r>
          </w:p>
        </w:tc>
        <w:tc>
          <w:tcPr>
            <w:tcW w:w="2080" w:type="dxa"/>
            <w:vAlign w:val="bottom"/>
            <w:vMerge w:val="restart"/>
          </w:tcPr>
          <w:p>
            <w:pPr>
              <w:jc w:val="right"/>
              <w:ind w:right="18"/>
              <w:spacing w:after="0"/>
              <w:rPr>
                <w:sz w:val="20"/>
                <w:szCs w:val="20"/>
                <w:color w:val="auto"/>
              </w:rPr>
            </w:pPr>
            <w:r>
              <w:rPr>
                <w:rFonts w:ascii="Arial" w:cs="Arial" w:eastAsia="Arial" w:hAnsi="Arial"/>
                <w:sz w:val="12"/>
                <w:szCs w:val="12"/>
                <w:color w:val="auto"/>
              </w:rPr>
              <w:t>Jointly controlled entity</w:t>
            </w:r>
          </w:p>
        </w:tc>
        <w:tc>
          <w:tcPr>
            <w:tcW w:w="1360" w:type="dxa"/>
            <w:vAlign w:val="bottom"/>
            <w:vMerge w:val="restart"/>
          </w:tcPr>
          <w:p>
            <w:pPr>
              <w:jc w:val="right"/>
              <w:ind w:right="38"/>
              <w:spacing w:after="0"/>
              <w:rPr>
                <w:sz w:val="20"/>
                <w:szCs w:val="20"/>
                <w:color w:val="auto"/>
              </w:rPr>
            </w:pPr>
            <w:r>
              <w:rPr>
                <w:rFonts w:ascii="Arial" w:cs="Arial" w:eastAsia="Arial" w:hAnsi="Arial"/>
                <w:sz w:val="12"/>
                <w:szCs w:val="12"/>
                <w:color w:val="auto"/>
              </w:rPr>
              <w:t>USA</w:t>
            </w:r>
          </w:p>
        </w:tc>
        <w:tc>
          <w:tcPr>
            <w:tcW w:w="1200" w:type="dxa"/>
            <w:vAlign w:val="bottom"/>
            <w:vMerge w:val="restart"/>
          </w:tcPr>
          <w:p>
            <w:pPr>
              <w:jc w:val="right"/>
              <w:ind w:right="98"/>
              <w:spacing w:after="0"/>
              <w:rPr>
                <w:sz w:val="20"/>
                <w:szCs w:val="20"/>
                <w:color w:val="auto"/>
              </w:rPr>
            </w:pPr>
            <w:r>
              <w:rPr>
                <w:rFonts w:ascii="Arial" w:cs="Arial" w:eastAsia="Arial" w:hAnsi="Arial"/>
                <w:sz w:val="12"/>
                <w:szCs w:val="12"/>
                <w:color w:val="auto"/>
              </w:rPr>
              <w:t>50%</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Motiva</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USA</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Saudi Arabia Refinery</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Saudi Arabia</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Showa Shell</w:t>
            </w:r>
          </w:p>
        </w:tc>
        <w:tc>
          <w:tcPr>
            <w:tcW w:w="20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Associated company</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Japan</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35%</w:t>
            </w: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1,461</w:t>
            </w: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rPr>
                <w:sz w:val="20"/>
                <w:szCs w:val="20"/>
                <w:color w:val="auto"/>
              </w:rPr>
            </w:pPr>
            <w:r>
              <w:rPr>
                <w:rFonts w:ascii="Arial" w:cs="Arial" w:eastAsia="Arial" w:hAnsi="Arial"/>
                <w:sz w:val="12"/>
                <w:szCs w:val="12"/>
                <w:color w:val="auto"/>
              </w:rPr>
              <w:t>Chemicals</w:t>
            </w:r>
          </w:p>
        </w:tc>
        <w:tc>
          <w:tcPr>
            <w:tcW w:w="2020" w:type="dxa"/>
            <w:vAlign w:val="bottom"/>
            <w:vMerge w:val="restart"/>
          </w:tcPr>
          <w:p>
            <w:pPr>
              <w:ind w:left="200"/>
              <w:spacing w:after="0"/>
              <w:rPr>
                <w:sz w:val="20"/>
                <w:szCs w:val="20"/>
                <w:color w:val="auto"/>
              </w:rPr>
            </w:pPr>
            <w:r>
              <w:rPr>
                <w:rFonts w:ascii="Arial" w:cs="Arial" w:eastAsia="Arial" w:hAnsi="Arial"/>
                <w:sz w:val="12"/>
                <w:szCs w:val="12"/>
                <w:color w:val="auto"/>
              </w:rPr>
              <w:t>CNOOC and Shell</w:t>
            </w:r>
          </w:p>
        </w:tc>
        <w:tc>
          <w:tcPr>
            <w:tcW w:w="2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2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Petrochemicals (Nanhai)</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China</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20" w:type="dxa"/>
            <w:vAlign w:val="bottom"/>
          </w:tcPr>
          <w:p>
            <w:pPr>
              <w:ind w:left="200"/>
              <w:spacing w:after="0" w:line="133" w:lineRule="exact"/>
              <w:rPr>
                <w:sz w:val="20"/>
                <w:szCs w:val="20"/>
                <w:color w:val="auto"/>
              </w:rPr>
            </w:pPr>
            <w:r>
              <w:rPr>
                <w:rFonts w:ascii="Arial" w:cs="Arial" w:eastAsia="Arial" w:hAnsi="Arial"/>
                <w:sz w:val="12"/>
                <w:szCs w:val="12"/>
                <w:color w:val="auto"/>
              </w:rPr>
              <w:t>Infineum</w:t>
            </w:r>
          </w:p>
        </w:tc>
        <w:tc>
          <w:tcPr>
            <w:tcW w:w="20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Jointly controlled entity</w:t>
            </w:r>
          </w:p>
        </w:tc>
        <w:tc>
          <w:tcPr>
            <w:tcW w:w="13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The Netherlands</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Saudi Petrochemical</w:t>
            </w:r>
          </w:p>
        </w:tc>
        <w:tc>
          <w:tcPr>
            <w:tcW w:w="20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Jointly controlled entity</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Saudi Arabia</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50%</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60" w:hanging="253"/>
        <w:spacing w:after="0"/>
        <w:tabs>
          <w:tab w:leader="none" w:pos="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To the nearest whole number.</w:t>
      </w:r>
    </w:p>
    <w:p>
      <w:pPr>
        <w:ind w:left="260" w:right="180" w:hanging="253"/>
        <w:spacing w:after="0" w:line="249" w:lineRule="auto"/>
        <w:tabs>
          <w:tab w:leader="none" w:pos="26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This represents the unit share price on December 31, 2007, multiplied by the number of shares held by subsidiaries, for those associated companies which are listed on a recognised stock exchange.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All shareholdings in the above entities are in ordinary shares or the equivalent.</w:t>
      </w:r>
    </w:p>
    <w:p>
      <w:pPr>
        <w:spacing w:after="0" w:line="200" w:lineRule="exact"/>
        <w:rPr>
          <w:sz w:val="20"/>
          <w:szCs w:val="20"/>
          <w:color w:val="auto"/>
        </w:rPr>
      </w:pPr>
    </w:p>
    <w:p>
      <w:pPr>
        <w:sectPr>
          <w:pgSz w:w="11900" w:h="16838" w:orient="portrait"/>
          <w:cols w:equalWidth="0" w:num="2">
            <w:col w:w="1360" w:space="580"/>
            <w:col w:w="948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134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40" w:name="page141"/>
    <w:bookmarkEnd w:id="140"/>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13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7DD1E1"/>
        </w:rPr>
        <w:t>14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rPr>
          <w:sz w:val="20"/>
          <w:szCs w:val="20"/>
          <w:color w:val="auto"/>
        </w:rPr>
      </w:pPr>
      <w:r>
        <w:rPr>
          <w:rFonts w:ascii="Arial" w:cs="Arial" w:eastAsia="Arial" w:hAnsi="Arial"/>
          <w:sz w:val="14"/>
          <w:szCs w:val="14"/>
          <w:b w:val="1"/>
          <w:bCs w:val="1"/>
          <w:color w:val="auto"/>
        </w:rPr>
        <w:t>FINANCIAL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Although Shell has a 52% investment in Aera, the governing agreements and constitutive documents for this entity do not allow Shell to control this entity as voting control is either split 50:50 between the shareholders or requires unanimous approval of the shareholders or their representatives and, therefore, this entity has not been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-287655</wp:posOffset>
            </wp:positionV>
            <wp:extent cx="8255" cy="17170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1717040"/>
                    </a:xfrm>
                    <a:prstGeom prst="rect">
                      <a:avLst/>
                    </a:prstGeom>
                    <a:noFill/>
                  </pic:spPr>
                </pic:pic>
              </a:graphicData>
            </a:graphic>
          </wp:anchor>
        </w:drawing>
        <w:drawing>
          <wp:anchor simplePos="0" relativeHeight="251657728" behindDoc="1" locked="0" layoutInCell="0" allowOverlap="1">
            <wp:simplePos x="0" y="0"/>
            <wp:positionH relativeFrom="column">
              <wp:posOffset>5711825</wp:posOffset>
            </wp:positionH>
            <wp:positionV relativeFrom="paragraph">
              <wp:posOffset>-152400</wp:posOffset>
            </wp:positionV>
            <wp:extent cx="282575" cy="7764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82575" cy="7764145"/>
                    </a:xfrm>
                    <a:prstGeom prst="rect">
                      <a:avLst/>
                    </a:prstGeom>
                    <a:noFill/>
                  </pic:spPr>
                </pic:pic>
              </a:graphicData>
            </a:graphic>
          </wp:anchor>
        </w:drawing>
      </w:r>
    </w:p>
    <w:p>
      <w:pPr>
        <w:spacing w:after="0" w:line="53" w:lineRule="exact"/>
        <w:rPr>
          <w:sz w:val="20"/>
          <w:szCs w:val="20"/>
          <w:color w:val="auto"/>
        </w:rPr>
      </w:pPr>
    </w:p>
    <w:p>
      <w:pPr>
        <w:ind w:right="560"/>
        <w:spacing w:after="0" w:line="377" w:lineRule="auto"/>
        <w:rPr>
          <w:sz w:val="20"/>
          <w:szCs w:val="20"/>
          <w:color w:val="auto"/>
        </w:rPr>
      </w:pPr>
      <w:r>
        <w:rPr>
          <w:rFonts w:ascii="Arial" w:cs="Arial" w:eastAsia="Arial" w:hAnsi="Arial"/>
          <w:sz w:val="14"/>
          <w:szCs w:val="14"/>
          <w:color w:val="auto"/>
        </w:rPr>
        <w:t xml:space="preserve">Subsidiaries have other major Exploration &amp; Production and Oil Sands joint venture activities which operate as jointly controlled assets. </w:t>
      </w:r>
      <w:r>
        <w:rPr>
          <w:rFonts w:ascii="Arial" w:cs="Arial" w:eastAsia="Arial" w:hAnsi="Arial"/>
          <w:sz w:val="14"/>
          <w:szCs w:val="14"/>
          <w:b w:val="1"/>
          <w:bCs w:val="1"/>
          <w:color w:val="auto"/>
        </w:rPr>
        <w:t>[C] TRANSACTIONS BETWEEN SUBSIDIARIES AND EQUITY-ACCOUNTED INVESTMENTS</w:t>
      </w:r>
    </w:p>
    <w:p>
      <w:pPr>
        <w:ind w:right="140"/>
        <w:spacing w:after="0" w:line="247" w:lineRule="auto"/>
        <w:rPr>
          <w:sz w:val="20"/>
          <w:szCs w:val="20"/>
          <w:color w:val="auto"/>
        </w:rPr>
      </w:pPr>
      <w:r>
        <w:rPr>
          <w:rFonts w:ascii="Arial" w:cs="Arial" w:eastAsia="Arial" w:hAnsi="Arial"/>
          <w:sz w:val="14"/>
          <w:szCs w:val="14"/>
          <w:color w:val="auto"/>
        </w:rPr>
        <w:t>Transactions between subsidiaries and equity-accounted investments mainly comprise sales and purchases of goods and services in the ordinary course of business and in total amounted to:</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740" w:type="dxa"/>
            <w:vAlign w:val="bottom"/>
            <w:shd w:val="clear" w:color="auto" w:fill="7DD1E1"/>
          </w:tcPr>
          <w:p>
            <w:pPr>
              <w:spacing w:after="0"/>
              <w:rPr>
                <w:sz w:val="12"/>
                <w:szCs w:val="12"/>
                <w:color w:val="auto"/>
              </w:rPr>
            </w:pPr>
          </w:p>
        </w:tc>
        <w:tc>
          <w:tcPr>
            <w:tcW w:w="600" w:type="dxa"/>
            <w:vAlign w:val="bottom"/>
            <w:shd w:val="clear" w:color="auto" w:fill="7DD1E1"/>
          </w:tcPr>
          <w:p>
            <w:pPr>
              <w:spacing w:after="0"/>
              <w:rPr>
                <w:sz w:val="12"/>
                <w:szCs w:val="12"/>
                <w:color w:val="auto"/>
              </w:rPr>
            </w:pPr>
          </w:p>
        </w:tc>
        <w:tc>
          <w:tcPr>
            <w:tcW w:w="1140" w:type="dxa"/>
            <w:vAlign w:val="bottom"/>
            <w:shd w:val="clear" w:color="auto" w:fill="7DD1E1"/>
          </w:tcPr>
          <w:p>
            <w:pPr>
              <w:spacing w:after="0"/>
              <w:rPr>
                <w:sz w:val="12"/>
                <w:szCs w:val="12"/>
                <w:color w:val="auto"/>
              </w:rPr>
            </w:pPr>
          </w:p>
        </w:tc>
        <w:tc>
          <w:tcPr>
            <w:tcW w:w="82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5740" w:type="dxa"/>
            <w:vAlign w:val="bottom"/>
            <w:shd w:val="clear" w:color="auto" w:fill="D8D1C9"/>
          </w:tcPr>
          <w:p>
            <w:pPr>
              <w:spacing w:after="0"/>
              <w:rPr>
                <w:sz w:val="11"/>
                <w:szCs w:val="11"/>
                <w:color w:val="auto"/>
              </w:rPr>
            </w:pPr>
          </w:p>
        </w:tc>
        <w:tc>
          <w:tcPr>
            <w:tcW w:w="6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2007</w:t>
            </w:r>
          </w:p>
        </w:tc>
        <w:tc>
          <w:tcPr>
            <w:tcW w:w="1140" w:type="dxa"/>
            <w:vAlign w:val="bottom"/>
            <w:shd w:val="clear" w:color="auto" w:fill="D8D1C9"/>
          </w:tcPr>
          <w:p>
            <w:pPr>
              <w:jc w:val="right"/>
              <w:ind w:right="178"/>
              <w:spacing w:after="0" w:line="128" w:lineRule="exact"/>
              <w:rPr>
                <w:sz w:val="20"/>
                <w:szCs w:val="20"/>
                <w:color w:val="auto"/>
              </w:rPr>
            </w:pPr>
            <w:r>
              <w:rPr>
                <w:rFonts w:ascii="Arial" w:cs="Arial" w:eastAsia="Arial" w:hAnsi="Arial"/>
                <w:sz w:val="12"/>
                <w:szCs w:val="12"/>
                <w:color w:val="auto"/>
              </w:rPr>
              <w:t>2006</w:t>
            </w:r>
          </w:p>
        </w:tc>
        <w:tc>
          <w:tcPr>
            <w:tcW w:w="82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2005</w:t>
            </w:r>
          </w:p>
        </w:tc>
      </w:tr>
      <w:tr>
        <w:trPr>
          <w:trHeight w:val="127"/>
        </w:trPr>
        <w:tc>
          <w:tcPr>
            <w:tcW w:w="5740" w:type="dxa"/>
            <w:vAlign w:val="bottom"/>
          </w:tcPr>
          <w:p>
            <w:pPr>
              <w:ind w:left="20"/>
              <w:spacing w:after="0" w:line="128" w:lineRule="exact"/>
              <w:rPr>
                <w:sz w:val="20"/>
                <w:szCs w:val="20"/>
                <w:color w:val="auto"/>
              </w:rPr>
            </w:pPr>
            <w:r>
              <w:rPr>
                <w:rFonts w:ascii="Arial" w:cs="Arial" w:eastAsia="Arial" w:hAnsi="Arial"/>
                <w:sz w:val="12"/>
                <w:szCs w:val="12"/>
                <w:color w:val="auto"/>
              </w:rPr>
              <w:t>Charges to equity-accounted investments</w:t>
            </w:r>
          </w:p>
        </w:tc>
        <w:tc>
          <w:tcPr>
            <w:tcW w:w="6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30,974</w:t>
            </w:r>
          </w:p>
        </w:tc>
        <w:tc>
          <w:tcPr>
            <w:tcW w:w="11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25,815</w:t>
            </w:r>
          </w:p>
        </w:tc>
        <w:tc>
          <w:tcPr>
            <w:tcW w:w="8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22,122</w:t>
            </w:r>
          </w:p>
        </w:tc>
      </w:tr>
      <w:tr>
        <w:trPr>
          <w:trHeight w:val="14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Charges from equity-accounted investments</w:t>
            </w:r>
          </w:p>
        </w:tc>
        <w:tc>
          <w:tcPr>
            <w:tcW w:w="60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highlight w:val="lightGray"/>
              </w:rPr>
              <w:t>28,244</w:t>
            </w:r>
          </w:p>
        </w:tc>
        <w:tc>
          <w:tcPr>
            <w:tcW w:w="11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21,820</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19,266</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Balances outstanding at December 31, 2007, and 2006 in respect of the above transactions are shown in Notes 17 and 24.</w:t>
      </w:r>
    </w:p>
    <w:p>
      <w:pPr>
        <w:spacing w:after="0" w:line="9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Guarantees issued by subsidiaries in respect of equity-accounted investments were $0.6 billion at December 31, 2007, (2006: $2.0 billion), mainly relating to project finance debt.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300" w:type="dxa"/>
            <w:vAlign w:val="bottom"/>
            <w:shd w:val="clear" w:color="auto" w:fill="7DD1E1"/>
          </w:tcPr>
          <w:p>
            <w:pPr>
              <w:spacing w:after="0"/>
              <w:rPr>
                <w:sz w:val="12"/>
                <w:szCs w:val="12"/>
                <w:color w:val="auto"/>
              </w:rPr>
            </w:pPr>
          </w:p>
        </w:tc>
        <w:tc>
          <w:tcPr>
            <w:tcW w:w="800" w:type="dxa"/>
            <w:vAlign w:val="bottom"/>
            <w:shd w:val="clear" w:color="auto" w:fill="7DD1E1"/>
          </w:tcPr>
          <w:p>
            <w:pPr>
              <w:spacing w:after="0"/>
              <w:rPr>
                <w:sz w:val="12"/>
                <w:szCs w:val="12"/>
                <w:color w:val="auto"/>
              </w:rPr>
            </w:pPr>
          </w:p>
        </w:tc>
        <w:tc>
          <w:tcPr>
            <w:tcW w:w="120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300" w:type="dxa"/>
            <w:vAlign w:val="bottom"/>
            <w:shd w:val="clear" w:color="auto" w:fill="D8D1C9"/>
          </w:tcPr>
          <w:p>
            <w:pPr>
              <w:spacing w:after="0"/>
              <w:rPr>
                <w:sz w:val="11"/>
                <w:szCs w:val="11"/>
                <w:color w:val="auto"/>
              </w:rPr>
            </w:pPr>
          </w:p>
        </w:tc>
        <w:tc>
          <w:tcPr>
            <w:tcW w:w="800" w:type="dxa"/>
            <w:vAlign w:val="bottom"/>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2007</w:t>
            </w:r>
          </w:p>
        </w:tc>
        <w:tc>
          <w:tcPr>
            <w:tcW w:w="1200" w:type="dxa"/>
            <w:vAlign w:val="bottom"/>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6300" w:type="dxa"/>
            <w:vAlign w:val="bottom"/>
          </w:tcPr>
          <w:p>
            <w:pPr>
              <w:ind w:left="20"/>
              <w:spacing w:after="0" w:line="128" w:lineRule="exact"/>
              <w:rPr>
                <w:sz w:val="20"/>
                <w:szCs w:val="20"/>
                <w:color w:val="auto"/>
              </w:rPr>
            </w:pPr>
            <w:r>
              <w:rPr>
                <w:rFonts w:ascii="Arial" w:cs="Arial" w:eastAsia="Arial" w:hAnsi="Arial"/>
                <w:sz w:val="12"/>
                <w:szCs w:val="12"/>
                <w:color w:val="auto"/>
              </w:rPr>
              <w:t>Available-for-sale</w:t>
            </w:r>
          </w:p>
        </w:tc>
        <w:tc>
          <w:tcPr>
            <w:tcW w:w="8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3,461</w:t>
            </w:r>
          </w:p>
        </w:tc>
        <w:tc>
          <w:tcPr>
            <w:tcW w:w="12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4,393</w:t>
            </w:r>
          </w:p>
        </w:tc>
      </w:tr>
      <w:tr>
        <w:trPr>
          <w:trHeight w:val="13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Held to maturity</w:t>
            </w:r>
          </w:p>
        </w:tc>
        <w:tc>
          <w:tcPr>
            <w:tcW w:w="80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100</w:t>
            </w:r>
          </w:p>
        </w:tc>
      </w:tr>
      <w:tr>
        <w:trPr>
          <w:trHeight w:val="14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80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3,461</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4,493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-455930</wp:posOffset>
            </wp:positionV>
            <wp:extent cx="8255" cy="13195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131953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Available-for-sale securities at December 31, 2007, comprise $2,526 million of equity securities (2006: $3,924 million) and $935 million of debt</w:t>
      </w:r>
    </w:p>
    <w:p>
      <w:pPr>
        <w:spacing w:after="0" w:line="9" w:lineRule="exact"/>
        <w:rPr>
          <w:sz w:val="20"/>
          <w:szCs w:val="20"/>
          <w:color w:val="auto"/>
        </w:rPr>
      </w:pPr>
    </w:p>
    <w:p>
      <w:pPr>
        <w:ind w:right="320"/>
        <w:spacing w:after="0" w:line="234" w:lineRule="auto"/>
        <w:rPr>
          <w:sz w:val="20"/>
          <w:szCs w:val="20"/>
          <w:color w:val="auto"/>
        </w:rPr>
      </w:pPr>
      <w:r>
        <w:rPr>
          <w:rFonts w:ascii="Arial" w:cs="Arial" w:eastAsia="Arial" w:hAnsi="Arial"/>
          <w:sz w:val="14"/>
          <w:szCs w:val="14"/>
          <w:color w:val="auto"/>
        </w:rPr>
        <w:t>securities (2006: $469 million). This includes a portfolio amounting to $932 million (2006: $1,344 million), required to be held long-term by Shell’s insurance companies as security for their activities. See also Note 29[A].</w:t>
      </w:r>
    </w:p>
    <w:p>
      <w:pPr>
        <w:spacing w:after="0" w:line="74"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Available-for-sale equity securities at December 31, 2007, include $96 million (2006: $298 million) recognised at cost because their fair value cannot be reliably measured since these are unquoted securities with no regular dividend flows.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Of the available-for-sale debt securities at December 31, 2007, the maturities of $117 million (2006: $116 million) fall within one year,</w:t>
      </w:r>
    </w:p>
    <w:p>
      <w:pPr>
        <w:spacing w:after="0"/>
        <w:rPr>
          <w:sz w:val="20"/>
          <w:szCs w:val="20"/>
          <w:color w:val="auto"/>
        </w:rPr>
      </w:pPr>
      <w:r>
        <w:rPr>
          <w:rFonts w:ascii="Arial" w:cs="Arial" w:eastAsia="Arial" w:hAnsi="Arial"/>
          <w:sz w:val="14"/>
          <w:szCs w:val="14"/>
          <w:color w:val="auto"/>
        </w:rPr>
        <w:t>$400 million (2006: $126 million) fall between one year and five years, and $418 million (2006: $227 million) exceed five years.</w:t>
      </w:r>
    </w:p>
    <w:p>
      <w:pPr>
        <w:spacing w:after="0" w:line="200" w:lineRule="exact"/>
        <w:rPr>
          <w:sz w:val="20"/>
          <w:szCs w:val="20"/>
          <w:color w:val="auto"/>
        </w:rPr>
      </w:pPr>
    </w:p>
    <w:p>
      <w:pPr>
        <w:sectPr>
          <w:pgSz w:w="11900" w:h="16838" w:orient="portrait"/>
          <w:cols w:equalWidth="0" w:num="2">
            <w:col w:w="1380" w:space="700"/>
            <w:col w:w="8320"/>
          </w:cols>
          <w:pgMar w:left="240" w:top="415" w:right="125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7DD1E1"/>
        </w:rPr>
        <w:t>15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rPr>
          <w:sz w:val="20"/>
          <w:szCs w:val="20"/>
          <w:color w:val="auto"/>
        </w:rPr>
      </w:pPr>
      <w:r>
        <w:rPr>
          <w:rFonts w:ascii="Arial" w:cs="Arial" w:eastAsia="Arial" w:hAnsi="Arial"/>
          <w:sz w:val="14"/>
          <w:szCs w:val="14"/>
          <w:b w:val="1"/>
          <w:bCs w:val="1"/>
          <w:color w:val="auto"/>
        </w:rPr>
        <w:t>NON-CURRENT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7DD1E1"/>
        </w:rPr>
        <w:t>16</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INVENTORIES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6300" w:type="dxa"/>
            <w:vAlign w:val="bottom"/>
            <w:shd w:val="clear" w:color="auto" w:fill="7DD1E1"/>
          </w:tcPr>
          <w:p>
            <w:pPr>
              <w:spacing w:after="0"/>
              <w:rPr>
                <w:sz w:val="12"/>
                <w:szCs w:val="12"/>
                <w:color w:val="auto"/>
              </w:rPr>
            </w:pPr>
          </w:p>
        </w:tc>
        <w:tc>
          <w:tcPr>
            <w:tcW w:w="800" w:type="dxa"/>
            <w:vAlign w:val="bottom"/>
            <w:shd w:val="clear" w:color="auto" w:fill="7DD1E1"/>
          </w:tcPr>
          <w:p>
            <w:pPr>
              <w:spacing w:after="0"/>
              <w:rPr>
                <w:sz w:val="12"/>
                <w:szCs w:val="12"/>
                <w:color w:val="auto"/>
              </w:rPr>
            </w:pPr>
          </w:p>
        </w:tc>
        <w:tc>
          <w:tcPr>
            <w:tcW w:w="120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300" w:type="dxa"/>
            <w:vAlign w:val="bottom"/>
            <w:shd w:val="clear" w:color="auto" w:fill="D8D1C9"/>
          </w:tcPr>
          <w:p>
            <w:pPr>
              <w:spacing w:after="0"/>
              <w:rPr>
                <w:sz w:val="11"/>
                <w:szCs w:val="11"/>
                <w:color w:val="auto"/>
              </w:rPr>
            </w:pPr>
          </w:p>
        </w:tc>
        <w:tc>
          <w:tcPr>
            <w:tcW w:w="800" w:type="dxa"/>
            <w:vAlign w:val="bottom"/>
            <w:shd w:val="clear" w:color="auto" w:fill="D8D1C9"/>
          </w:tcPr>
          <w:p>
            <w:pPr>
              <w:spacing w:after="0" w:line="128" w:lineRule="exact"/>
              <w:rPr>
                <w:sz w:val="20"/>
                <w:szCs w:val="20"/>
                <w:color w:val="auto"/>
              </w:rPr>
            </w:pPr>
            <w:r>
              <w:rPr>
                <w:rFonts w:ascii="Arial" w:cs="Arial" w:eastAsia="Arial" w:hAnsi="Arial"/>
                <w:sz w:val="12"/>
                <w:szCs w:val="12"/>
                <w:color w:val="auto"/>
              </w:rPr>
              <w:t>Dec 31, 2007</w:t>
            </w:r>
          </w:p>
        </w:tc>
        <w:tc>
          <w:tcPr>
            <w:tcW w:w="1200" w:type="dxa"/>
            <w:vAlign w:val="bottom"/>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6300" w:type="dxa"/>
            <w:vAlign w:val="bottom"/>
          </w:tcPr>
          <w:p>
            <w:pPr>
              <w:ind w:left="20"/>
              <w:spacing w:after="0" w:line="128" w:lineRule="exact"/>
              <w:rPr>
                <w:sz w:val="20"/>
                <w:szCs w:val="20"/>
                <w:color w:val="auto"/>
              </w:rPr>
            </w:pPr>
            <w:r>
              <w:rPr>
                <w:rFonts w:ascii="Arial" w:cs="Arial" w:eastAsia="Arial" w:hAnsi="Arial"/>
                <w:sz w:val="12"/>
                <w:szCs w:val="12"/>
                <w:color w:val="auto"/>
              </w:rPr>
              <w:t>Loans to equity-accounted investments</w:t>
            </w:r>
          </w:p>
        </w:tc>
        <w:tc>
          <w:tcPr>
            <w:tcW w:w="800" w:type="dxa"/>
            <w:vAlign w:val="bottom"/>
            <w:shd w:val="clear" w:color="auto" w:fill="D8D1C9"/>
          </w:tcPr>
          <w:p>
            <w:pPr>
              <w:ind w:left="420"/>
              <w:spacing w:after="0" w:line="128" w:lineRule="exact"/>
              <w:rPr>
                <w:sz w:val="20"/>
                <w:szCs w:val="20"/>
                <w:color w:val="auto"/>
              </w:rPr>
            </w:pPr>
            <w:r>
              <w:rPr>
                <w:rFonts w:ascii="Arial" w:cs="Arial" w:eastAsia="Arial" w:hAnsi="Arial"/>
                <w:sz w:val="12"/>
                <w:szCs w:val="12"/>
                <w:color w:val="auto"/>
              </w:rPr>
              <w:t>1,366</w:t>
            </w:r>
          </w:p>
        </w:tc>
        <w:tc>
          <w:tcPr>
            <w:tcW w:w="12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1,616</w:t>
            </w:r>
          </w:p>
        </w:tc>
      </w:tr>
      <w:tr>
        <w:trPr>
          <w:trHeight w:val="133"/>
        </w:trPr>
        <w:tc>
          <w:tcPr>
            <w:tcW w:w="6300" w:type="dxa"/>
            <w:vAlign w:val="bottom"/>
          </w:tcPr>
          <w:p>
            <w:pPr>
              <w:ind w:left="20"/>
              <w:spacing w:after="0" w:line="133" w:lineRule="exact"/>
              <w:rPr>
                <w:sz w:val="20"/>
                <w:szCs w:val="20"/>
                <w:color w:val="auto"/>
              </w:rPr>
            </w:pPr>
            <w:r>
              <w:rPr>
                <w:rFonts w:ascii="Arial" w:cs="Arial" w:eastAsia="Arial" w:hAnsi="Arial"/>
                <w:sz w:val="12"/>
                <w:szCs w:val="12"/>
                <w:color w:val="auto"/>
              </w:rPr>
              <w:t>Prepayments and deferred charges</w:t>
            </w:r>
          </w:p>
        </w:tc>
        <w:tc>
          <w:tcPr>
            <w:tcW w:w="800" w:type="dxa"/>
            <w:vAlign w:val="bottom"/>
            <w:shd w:val="clear" w:color="auto" w:fill="D8D1C9"/>
          </w:tcPr>
          <w:p>
            <w:pPr>
              <w:ind w:left="420"/>
              <w:spacing w:after="0" w:line="133" w:lineRule="exact"/>
              <w:rPr>
                <w:sz w:val="20"/>
                <w:szCs w:val="20"/>
                <w:color w:val="auto"/>
              </w:rPr>
            </w:pPr>
            <w:r>
              <w:rPr>
                <w:rFonts w:ascii="Arial" w:cs="Arial" w:eastAsia="Arial" w:hAnsi="Arial"/>
                <w:sz w:val="12"/>
                <w:szCs w:val="12"/>
                <w:color w:val="auto"/>
              </w:rPr>
              <w:t>1,620</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1,428</w:t>
            </w:r>
          </w:p>
        </w:tc>
      </w:tr>
      <w:tr>
        <w:trPr>
          <w:trHeight w:val="133"/>
        </w:trPr>
        <w:tc>
          <w:tcPr>
            <w:tcW w:w="6300" w:type="dxa"/>
            <w:vAlign w:val="bottom"/>
          </w:tcPr>
          <w:p>
            <w:pPr>
              <w:ind w:left="20"/>
              <w:spacing w:after="0" w:line="133" w:lineRule="exact"/>
              <w:rPr>
                <w:sz w:val="20"/>
                <w:szCs w:val="20"/>
                <w:color w:val="auto"/>
              </w:rPr>
            </w:pPr>
            <w:r>
              <w:rPr>
                <w:rFonts w:ascii="Arial" w:cs="Arial" w:eastAsia="Arial" w:hAnsi="Arial"/>
                <w:sz w:val="12"/>
                <w:szCs w:val="12"/>
                <w:color w:val="auto"/>
              </w:rPr>
              <w:t>Derivative contracts (see Note 26)</w:t>
            </w:r>
          </w:p>
        </w:tc>
        <w:tc>
          <w:tcPr>
            <w:tcW w:w="800" w:type="dxa"/>
            <w:vAlign w:val="bottom"/>
            <w:shd w:val="clear" w:color="auto" w:fill="D8D1C9"/>
          </w:tcPr>
          <w:p>
            <w:pPr>
              <w:ind w:left="520"/>
              <w:spacing w:after="0" w:line="133" w:lineRule="exact"/>
              <w:rPr>
                <w:sz w:val="20"/>
                <w:szCs w:val="20"/>
                <w:color w:val="auto"/>
              </w:rPr>
            </w:pPr>
            <w:r>
              <w:rPr>
                <w:rFonts w:ascii="Arial" w:cs="Arial" w:eastAsia="Arial" w:hAnsi="Arial"/>
                <w:sz w:val="12"/>
                <w:szCs w:val="12"/>
                <w:color w:val="auto"/>
              </w:rPr>
              <w:t>729</w:t>
            </w:r>
          </w:p>
        </w:tc>
        <w:tc>
          <w:tcPr>
            <w:tcW w:w="12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253</w:t>
            </w:r>
          </w:p>
        </w:tc>
      </w:tr>
      <w:tr>
        <w:trPr>
          <w:trHeight w:val="13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w:t>
            </w:r>
          </w:p>
        </w:tc>
        <w:tc>
          <w:tcPr>
            <w:tcW w:w="800" w:type="dxa"/>
            <w:vAlign w:val="bottom"/>
            <w:tcBorders>
              <w:bottom w:val="single" w:sz="8" w:color="auto"/>
            </w:tcBorders>
            <w:shd w:val="clear" w:color="auto" w:fill="D8D1C9"/>
          </w:tcPr>
          <w:p>
            <w:pPr>
              <w:ind w:left="420"/>
              <w:spacing w:after="0"/>
              <w:rPr>
                <w:sz w:val="20"/>
                <w:szCs w:val="20"/>
                <w:color w:val="auto"/>
              </w:rPr>
            </w:pPr>
            <w:r>
              <w:rPr>
                <w:rFonts w:ascii="Arial" w:cs="Arial" w:eastAsia="Arial" w:hAnsi="Arial"/>
                <w:sz w:val="12"/>
                <w:szCs w:val="12"/>
                <w:color w:val="auto"/>
              </w:rPr>
              <w:t>2,045</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2,171</w:t>
            </w:r>
          </w:p>
        </w:tc>
      </w:tr>
      <w:tr>
        <w:trPr>
          <w:trHeight w:val="14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800" w:type="dxa"/>
            <w:vAlign w:val="bottom"/>
            <w:tcBorders>
              <w:bottom w:val="single" w:sz="8" w:color="auto"/>
            </w:tcBorders>
            <w:shd w:val="clear" w:color="auto" w:fill="D8D1C9"/>
          </w:tcPr>
          <w:p>
            <w:pPr>
              <w:ind w:left="420"/>
              <w:spacing w:after="0"/>
              <w:rPr>
                <w:sz w:val="20"/>
                <w:szCs w:val="20"/>
                <w:color w:val="auto"/>
              </w:rPr>
            </w:pPr>
            <w:r>
              <w:rPr>
                <w:rFonts w:ascii="Arial" w:cs="Arial" w:eastAsia="Arial" w:hAnsi="Arial"/>
                <w:sz w:val="12"/>
                <w:szCs w:val="12"/>
                <w:color w:val="auto"/>
              </w:rPr>
              <w:t>5,760</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-625475</wp:posOffset>
            </wp:positionV>
            <wp:extent cx="8255" cy="9556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95567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included above approximates the carrying amount.</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Other at December 31, 2007, includes $0.3 billion (2006: $0.8 billion) relating to pre-funding arrangements within jointly controlled assets.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300" w:type="dxa"/>
            <w:vAlign w:val="bottom"/>
            <w:shd w:val="clear" w:color="auto" w:fill="7DD1E1"/>
          </w:tcPr>
          <w:p>
            <w:pPr>
              <w:spacing w:after="0"/>
              <w:rPr>
                <w:sz w:val="12"/>
                <w:szCs w:val="12"/>
                <w:color w:val="auto"/>
              </w:rPr>
            </w:pPr>
          </w:p>
        </w:tc>
        <w:tc>
          <w:tcPr>
            <w:tcW w:w="800" w:type="dxa"/>
            <w:vAlign w:val="bottom"/>
            <w:shd w:val="clear" w:color="auto" w:fill="7DD1E1"/>
          </w:tcPr>
          <w:p>
            <w:pPr>
              <w:spacing w:after="0"/>
              <w:rPr>
                <w:sz w:val="12"/>
                <w:szCs w:val="12"/>
                <w:color w:val="auto"/>
              </w:rPr>
            </w:pPr>
          </w:p>
        </w:tc>
        <w:tc>
          <w:tcPr>
            <w:tcW w:w="1200" w:type="dxa"/>
            <w:vAlign w:val="bottom"/>
            <w:shd w:val="clear" w:color="auto" w:fill="7DD1E1"/>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300" w:type="dxa"/>
            <w:vAlign w:val="bottom"/>
            <w:shd w:val="clear" w:color="auto" w:fill="D8D1C9"/>
          </w:tcPr>
          <w:p>
            <w:pPr>
              <w:spacing w:after="0"/>
              <w:rPr>
                <w:sz w:val="11"/>
                <w:szCs w:val="11"/>
                <w:color w:val="auto"/>
              </w:rPr>
            </w:pPr>
          </w:p>
        </w:tc>
        <w:tc>
          <w:tcPr>
            <w:tcW w:w="800" w:type="dxa"/>
            <w:vAlign w:val="bottom"/>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2007</w:t>
            </w:r>
          </w:p>
        </w:tc>
        <w:tc>
          <w:tcPr>
            <w:tcW w:w="1200" w:type="dxa"/>
            <w:vAlign w:val="bottom"/>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6300" w:type="dxa"/>
            <w:vAlign w:val="bottom"/>
          </w:tcPr>
          <w:p>
            <w:pPr>
              <w:ind w:left="20"/>
              <w:spacing w:after="0" w:line="128" w:lineRule="exact"/>
              <w:rPr>
                <w:sz w:val="20"/>
                <w:szCs w:val="20"/>
                <w:color w:val="auto"/>
              </w:rPr>
            </w:pPr>
            <w:r>
              <w:rPr>
                <w:rFonts w:ascii="Arial" w:cs="Arial" w:eastAsia="Arial" w:hAnsi="Arial"/>
                <w:sz w:val="12"/>
                <w:szCs w:val="12"/>
                <w:color w:val="auto"/>
              </w:rPr>
              <w:t>Oil and chemicals</w:t>
            </w:r>
          </w:p>
        </w:tc>
        <w:tc>
          <w:tcPr>
            <w:tcW w:w="8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30,106</w:t>
            </w:r>
          </w:p>
        </w:tc>
        <w:tc>
          <w:tcPr>
            <w:tcW w:w="12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22,020</w:t>
            </w:r>
          </w:p>
        </w:tc>
      </w:tr>
      <w:tr>
        <w:trPr>
          <w:trHeight w:val="13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Materials</w:t>
            </w:r>
          </w:p>
        </w:tc>
        <w:tc>
          <w:tcPr>
            <w:tcW w:w="80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1,397</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1,195</w:t>
            </w:r>
          </w:p>
        </w:tc>
      </w:tr>
      <w:tr>
        <w:trPr>
          <w:trHeight w:val="146"/>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800" w:type="dxa"/>
            <w:vAlign w:val="bottom"/>
            <w:tcBorders>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31,503</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-455930</wp:posOffset>
            </wp:positionV>
            <wp:extent cx="8255" cy="7188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71882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The cost of inventories recognised as expense and included in cost of sales amounted to $260,977 million (2006: $229,548 million; 2005:</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$223,654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1731645</wp:posOffset>
            </wp:positionV>
            <wp:extent cx="7252970"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680" w:space="400"/>
            <w:col w:w="8320"/>
          </w:cols>
          <w:pgMar w:left="240" w:top="415" w:right="1259" w:bottom="1440" w:gutter="0" w:footer="0" w:header="0"/>
          <w:type w:val="continuous"/>
        </w:sectPr>
      </w:pPr>
    </w:p>
    <w:bookmarkStart w:id="141" w:name="page142"/>
    <w:bookmarkEnd w:id="1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CONSOLIDATED FINANCIAL STATEMENTS</w:t>
      </w:r>
    </w:p>
    <w:p>
      <w:pPr>
        <w:sectPr>
          <w:pgSz w:w="11900" w:h="16838" w:orient="portrait"/>
          <w:cols w:equalWidth="0" w:num="1">
            <w:col w:w="11420"/>
          </w:cols>
          <w:pgMar w:left="240" w:top="415"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17</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rPr>
          <w:sz w:val="20"/>
          <w:szCs w:val="20"/>
          <w:color w:val="auto"/>
        </w:rPr>
      </w:pPr>
      <w:r>
        <w:rPr>
          <w:rFonts w:ascii="Arial" w:cs="Arial" w:eastAsia="Arial" w:hAnsi="Arial"/>
          <w:sz w:val="14"/>
          <w:szCs w:val="14"/>
          <w:b w:val="1"/>
          <w:bCs w:val="1"/>
          <w:color w:val="auto"/>
        </w:rPr>
        <w:t>RECEIVABLE</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40" w:type="dxa"/>
            <w:vAlign w:val="bottom"/>
            <w:shd w:val="clear" w:color="auto" w:fill="7DD0E3"/>
          </w:tcPr>
          <w:p>
            <w:pPr>
              <w:spacing w:after="0"/>
              <w:rPr>
                <w:sz w:val="12"/>
                <w:szCs w:val="12"/>
                <w:color w:val="auto"/>
              </w:rPr>
            </w:pPr>
          </w:p>
        </w:tc>
        <w:tc>
          <w:tcPr>
            <w:tcW w:w="2200" w:type="dxa"/>
            <w:vAlign w:val="bottom"/>
            <w:shd w:val="clear" w:color="auto" w:fill="7DD0E3"/>
          </w:tcPr>
          <w:p>
            <w:pPr>
              <w:spacing w:after="0"/>
              <w:rPr>
                <w:sz w:val="12"/>
                <w:szCs w:val="12"/>
                <w:color w:val="auto"/>
              </w:rPr>
            </w:pPr>
          </w:p>
        </w:tc>
        <w:tc>
          <w:tcPr>
            <w:tcW w:w="800" w:type="dxa"/>
            <w:vAlign w:val="bottom"/>
            <w:shd w:val="clear" w:color="auto" w:fill="7DD0E3"/>
          </w:tcPr>
          <w:p>
            <w:pPr>
              <w:spacing w:after="0"/>
              <w:rPr>
                <w:sz w:val="12"/>
                <w:szCs w:val="12"/>
                <w:color w:val="auto"/>
              </w:rPr>
            </w:pPr>
          </w:p>
        </w:tc>
        <w:tc>
          <w:tcPr>
            <w:tcW w:w="12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4840" w:type="dxa"/>
            <w:vAlign w:val="bottom"/>
            <w:shd w:val="clear" w:color="auto" w:fill="D8D1C9"/>
          </w:tcPr>
          <w:p>
            <w:pPr>
              <w:spacing w:after="0"/>
              <w:rPr>
                <w:sz w:val="11"/>
                <w:szCs w:val="11"/>
                <w:color w:val="auto"/>
              </w:rPr>
            </w:pPr>
          </w:p>
        </w:tc>
        <w:tc>
          <w:tcPr>
            <w:tcW w:w="3000" w:type="dxa"/>
            <w:vAlign w:val="bottom"/>
            <w:gridSpan w:val="2"/>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2007</w:t>
            </w:r>
          </w:p>
        </w:tc>
        <w:tc>
          <w:tcPr>
            <w:tcW w:w="126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4840" w:type="dxa"/>
            <w:vAlign w:val="bottom"/>
          </w:tcPr>
          <w:p>
            <w:pPr>
              <w:spacing w:after="0" w:line="128" w:lineRule="exact"/>
              <w:rPr>
                <w:sz w:val="20"/>
                <w:szCs w:val="20"/>
                <w:color w:val="auto"/>
              </w:rPr>
            </w:pPr>
            <w:r>
              <w:rPr>
                <w:rFonts w:ascii="Arial" w:cs="Arial" w:eastAsia="Arial" w:hAnsi="Arial"/>
                <w:sz w:val="12"/>
                <w:szCs w:val="12"/>
                <w:color w:val="auto"/>
              </w:rPr>
              <w:t>Trade receivables</w:t>
            </w:r>
          </w:p>
        </w:tc>
        <w:tc>
          <w:tcPr>
            <w:tcW w:w="2200" w:type="dxa"/>
            <w:vAlign w:val="bottom"/>
          </w:tcPr>
          <w:p>
            <w:pPr>
              <w:spacing w:after="0"/>
              <w:rPr>
                <w:sz w:val="11"/>
                <w:szCs w:val="11"/>
                <w:color w:val="auto"/>
              </w:rPr>
            </w:pPr>
          </w:p>
        </w:tc>
        <w:tc>
          <w:tcPr>
            <w:tcW w:w="8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42,308</w:t>
            </w:r>
          </w:p>
        </w:tc>
        <w:tc>
          <w:tcPr>
            <w:tcW w:w="12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30,966</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Derivative contracts (see Note 26)</w:t>
            </w:r>
          </w:p>
        </w:tc>
        <w:tc>
          <w:tcPr>
            <w:tcW w:w="220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19,276</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20,011</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Amounts owed by equity-accounted investments</w:t>
            </w:r>
          </w:p>
        </w:tc>
        <w:tc>
          <w:tcPr>
            <w:tcW w:w="220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3,145</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1,908</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Prepayments and deferred charges</w:t>
            </w:r>
          </w:p>
        </w:tc>
        <w:tc>
          <w:tcPr>
            <w:tcW w:w="220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3,188</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2,371</w:t>
            </w:r>
          </w:p>
        </w:tc>
      </w:tr>
      <w:tr>
        <w:trPr>
          <w:trHeight w:val="139"/>
        </w:trPr>
        <w:tc>
          <w:tcPr>
            <w:tcW w:w="4860" w:type="dxa"/>
            <w:vAlign w:val="bottom"/>
            <w:gridSpan w:val="2"/>
          </w:tcPr>
          <w:p>
            <w:pPr>
              <w:spacing w:after="0"/>
              <w:rPr>
                <w:sz w:val="20"/>
                <w:szCs w:val="20"/>
                <w:color w:val="auto"/>
              </w:rPr>
            </w:pPr>
            <w:r>
              <w:rPr>
                <w:rFonts w:ascii="Arial" w:cs="Arial" w:eastAsia="Arial" w:hAnsi="Arial"/>
                <w:sz w:val="12"/>
                <w:szCs w:val="12"/>
                <w:color w:val="auto"/>
              </w:rPr>
              <w:t>Other</w:t>
            </w:r>
          </w:p>
        </w:tc>
        <w:tc>
          <w:tcPr>
            <w:tcW w:w="2200" w:type="dxa"/>
            <w:vAlign w:val="bottom"/>
          </w:tcPr>
          <w:p>
            <w:pPr>
              <w:spacing w:after="0"/>
              <w:rPr>
                <w:sz w:val="12"/>
                <w:szCs w:val="12"/>
                <w:color w:val="auto"/>
              </w:rPr>
            </w:pPr>
          </w:p>
        </w:tc>
        <w:tc>
          <w:tcPr>
            <w:tcW w:w="80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6,321</w:t>
            </w:r>
          </w:p>
        </w:tc>
        <w:tc>
          <w:tcPr>
            <w:tcW w:w="1260" w:type="dxa"/>
            <w:vAlign w:val="bottom"/>
          </w:tcPr>
          <w:p>
            <w:pPr>
              <w:jc w:val="right"/>
              <w:ind w:right="18"/>
              <w:spacing w:after="0"/>
              <w:rPr>
                <w:sz w:val="20"/>
                <w:szCs w:val="20"/>
                <w:color w:val="auto"/>
              </w:rPr>
            </w:pPr>
            <w:r>
              <w:rPr>
                <w:rFonts w:ascii="Arial" w:cs="Arial" w:eastAsia="Arial" w:hAnsi="Arial"/>
                <w:sz w:val="12"/>
                <w:szCs w:val="12"/>
                <w:color w:val="auto"/>
              </w:rPr>
              <w:t>4,412</w:t>
            </w:r>
          </w:p>
        </w:tc>
      </w:tr>
      <w:tr>
        <w:trPr>
          <w:trHeight w:val="146"/>
        </w:trPr>
        <w:tc>
          <w:tcPr>
            <w:tcW w:w="20" w:type="dxa"/>
            <w:vAlign w:val="bottom"/>
          </w:tcPr>
          <w:p>
            <w:pPr>
              <w:spacing w:after="0"/>
              <w:rPr>
                <w:sz w:val="12"/>
                <w:szCs w:val="12"/>
                <w:color w:val="auto"/>
              </w:rPr>
            </w:pPr>
          </w:p>
        </w:tc>
        <w:tc>
          <w:tcPr>
            <w:tcW w:w="4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74,238</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59,668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-709930</wp:posOffset>
            </wp:positionV>
            <wp:extent cx="8255" cy="200469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200469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included above approximates the carrying amount.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Provisions for impairments deducted from accounts receivable amounted to $666 million at December 31, 2007 (2006: $519 million).</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details of trade receivables at December 31:</w:t>
      </w:r>
    </w:p>
    <w:tbl>
      <w:tblPr>
        <w:tblLayout w:type="fixed"/>
        <w:tblInd w:w="2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300" w:type="dxa"/>
            <w:vAlign w:val="bottom"/>
            <w:shd w:val="clear" w:color="auto" w:fill="7DD0E3"/>
          </w:tcPr>
          <w:p>
            <w:pPr>
              <w:spacing w:after="0"/>
              <w:rPr>
                <w:sz w:val="12"/>
                <w:szCs w:val="12"/>
                <w:color w:val="auto"/>
              </w:rPr>
            </w:pPr>
          </w:p>
        </w:tc>
        <w:tc>
          <w:tcPr>
            <w:tcW w:w="2740" w:type="dxa"/>
            <w:vAlign w:val="bottom"/>
            <w:shd w:val="clear" w:color="auto" w:fill="7DD0E3"/>
          </w:tcPr>
          <w:p>
            <w:pPr>
              <w:spacing w:after="0"/>
              <w:rPr>
                <w:sz w:val="12"/>
                <w:szCs w:val="12"/>
                <w:color w:val="auto"/>
              </w:rPr>
            </w:pPr>
          </w:p>
        </w:tc>
        <w:tc>
          <w:tcPr>
            <w:tcW w:w="800" w:type="dxa"/>
            <w:vAlign w:val="bottom"/>
            <w:shd w:val="clear" w:color="auto" w:fill="7DD0E3"/>
          </w:tcPr>
          <w:p>
            <w:pPr>
              <w:spacing w:after="0"/>
              <w:rPr>
                <w:sz w:val="12"/>
                <w:szCs w:val="12"/>
                <w:color w:val="auto"/>
              </w:rPr>
            </w:pPr>
          </w:p>
        </w:tc>
        <w:tc>
          <w:tcPr>
            <w:tcW w:w="12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4300" w:type="dxa"/>
            <w:vAlign w:val="bottom"/>
            <w:shd w:val="clear" w:color="auto" w:fill="D8D1C9"/>
          </w:tcPr>
          <w:p>
            <w:pPr>
              <w:spacing w:after="0"/>
              <w:rPr>
                <w:sz w:val="11"/>
                <w:szCs w:val="11"/>
                <w:color w:val="auto"/>
              </w:rPr>
            </w:pPr>
          </w:p>
        </w:tc>
        <w:tc>
          <w:tcPr>
            <w:tcW w:w="3540" w:type="dxa"/>
            <w:vAlign w:val="bottom"/>
            <w:gridSpan w:val="2"/>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2007</w:t>
            </w:r>
          </w:p>
        </w:tc>
        <w:tc>
          <w:tcPr>
            <w:tcW w:w="126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4300" w:type="dxa"/>
            <w:vAlign w:val="bottom"/>
          </w:tcPr>
          <w:p>
            <w:pPr>
              <w:spacing w:after="0" w:line="128" w:lineRule="exact"/>
              <w:rPr>
                <w:sz w:val="20"/>
                <w:szCs w:val="20"/>
                <w:color w:val="auto"/>
              </w:rPr>
            </w:pPr>
            <w:r>
              <w:rPr>
                <w:rFonts w:ascii="Arial" w:cs="Arial" w:eastAsia="Arial" w:hAnsi="Arial"/>
                <w:sz w:val="12"/>
                <w:szCs w:val="12"/>
                <w:color w:val="auto"/>
              </w:rPr>
              <w:t>Not overdue</w:t>
            </w:r>
          </w:p>
        </w:tc>
        <w:tc>
          <w:tcPr>
            <w:tcW w:w="2740" w:type="dxa"/>
            <w:vAlign w:val="bottom"/>
          </w:tcPr>
          <w:p>
            <w:pPr>
              <w:spacing w:after="0"/>
              <w:rPr>
                <w:sz w:val="11"/>
                <w:szCs w:val="11"/>
                <w:color w:val="auto"/>
              </w:rPr>
            </w:pPr>
          </w:p>
        </w:tc>
        <w:tc>
          <w:tcPr>
            <w:tcW w:w="8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37,613</w:t>
            </w:r>
          </w:p>
        </w:tc>
        <w:tc>
          <w:tcPr>
            <w:tcW w:w="12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27,565</w:t>
            </w:r>
          </w:p>
        </w:tc>
      </w:tr>
      <w:tr>
        <w:trPr>
          <w:trHeight w:val="133"/>
        </w:trPr>
        <w:tc>
          <w:tcPr>
            <w:tcW w:w="4320" w:type="dxa"/>
            <w:vAlign w:val="bottom"/>
            <w:gridSpan w:val="2"/>
          </w:tcPr>
          <w:p>
            <w:pPr>
              <w:spacing w:after="0" w:line="133" w:lineRule="exact"/>
              <w:rPr>
                <w:sz w:val="20"/>
                <w:szCs w:val="20"/>
                <w:color w:val="auto"/>
              </w:rPr>
            </w:pPr>
            <w:r>
              <w:rPr>
                <w:rFonts w:ascii="Arial" w:cs="Arial" w:eastAsia="Arial" w:hAnsi="Arial"/>
                <w:sz w:val="12"/>
                <w:szCs w:val="12"/>
                <w:color w:val="auto"/>
              </w:rPr>
              <w:t>Overdue 1-30 days</w:t>
            </w:r>
          </w:p>
        </w:tc>
        <w:tc>
          <w:tcPr>
            <w:tcW w:w="274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2,994</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2,319</w:t>
            </w:r>
          </w:p>
        </w:tc>
      </w:tr>
      <w:tr>
        <w:trPr>
          <w:trHeight w:val="133"/>
        </w:trPr>
        <w:tc>
          <w:tcPr>
            <w:tcW w:w="4320" w:type="dxa"/>
            <w:vAlign w:val="bottom"/>
            <w:gridSpan w:val="2"/>
          </w:tcPr>
          <w:p>
            <w:pPr>
              <w:spacing w:after="0" w:line="133" w:lineRule="exact"/>
              <w:rPr>
                <w:sz w:val="20"/>
                <w:szCs w:val="20"/>
                <w:color w:val="auto"/>
              </w:rPr>
            </w:pPr>
            <w:r>
              <w:rPr>
                <w:rFonts w:ascii="Arial" w:cs="Arial" w:eastAsia="Arial" w:hAnsi="Arial"/>
                <w:sz w:val="12"/>
                <w:szCs w:val="12"/>
                <w:color w:val="auto"/>
              </w:rPr>
              <w:t>Overdue 31-60 days</w:t>
            </w:r>
          </w:p>
        </w:tc>
        <w:tc>
          <w:tcPr>
            <w:tcW w:w="274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455</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393</w:t>
            </w:r>
          </w:p>
        </w:tc>
      </w:tr>
      <w:tr>
        <w:trPr>
          <w:trHeight w:val="133"/>
        </w:trPr>
        <w:tc>
          <w:tcPr>
            <w:tcW w:w="4320" w:type="dxa"/>
            <w:vAlign w:val="bottom"/>
            <w:gridSpan w:val="2"/>
          </w:tcPr>
          <w:p>
            <w:pPr>
              <w:spacing w:after="0" w:line="133" w:lineRule="exact"/>
              <w:rPr>
                <w:sz w:val="20"/>
                <w:szCs w:val="20"/>
                <w:color w:val="auto"/>
              </w:rPr>
            </w:pPr>
            <w:r>
              <w:rPr>
                <w:rFonts w:ascii="Arial" w:cs="Arial" w:eastAsia="Arial" w:hAnsi="Arial"/>
                <w:sz w:val="12"/>
                <w:szCs w:val="12"/>
                <w:color w:val="auto"/>
              </w:rPr>
              <w:t>Overdue 61-90 days</w:t>
            </w:r>
          </w:p>
        </w:tc>
        <w:tc>
          <w:tcPr>
            <w:tcW w:w="274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174</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137</w:t>
            </w:r>
          </w:p>
        </w:tc>
      </w:tr>
      <w:tr>
        <w:trPr>
          <w:trHeight w:val="133"/>
        </w:trPr>
        <w:tc>
          <w:tcPr>
            <w:tcW w:w="4320" w:type="dxa"/>
            <w:vAlign w:val="bottom"/>
            <w:gridSpan w:val="2"/>
          </w:tcPr>
          <w:p>
            <w:pPr>
              <w:spacing w:after="0" w:line="133" w:lineRule="exact"/>
              <w:rPr>
                <w:sz w:val="20"/>
                <w:szCs w:val="20"/>
                <w:color w:val="auto"/>
              </w:rPr>
            </w:pPr>
            <w:r>
              <w:rPr>
                <w:rFonts w:ascii="Arial" w:cs="Arial" w:eastAsia="Arial" w:hAnsi="Arial"/>
                <w:sz w:val="12"/>
                <w:szCs w:val="12"/>
                <w:color w:val="auto"/>
              </w:rPr>
              <w:t>Overdue 91-180 days</w:t>
            </w:r>
          </w:p>
        </w:tc>
        <w:tc>
          <w:tcPr>
            <w:tcW w:w="2740" w:type="dxa"/>
            <w:vAlign w:val="bottom"/>
          </w:tcPr>
          <w:p>
            <w:pPr>
              <w:spacing w:after="0"/>
              <w:rPr>
                <w:sz w:val="11"/>
                <w:szCs w:val="11"/>
                <w:color w:val="auto"/>
              </w:rPr>
            </w:pPr>
          </w:p>
        </w:tc>
        <w:tc>
          <w:tcPr>
            <w:tcW w:w="80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682</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97</w:t>
            </w:r>
          </w:p>
        </w:tc>
      </w:tr>
      <w:tr>
        <w:trPr>
          <w:trHeight w:val="139"/>
        </w:trPr>
        <w:tc>
          <w:tcPr>
            <w:tcW w:w="4320" w:type="dxa"/>
            <w:vAlign w:val="bottom"/>
            <w:gridSpan w:val="2"/>
          </w:tcPr>
          <w:p>
            <w:pPr>
              <w:spacing w:after="0"/>
              <w:rPr>
                <w:sz w:val="20"/>
                <w:szCs w:val="20"/>
                <w:color w:val="auto"/>
              </w:rPr>
            </w:pPr>
            <w:r>
              <w:rPr>
                <w:rFonts w:ascii="Arial" w:cs="Arial" w:eastAsia="Arial" w:hAnsi="Arial"/>
                <w:sz w:val="12"/>
                <w:szCs w:val="12"/>
                <w:color w:val="auto"/>
              </w:rPr>
              <w:t>Overdue more than 180 days</w:t>
            </w:r>
          </w:p>
        </w:tc>
        <w:tc>
          <w:tcPr>
            <w:tcW w:w="2740" w:type="dxa"/>
            <w:vAlign w:val="bottom"/>
          </w:tcPr>
          <w:p>
            <w:pPr>
              <w:spacing w:after="0"/>
              <w:rPr>
                <w:sz w:val="12"/>
                <w:szCs w:val="12"/>
                <w:color w:val="auto"/>
              </w:rPr>
            </w:pPr>
          </w:p>
        </w:tc>
        <w:tc>
          <w:tcPr>
            <w:tcW w:w="80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390</w:t>
            </w:r>
          </w:p>
        </w:tc>
        <w:tc>
          <w:tcPr>
            <w:tcW w:w="1260" w:type="dxa"/>
            <w:vAlign w:val="bottom"/>
          </w:tcPr>
          <w:p>
            <w:pPr>
              <w:jc w:val="right"/>
              <w:ind w:right="18"/>
              <w:spacing w:after="0"/>
              <w:rPr>
                <w:sz w:val="20"/>
                <w:szCs w:val="20"/>
                <w:color w:val="auto"/>
              </w:rPr>
            </w:pPr>
            <w:r>
              <w:rPr>
                <w:rFonts w:ascii="Arial" w:cs="Arial" w:eastAsia="Arial" w:hAnsi="Arial"/>
                <w:sz w:val="12"/>
                <w:szCs w:val="12"/>
                <w:color w:val="auto"/>
              </w:rPr>
              <w:t>455</w:t>
            </w:r>
          </w:p>
        </w:tc>
      </w:tr>
      <w:tr>
        <w:trPr>
          <w:trHeight w:val="146"/>
        </w:trPr>
        <w:tc>
          <w:tcPr>
            <w:tcW w:w="20" w:type="dxa"/>
            <w:vAlign w:val="bottom"/>
          </w:tcPr>
          <w:p>
            <w:pPr>
              <w:spacing w:after="0"/>
              <w:rPr>
                <w:sz w:val="12"/>
                <w:szCs w:val="12"/>
                <w:color w:val="auto"/>
              </w:rPr>
            </w:pPr>
          </w:p>
        </w:tc>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7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42,308</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30,966</w:t>
            </w:r>
          </w:p>
        </w:tc>
      </w:tr>
    </w:tbl>
    <w:p>
      <w:pPr>
        <w:spacing w:after="0" w:line="200" w:lineRule="exact"/>
        <w:rPr>
          <w:sz w:val="20"/>
          <w:szCs w:val="20"/>
          <w:color w:val="auto"/>
        </w:rPr>
      </w:pPr>
    </w:p>
    <w:p>
      <w:pPr>
        <w:sectPr>
          <w:pgSz w:w="11900" w:h="16838" w:orient="portrait"/>
          <w:cols w:equalWidth="0" w:num="2">
            <w:col w:w="1560" w:space="720"/>
            <w:col w:w="9140"/>
          </w:cols>
          <w:pgMar w:left="240" w:top="415" w:right="2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18</w:t>
      </w:r>
    </w:p>
    <w:p>
      <w:pPr>
        <w:spacing w:after="0" w:line="20" w:lineRule="exact"/>
        <w:rPr>
          <w:sz w:val="20"/>
          <w:szCs w:val="20"/>
          <w:color w:val="auto"/>
        </w:rPr>
      </w:pPr>
    </w:p>
    <w:p>
      <w:pPr>
        <w:ind w:right="360"/>
        <w:spacing w:after="0" w:line="252" w:lineRule="auto"/>
        <w:rPr>
          <w:sz w:val="20"/>
          <w:szCs w:val="20"/>
          <w:color w:val="auto"/>
        </w:rPr>
      </w:pPr>
      <w:r>
        <w:rPr>
          <w:rFonts w:ascii="Arial" w:cs="Arial" w:eastAsia="Arial" w:hAnsi="Arial"/>
          <w:sz w:val="14"/>
          <w:szCs w:val="14"/>
          <w:b w:val="1"/>
          <w:b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19</w:t>
      </w:r>
    </w:p>
    <w:p>
      <w:pPr>
        <w:spacing w:after="0" w:line="20"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b w:val="1"/>
          <w:bCs w:val="1"/>
          <w:color w:val="auto"/>
        </w:rPr>
        <w:t>DEBT AND LEASE ARRANGEMENTS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220" w:type="dxa"/>
            <w:vAlign w:val="bottom"/>
            <w:shd w:val="clear" w:color="auto" w:fill="7DD0E3"/>
          </w:tcPr>
          <w:p>
            <w:pPr>
              <w:spacing w:after="0"/>
              <w:rPr>
                <w:sz w:val="12"/>
                <w:szCs w:val="12"/>
                <w:color w:val="auto"/>
              </w:rPr>
            </w:pPr>
          </w:p>
        </w:tc>
        <w:tc>
          <w:tcPr>
            <w:tcW w:w="2820" w:type="dxa"/>
            <w:vAlign w:val="bottom"/>
            <w:shd w:val="clear" w:color="auto" w:fill="7DD0E3"/>
          </w:tcPr>
          <w:p>
            <w:pPr>
              <w:spacing w:after="0"/>
              <w:rPr>
                <w:sz w:val="12"/>
                <w:szCs w:val="12"/>
                <w:color w:val="auto"/>
              </w:rPr>
            </w:pPr>
          </w:p>
        </w:tc>
        <w:tc>
          <w:tcPr>
            <w:tcW w:w="800" w:type="dxa"/>
            <w:vAlign w:val="bottom"/>
            <w:shd w:val="clear" w:color="auto" w:fill="7DD0E3"/>
          </w:tcPr>
          <w:p>
            <w:pPr>
              <w:spacing w:after="0"/>
              <w:rPr>
                <w:sz w:val="12"/>
                <w:szCs w:val="12"/>
                <w:color w:val="auto"/>
              </w:rPr>
            </w:pPr>
          </w:p>
        </w:tc>
        <w:tc>
          <w:tcPr>
            <w:tcW w:w="12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4220" w:type="dxa"/>
            <w:vAlign w:val="bottom"/>
            <w:shd w:val="clear" w:color="auto" w:fill="D8D1C9"/>
          </w:tcPr>
          <w:p>
            <w:pPr>
              <w:spacing w:after="0"/>
              <w:rPr>
                <w:sz w:val="11"/>
                <w:szCs w:val="11"/>
                <w:color w:val="auto"/>
              </w:rPr>
            </w:pPr>
          </w:p>
        </w:tc>
        <w:tc>
          <w:tcPr>
            <w:tcW w:w="3620" w:type="dxa"/>
            <w:vAlign w:val="bottom"/>
            <w:gridSpan w:val="2"/>
            <w:shd w:val="clear" w:color="auto" w:fill="D8D1C9"/>
          </w:tcPr>
          <w:p>
            <w:pPr>
              <w:jc w:val="right"/>
              <w:spacing w:after="0" w:line="128" w:lineRule="exact"/>
              <w:rPr>
                <w:sz w:val="20"/>
                <w:szCs w:val="20"/>
                <w:color w:val="auto"/>
              </w:rPr>
            </w:pPr>
            <w:r>
              <w:rPr>
                <w:rFonts w:ascii="Arial" w:cs="Arial" w:eastAsia="Arial" w:hAnsi="Arial"/>
                <w:sz w:val="12"/>
                <w:szCs w:val="12"/>
                <w:color w:val="auto"/>
              </w:rPr>
              <w:t>Dec 31, 2007</w:t>
            </w:r>
          </w:p>
        </w:tc>
        <w:tc>
          <w:tcPr>
            <w:tcW w:w="126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4220" w:type="dxa"/>
            <w:vAlign w:val="bottom"/>
          </w:tcPr>
          <w:p>
            <w:pPr>
              <w:spacing w:after="0" w:line="128" w:lineRule="exact"/>
              <w:rPr>
                <w:sz w:val="20"/>
                <w:szCs w:val="20"/>
                <w:color w:val="auto"/>
              </w:rPr>
            </w:pPr>
            <w:r>
              <w:rPr>
                <w:rFonts w:ascii="Arial" w:cs="Arial" w:eastAsia="Arial" w:hAnsi="Arial"/>
                <w:sz w:val="12"/>
                <w:szCs w:val="12"/>
                <w:color w:val="auto"/>
              </w:rPr>
              <w:t>Cash at bank and in hand</w:t>
            </w:r>
          </w:p>
        </w:tc>
        <w:tc>
          <w:tcPr>
            <w:tcW w:w="2820" w:type="dxa"/>
            <w:vAlign w:val="bottom"/>
          </w:tcPr>
          <w:p>
            <w:pPr>
              <w:spacing w:after="0"/>
              <w:rPr>
                <w:sz w:val="11"/>
                <w:szCs w:val="11"/>
                <w:color w:val="auto"/>
              </w:rPr>
            </w:pPr>
          </w:p>
        </w:tc>
        <w:tc>
          <w:tcPr>
            <w:tcW w:w="800" w:type="dxa"/>
            <w:vAlign w:val="bottom"/>
            <w:shd w:val="clear" w:color="auto" w:fill="D8D1C9"/>
          </w:tcPr>
          <w:p>
            <w:pPr>
              <w:jc w:val="right"/>
              <w:ind w:right="18"/>
              <w:spacing w:after="0" w:line="128" w:lineRule="exact"/>
              <w:rPr>
                <w:sz w:val="20"/>
                <w:szCs w:val="20"/>
                <w:color w:val="auto"/>
              </w:rPr>
            </w:pPr>
            <w:r>
              <w:rPr>
                <w:rFonts w:ascii="Arial" w:cs="Arial" w:eastAsia="Arial" w:hAnsi="Arial"/>
                <w:sz w:val="12"/>
                <w:szCs w:val="12"/>
                <w:color w:val="auto"/>
              </w:rPr>
              <w:t>9,430</w:t>
            </w:r>
          </w:p>
        </w:tc>
        <w:tc>
          <w:tcPr>
            <w:tcW w:w="12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8,861</w:t>
            </w:r>
          </w:p>
        </w:tc>
      </w:tr>
      <w:tr>
        <w:trPr>
          <w:trHeight w:val="139"/>
        </w:trPr>
        <w:tc>
          <w:tcPr>
            <w:tcW w:w="4240" w:type="dxa"/>
            <w:vAlign w:val="bottom"/>
            <w:gridSpan w:val="2"/>
          </w:tcPr>
          <w:p>
            <w:pPr>
              <w:spacing w:after="0"/>
              <w:rPr>
                <w:sz w:val="20"/>
                <w:szCs w:val="20"/>
                <w:color w:val="auto"/>
              </w:rPr>
            </w:pPr>
            <w:r>
              <w:rPr>
                <w:rFonts w:ascii="Arial" w:cs="Arial" w:eastAsia="Arial" w:hAnsi="Arial"/>
                <w:sz w:val="12"/>
                <w:szCs w:val="12"/>
                <w:color w:val="auto"/>
              </w:rPr>
              <w:t>Commercial paper notes</w:t>
            </w:r>
          </w:p>
        </w:tc>
        <w:tc>
          <w:tcPr>
            <w:tcW w:w="2820" w:type="dxa"/>
            <w:vAlign w:val="bottom"/>
          </w:tcPr>
          <w:p>
            <w:pPr>
              <w:spacing w:after="0"/>
              <w:rPr>
                <w:sz w:val="12"/>
                <w:szCs w:val="12"/>
                <w:color w:val="auto"/>
              </w:rPr>
            </w:pPr>
          </w:p>
        </w:tc>
        <w:tc>
          <w:tcPr>
            <w:tcW w:w="80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226</w:t>
            </w:r>
          </w:p>
        </w:tc>
        <w:tc>
          <w:tcPr>
            <w:tcW w:w="1260" w:type="dxa"/>
            <w:vAlign w:val="bottom"/>
          </w:tcPr>
          <w:p>
            <w:pPr>
              <w:jc w:val="right"/>
              <w:ind w:right="18"/>
              <w:spacing w:after="0"/>
              <w:rPr>
                <w:sz w:val="20"/>
                <w:szCs w:val="20"/>
                <w:color w:val="auto"/>
              </w:rPr>
            </w:pPr>
            <w:r>
              <w:rPr>
                <w:rFonts w:ascii="Arial" w:cs="Arial" w:eastAsia="Arial" w:hAnsi="Arial"/>
                <w:sz w:val="12"/>
                <w:szCs w:val="12"/>
                <w:color w:val="auto"/>
              </w:rPr>
              <w:t>141</w:t>
            </w:r>
          </w:p>
        </w:tc>
      </w:tr>
      <w:tr>
        <w:trPr>
          <w:trHeight w:val="146"/>
        </w:trPr>
        <w:tc>
          <w:tcPr>
            <w:tcW w:w="20" w:type="dxa"/>
            <w:vAlign w:val="bottom"/>
          </w:tcPr>
          <w:p>
            <w:pPr>
              <w:spacing w:after="0"/>
              <w:rPr>
                <w:sz w:val="12"/>
                <w:szCs w:val="12"/>
                <w:color w:val="auto"/>
              </w:rPr>
            </w:pPr>
          </w:p>
        </w:tc>
        <w:tc>
          <w:tcPr>
            <w:tcW w:w="4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8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shd w:val="clear" w:color="auto" w:fill="D8D1C9"/>
          </w:tcPr>
          <w:p>
            <w:pPr>
              <w:jc w:val="right"/>
              <w:ind w:right="18"/>
              <w:spacing w:after="0"/>
              <w:rPr>
                <w:sz w:val="20"/>
                <w:szCs w:val="20"/>
                <w:color w:val="auto"/>
              </w:rPr>
            </w:pPr>
            <w:r>
              <w:rPr>
                <w:rFonts w:ascii="Arial" w:cs="Arial" w:eastAsia="Arial" w:hAnsi="Arial"/>
                <w:sz w:val="12"/>
                <w:szCs w:val="12"/>
                <w:color w:val="auto"/>
              </w:rPr>
              <w:t>9,656</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9,002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-455930</wp:posOffset>
            </wp:positionV>
            <wp:extent cx="8255" cy="4654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4654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220" w:type="dxa"/>
            <w:vAlign w:val="bottom"/>
            <w:gridSpan w:val="3"/>
            <w:shd w:val="clear" w:color="auto" w:fill="7DD0E3"/>
          </w:tcPr>
          <w:p>
            <w:pPr>
              <w:spacing w:after="0"/>
              <w:rPr>
                <w:sz w:val="20"/>
                <w:szCs w:val="20"/>
                <w:color w:val="auto"/>
              </w:rPr>
            </w:pPr>
            <w:r>
              <w:rPr>
                <w:rFonts w:ascii="Arial" w:cs="Arial" w:eastAsia="Arial" w:hAnsi="Arial"/>
                <w:sz w:val="12"/>
                <w:szCs w:val="12"/>
                <w:b w:val="1"/>
                <w:bCs w:val="1"/>
                <w:color w:val="auto"/>
              </w:rPr>
              <w:t>[A] DEBT (INCLUDING FINANCE LEASE OBLIGATIONS) AT DECEMBER 31</w:t>
            </w:r>
          </w:p>
        </w:tc>
        <w:tc>
          <w:tcPr>
            <w:tcW w:w="780" w:type="dxa"/>
            <w:vAlign w:val="bottom"/>
            <w:shd w:val="clear" w:color="auto" w:fill="7DD0E3"/>
          </w:tcPr>
          <w:p>
            <w:pPr>
              <w:spacing w:after="0"/>
              <w:rPr>
                <w:sz w:val="12"/>
                <w:szCs w:val="12"/>
                <w:color w:val="auto"/>
              </w:rPr>
            </w:pPr>
          </w:p>
        </w:tc>
        <w:tc>
          <w:tcPr>
            <w:tcW w:w="960" w:type="dxa"/>
            <w:vAlign w:val="bottom"/>
            <w:shd w:val="clear" w:color="auto" w:fill="7DD0E3"/>
          </w:tcPr>
          <w:p>
            <w:pPr>
              <w:spacing w:after="0"/>
              <w:rPr>
                <w:sz w:val="12"/>
                <w:szCs w:val="12"/>
                <w:color w:val="auto"/>
              </w:rPr>
            </w:pPr>
          </w:p>
        </w:tc>
        <w:tc>
          <w:tcPr>
            <w:tcW w:w="1300" w:type="dxa"/>
            <w:vAlign w:val="bottom"/>
            <w:shd w:val="clear" w:color="auto" w:fill="7DD0E3"/>
          </w:tcPr>
          <w:p>
            <w:pPr>
              <w:spacing w:after="0"/>
              <w:rPr>
                <w:sz w:val="12"/>
                <w:szCs w:val="12"/>
                <w:color w:val="auto"/>
              </w:rPr>
            </w:pPr>
          </w:p>
        </w:tc>
        <w:tc>
          <w:tcPr>
            <w:tcW w:w="8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7"/>
        </w:trPr>
        <w:tc>
          <w:tcPr>
            <w:tcW w:w="2520" w:type="dxa"/>
            <w:vAlign w:val="bottom"/>
            <w:shd w:val="clear" w:color="auto" w:fill="D8D1C9"/>
          </w:tcPr>
          <w:p>
            <w:pPr>
              <w:spacing w:after="0"/>
              <w:rPr>
                <w:sz w:val="12"/>
                <w:szCs w:val="12"/>
                <w:color w:val="auto"/>
              </w:rPr>
            </w:pPr>
          </w:p>
        </w:tc>
        <w:tc>
          <w:tcPr>
            <w:tcW w:w="1140" w:type="dxa"/>
            <w:vAlign w:val="bottom"/>
            <w:shd w:val="clear" w:color="auto" w:fill="D8D1C9"/>
          </w:tcPr>
          <w:p>
            <w:pPr>
              <w:spacing w:after="0"/>
              <w:rPr>
                <w:sz w:val="12"/>
                <w:szCs w:val="12"/>
                <w:color w:val="auto"/>
              </w:rPr>
            </w:pPr>
          </w:p>
        </w:tc>
        <w:tc>
          <w:tcPr>
            <w:tcW w:w="1560" w:type="dxa"/>
            <w:vAlign w:val="bottom"/>
            <w:vMerge w:val="restart"/>
            <w:shd w:val="clear" w:color="auto" w:fill="D8D1C9"/>
          </w:tcPr>
          <w:p>
            <w:pPr>
              <w:jc w:val="right"/>
              <w:ind w:right="458"/>
              <w:spacing w:after="0"/>
              <w:rPr>
                <w:sz w:val="20"/>
                <w:szCs w:val="20"/>
                <w:color w:val="auto"/>
              </w:rPr>
            </w:pPr>
            <w:r>
              <w:rPr>
                <w:rFonts w:ascii="Arial" w:cs="Arial" w:eastAsia="Arial" w:hAnsi="Arial"/>
                <w:sz w:val="12"/>
                <w:szCs w:val="12"/>
                <w:color w:val="auto"/>
              </w:rPr>
              <w:t>Finance lease</w:t>
            </w:r>
          </w:p>
        </w:tc>
        <w:tc>
          <w:tcPr>
            <w:tcW w:w="780" w:type="dxa"/>
            <w:vAlign w:val="bottom"/>
            <w:shd w:val="clear" w:color="auto" w:fill="D8D1C9"/>
          </w:tcPr>
          <w:p>
            <w:pPr>
              <w:jc w:val="right"/>
              <w:ind w:right="198"/>
              <w:spacing w:after="0"/>
              <w:rPr>
                <w:sz w:val="20"/>
                <w:szCs w:val="20"/>
                <w:color w:val="auto"/>
              </w:rPr>
            </w:pPr>
            <w:r>
              <w:rPr>
                <w:rFonts w:ascii="Arial" w:cs="Arial" w:eastAsia="Arial" w:hAnsi="Arial"/>
                <w:sz w:val="12"/>
                <w:szCs w:val="12"/>
                <w:color w:val="auto"/>
              </w:rPr>
              <w:t>2007</w:t>
            </w:r>
          </w:p>
        </w:tc>
        <w:tc>
          <w:tcPr>
            <w:tcW w:w="960" w:type="dxa"/>
            <w:vAlign w:val="bottom"/>
            <w:shd w:val="clear" w:color="auto" w:fill="D8D1C9"/>
          </w:tcPr>
          <w:p>
            <w:pPr>
              <w:spacing w:after="0"/>
              <w:rPr>
                <w:sz w:val="12"/>
                <w:szCs w:val="12"/>
                <w:color w:val="auto"/>
              </w:rPr>
            </w:pPr>
          </w:p>
        </w:tc>
        <w:tc>
          <w:tcPr>
            <w:tcW w:w="1300" w:type="dxa"/>
            <w:vAlign w:val="bottom"/>
            <w:vMerge w:val="restart"/>
            <w:shd w:val="clear" w:color="auto" w:fill="D8D1C9"/>
          </w:tcPr>
          <w:p>
            <w:pPr>
              <w:jc w:val="right"/>
              <w:ind w:right="198"/>
              <w:spacing w:after="0"/>
              <w:rPr>
                <w:sz w:val="20"/>
                <w:szCs w:val="20"/>
                <w:color w:val="auto"/>
              </w:rPr>
            </w:pPr>
            <w:r>
              <w:rPr>
                <w:rFonts w:ascii="Arial" w:cs="Arial" w:eastAsia="Arial" w:hAnsi="Arial"/>
                <w:sz w:val="12"/>
                <w:szCs w:val="12"/>
                <w:color w:val="auto"/>
              </w:rPr>
              <w:t>Finance lease</w:t>
            </w:r>
          </w:p>
        </w:tc>
        <w:tc>
          <w:tcPr>
            <w:tcW w:w="860" w:type="dxa"/>
            <w:vAlign w:val="bottom"/>
            <w:shd w:val="clear" w:color="auto" w:fill="D8D1C9"/>
          </w:tcPr>
          <w:p>
            <w:pPr>
              <w:jc w:val="right"/>
              <w:ind w:right="18"/>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2520" w:type="dxa"/>
            <w:vAlign w:val="bottom"/>
            <w:shd w:val="clear" w:color="auto" w:fill="D8D1C9"/>
          </w:tcPr>
          <w:p>
            <w:pPr>
              <w:spacing w:after="0"/>
              <w:rPr>
                <w:sz w:val="11"/>
                <w:szCs w:val="11"/>
                <w:color w:val="auto"/>
              </w:rPr>
            </w:pPr>
          </w:p>
        </w:tc>
        <w:tc>
          <w:tcPr>
            <w:tcW w:w="1140" w:type="dxa"/>
            <w:vAlign w:val="bottom"/>
            <w:shd w:val="clear" w:color="auto" w:fill="D8D1C9"/>
          </w:tcPr>
          <w:p>
            <w:pPr>
              <w:spacing w:after="0"/>
              <w:rPr>
                <w:sz w:val="11"/>
                <w:szCs w:val="11"/>
                <w:color w:val="auto"/>
              </w:rPr>
            </w:pPr>
          </w:p>
        </w:tc>
        <w:tc>
          <w:tcPr>
            <w:tcW w:w="1560" w:type="dxa"/>
            <w:vAlign w:val="bottom"/>
            <w:vMerge w:val="continue"/>
            <w:shd w:val="clear" w:color="auto" w:fill="D8D1C9"/>
          </w:tcPr>
          <w:p>
            <w:pPr>
              <w:spacing w:after="0"/>
              <w:rPr>
                <w:sz w:val="11"/>
                <w:szCs w:val="11"/>
                <w:color w:val="auto"/>
              </w:rPr>
            </w:pPr>
          </w:p>
        </w:tc>
        <w:tc>
          <w:tcPr>
            <w:tcW w:w="780" w:type="dxa"/>
            <w:vAlign w:val="bottom"/>
            <w:shd w:val="clear" w:color="auto" w:fill="D8D1C9"/>
          </w:tcPr>
          <w:p>
            <w:pPr>
              <w:spacing w:after="0"/>
              <w:rPr>
                <w:sz w:val="11"/>
                <w:szCs w:val="11"/>
                <w:color w:val="auto"/>
              </w:rPr>
            </w:pPr>
          </w:p>
        </w:tc>
        <w:tc>
          <w:tcPr>
            <w:tcW w:w="960" w:type="dxa"/>
            <w:vAlign w:val="bottom"/>
            <w:shd w:val="clear" w:color="auto" w:fill="D8D1C9"/>
          </w:tcPr>
          <w:p>
            <w:pPr>
              <w:spacing w:after="0"/>
              <w:rPr>
                <w:sz w:val="11"/>
                <w:szCs w:val="11"/>
                <w:color w:val="auto"/>
              </w:rPr>
            </w:pPr>
          </w:p>
        </w:tc>
        <w:tc>
          <w:tcPr>
            <w:tcW w:w="1300" w:type="dxa"/>
            <w:vAlign w:val="bottom"/>
            <w:vMerge w:val="continue"/>
            <w:shd w:val="clear" w:color="auto" w:fill="D8D1C9"/>
          </w:tcPr>
          <w:p>
            <w:pPr>
              <w:spacing w:after="0"/>
              <w:rPr>
                <w:sz w:val="11"/>
                <w:szCs w:val="11"/>
                <w:color w:val="auto"/>
              </w:rPr>
            </w:pPr>
          </w:p>
        </w:tc>
        <w:tc>
          <w:tcPr>
            <w:tcW w:w="860" w:type="dxa"/>
            <w:vAlign w:val="bottom"/>
            <w:shd w:val="clear" w:color="auto" w:fill="D8D1C9"/>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520" w:type="dxa"/>
            <w:vAlign w:val="bottom"/>
            <w:shd w:val="clear" w:color="auto" w:fill="D8D1C9"/>
          </w:tcPr>
          <w:p>
            <w:pPr>
              <w:spacing w:after="0"/>
              <w:rPr>
                <w:sz w:val="12"/>
                <w:szCs w:val="12"/>
                <w:color w:val="auto"/>
              </w:rPr>
            </w:pPr>
          </w:p>
        </w:tc>
        <w:tc>
          <w:tcPr>
            <w:tcW w:w="114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Debt</w:t>
            </w:r>
          </w:p>
        </w:tc>
        <w:tc>
          <w:tcPr>
            <w:tcW w:w="1560" w:type="dxa"/>
            <w:vAlign w:val="bottom"/>
            <w:shd w:val="clear" w:color="auto" w:fill="D8D1C9"/>
          </w:tcPr>
          <w:p>
            <w:pPr>
              <w:jc w:val="right"/>
              <w:ind w:right="458"/>
              <w:spacing w:after="0" w:line="133" w:lineRule="exact"/>
              <w:rPr>
                <w:sz w:val="20"/>
                <w:szCs w:val="20"/>
                <w:color w:val="auto"/>
              </w:rPr>
            </w:pPr>
            <w:r>
              <w:rPr>
                <w:rFonts w:ascii="Arial" w:cs="Arial" w:eastAsia="Arial" w:hAnsi="Arial"/>
                <w:sz w:val="12"/>
                <w:szCs w:val="12"/>
                <w:color w:val="auto"/>
              </w:rPr>
              <w:t>obligations</w:t>
            </w:r>
          </w:p>
        </w:tc>
        <w:tc>
          <w:tcPr>
            <w:tcW w:w="78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Total</w:t>
            </w:r>
          </w:p>
        </w:tc>
        <w:tc>
          <w:tcPr>
            <w:tcW w:w="96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Debt</w:t>
            </w:r>
          </w:p>
        </w:tc>
        <w:tc>
          <w:tcPr>
            <w:tcW w:w="1300" w:type="dxa"/>
            <w:vAlign w:val="bottom"/>
            <w:shd w:val="clear" w:color="auto" w:fill="D8D1C9"/>
          </w:tcPr>
          <w:p>
            <w:pPr>
              <w:jc w:val="right"/>
              <w:ind w:right="198"/>
              <w:spacing w:after="0" w:line="133" w:lineRule="exact"/>
              <w:rPr>
                <w:sz w:val="20"/>
                <w:szCs w:val="20"/>
                <w:color w:val="auto"/>
              </w:rPr>
            </w:pPr>
            <w:r>
              <w:rPr>
                <w:rFonts w:ascii="Arial" w:cs="Arial" w:eastAsia="Arial" w:hAnsi="Arial"/>
                <w:sz w:val="12"/>
                <w:szCs w:val="12"/>
                <w:color w:val="auto"/>
              </w:rPr>
              <w:t>obligations</w:t>
            </w:r>
          </w:p>
        </w:tc>
        <w:tc>
          <w:tcPr>
            <w:tcW w:w="860" w:type="dxa"/>
            <w:vAlign w:val="bottom"/>
            <w:shd w:val="clear" w:color="auto" w:fill="D8D1C9"/>
          </w:tcPr>
          <w:p>
            <w:pPr>
              <w:jc w:val="right"/>
              <w:ind w:right="18"/>
              <w:spacing w:after="0" w:line="133"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520" w:type="dxa"/>
            <w:vAlign w:val="bottom"/>
          </w:tcPr>
          <w:p>
            <w:pPr>
              <w:spacing w:after="0" w:line="128" w:lineRule="exact"/>
              <w:rPr>
                <w:sz w:val="20"/>
                <w:szCs w:val="20"/>
                <w:color w:val="auto"/>
              </w:rPr>
            </w:pPr>
            <w:r>
              <w:rPr>
                <w:rFonts w:ascii="Arial" w:cs="Arial" w:eastAsia="Arial" w:hAnsi="Arial"/>
                <w:sz w:val="12"/>
                <w:szCs w:val="12"/>
                <w:color w:val="auto"/>
              </w:rPr>
              <w:t>Short-term debt</w:t>
            </w:r>
          </w:p>
        </w:tc>
        <w:tc>
          <w:tcPr>
            <w:tcW w:w="114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3,292</w:t>
            </w:r>
          </w:p>
        </w:tc>
        <w:tc>
          <w:tcPr>
            <w:tcW w:w="1560" w:type="dxa"/>
            <w:vAlign w:val="bottom"/>
          </w:tcPr>
          <w:p>
            <w:pPr>
              <w:jc w:val="right"/>
              <w:ind w:right="458"/>
              <w:spacing w:after="0" w:line="128" w:lineRule="exact"/>
              <w:rPr>
                <w:sz w:val="20"/>
                <w:szCs w:val="20"/>
                <w:color w:val="auto"/>
              </w:rPr>
            </w:pPr>
            <w:r>
              <w:rPr>
                <w:rFonts w:ascii="Arial" w:cs="Arial" w:eastAsia="Arial" w:hAnsi="Arial"/>
                <w:sz w:val="12"/>
                <w:szCs w:val="12"/>
                <w:color w:val="auto"/>
              </w:rPr>
              <w:t>–</w:t>
            </w:r>
          </w:p>
        </w:tc>
        <w:tc>
          <w:tcPr>
            <w:tcW w:w="780" w:type="dxa"/>
            <w:vAlign w:val="bottom"/>
            <w:shd w:val="clear" w:color="auto" w:fill="D8D1C9"/>
          </w:tcPr>
          <w:p>
            <w:pPr>
              <w:jc w:val="right"/>
              <w:ind w:right="198"/>
              <w:spacing w:after="0" w:line="128" w:lineRule="exact"/>
              <w:rPr>
                <w:sz w:val="20"/>
                <w:szCs w:val="20"/>
                <w:color w:val="auto"/>
              </w:rPr>
            </w:pPr>
            <w:r>
              <w:rPr>
                <w:rFonts w:ascii="Arial" w:cs="Arial" w:eastAsia="Arial" w:hAnsi="Arial"/>
                <w:sz w:val="12"/>
                <w:szCs w:val="12"/>
                <w:color w:val="auto"/>
              </w:rPr>
              <w:t>3,292</w:t>
            </w:r>
          </w:p>
        </w:tc>
        <w:tc>
          <w:tcPr>
            <w:tcW w:w="9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3,573</w:t>
            </w:r>
          </w:p>
        </w:tc>
        <w:tc>
          <w:tcPr>
            <w:tcW w:w="130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3,573</w:t>
            </w:r>
          </w:p>
        </w:tc>
        <w:tc>
          <w:tcPr>
            <w:tcW w:w="0" w:type="dxa"/>
            <w:vAlign w:val="bottom"/>
          </w:tcPr>
          <w:p>
            <w:pPr>
              <w:spacing w:after="0"/>
              <w:rPr>
                <w:sz w:val="1"/>
                <w:szCs w:val="1"/>
                <w:color w:val="auto"/>
              </w:rPr>
            </w:pPr>
          </w:p>
        </w:tc>
      </w:tr>
      <w:tr>
        <w:trPr>
          <w:trHeight w:val="139"/>
        </w:trPr>
        <w:tc>
          <w:tcPr>
            <w:tcW w:w="2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Long-term debt due within one year</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2,290</w:t>
            </w:r>
          </w:p>
        </w:tc>
        <w:tc>
          <w:tcPr>
            <w:tcW w:w="15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154</w:t>
            </w:r>
          </w:p>
        </w:tc>
        <w:tc>
          <w:tcPr>
            <w:tcW w:w="780" w:type="dxa"/>
            <w:vAlign w:val="bottom"/>
            <w:tcBorders>
              <w:bottom w:val="single" w:sz="8" w:color="auto"/>
            </w:tcBorders>
            <w:shd w:val="clear" w:color="auto" w:fill="D8D1C9"/>
          </w:tcPr>
          <w:p>
            <w:pPr>
              <w:jc w:val="right"/>
              <w:ind w:right="198"/>
              <w:spacing w:after="0"/>
              <w:rPr>
                <w:sz w:val="20"/>
                <w:szCs w:val="20"/>
                <w:color w:val="auto"/>
              </w:rPr>
            </w:pPr>
            <w:r>
              <w:rPr>
                <w:rFonts w:ascii="Arial" w:cs="Arial" w:eastAsia="Arial" w:hAnsi="Arial"/>
                <w:sz w:val="12"/>
                <w:szCs w:val="12"/>
                <w:color w:val="auto"/>
              </w:rPr>
              <w:t>2,444</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2,282</w:t>
            </w:r>
          </w:p>
        </w:tc>
        <w:tc>
          <w:tcPr>
            <w:tcW w:w="13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205</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2,487</w:t>
            </w:r>
          </w:p>
        </w:tc>
        <w:tc>
          <w:tcPr>
            <w:tcW w:w="0" w:type="dxa"/>
            <w:vAlign w:val="bottom"/>
          </w:tcPr>
          <w:p>
            <w:pPr>
              <w:spacing w:after="0"/>
              <w:rPr>
                <w:sz w:val="1"/>
                <w:szCs w:val="1"/>
                <w:color w:val="auto"/>
              </w:rPr>
            </w:pPr>
          </w:p>
        </w:tc>
      </w:tr>
      <w:tr>
        <w:trPr>
          <w:trHeight w:val="134"/>
        </w:trPr>
        <w:tc>
          <w:tcPr>
            <w:tcW w:w="2520" w:type="dxa"/>
            <w:vAlign w:val="bottom"/>
          </w:tcPr>
          <w:p>
            <w:pPr>
              <w:spacing w:after="0" w:line="134" w:lineRule="exact"/>
              <w:rPr>
                <w:sz w:val="20"/>
                <w:szCs w:val="20"/>
                <w:color w:val="auto"/>
              </w:rPr>
            </w:pPr>
            <w:r>
              <w:rPr>
                <w:rFonts w:ascii="Arial" w:cs="Arial" w:eastAsia="Arial" w:hAnsi="Arial"/>
                <w:sz w:val="12"/>
                <w:szCs w:val="12"/>
                <w:color w:val="auto"/>
              </w:rPr>
              <w:t>Current debt</w:t>
            </w:r>
          </w:p>
        </w:tc>
        <w:tc>
          <w:tcPr>
            <w:tcW w:w="11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5,582</w:t>
            </w:r>
          </w:p>
        </w:tc>
        <w:tc>
          <w:tcPr>
            <w:tcW w:w="156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154</w:t>
            </w:r>
          </w:p>
        </w:tc>
        <w:tc>
          <w:tcPr>
            <w:tcW w:w="780" w:type="dxa"/>
            <w:vAlign w:val="bottom"/>
            <w:shd w:val="clear" w:color="auto" w:fill="D8D1C9"/>
          </w:tcPr>
          <w:p>
            <w:pPr>
              <w:jc w:val="right"/>
              <w:ind w:right="198"/>
              <w:spacing w:after="0" w:line="134" w:lineRule="exact"/>
              <w:rPr>
                <w:sz w:val="20"/>
                <w:szCs w:val="20"/>
                <w:color w:val="auto"/>
              </w:rPr>
            </w:pPr>
            <w:r>
              <w:rPr>
                <w:rFonts w:ascii="Arial" w:cs="Arial" w:eastAsia="Arial" w:hAnsi="Arial"/>
                <w:sz w:val="12"/>
                <w:szCs w:val="12"/>
                <w:color w:val="auto"/>
              </w:rPr>
              <w:t>5,736</w:t>
            </w:r>
          </w:p>
        </w:tc>
        <w:tc>
          <w:tcPr>
            <w:tcW w:w="96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5,855</w:t>
            </w:r>
          </w:p>
        </w:tc>
        <w:tc>
          <w:tcPr>
            <w:tcW w:w="130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205</w:t>
            </w:r>
          </w:p>
        </w:tc>
        <w:tc>
          <w:tcPr>
            <w:tcW w:w="8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6,060</w:t>
            </w:r>
          </w:p>
        </w:tc>
        <w:tc>
          <w:tcPr>
            <w:tcW w:w="0" w:type="dxa"/>
            <w:vAlign w:val="bottom"/>
          </w:tcPr>
          <w:p>
            <w:pPr>
              <w:spacing w:after="0"/>
              <w:rPr>
                <w:sz w:val="1"/>
                <w:szCs w:val="1"/>
                <w:color w:val="auto"/>
              </w:rPr>
            </w:pPr>
          </w:p>
        </w:tc>
      </w:tr>
      <w:tr>
        <w:trPr>
          <w:trHeight w:val="139"/>
        </w:trPr>
        <w:tc>
          <w:tcPr>
            <w:tcW w:w="2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Non-current debt</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8,533</w:t>
            </w:r>
          </w:p>
        </w:tc>
        <w:tc>
          <w:tcPr>
            <w:tcW w:w="15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3,830</w:t>
            </w:r>
          </w:p>
        </w:tc>
        <w:tc>
          <w:tcPr>
            <w:tcW w:w="780" w:type="dxa"/>
            <w:vAlign w:val="bottom"/>
            <w:tcBorders>
              <w:bottom w:val="single" w:sz="8" w:color="auto"/>
            </w:tcBorders>
            <w:shd w:val="clear" w:color="auto" w:fill="D8D1C9"/>
          </w:tcPr>
          <w:p>
            <w:pPr>
              <w:jc w:val="right"/>
              <w:ind w:right="198"/>
              <w:spacing w:after="0"/>
              <w:rPr>
                <w:sz w:val="20"/>
                <w:szCs w:val="20"/>
                <w:color w:val="auto"/>
              </w:rPr>
            </w:pPr>
            <w:r>
              <w:rPr>
                <w:rFonts w:ascii="Arial" w:cs="Arial" w:eastAsia="Arial" w:hAnsi="Arial"/>
                <w:sz w:val="12"/>
                <w:szCs w:val="12"/>
                <w:color w:val="auto"/>
              </w:rPr>
              <w:t>12,363</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5,737</w:t>
            </w:r>
          </w:p>
        </w:tc>
        <w:tc>
          <w:tcPr>
            <w:tcW w:w="13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3,976</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9,713</w:t>
            </w:r>
          </w:p>
        </w:tc>
        <w:tc>
          <w:tcPr>
            <w:tcW w:w="0" w:type="dxa"/>
            <w:vAlign w:val="bottom"/>
          </w:tcPr>
          <w:p>
            <w:pPr>
              <w:spacing w:after="0"/>
              <w:rPr>
                <w:sz w:val="1"/>
                <w:szCs w:val="1"/>
                <w:color w:val="auto"/>
              </w:rPr>
            </w:pPr>
          </w:p>
        </w:tc>
      </w:tr>
      <w:tr>
        <w:trPr>
          <w:trHeight w:val="146"/>
        </w:trPr>
        <w:tc>
          <w:tcPr>
            <w:tcW w:w="2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14,115</w:t>
            </w:r>
          </w:p>
        </w:tc>
        <w:tc>
          <w:tcPr>
            <w:tcW w:w="156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3,984</w:t>
            </w:r>
          </w:p>
        </w:tc>
        <w:tc>
          <w:tcPr>
            <w:tcW w:w="780" w:type="dxa"/>
            <w:vAlign w:val="bottom"/>
            <w:tcBorders>
              <w:bottom w:val="single" w:sz="8" w:color="auto"/>
            </w:tcBorders>
            <w:shd w:val="clear" w:color="auto" w:fill="D8D1C9"/>
          </w:tcPr>
          <w:p>
            <w:pPr>
              <w:jc w:val="right"/>
              <w:ind w:right="198"/>
              <w:spacing w:after="0"/>
              <w:rPr>
                <w:sz w:val="20"/>
                <w:szCs w:val="20"/>
                <w:color w:val="auto"/>
              </w:rPr>
            </w:pPr>
            <w:r>
              <w:rPr>
                <w:rFonts w:ascii="Arial" w:cs="Arial" w:eastAsia="Arial" w:hAnsi="Arial"/>
                <w:sz w:val="12"/>
                <w:szCs w:val="12"/>
                <w:color w:val="auto"/>
              </w:rPr>
              <w:t>18,099</w:t>
            </w: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11,592</w:t>
            </w:r>
          </w:p>
        </w:tc>
        <w:tc>
          <w:tcPr>
            <w:tcW w:w="13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4,181</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15,773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-819785</wp:posOffset>
            </wp:positionV>
            <wp:extent cx="8255" cy="21228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212280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-735330</wp:posOffset>
            </wp:positionV>
            <wp:extent cx="4084955" cy="262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084955" cy="262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debt approximates the carrying amount.</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Total unused lines of short-term credit at December 31, 2007, amounted to $3,223 million (2006: $4,517 million). This excludes some $2.5 billion (2006: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$2.5 billion) committed bank facilities primarily used to provide support for commercial paper maturing within 30 days (see Note 26).</w:t>
      </w:r>
    </w:p>
    <w:p>
      <w:pPr>
        <w:spacing w:after="0" w:line="80"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During 2007, Shell’s commercial paper programmes, euro medium-term note (EMTN) programme and US universal shelf registration (US shelf registration), undrawn together totalling some $45 billion, remained in place and fully operational. As at December 31, 2007, debt outstanding from central borrowing programmes and facilities totalled $9.1 billion, with the remaining indebtedness raised by subsidiaries with no recourse beyond the immediate borrower and/or the local assets.</w:t>
      </w:r>
    </w:p>
    <w:p>
      <w:pPr>
        <w:spacing w:after="0" w:line="73"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Bonds issued in 2007 included a 5-year $500 million and a 10-year $750 million drawdown from the US shelf registration, and some $3 billion issued from the EMTN programme, including a €1.5 billion 10-year issue. Bonds from the EMTN programme were issued in dollar, pound sterling and euro, in fixed format, and in maturities ranging from 3 years to 10 years. All bond proceeds were swapped into floating rate dollars on launch using interest rate and cross-currency swaps where necessary.</w:t>
      </w:r>
    </w:p>
    <w:p>
      <w:pPr>
        <w:spacing w:after="0" w:line="200" w:lineRule="exact"/>
        <w:rPr>
          <w:sz w:val="20"/>
          <w:szCs w:val="20"/>
          <w:color w:val="auto"/>
        </w:rPr>
      </w:pPr>
    </w:p>
    <w:p>
      <w:pPr>
        <w:sectPr>
          <w:pgSz w:w="11900" w:h="16838" w:orient="portrait"/>
          <w:cols w:equalWidth="0" w:num="2">
            <w:col w:w="1560" w:space="720"/>
            <w:col w:w="914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136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42" w:name="page143"/>
    <w:bookmarkEnd w:id="14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19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DEBT (EXCLUDING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-93345</wp:posOffset>
            </wp:positionV>
            <wp:extent cx="8255" cy="6250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625030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-93345</wp:posOffset>
            </wp:positionV>
            <wp:extent cx="282575" cy="70370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2575" cy="7037070"/>
                    </a:xfrm>
                    <a:prstGeom prst="rect">
                      <a:avLst/>
                    </a:prstGeom>
                    <a:noFill/>
                  </pic:spPr>
                </pic:pic>
              </a:graphicData>
            </a:graphic>
          </wp:anchor>
        </w:drawing>
      </w:r>
    </w:p>
    <w:p>
      <w:pPr>
        <w:ind w:right="180"/>
        <w:spacing w:after="0" w:line="234" w:lineRule="auto"/>
        <w:rPr>
          <w:sz w:val="20"/>
          <w:szCs w:val="20"/>
          <w:color w:val="auto"/>
        </w:rPr>
      </w:pPr>
      <w:r>
        <w:rPr>
          <w:rFonts w:ascii="Arial" w:cs="Arial" w:eastAsia="Arial" w:hAnsi="Arial"/>
          <w:sz w:val="14"/>
          <w:szCs w:val="14"/>
          <w:color w:val="auto"/>
        </w:rPr>
        <w:t>The following tables give details of contractual cash flows for debt owed by subsidiaries at December 31, by year of maturity, and the carrying amount in the Consolidated Balance Sheet.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92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2007</w:t>
            </w:r>
          </w:p>
        </w:tc>
        <w:tc>
          <w:tcPr>
            <w:tcW w:w="820" w:type="dxa"/>
            <w:vAlign w:val="bottom"/>
            <w:shd w:val="clear" w:color="auto" w:fill="7DD0E0"/>
          </w:tcPr>
          <w:p>
            <w:pPr>
              <w:spacing w:after="0"/>
              <w:rPr>
                <w:sz w:val="12"/>
                <w:szCs w:val="12"/>
                <w:color w:val="auto"/>
              </w:rPr>
            </w:pPr>
          </w:p>
        </w:tc>
        <w:tc>
          <w:tcPr>
            <w:tcW w:w="78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80" w:type="dxa"/>
            <w:vAlign w:val="bottom"/>
            <w:shd w:val="clear" w:color="auto" w:fill="7DD0E0"/>
          </w:tcPr>
          <w:p>
            <w:pPr>
              <w:spacing w:after="0"/>
              <w:rPr>
                <w:sz w:val="12"/>
                <w:szCs w:val="12"/>
                <w:color w:val="auto"/>
              </w:rPr>
            </w:pPr>
          </w:p>
        </w:tc>
        <w:tc>
          <w:tcPr>
            <w:tcW w:w="740" w:type="dxa"/>
            <w:vAlign w:val="bottom"/>
            <w:shd w:val="clear" w:color="auto" w:fill="7DD0E0"/>
          </w:tcPr>
          <w:p>
            <w:pPr>
              <w:spacing w:after="0"/>
              <w:rPr>
                <w:sz w:val="12"/>
                <w:szCs w:val="12"/>
                <w:color w:val="auto"/>
              </w:rPr>
            </w:pPr>
          </w:p>
        </w:tc>
        <w:tc>
          <w:tcPr>
            <w:tcW w:w="880" w:type="dxa"/>
            <w:vAlign w:val="bottom"/>
            <w:shd w:val="clear" w:color="auto" w:fill="7DD0E0"/>
          </w:tcPr>
          <w:p>
            <w:pPr>
              <w:spacing w:after="0"/>
              <w:rPr>
                <w:sz w:val="12"/>
                <w:szCs w:val="12"/>
                <w:color w:val="auto"/>
              </w:rPr>
            </w:pPr>
          </w:p>
        </w:tc>
        <w:tc>
          <w:tcPr>
            <w:tcW w:w="700" w:type="dxa"/>
            <w:vAlign w:val="bottom"/>
            <w:shd w:val="clear" w:color="auto" w:fill="7DD0E0"/>
          </w:tcPr>
          <w:p>
            <w:pPr>
              <w:spacing w:after="0"/>
              <w:rPr>
                <w:sz w:val="12"/>
                <w:szCs w:val="12"/>
                <w:color w:val="auto"/>
              </w:rPr>
            </w:pPr>
          </w:p>
        </w:tc>
        <w:tc>
          <w:tcPr>
            <w:tcW w:w="820" w:type="dxa"/>
            <w:vAlign w:val="bottom"/>
            <w:shd w:val="clear" w:color="auto" w:fill="7DD0E0"/>
          </w:tcPr>
          <w:p>
            <w:pPr>
              <w:spacing w:after="0"/>
              <w:rPr>
                <w:sz w:val="12"/>
                <w:szCs w:val="12"/>
                <w:color w:val="auto"/>
              </w:rPr>
            </w:pPr>
          </w:p>
        </w:tc>
        <w:tc>
          <w:tcPr>
            <w:tcW w:w="68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41"/>
        </w:trPr>
        <w:tc>
          <w:tcPr>
            <w:tcW w:w="20" w:type="dxa"/>
            <w:vAlign w:val="bottom"/>
          </w:tcPr>
          <w:p>
            <w:pPr>
              <w:spacing w:after="0"/>
              <w:rPr>
                <w:sz w:val="12"/>
                <w:szCs w:val="12"/>
                <w:color w:val="auto"/>
              </w:rPr>
            </w:pPr>
          </w:p>
        </w:tc>
        <w:tc>
          <w:tcPr>
            <w:tcW w:w="1920" w:type="dxa"/>
            <w:vAlign w:val="bottom"/>
            <w:shd w:val="clear" w:color="auto" w:fill="CECAC6"/>
          </w:tcPr>
          <w:p>
            <w:pPr>
              <w:spacing w:after="0"/>
              <w:rPr>
                <w:sz w:val="12"/>
                <w:szCs w:val="12"/>
                <w:color w:val="auto"/>
              </w:rPr>
            </w:pPr>
          </w:p>
        </w:tc>
        <w:tc>
          <w:tcPr>
            <w:tcW w:w="82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76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740" w:type="dxa"/>
            <w:vAlign w:val="bottom"/>
            <w:shd w:val="clear" w:color="auto" w:fill="CECAC6"/>
          </w:tcPr>
          <w:p>
            <w:pPr>
              <w:spacing w:after="0"/>
              <w:rPr>
                <w:sz w:val="12"/>
                <w:szCs w:val="12"/>
                <w:color w:val="auto"/>
              </w:rPr>
            </w:pPr>
          </w:p>
        </w:tc>
        <w:tc>
          <w:tcPr>
            <w:tcW w:w="158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Contractual repayments</w:t>
            </w:r>
          </w:p>
        </w:tc>
        <w:tc>
          <w:tcPr>
            <w:tcW w:w="8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Difference</w:t>
            </w:r>
          </w:p>
        </w:tc>
        <w:tc>
          <w:tcPr>
            <w:tcW w:w="680" w:type="dxa"/>
            <w:vAlign w:val="bottom"/>
            <w:shd w:val="clear" w:color="auto" w:fill="CECAC6"/>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92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from</w:t>
            </w:r>
          </w:p>
        </w:tc>
        <w:tc>
          <w:tcPr>
            <w:tcW w:w="680" w:type="dxa"/>
            <w:vAlign w:val="bottom"/>
            <w:shd w:val="clear" w:color="auto" w:fill="CECAC6"/>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92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c>
          <w:tcPr>
            <w:tcW w:w="88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2013</w:t>
            </w:r>
          </w:p>
        </w:tc>
        <w:tc>
          <w:tcPr>
            <w:tcW w:w="70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carrying</w:t>
            </w:r>
          </w:p>
        </w:tc>
        <w:tc>
          <w:tcPr>
            <w:tcW w:w="6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Carrying</w:t>
            </w:r>
          </w:p>
        </w:tc>
      </w:tr>
      <w:tr>
        <w:trPr>
          <w:trHeight w:val="139"/>
        </w:trPr>
        <w:tc>
          <w:tcPr>
            <w:tcW w:w="20" w:type="dxa"/>
            <w:vAlign w:val="bottom"/>
          </w:tcPr>
          <w:p>
            <w:pPr>
              <w:spacing w:after="0"/>
              <w:rPr>
                <w:sz w:val="12"/>
                <w:szCs w:val="12"/>
                <w:color w:val="auto"/>
              </w:rPr>
            </w:pPr>
          </w:p>
        </w:tc>
        <w:tc>
          <w:tcPr>
            <w:tcW w:w="1920" w:type="dxa"/>
            <w:vAlign w:val="bottom"/>
            <w:shd w:val="clear" w:color="auto" w:fill="CECAC6"/>
          </w:tcPr>
          <w:p>
            <w:pPr>
              <w:spacing w:after="0"/>
              <w:rPr>
                <w:sz w:val="12"/>
                <w:szCs w:val="12"/>
                <w:color w:val="auto"/>
              </w:rPr>
            </w:pPr>
          </w:p>
        </w:tc>
        <w:tc>
          <w:tcPr>
            <w:tcW w:w="8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2008</w:t>
            </w:r>
          </w:p>
        </w:tc>
        <w:tc>
          <w:tcPr>
            <w:tcW w:w="7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2009</w:t>
            </w:r>
          </w:p>
        </w:tc>
        <w:tc>
          <w:tcPr>
            <w:tcW w:w="7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2010</w:t>
            </w:r>
          </w:p>
        </w:tc>
        <w:tc>
          <w:tcPr>
            <w:tcW w:w="7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2011</w:t>
            </w:r>
          </w:p>
        </w:tc>
        <w:tc>
          <w:tcPr>
            <w:tcW w:w="7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2012</w:t>
            </w:r>
          </w:p>
        </w:tc>
        <w:tc>
          <w:tcPr>
            <w:tcW w:w="8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and after</w:t>
            </w:r>
          </w:p>
        </w:tc>
        <w:tc>
          <w:tcPr>
            <w:tcW w:w="7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Total</w:t>
            </w:r>
          </w:p>
        </w:tc>
        <w:tc>
          <w:tcPr>
            <w:tcW w:w="8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amount</w:t>
            </w:r>
          </w:p>
        </w:tc>
        <w:tc>
          <w:tcPr>
            <w:tcW w:w="6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amount</w:t>
            </w:r>
          </w:p>
        </w:tc>
      </w:tr>
      <w:tr>
        <w:trPr>
          <w:trHeight w:val="127"/>
        </w:trPr>
        <w:tc>
          <w:tcPr>
            <w:tcW w:w="20" w:type="dxa"/>
            <w:vAlign w:val="bottom"/>
          </w:tcPr>
          <w:p>
            <w:pPr>
              <w:spacing w:after="0"/>
              <w:rPr>
                <w:sz w:val="11"/>
                <w:szCs w:val="11"/>
                <w:color w:val="auto"/>
              </w:rPr>
            </w:pPr>
          </w:p>
        </w:tc>
        <w:tc>
          <w:tcPr>
            <w:tcW w:w="1920" w:type="dxa"/>
            <w:vAlign w:val="bottom"/>
          </w:tcPr>
          <w:p>
            <w:pPr>
              <w:spacing w:after="0" w:line="128" w:lineRule="exact"/>
              <w:rPr>
                <w:sz w:val="20"/>
                <w:szCs w:val="20"/>
                <w:color w:val="auto"/>
              </w:rPr>
            </w:pPr>
            <w:r>
              <w:rPr>
                <w:rFonts w:ascii="Arial" w:cs="Arial" w:eastAsia="Arial" w:hAnsi="Arial"/>
                <w:sz w:val="12"/>
                <w:szCs w:val="12"/>
                <w:color w:val="auto"/>
              </w:rPr>
              <w:t>Fixed rate dollar debt</w:t>
            </w:r>
          </w:p>
        </w:tc>
        <w:tc>
          <w:tcPr>
            <w:tcW w:w="82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1,024</w:t>
            </w:r>
          </w:p>
        </w:tc>
        <w:tc>
          <w:tcPr>
            <w:tcW w:w="7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512</w:t>
            </w:r>
          </w:p>
        </w:tc>
        <w:tc>
          <w:tcPr>
            <w:tcW w:w="7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501</w:t>
            </w:r>
          </w:p>
        </w:tc>
        <w:tc>
          <w:tcPr>
            <w:tcW w:w="7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1,001</w:t>
            </w:r>
          </w:p>
        </w:tc>
        <w:tc>
          <w:tcPr>
            <w:tcW w:w="740" w:type="dxa"/>
            <w:vAlign w:val="bottom"/>
          </w:tcPr>
          <w:p>
            <w:pPr>
              <w:jc w:val="right"/>
              <w:ind w:right="98"/>
              <w:spacing w:after="0" w:line="128" w:lineRule="exact"/>
              <w:rPr>
                <w:sz w:val="20"/>
                <w:szCs w:val="20"/>
                <w:color w:val="auto"/>
              </w:rPr>
            </w:pPr>
            <w:r>
              <w:rPr>
                <w:rFonts w:ascii="Arial" w:cs="Arial" w:eastAsia="Arial" w:hAnsi="Arial"/>
                <w:sz w:val="12"/>
                <w:szCs w:val="12"/>
                <w:color w:val="auto"/>
              </w:rPr>
              <w:t>503</w:t>
            </w:r>
          </w:p>
        </w:tc>
        <w:tc>
          <w:tcPr>
            <w:tcW w:w="8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795</w:t>
            </w:r>
          </w:p>
        </w:tc>
        <w:tc>
          <w:tcPr>
            <w:tcW w:w="7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4,336</w:t>
            </w:r>
          </w:p>
        </w:tc>
        <w:tc>
          <w:tcPr>
            <w:tcW w:w="8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124</w:t>
            </w:r>
          </w:p>
        </w:tc>
        <w:tc>
          <w:tcPr>
            <w:tcW w:w="6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4,460</w:t>
            </w:r>
          </w:p>
        </w:tc>
      </w:tr>
      <w:tr>
        <w:trPr>
          <w:trHeight w:val="133"/>
        </w:trPr>
        <w:tc>
          <w:tcPr>
            <w:tcW w:w="20" w:type="dxa"/>
            <w:vAlign w:val="bottom"/>
          </w:tcPr>
          <w:p>
            <w:pPr>
              <w:spacing w:after="0"/>
              <w:rPr>
                <w:sz w:val="11"/>
                <w:szCs w:val="11"/>
                <w:color w:val="auto"/>
              </w:rPr>
            </w:pPr>
          </w:p>
        </w:tc>
        <w:tc>
          <w:tcPr>
            <w:tcW w:w="192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5.2%</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5.1%</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5.6%</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5.3%</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40" w:type="dxa"/>
            <w:vAlign w:val="bottom"/>
            <w:gridSpan w:val="2"/>
          </w:tcPr>
          <w:p>
            <w:pPr>
              <w:spacing w:after="0" w:line="133" w:lineRule="exact"/>
              <w:rPr>
                <w:sz w:val="20"/>
                <w:szCs w:val="20"/>
                <w:color w:val="auto"/>
              </w:rPr>
            </w:pPr>
            <w:r>
              <w:rPr>
                <w:rFonts w:ascii="Arial" w:cs="Arial" w:eastAsia="Arial" w:hAnsi="Arial"/>
                <w:sz w:val="12"/>
                <w:szCs w:val="12"/>
                <w:color w:val="auto"/>
              </w:rPr>
              <w:t>Variable rate dollar debt</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416</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16</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150</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123</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714</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714</w:t>
            </w:r>
          </w:p>
        </w:tc>
      </w:tr>
      <w:tr>
        <w:trPr>
          <w:trHeight w:val="133"/>
        </w:trPr>
        <w:tc>
          <w:tcPr>
            <w:tcW w:w="20" w:type="dxa"/>
            <w:vAlign w:val="bottom"/>
          </w:tcPr>
          <w:p>
            <w:pPr>
              <w:spacing w:after="0"/>
              <w:rPr>
                <w:sz w:val="11"/>
                <w:szCs w:val="11"/>
                <w:color w:val="auto"/>
              </w:rPr>
            </w:pPr>
          </w:p>
        </w:tc>
        <w:tc>
          <w:tcPr>
            <w:tcW w:w="192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5.1%</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8.4%</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6.0%</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8.4%</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11.0%</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0%</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40" w:type="dxa"/>
            <w:vAlign w:val="bottom"/>
            <w:gridSpan w:val="2"/>
          </w:tcPr>
          <w:p>
            <w:pPr>
              <w:spacing w:after="0" w:line="133" w:lineRule="exact"/>
              <w:rPr>
                <w:sz w:val="20"/>
                <w:szCs w:val="20"/>
                <w:color w:val="auto"/>
              </w:rPr>
            </w:pPr>
            <w:r>
              <w:rPr>
                <w:rFonts w:ascii="Arial" w:cs="Arial" w:eastAsia="Arial" w:hAnsi="Arial"/>
                <w:sz w:val="12"/>
                <w:szCs w:val="12"/>
                <w:color w:val="auto"/>
              </w:rPr>
              <w:t>Fixed rate European debt</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485</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516</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1,440</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267</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2,210</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4,919</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92</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5,011</w:t>
            </w:r>
          </w:p>
        </w:tc>
      </w:tr>
      <w:tr>
        <w:trPr>
          <w:trHeight w:val="133"/>
        </w:trPr>
        <w:tc>
          <w:tcPr>
            <w:tcW w:w="20" w:type="dxa"/>
            <w:vAlign w:val="bottom"/>
          </w:tcPr>
          <w:p>
            <w:pPr>
              <w:spacing w:after="0"/>
              <w:rPr>
                <w:sz w:val="11"/>
                <w:szCs w:val="11"/>
                <w:color w:val="auto"/>
              </w:rPr>
            </w:pPr>
          </w:p>
        </w:tc>
        <w:tc>
          <w:tcPr>
            <w:tcW w:w="192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3.0%</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4.9%</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2.0%</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4.2%</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4.6%</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40" w:type="dxa"/>
            <w:vAlign w:val="bottom"/>
            <w:gridSpan w:val="2"/>
          </w:tcPr>
          <w:p>
            <w:pPr>
              <w:spacing w:after="0" w:line="133" w:lineRule="exact"/>
              <w:rPr>
                <w:sz w:val="20"/>
                <w:szCs w:val="20"/>
                <w:color w:val="auto"/>
              </w:rPr>
            </w:pPr>
            <w:r>
              <w:rPr>
                <w:rFonts w:ascii="Arial" w:cs="Arial" w:eastAsia="Arial" w:hAnsi="Arial"/>
                <w:sz w:val="12"/>
                <w:szCs w:val="12"/>
                <w:color w:val="auto"/>
              </w:rPr>
              <w:t>Variable rate European debt</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1,737</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1,737</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1,737</w:t>
            </w:r>
          </w:p>
        </w:tc>
      </w:tr>
      <w:tr>
        <w:trPr>
          <w:trHeight w:val="133"/>
        </w:trPr>
        <w:tc>
          <w:tcPr>
            <w:tcW w:w="20" w:type="dxa"/>
            <w:vAlign w:val="bottom"/>
          </w:tcPr>
          <w:p>
            <w:pPr>
              <w:spacing w:after="0"/>
              <w:rPr>
                <w:sz w:val="11"/>
                <w:szCs w:val="11"/>
                <w:color w:val="auto"/>
              </w:rPr>
            </w:pPr>
          </w:p>
        </w:tc>
        <w:tc>
          <w:tcPr>
            <w:tcW w:w="192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5.3%</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40" w:type="dxa"/>
            <w:vAlign w:val="bottom"/>
            <w:gridSpan w:val="2"/>
          </w:tcPr>
          <w:p>
            <w:pPr>
              <w:spacing w:after="0" w:line="133" w:lineRule="exact"/>
              <w:rPr>
                <w:sz w:val="20"/>
                <w:szCs w:val="20"/>
                <w:color w:val="auto"/>
              </w:rPr>
            </w:pPr>
            <w:r>
              <w:rPr>
                <w:rFonts w:ascii="Arial" w:cs="Arial" w:eastAsia="Arial" w:hAnsi="Arial"/>
                <w:sz w:val="12"/>
                <w:szCs w:val="12"/>
                <w:color w:val="auto"/>
              </w:rPr>
              <w:t>Other fixed rate debt</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614</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617</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617</w:t>
            </w:r>
          </w:p>
        </w:tc>
      </w:tr>
      <w:tr>
        <w:trPr>
          <w:trHeight w:val="133"/>
        </w:trPr>
        <w:tc>
          <w:tcPr>
            <w:tcW w:w="20" w:type="dxa"/>
            <w:vAlign w:val="bottom"/>
          </w:tcPr>
          <w:p>
            <w:pPr>
              <w:spacing w:after="0"/>
              <w:rPr>
                <w:sz w:val="11"/>
                <w:szCs w:val="11"/>
                <w:color w:val="auto"/>
              </w:rPr>
            </w:pPr>
          </w:p>
        </w:tc>
        <w:tc>
          <w:tcPr>
            <w:tcW w:w="192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9.6%</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8.4%</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6.7%</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40" w:type="dxa"/>
            <w:vAlign w:val="bottom"/>
            <w:gridSpan w:val="2"/>
          </w:tcPr>
          <w:p>
            <w:pPr>
              <w:spacing w:after="0" w:line="133" w:lineRule="exact"/>
              <w:rPr>
                <w:sz w:val="20"/>
                <w:szCs w:val="20"/>
                <w:color w:val="auto"/>
              </w:rPr>
            </w:pPr>
            <w:r>
              <w:rPr>
                <w:rFonts w:ascii="Arial" w:cs="Arial" w:eastAsia="Arial" w:hAnsi="Arial"/>
                <w:sz w:val="12"/>
                <w:szCs w:val="12"/>
                <w:color w:val="auto"/>
              </w:rPr>
              <w:t>Other variable rate debt</w:t>
            </w:r>
          </w:p>
        </w:tc>
        <w:tc>
          <w:tcPr>
            <w:tcW w:w="8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1,306</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146</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91</w:t>
            </w:r>
          </w:p>
        </w:tc>
        <w:tc>
          <w:tcPr>
            <w:tcW w:w="7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15</w:t>
            </w:r>
          </w:p>
        </w:tc>
        <w:tc>
          <w:tcPr>
            <w:tcW w:w="7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18</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1,576</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1,576</w:t>
            </w:r>
          </w:p>
        </w:tc>
      </w:tr>
      <w:tr>
        <w:trPr>
          <w:trHeight w:val="139"/>
        </w:trPr>
        <w:tc>
          <w:tcPr>
            <w:tcW w:w="20" w:type="dxa"/>
            <w:vAlign w:val="bottom"/>
          </w:tcPr>
          <w:p>
            <w:pPr>
              <w:spacing w:after="0"/>
              <w:rPr>
                <w:sz w:val="12"/>
                <w:szCs w:val="12"/>
                <w:color w:val="auto"/>
              </w:rPr>
            </w:pP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Average interest rate</w:t>
            </w: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8.3%</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2.8%</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6.4%</w:t>
            </w: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10.5%</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5.0%</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5,582</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1,190</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2,184</w:t>
            </w: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1,288</w:t>
            </w:r>
          </w:p>
        </w:tc>
        <w:tc>
          <w:tcPr>
            <w:tcW w:w="7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526</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3,129</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13,899</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216</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14,115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1280160</wp:posOffset>
            </wp:positionH>
            <wp:positionV relativeFrom="paragraph">
              <wp:posOffset>-1479550</wp:posOffset>
            </wp:positionV>
            <wp:extent cx="3958590" cy="13614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958590" cy="136144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The table above excludes interest expense estimated to be $740 million in 2008, $392 million in 2009, $345 million in 2010, $234 million in 2011,</w:t>
      </w:r>
    </w:p>
    <w:p>
      <w:pPr>
        <w:spacing w:after="0" w:line="9" w:lineRule="exact"/>
        <w:rPr>
          <w:sz w:val="20"/>
          <w:szCs w:val="20"/>
          <w:color w:val="auto"/>
        </w:rPr>
      </w:pPr>
    </w:p>
    <w:p>
      <w:pPr>
        <w:ind w:right="40"/>
        <w:spacing w:after="0" w:line="234" w:lineRule="auto"/>
        <w:rPr>
          <w:sz w:val="20"/>
          <w:szCs w:val="20"/>
          <w:color w:val="auto"/>
        </w:rPr>
      </w:pPr>
      <w:r>
        <w:rPr>
          <w:rFonts w:ascii="Arial" w:cs="Arial" w:eastAsia="Arial" w:hAnsi="Arial"/>
          <w:sz w:val="14"/>
          <w:szCs w:val="14"/>
          <w:color w:val="auto"/>
        </w:rPr>
        <w:t>$171 million in 2012 and $144 million in 2013 and after (assuming interest rates with respect to variable rate debt remain constant and there is no change in aggregate principal amount of debt other than repayment at scheduled maturity as reflected in the table).</w:t>
      </w:r>
    </w:p>
    <w:p>
      <w:pPr>
        <w:spacing w:after="0" w:line="74"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Fixed rate European debt expected to mature in 2008 includes $445 million of euro debt with an average interest rate of 3.3%. Fixed rate European debt expected to mature in 2009 includes $515 million of euro debt with an average interest rate of 3.3%. Fixed rate European debt expected to mature in 2010 comprises $1,000 million of UK pound debt with an average interest rate of 5.3% and $440 million of euro debt with an average interest of 4.0%. Fixed rate European debt expected to mature in 2011 includes $266 million of Swiss franc debt with an average interest rate of 2.0%. Fixed rate European debt expected to mature after 2013 includes $2,207 million of euro debt with an average interest rate of 4.6%.</w:t>
      </w:r>
    </w:p>
    <w:p>
      <w:pPr>
        <w:spacing w:after="0" w:line="70"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Variable rate European debt expected to mature in 2008 includes $590 million of euro debt at with an average interest rate of 4.2% and $1,011 million of UK pound debt at with an average interest rate of 5.8%.</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Other fixed rate debt expected to mature in 2008 includes $492 million of Nigerian naira debt with an average interest rate of 10.2%.</w:t>
      </w:r>
    </w:p>
    <w:p>
      <w:pPr>
        <w:spacing w:after="0" w:line="92"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Other variable rate debt expected to mature in 2008 includes $405 million of Philippine peso debt with an average interest rate of 5.0% and $263 million of Brazilian real debt with an average interest rate of 12.2%.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94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2006</w:t>
            </w:r>
          </w:p>
        </w:tc>
        <w:tc>
          <w:tcPr>
            <w:tcW w:w="840" w:type="dxa"/>
            <w:vAlign w:val="bottom"/>
            <w:shd w:val="clear" w:color="auto" w:fill="7DD0E0"/>
          </w:tcPr>
          <w:p>
            <w:pPr>
              <w:spacing w:after="0"/>
              <w:rPr>
                <w:sz w:val="12"/>
                <w:szCs w:val="12"/>
                <w:color w:val="auto"/>
              </w:rPr>
            </w:pPr>
          </w:p>
        </w:tc>
        <w:tc>
          <w:tcPr>
            <w:tcW w:w="78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20" w:type="dxa"/>
            <w:vAlign w:val="bottom"/>
            <w:shd w:val="clear" w:color="auto" w:fill="7DD0E0"/>
          </w:tcPr>
          <w:p>
            <w:pPr>
              <w:spacing w:after="0"/>
              <w:rPr>
                <w:sz w:val="12"/>
                <w:szCs w:val="12"/>
                <w:color w:val="auto"/>
              </w:rPr>
            </w:pPr>
          </w:p>
        </w:tc>
        <w:tc>
          <w:tcPr>
            <w:tcW w:w="880" w:type="dxa"/>
            <w:vAlign w:val="bottom"/>
            <w:shd w:val="clear" w:color="auto" w:fill="7DD0E0"/>
          </w:tcPr>
          <w:p>
            <w:pPr>
              <w:spacing w:after="0"/>
              <w:rPr>
                <w:sz w:val="12"/>
                <w:szCs w:val="12"/>
                <w:color w:val="auto"/>
              </w:rPr>
            </w:pPr>
          </w:p>
        </w:tc>
        <w:tc>
          <w:tcPr>
            <w:tcW w:w="700" w:type="dxa"/>
            <w:vAlign w:val="bottom"/>
            <w:shd w:val="clear" w:color="auto" w:fill="7DD0E0"/>
          </w:tcPr>
          <w:p>
            <w:pPr>
              <w:spacing w:after="0"/>
              <w:rPr>
                <w:sz w:val="12"/>
                <w:szCs w:val="12"/>
                <w:color w:val="auto"/>
              </w:rPr>
            </w:pPr>
          </w:p>
        </w:tc>
        <w:tc>
          <w:tcPr>
            <w:tcW w:w="820" w:type="dxa"/>
            <w:vAlign w:val="bottom"/>
            <w:shd w:val="clear" w:color="auto" w:fill="7DD0E0"/>
          </w:tcPr>
          <w:p>
            <w:pPr>
              <w:spacing w:after="0"/>
              <w:rPr>
                <w:sz w:val="12"/>
                <w:szCs w:val="12"/>
                <w:color w:val="auto"/>
              </w:rPr>
            </w:pPr>
          </w:p>
        </w:tc>
        <w:tc>
          <w:tcPr>
            <w:tcW w:w="68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41"/>
        </w:trPr>
        <w:tc>
          <w:tcPr>
            <w:tcW w:w="20" w:type="dxa"/>
            <w:vAlign w:val="bottom"/>
          </w:tcPr>
          <w:p>
            <w:pPr>
              <w:spacing w:after="0"/>
              <w:rPr>
                <w:sz w:val="12"/>
                <w:szCs w:val="12"/>
                <w:color w:val="auto"/>
              </w:rPr>
            </w:pPr>
          </w:p>
        </w:tc>
        <w:tc>
          <w:tcPr>
            <w:tcW w:w="1940" w:type="dxa"/>
            <w:vAlign w:val="bottom"/>
            <w:shd w:val="clear" w:color="auto" w:fill="CECAC6"/>
          </w:tcPr>
          <w:p>
            <w:pPr>
              <w:spacing w:after="0"/>
              <w:rPr>
                <w:sz w:val="12"/>
                <w:szCs w:val="12"/>
                <w:color w:val="auto"/>
              </w:rPr>
            </w:pPr>
          </w:p>
        </w:tc>
        <w:tc>
          <w:tcPr>
            <w:tcW w:w="84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760" w:type="dxa"/>
            <w:vAlign w:val="bottom"/>
            <w:shd w:val="clear" w:color="auto" w:fill="CECAC6"/>
          </w:tcPr>
          <w:p>
            <w:pPr>
              <w:spacing w:after="0"/>
              <w:rPr>
                <w:sz w:val="12"/>
                <w:szCs w:val="12"/>
                <w:color w:val="auto"/>
              </w:rPr>
            </w:pPr>
          </w:p>
        </w:tc>
        <w:tc>
          <w:tcPr>
            <w:tcW w:w="760" w:type="dxa"/>
            <w:vAlign w:val="bottom"/>
            <w:shd w:val="clear" w:color="auto" w:fill="CECAC6"/>
          </w:tcPr>
          <w:p>
            <w:pPr>
              <w:spacing w:after="0"/>
              <w:rPr>
                <w:sz w:val="12"/>
                <w:szCs w:val="12"/>
                <w:color w:val="auto"/>
              </w:rPr>
            </w:pPr>
          </w:p>
        </w:tc>
        <w:tc>
          <w:tcPr>
            <w:tcW w:w="720" w:type="dxa"/>
            <w:vAlign w:val="bottom"/>
            <w:shd w:val="clear" w:color="auto" w:fill="CECAC6"/>
          </w:tcPr>
          <w:p>
            <w:pPr>
              <w:spacing w:after="0"/>
              <w:rPr>
                <w:sz w:val="12"/>
                <w:szCs w:val="12"/>
                <w:color w:val="auto"/>
              </w:rPr>
            </w:pPr>
          </w:p>
        </w:tc>
        <w:tc>
          <w:tcPr>
            <w:tcW w:w="158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Contractual repayments</w:t>
            </w:r>
          </w:p>
        </w:tc>
        <w:tc>
          <w:tcPr>
            <w:tcW w:w="8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Difference</w:t>
            </w:r>
          </w:p>
        </w:tc>
        <w:tc>
          <w:tcPr>
            <w:tcW w:w="680" w:type="dxa"/>
            <w:vAlign w:val="bottom"/>
            <w:shd w:val="clear" w:color="auto" w:fill="CECAC6"/>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194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2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from</w:t>
            </w:r>
          </w:p>
        </w:tc>
        <w:tc>
          <w:tcPr>
            <w:tcW w:w="680" w:type="dxa"/>
            <w:vAlign w:val="bottom"/>
            <w:shd w:val="clear" w:color="auto" w:fill="CECAC6"/>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94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20" w:type="dxa"/>
            <w:vAlign w:val="bottom"/>
            <w:shd w:val="clear" w:color="auto" w:fill="CECAC6"/>
          </w:tcPr>
          <w:p>
            <w:pPr>
              <w:spacing w:after="0"/>
              <w:rPr>
                <w:sz w:val="11"/>
                <w:szCs w:val="11"/>
                <w:color w:val="auto"/>
              </w:rPr>
            </w:pPr>
          </w:p>
        </w:tc>
        <w:tc>
          <w:tcPr>
            <w:tcW w:w="88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2012</w:t>
            </w:r>
          </w:p>
        </w:tc>
        <w:tc>
          <w:tcPr>
            <w:tcW w:w="70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carrying</w:t>
            </w:r>
          </w:p>
        </w:tc>
        <w:tc>
          <w:tcPr>
            <w:tcW w:w="6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Carrying</w:t>
            </w:r>
          </w:p>
        </w:tc>
      </w:tr>
      <w:tr>
        <w:trPr>
          <w:trHeight w:val="139"/>
        </w:trPr>
        <w:tc>
          <w:tcPr>
            <w:tcW w:w="20" w:type="dxa"/>
            <w:vAlign w:val="bottom"/>
          </w:tcPr>
          <w:p>
            <w:pPr>
              <w:spacing w:after="0"/>
              <w:rPr>
                <w:sz w:val="12"/>
                <w:szCs w:val="12"/>
                <w:color w:val="auto"/>
              </w:rPr>
            </w:pPr>
          </w:p>
        </w:tc>
        <w:tc>
          <w:tcPr>
            <w:tcW w:w="1940" w:type="dxa"/>
            <w:vAlign w:val="bottom"/>
            <w:shd w:val="clear" w:color="auto" w:fill="CECAC6"/>
          </w:tcPr>
          <w:p>
            <w:pPr>
              <w:spacing w:after="0"/>
              <w:rPr>
                <w:sz w:val="12"/>
                <w:szCs w:val="12"/>
                <w:color w:val="auto"/>
              </w:rPr>
            </w:pPr>
          </w:p>
        </w:tc>
        <w:tc>
          <w:tcPr>
            <w:tcW w:w="8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2008</w:t>
            </w:r>
          </w:p>
        </w:tc>
        <w:tc>
          <w:tcPr>
            <w:tcW w:w="7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2009</w:t>
            </w:r>
          </w:p>
        </w:tc>
        <w:tc>
          <w:tcPr>
            <w:tcW w:w="7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2010</w:t>
            </w:r>
          </w:p>
        </w:tc>
        <w:tc>
          <w:tcPr>
            <w:tcW w:w="7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2011</w:t>
            </w:r>
          </w:p>
        </w:tc>
        <w:tc>
          <w:tcPr>
            <w:tcW w:w="8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and after</w:t>
            </w:r>
          </w:p>
        </w:tc>
        <w:tc>
          <w:tcPr>
            <w:tcW w:w="7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Total</w:t>
            </w:r>
          </w:p>
        </w:tc>
        <w:tc>
          <w:tcPr>
            <w:tcW w:w="8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amount</w:t>
            </w:r>
          </w:p>
        </w:tc>
        <w:tc>
          <w:tcPr>
            <w:tcW w:w="6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amount</w:t>
            </w:r>
          </w:p>
        </w:tc>
      </w:tr>
      <w:tr>
        <w:trPr>
          <w:trHeight w:val="127"/>
        </w:trPr>
        <w:tc>
          <w:tcPr>
            <w:tcW w:w="20" w:type="dxa"/>
            <w:vAlign w:val="bottom"/>
          </w:tcPr>
          <w:p>
            <w:pPr>
              <w:spacing w:after="0"/>
              <w:rPr>
                <w:sz w:val="11"/>
                <w:szCs w:val="11"/>
                <w:color w:val="auto"/>
              </w:rPr>
            </w:pPr>
          </w:p>
        </w:tc>
        <w:tc>
          <w:tcPr>
            <w:tcW w:w="1940" w:type="dxa"/>
            <w:vAlign w:val="bottom"/>
          </w:tcPr>
          <w:p>
            <w:pPr>
              <w:spacing w:after="0" w:line="128" w:lineRule="exact"/>
              <w:rPr>
                <w:sz w:val="20"/>
                <w:szCs w:val="20"/>
                <w:color w:val="auto"/>
              </w:rPr>
            </w:pPr>
            <w:r>
              <w:rPr>
                <w:rFonts w:ascii="Arial" w:cs="Arial" w:eastAsia="Arial" w:hAnsi="Arial"/>
                <w:sz w:val="12"/>
                <w:szCs w:val="12"/>
                <w:color w:val="auto"/>
              </w:rPr>
              <w:t>Fixed rate dollar debt</w:t>
            </w:r>
          </w:p>
        </w:tc>
        <w:tc>
          <w:tcPr>
            <w:tcW w:w="8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1,858</w:t>
            </w:r>
          </w:p>
        </w:tc>
        <w:tc>
          <w:tcPr>
            <w:tcW w:w="7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302</w:t>
            </w:r>
          </w:p>
        </w:tc>
        <w:tc>
          <w:tcPr>
            <w:tcW w:w="7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509</w:t>
            </w:r>
          </w:p>
        </w:tc>
        <w:tc>
          <w:tcPr>
            <w:tcW w:w="7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303</w:t>
            </w:r>
          </w:p>
        </w:tc>
        <w:tc>
          <w:tcPr>
            <w:tcW w:w="72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1,006</w:t>
            </w:r>
          </w:p>
        </w:tc>
        <w:tc>
          <w:tcPr>
            <w:tcW w:w="8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48</w:t>
            </w:r>
          </w:p>
        </w:tc>
        <w:tc>
          <w:tcPr>
            <w:tcW w:w="7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4,026</w:t>
            </w:r>
          </w:p>
        </w:tc>
        <w:tc>
          <w:tcPr>
            <w:tcW w:w="8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28</w:t>
            </w:r>
          </w:p>
        </w:tc>
        <w:tc>
          <w:tcPr>
            <w:tcW w:w="6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4,054</w:t>
            </w:r>
          </w:p>
        </w:tc>
      </w:tr>
      <w:tr>
        <w:trPr>
          <w:trHeight w:val="133"/>
        </w:trPr>
        <w:tc>
          <w:tcPr>
            <w:tcW w:w="20" w:type="dxa"/>
            <w:vAlign w:val="bottom"/>
          </w:tcPr>
          <w:p>
            <w:pPr>
              <w:spacing w:after="0"/>
              <w:rPr>
                <w:sz w:val="11"/>
                <w:szCs w:val="11"/>
                <w:color w:val="auto"/>
              </w:rPr>
            </w:pPr>
          </w:p>
        </w:tc>
        <w:tc>
          <w:tcPr>
            <w:tcW w:w="194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5.8%</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5.1%</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5.6%</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6.8%</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60" w:type="dxa"/>
            <w:vAlign w:val="bottom"/>
            <w:gridSpan w:val="2"/>
          </w:tcPr>
          <w:p>
            <w:pPr>
              <w:spacing w:after="0" w:line="133" w:lineRule="exact"/>
              <w:rPr>
                <w:sz w:val="20"/>
                <w:szCs w:val="20"/>
                <w:color w:val="auto"/>
              </w:rPr>
            </w:pPr>
            <w:r>
              <w:rPr>
                <w:rFonts w:ascii="Arial" w:cs="Arial" w:eastAsia="Arial" w:hAnsi="Arial"/>
                <w:sz w:val="12"/>
                <w:szCs w:val="12"/>
                <w:color w:val="auto"/>
              </w:rPr>
              <w:t>Variable rate dollar debt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470</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56</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140</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123</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789</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789</w:t>
            </w:r>
          </w:p>
        </w:tc>
      </w:tr>
      <w:tr>
        <w:trPr>
          <w:trHeight w:val="133"/>
        </w:trPr>
        <w:tc>
          <w:tcPr>
            <w:tcW w:w="20" w:type="dxa"/>
            <w:vAlign w:val="bottom"/>
          </w:tcPr>
          <w:p>
            <w:pPr>
              <w:spacing w:after="0"/>
              <w:rPr>
                <w:sz w:val="11"/>
                <w:szCs w:val="11"/>
                <w:color w:val="auto"/>
              </w:rPr>
            </w:pPr>
          </w:p>
        </w:tc>
        <w:tc>
          <w:tcPr>
            <w:tcW w:w="194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5.4%</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5.1%</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5.3%</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0%</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60" w:type="dxa"/>
            <w:vAlign w:val="bottom"/>
            <w:gridSpan w:val="2"/>
          </w:tcPr>
          <w:p>
            <w:pPr>
              <w:spacing w:after="0" w:line="133" w:lineRule="exact"/>
              <w:rPr>
                <w:sz w:val="20"/>
                <w:szCs w:val="20"/>
                <w:color w:val="auto"/>
              </w:rPr>
            </w:pPr>
            <w:r>
              <w:rPr>
                <w:rFonts w:ascii="Arial" w:cs="Arial" w:eastAsia="Arial" w:hAnsi="Arial"/>
                <w:sz w:val="12"/>
                <w:szCs w:val="12"/>
                <w:color w:val="auto"/>
              </w:rPr>
              <w:t>Fixed rate European debt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1,068</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400</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462</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590</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246</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2,770</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2,747</w:t>
            </w:r>
          </w:p>
        </w:tc>
      </w:tr>
      <w:tr>
        <w:trPr>
          <w:trHeight w:val="133"/>
        </w:trPr>
        <w:tc>
          <w:tcPr>
            <w:tcW w:w="20" w:type="dxa"/>
            <w:vAlign w:val="bottom"/>
          </w:tcPr>
          <w:p>
            <w:pPr>
              <w:spacing w:after="0"/>
              <w:rPr>
                <w:sz w:val="11"/>
                <w:szCs w:val="11"/>
                <w:color w:val="auto"/>
              </w:rPr>
            </w:pPr>
          </w:p>
        </w:tc>
        <w:tc>
          <w:tcPr>
            <w:tcW w:w="194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5.2%</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2.0%</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1.0%</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60" w:type="dxa"/>
            <w:vAlign w:val="bottom"/>
            <w:gridSpan w:val="2"/>
          </w:tcPr>
          <w:p>
            <w:pPr>
              <w:spacing w:after="0" w:line="133" w:lineRule="exact"/>
              <w:rPr>
                <w:sz w:val="20"/>
                <w:szCs w:val="20"/>
                <w:color w:val="auto"/>
              </w:rPr>
            </w:pPr>
            <w:r>
              <w:rPr>
                <w:rFonts w:ascii="Arial" w:cs="Arial" w:eastAsia="Arial" w:hAnsi="Arial"/>
                <w:sz w:val="12"/>
                <w:szCs w:val="12"/>
                <w:color w:val="auto"/>
              </w:rPr>
              <w:t>Variable rate European debt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119</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1,116</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1,235</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1,234</w:t>
            </w:r>
          </w:p>
        </w:tc>
      </w:tr>
      <w:tr>
        <w:trPr>
          <w:trHeight w:val="133"/>
        </w:trPr>
        <w:tc>
          <w:tcPr>
            <w:tcW w:w="20" w:type="dxa"/>
            <w:vAlign w:val="bottom"/>
          </w:tcPr>
          <w:p>
            <w:pPr>
              <w:spacing w:after="0"/>
              <w:rPr>
                <w:sz w:val="11"/>
                <w:szCs w:val="11"/>
                <w:color w:val="auto"/>
              </w:rPr>
            </w:pPr>
          </w:p>
        </w:tc>
        <w:tc>
          <w:tcPr>
            <w:tcW w:w="194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4.8%</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4.5%</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60" w:type="dxa"/>
            <w:vAlign w:val="bottom"/>
            <w:gridSpan w:val="2"/>
          </w:tcPr>
          <w:p>
            <w:pPr>
              <w:spacing w:after="0" w:line="133" w:lineRule="exact"/>
              <w:rPr>
                <w:sz w:val="20"/>
                <w:szCs w:val="20"/>
                <w:color w:val="auto"/>
              </w:rPr>
            </w:pPr>
            <w:r>
              <w:rPr>
                <w:rFonts w:ascii="Arial" w:cs="Arial" w:eastAsia="Arial" w:hAnsi="Arial"/>
                <w:sz w:val="12"/>
                <w:szCs w:val="12"/>
                <w:color w:val="auto"/>
              </w:rPr>
              <w:t>Other fixed rate debt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126</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7</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144</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144</w:t>
            </w:r>
          </w:p>
        </w:tc>
      </w:tr>
      <w:tr>
        <w:trPr>
          <w:trHeight w:val="133"/>
        </w:trPr>
        <w:tc>
          <w:tcPr>
            <w:tcW w:w="20" w:type="dxa"/>
            <w:vAlign w:val="bottom"/>
          </w:tcPr>
          <w:p>
            <w:pPr>
              <w:spacing w:after="0"/>
              <w:rPr>
                <w:sz w:val="11"/>
                <w:szCs w:val="11"/>
                <w:color w:val="auto"/>
              </w:rPr>
            </w:pPr>
          </w:p>
        </w:tc>
        <w:tc>
          <w:tcPr>
            <w:tcW w:w="1940" w:type="dxa"/>
            <w:vAlign w:val="bottom"/>
          </w:tcPr>
          <w:p>
            <w:pPr>
              <w:ind w:left="180"/>
              <w:spacing w:after="0" w:line="133" w:lineRule="exact"/>
              <w:rPr>
                <w:sz w:val="20"/>
                <w:szCs w:val="20"/>
                <w:color w:val="auto"/>
              </w:rPr>
            </w:pPr>
            <w:r>
              <w:rPr>
                <w:rFonts w:ascii="Arial" w:cs="Arial" w:eastAsia="Arial" w:hAnsi="Arial"/>
                <w:sz w:val="12"/>
                <w:szCs w:val="12"/>
                <w:color w:val="auto"/>
              </w:rPr>
              <w:t>Average interest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4.5%</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5.8%</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8.2%</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8.4%</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1.9%</w:t>
            </w: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3"/>
        </w:trPr>
        <w:tc>
          <w:tcPr>
            <w:tcW w:w="1960" w:type="dxa"/>
            <w:vAlign w:val="bottom"/>
            <w:gridSpan w:val="2"/>
          </w:tcPr>
          <w:p>
            <w:pPr>
              <w:spacing w:after="0" w:line="133" w:lineRule="exact"/>
              <w:rPr>
                <w:sz w:val="20"/>
                <w:szCs w:val="20"/>
                <w:color w:val="auto"/>
              </w:rPr>
            </w:pPr>
            <w:r>
              <w:rPr>
                <w:rFonts w:ascii="Arial" w:cs="Arial" w:eastAsia="Arial" w:hAnsi="Arial"/>
                <w:sz w:val="12"/>
                <w:szCs w:val="12"/>
                <w:color w:val="auto"/>
              </w:rPr>
              <w:t>Other variable rate debt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2,212</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174</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238</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2,624</w:t>
            </w:r>
          </w:p>
        </w:tc>
        <w:tc>
          <w:tcPr>
            <w:tcW w:w="8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2,624</w:t>
            </w:r>
          </w:p>
        </w:tc>
      </w:tr>
      <w:tr>
        <w:trPr>
          <w:trHeight w:val="139"/>
        </w:trPr>
        <w:tc>
          <w:tcPr>
            <w:tcW w:w="20" w:type="dxa"/>
            <w:vAlign w:val="bottom"/>
          </w:tcPr>
          <w:p>
            <w:pPr>
              <w:spacing w:after="0"/>
              <w:rPr>
                <w:sz w:val="12"/>
                <w:szCs w:val="12"/>
                <w:color w:val="auto"/>
              </w:rPr>
            </w:pPr>
          </w:p>
        </w:tc>
        <w:tc>
          <w:tcPr>
            <w:tcW w:w="194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Average interest rate</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7.1%</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3.3%</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3.3%</w:t>
            </w:r>
          </w:p>
        </w:tc>
        <w:tc>
          <w:tcPr>
            <w:tcW w:w="7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5,853</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2,055</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975</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1,033</w:t>
            </w:r>
          </w:p>
        </w:tc>
        <w:tc>
          <w:tcPr>
            <w:tcW w:w="7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1,257</w:t>
            </w:r>
          </w:p>
        </w:tc>
        <w:tc>
          <w:tcPr>
            <w:tcW w:w="8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415</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11,588</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4</w:t>
            </w: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11,592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-1479550</wp:posOffset>
            </wp:positionV>
            <wp:extent cx="3941445" cy="13614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941445" cy="136144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The table above excludes interest expense estimated to be $586 million in 2007, $249 million in 2008, $167 million in 2009, $127 million in 2010,</w:t>
      </w:r>
    </w:p>
    <w:p>
      <w:pPr>
        <w:spacing w:after="0" w:line="9" w:lineRule="exact"/>
        <w:rPr>
          <w:sz w:val="20"/>
          <w:szCs w:val="20"/>
          <w:color w:val="auto"/>
        </w:rPr>
      </w:pPr>
    </w:p>
    <w:p>
      <w:pPr>
        <w:ind w:right="200"/>
        <w:spacing w:after="0" w:line="234" w:lineRule="auto"/>
        <w:rPr>
          <w:sz w:val="20"/>
          <w:szCs w:val="20"/>
          <w:color w:val="auto"/>
        </w:rPr>
      </w:pPr>
      <w:r>
        <w:rPr>
          <w:rFonts w:ascii="Arial" w:cs="Arial" w:eastAsia="Arial" w:hAnsi="Arial"/>
          <w:sz w:val="14"/>
          <w:szCs w:val="14"/>
          <w:color w:val="auto"/>
        </w:rPr>
        <w:t>$73 million in 2011 and $11 million in 2012 and after (assuming interest rates with respect to variable rate debt remain constant and there is no change in aggregate principal amount of debt other than repayment at scheduled maturity as reflected in the table).</w:t>
      </w:r>
    </w:p>
    <w:p>
      <w:pPr>
        <w:spacing w:after="0" w:line="74"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In accordance with risk management policy, subsidiaries have entered into interest rate swaps against most of the fixed rate debt due to mature after more than one year, affecting the effective interest rate on these balances (see Note 26).</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interest rate on short-term debt excluding short-term part of long-term debt at December 31, 2007, was 7% (2006: 7%).</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1325880</wp:posOffset>
            </wp:positionV>
            <wp:extent cx="7252970"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340" w:space="620"/>
            <w:col w:w="8900"/>
          </w:cols>
          <w:pgMar w:left="240" w:top="415" w:right="7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2"/>
                <w:szCs w:val="12"/>
                <w:b w:val="1"/>
                <w:bCs w:val="1"/>
                <w:i w:val="1"/>
                <w:iCs w:val="1"/>
                <w:color w:val="7DD0E0"/>
              </w:rPr>
              <w:t>Note 19 continued</w:t>
            </w:r>
          </w:p>
        </w:tc>
        <w:tc>
          <w:tcPr>
            <w:tcW w:w="3320" w:type="dxa"/>
            <w:vAlign w:val="bottom"/>
            <w:gridSpan w:val="3"/>
          </w:tcPr>
          <w:p>
            <w:pPr>
              <w:ind w:left="440"/>
              <w:spacing w:after="0"/>
              <w:rPr>
                <w:sz w:val="20"/>
                <w:szCs w:val="20"/>
                <w:color w:val="auto"/>
              </w:rPr>
            </w:pPr>
            <w:r>
              <w:rPr>
                <w:rFonts w:ascii="Arial" w:cs="Arial" w:eastAsia="Arial" w:hAnsi="Arial"/>
                <w:sz w:val="14"/>
                <w:szCs w:val="14"/>
                <w:b w:val="1"/>
                <w:bCs w:val="1"/>
                <w:color w:val="auto"/>
              </w:rPr>
              <w:t>[C] LEASE ARRANGEMENTS</w:t>
            </w: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520" w:type="dxa"/>
            <w:vAlign w:val="bottom"/>
          </w:tcPr>
          <w:p>
            <w:pPr>
              <w:spacing w:after="0"/>
              <w:rPr>
                <w:sz w:val="12"/>
                <w:szCs w:val="12"/>
                <w:color w:val="auto"/>
              </w:rPr>
            </w:pPr>
          </w:p>
        </w:tc>
        <w:tc>
          <w:tcPr>
            <w:tcW w:w="9340" w:type="dxa"/>
            <w:vAlign w:val="bottom"/>
            <w:gridSpan w:val="7"/>
          </w:tcPr>
          <w:p>
            <w:pPr>
              <w:ind w:left="440"/>
              <w:spacing w:after="0" w:line="147" w:lineRule="exact"/>
              <w:rPr>
                <w:sz w:val="20"/>
                <w:szCs w:val="20"/>
                <w:color w:val="auto"/>
              </w:rPr>
            </w:pPr>
            <w:r>
              <w:rPr>
                <w:rFonts w:ascii="Arial" w:cs="Arial" w:eastAsia="Arial" w:hAnsi="Arial"/>
                <w:sz w:val="14"/>
                <w:szCs w:val="14"/>
                <w:color w:val="auto"/>
                <w:w w:val="96"/>
              </w:rPr>
              <w:t>The future minimum lease payments for finance and operating leases and the present value of minimum finance lease payments at December 31, by</w:t>
            </w:r>
          </w:p>
        </w:tc>
        <w:tc>
          <w:tcPr>
            <w:tcW w:w="0" w:type="dxa"/>
            <w:vAlign w:val="bottom"/>
          </w:tcPr>
          <w:p>
            <w:pPr>
              <w:spacing w:after="0"/>
              <w:rPr>
                <w:sz w:val="1"/>
                <w:szCs w:val="1"/>
                <w:color w:val="auto"/>
              </w:rPr>
            </w:pPr>
          </w:p>
        </w:tc>
      </w:tr>
      <w:tr>
        <w:trPr>
          <w:trHeight w:val="178"/>
        </w:trPr>
        <w:tc>
          <w:tcPr>
            <w:tcW w:w="1520" w:type="dxa"/>
            <w:vAlign w:val="bottom"/>
          </w:tcPr>
          <w:p>
            <w:pPr>
              <w:spacing w:after="0"/>
              <w:rPr>
                <w:sz w:val="15"/>
                <w:szCs w:val="15"/>
                <w:color w:val="auto"/>
              </w:rPr>
            </w:pPr>
          </w:p>
        </w:tc>
        <w:tc>
          <w:tcPr>
            <w:tcW w:w="3320" w:type="dxa"/>
            <w:vAlign w:val="bottom"/>
            <w:gridSpan w:val="3"/>
          </w:tcPr>
          <w:p>
            <w:pPr>
              <w:ind w:left="440"/>
              <w:spacing w:after="0"/>
              <w:rPr>
                <w:sz w:val="20"/>
                <w:szCs w:val="20"/>
                <w:color w:val="auto"/>
              </w:rPr>
            </w:pPr>
            <w:r>
              <w:rPr>
                <w:rFonts w:ascii="Arial" w:cs="Arial" w:eastAsia="Arial" w:hAnsi="Arial"/>
                <w:sz w:val="14"/>
                <w:szCs w:val="14"/>
                <w:color w:val="auto"/>
              </w:rPr>
              <w:t>maturity date are as follows:</w:t>
            </w:r>
          </w:p>
        </w:tc>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2007</w:t>
            </w:r>
          </w:p>
        </w:tc>
        <w:tc>
          <w:tcPr>
            <w:tcW w:w="1640" w:type="dxa"/>
            <w:vAlign w:val="bottom"/>
            <w:shd w:val="clear" w:color="auto" w:fill="7DD0E0"/>
          </w:tcPr>
          <w:p>
            <w:pPr>
              <w:spacing w:after="0"/>
              <w:rPr>
                <w:sz w:val="11"/>
                <w:szCs w:val="11"/>
                <w:color w:val="auto"/>
              </w:rPr>
            </w:pPr>
          </w:p>
        </w:tc>
        <w:tc>
          <w:tcPr>
            <w:tcW w:w="1360" w:type="dxa"/>
            <w:vAlign w:val="bottom"/>
            <w:shd w:val="clear" w:color="auto" w:fill="7DD0E0"/>
          </w:tcPr>
          <w:p>
            <w:pPr>
              <w:spacing w:after="0"/>
              <w:rPr>
                <w:sz w:val="11"/>
                <w:szCs w:val="11"/>
                <w:color w:val="auto"/>
              </w:rPr>
            </w:pPr>
          </w:p>
        </w:tc>
        <w:tc>
          <w:tcPr>
            <w:tcW w:w="1600" w:type="dxa"/>
            <w:vAlign w:val="bottom"/>
            <w:shd w:val="clear" w:color="auto" w:fill="7DD0E0"/>
          </w:tcPr>
          <w:p>
            <w:pPr>
              <w:spacing w:after="0"/>
              <w:rPr>
                <w:sz w:val="11"/>
                <w:szCs w:val="11"/>
                <w:color w:val="auto"/>
              </w:rPr>
            </w:pPr>
          </w:p>
        </w:tc>
        <w:tc>
          <w:tcPr>
            <w:tcW w:w="142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shd w:val="clear" w:color="auto" w:fill="CECAC6"/>
          </w:tcPr>
          <w:p>
            <w:pPr>
              <w:spacing w:after="0"/>
              <w:rPr>
                <w:sz w:val="11"/>
                <w:szCs w:val="11"/>
                <w:color w:val="auto"/>
              </w:rPr>
            </w:pPr>
          </w:p>
        </w:tc>
        <w:tc>
          <w:tcPr>
            <w:tcW w:w="1640" w:type="dxa"/>
            <w:vAlign w:val="bottom"/>
            <w:shd w:val="clear" w:color="auto" w:fill="CECAC6"/>
          </w:tcPr>
          <w:p>
            <w:pPr>
              <w:jc w:val="right"/>
              <w:ind w:right="478"/>
              <w:spacing w:after="0" w:line="128" w:lineRule="exact"/>
              <w:rPr>
                <w:sz w:val="20"/>
                <w:szCs w:val="20"/>
                <w:color w:val="auto"/>
              </w:rPr>
            </w:pPr>
            <w:r>
              <w:rPr>
                <w:rFonts w:ascii="Arial" w:cs="Arial" w:eastAsia="Arial" w:hAnsi="Arial"/>
                <w:sz w:val="12"/>
                <w:szCs w:val="12"/>
                <w:color w:val="auto"/>
              </w:rPr>
              <w:t>Total future</w:t>
            </w:r>
          </w:p>
        </w:tc>
        <w:tc>
          <w:tcPr>
            <w:tcW w:w="1360" w:type="dxa"/>
            <w:vAlign w:val="bottom"/>
            <w:shd w:val="clear" w:color="auto" w:fill="CECAC6"/>
          </w:tcPr>
          <w:p>
            <w:pPr>
              <w:spacing w:after="0"/>
              <w:rPr>
                <w:sz w:val="11"/>
                <w:szCs w:val="11"/>
                <w:color w:val="auto"/>
              </w:rPr>
            </w:pPr>
          </w:p>
        </w:tc>
        <w:tc>
          <w:tcPr>
            <w:tcW w:w="1600" w:type="dxa"/>
            <w:vAlign w:val="bottom"/>
            <w:shd w:val="clear" w:color="auto" w:fill="CECAC6"/>
          </w:tcPr>
          <w:p>
            <w:pPr>
              <w:jc w:val="right"/>
              <w:ind w:right="218"/>
              <w:spacing w:after="0" w:line="128" w:lineRule="exact"/>
              <w:rPr>
                <w:sz w:val="20"/>
                <w:szCs w:val="20"/>
                <w:color w:val="auto"/>
              </w:rPr>
            </w:pPr>
            <w:r>
              <w:rPr>
                <w:rFonts w:ascii="Arial" w:cs="Arial" w:eastAsia="Arial" w:hAnsi="Arial"/>
                <w:sz w:val="12"/>
                <w:szCs w:val="12"/>
                <w:color w:val="auto"/>
              </w:rPr>
              <w:t>Present value of</w:t>
            </w:r>
          </w:p>
        </w:tc>
        <w:tc>
          <w:tcPr>
            <w:tcW w:w="142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Total future</w:t>
            </w: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shd w:val="clear" w:color="auto" w:fill="CECAC6"/>
          </w:tcPr>
          <w:p>
            <w:pPr>
              <w:spacing w:after="0"/>
              <w:rPr>
                <w:sz w:val="11"/>
                <w:szCs w:val="11"/>
                <w:color w:val="auto"/>
              </w:rPr>
            </w:pPr>
          </w:p>
        </w:tc>
        <w:tc>
          <w:tcPr>
            <w:tcW w:w="164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minimum finance</w:t>
            </w:r>
          </w:p>
        </w:tc>
        <w:tc>
          <w:tcPr>
            <w:tcW w:w="1360" w:type="dxa"/>
            <w:vAlign w:val="bottom"/>
            <w:shd w:val="clear" w:color="auto" w:fill="CECAC6"/>
          </w:tcPr>
          <w:p>
            <w:pPr>
              <w:spacing w:after="0"/>
              <w:rPr>
                <w:sz w:val="11"/>
                <w:szCs w:val="11"/>
                <w:color w:val="auto"/>
              </w:rPr>
            </w:pPr>
          </w:p>
        </w:tc>
        <w:tc>
          <w:tcPr>
            <w:tcW w:w="160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minimum finance</w:t>
            </w:r>
          </w:p>
        </w:tc>
        <w:tc>
          <w:tcPr>
            <w:tcW w:w="14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minimum operating</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shd w:val="clear" w:color="auto" w:fill="CECAC6"/>
          </w:tcPr>
          <w:p>
            <w:pPr>
              <w:spacing w:after="0"/>
              <w:rPr>
                <w:sz w:val="12"/>
                <w:szCs w:val="12"/>
                <w:color w:val="auto"/>
              </w:rPr>
            </w:pPr>
          </w:p>
        </w:tc>
        <w:tc>
          <w:tcPr>
            <w:tcW w:w="1640" w:type="dxa"/>
            <w:vAlign w:val="bottom"/>
            <w:shd w:val="clear" w:color="auto" w:fill="CECAC6"/>
          </w:tcPr>
          <w:p>
            <w:pPr>
              <w:jc w:val="right"/>
              <w:ind w:right="478"/>
              <w:spacing w:after="0"/>
              <w:rPr>
                <w:sz w:val="20"/>
                <w:szCs w:val="20"/>
                <w:color w:val="auto"/>
              </w:rPr>
            </w:pPr>
            <w:r>
              <w:rPr>
                <w:rFonts w:ascii="Arial" w:cs="Arial" w:eastAsia="Arial" w:hAnsi="Arial"/>
                <w:sz w:val="12"/>
                <w:szCs w:val="12"/>
                <w:color w:val="auto"/>
              </w:rPr>
              <w:t>lease payments</w:t>
            </w:r>
          </w:p>
        </w:tc>
        <w:tc>
          <w:tcPr>
            <w:tcW w:w="136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Interest</w:t>
            </w:r>
          </w:p>
        </w:tc>
        <w:tc>
          <w:tcPr>
            <w:tcW w:w="160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lease payments</w:t>
            </w:r>
          </w:p>
        </w:tc>
        <w:tc>
          <w:tcPr>
            <w:tcW w:w="14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lease payments</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tcPr>
          <w:p>
            <w:pPr>
              <w:spacing w:after="0" w:line="128" w:lineRule="exact"/>
              <w:rPr>
                <w:sz w:val="20"/>
                <w:szCs w:val="20"/>
                <w:color w:val="auto"/>
              </w:rPr>
            </w:pPr>
            <w:r>
              <w:rPr>
                <w:rFonts w:ascii="Arial" w:cs="Arial" w:eastAsia="Arial" w:hAnsi="Arial"/>
                <w:sz w:val="12"/>
                <w:szCs w:val="12"/>
                <w:color w:val="auto"/>
              </w:rPr>
              <w:t>2008</w:t>
            </w:r>
          </w:p>
        </w:tc>
        <w:tc>
          <w:tcPr>
            <w:tcW w:w="1640" w:type="dxa"/>
            <w:vAlign w:val="bottom"/>
          </w:tcPr>
          <w:p>
            <w:pPr>
              <w:jc w:val="right"/>
              <w:ind w:right="478"/>
              <w:spacing w:after="0" w:line="128" w:lineRule="exact"/>
              <w:rPr>
                <w:sz w:val="20"/>
                <w:szCs w:val="20"/>
                <w:color w:val="auto"/>
              </w:rPr>
            </w:pPr>
            <w:r>
              <w:rPr>
                <w:rFonts w:ascii="Arial" w:cs="Arial" w:eastAsia="Arial" w:hAnsi="Arial"/>
                <w:sz w:val="12"/>
                <w:szCs w:val="12"/>
                <w:color w:val="auto"/>
              </w:rPr>
              <w:t>458</w:t>
            </w:r>
          </w:p>
        </w:tc>
        <w:tc>
          <w:tcPr>
            <w:tcW w:w="1360" w:type="dxa"/>
            <w:vAlign w:val="bottom"/>
          </w:tcPr>
          <w:p>
            <w:pPr>
              <w:jc w:val="right"/>
              <w:ind w:right="338"/>
              <w:spacing w:after="0" w:line="128" w:lineRule="exact"/>
              <w:rPr>
                <w:sz w:val="20"/>
                <w:szCs w:val="20"/>
                <w:color w:val="auto"/>
              </w:rPr>
            </w:pPr>
            <w:r>
              <w:rPr>
                <w:rFonts w:ascii="Arial" w:cs="Arial" w:eastAsia="Arial" w:hAnsi="Arial"/>
                <w:sz w:val="12"/>
                <w:szCs w:val="12"/>
                <w:color w:val="auto"/>
              </w:rPr>
              <w:t>304</w:t>
            </w:r>
          </w:p>
        </w:tc>
        <w:tc>
          <w:tcPr>
            <w:tcW w:w="160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154</w:t>
            </w:r>
          </w:p>
        </w:tc>
        <w:tc>
          <w:tcPr>
            <w:tcW w:w="14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3,737</w:t>
            </w: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gridSpan w:val="2"/>
          </w:tcPr>
          <w:p>
            <w:pPr>
              <w:spacing w:after="0" w:line="133" w:lineRule="exact"/>
              <w:rPr>
                <w:sz w:val="20"/>
                <w:szCs w:val="20"/>
                <w:color w:val="auto"/>
              </w:rPr>
            </w:pPr>
            <w:r>
              <w:rPr>
                <w:rFonts w:ascii="Arial" w:cs="Arial" w:eastAsia="Arial" w:hAnsi="Arial"/>
                <w:sz w:val="12"/>
                <w:szCs w:val="12"/>
                <w:color w:val="auto"/>
              </w:rPr>
              <w:t>2009–2012</w:t>
            </w:r>
          </w:p>
        </w:tc>
        <w:tc>
          <w:tcPr>
            <w:tcW w:w="164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1,860</w:t>
            </w:r>
          </w:p>
        </w:tc>
        <w:tc>
          <w:tcPr>
            <w:tcW w:w="13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1,059</w:t>
            </w:r>
          </w:p>
        </w:tc>
        <w:tc>
          <w:tcPr>
            <w:tcW w:w="16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801</w:t>
            </w:r>
          </w:p>
        </w:tc>
        <w:tc>
          <w:tcPr>
            <w:tcW w:w="14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8,972</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2013 and after</w:t>
            </w:r>
          </w:p>
        </w:tc>
        <w:tc>
          <w:tcPr>
            <w:tcW w:w="16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4,632</w:t>
            </w: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1,603</w:t>
            </w: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3,029</w:t>
            </w: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4,435</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6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6,950</w:t>
            </w: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2,966</w:t>
            </w: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3,984</w:t>
            </w: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17,144</w:t>
            </w:r>
          </w:p>
        </w:tc>
        <w:tc>
          <w:tcPr>
            <w:tcW w:w="0" w:type="dxa"/>
            <w:vAlign w:val="bottom"/>
          </w:tcPr>
          <w:p>
            <w:pPr>
              <w:spacing w:after="0"/>
              <w:rPr>
                <w:sz w:val="1"/>
                <w:szCs w:val="1"/>
                <w:color w:val="auto"/>
              </w:rPr>
            </w:pPr>
          </w:p>
        </w:tc>
      </w:tr>
      <w:tr>
        <w:trPr>
          <w:trHeight w:val="360"/>
        </w:trPr>
        <w:tc>
          <w:tcPr>
            <w:tcW w:w="1520" w:type="dxa"/>
            <w:vAlign w:val="bottom"/>
          </w:tcPr>
          <w:p>
            <w:pPr>
              <w:spacing w:after="0"/>
              <w:rPr>
                <w:sz w:val="24"/>
                <w:szCs w:val="24"/>
                <w:color w:val="auto"/>
              </w:rPr>
            </w:pPr>
          </w:p>
        </w:tc>
        <w:tc>
          <w:tcPr>
            <w:tcW w:w="460" w:type="dxa"/>
            <w:vAlign w:val="bottom"/>
            <w:gridSpan w:val="2"/>
            <w:vMerge w:val="restart"/>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286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2006</w:t>
            </w:r>
          </w:p>
        </w:tc>
        <w:tc>
          <w:tcPr>
            <w:tcW w:w="1640" w:type="dxa"/>
            <w:vAlign w:val="bottom"/>
            <w:shd w:val="clear" w:color="auto" w:fill="7DD0E0"/>
          </w:tcPr>
          <w:p>
            <w:pPr>
              <w:spacing w:after="0"/>
              <w:rPr>
                <w:sz w:val="11"/>
                <w:szCs w:val="11"/>
                <w:color w:val="auto"/>
              </w:rPr>
            </w:pPr>
          </w:p>
        </w:tc>
        <w:tc>
          <w:tcPr>
            <w:tcW w:w="1360" w:type="dxa"/>
            <w:vAlign w:val="bottom"/>
            <w:shd w:val="clear" w:color="auto" w:fill="7DD0E0"/>
          </w:tcPr>
          <w:p>
            <w:pPr>
              <w:spacing w:after="0"/>
              <w:rPr>
                <w:sz w:val="11"/>
                <w:szCs w:val="11"/>
                <w:color w:val="auto"/>
              </w:rPr>
            </w:pPr>
          </w:p>
        </w:tc>
        <w:tc>
          <w:tcPr>
            <w:tcW w:w="1600" w:type="dxa"/>
            <w:vAlign w:val="bottom"/>
            <w:shd w:val="clear" w:color="auto" w:fill="7DD0E0"/>
          </w:tcPr>
          <w:p>
            <w:pPr>
              <w:spacing w:after="0"/>
              <w:rPr>
                <w:sz w:val="11"/>
                <w:szCs w:val="11"/>
                <w:color w:val="auto"/>
              </w:rPr>
            </w:pPr>
          </w:p>
        </w:tc>
        <w:tc>
          <w:tcPr>
            <w:tcW w:w="142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shd w:val="clear" w:color="auto" w:fill="CECAC6"/>
          </w:tcPr>
          <w:p>
            <w:pPr>
              <w:spacing w:after="0"/>
              <w:rPr>
                <w:sz w:val="11"/>
                <w:szCs w:val="11"/>
                <w:color w:val="auto"/>
              </w:rPr>
            </w:pPr>
          </w:p>
        </w:tc>
        <w:tc>
          <w:tcPr>
            <w:tcW w:w="1640" w:type="dxa"/>
            <w:vAlign w:val="bottom"/>
            <w:shd w:val="clear" w:color="auto" w:fill="CECAC6"/>
          </w:tcPr>
          <w:p>
            <w:pPr>
              <w:jc w:val="right"/>
              <w:ind w:right="478"/>
              <w:spacing w:after="0" w:line="128" w:lineRule="exact"/>
              <w:rPr>
                <w:sz w:val="20"/>
                <w:szCs w:val="20"/>
                <w:color w:val="auto"/>
              </w:rPr>
            </w:pPr>
            <w:r>
              <w:rPr>
                <w:rFonts w:ascii="Arial" w:cs="Arial" w:eastAsia="Arial" w:hAnsi="Arial"/>
                <w:sz w:val="12"/>
                <w:szCs w:val="12"/>
                <w:color w:val="auto"/>
              </w:rPr>
              <w:t>Total future</w:t>
            </w:r>
          </w:p>
        </w:tc>
        <w:tc>
          <w:tcPr>
            <w:tcW w:w="1360" w:type="dxa"/>
            <w:vAlign w:val="bottom"/>
            <w:shd w:val="clear" w:color="auto" w:fill="CECAC6"/>
          </w:tcPr>
          <w:p>
            <w:pPr>
              <w:spacing w:after="0"/>
              <w:rPr>
                <w:sz w:val="11"/>
                <w:szCs w:val="11"/>
                <w:color w:val="auto"/>
              </w:rPr>
            </w:pPr>
          </w:p>
        </w:tc>
        <w:tc>
          <w:tcPr>
            <w:tcW w:w="1600" w:type="dxa"/>
            <w:vAlign w:val="bottom"/>
            <w:shd w:val="clear" w:color="auto" w:fill="CECAC6"/>
          </w:tcPr>
          <w:p>
            <w:pPr>
              <w:jc w:val="right"/>
              <w:ind w:right="218"/>
              <w:spacing w:after="0" w:line="128" w:lineRule="exact"/>
              <w:rPr>
                <w:sz w:val="20"/>
                <w:szCs w:val="20"/>
                <w:color w:val="auto"/>
              </w:rPr>
            </w:pPr>
            <w:r>
              <w:rPr>
                <w:rFonts w:ascii="Arial" w:cs="Arial" w:eastAsia="Arial" w:hAnsi="Arial"/>
                <w:sz w:val="12"/>
                <w:szCs w:val="12"/>
                <w:color w:val="auto"/>
              </w:rPr>
              <w:t>Present value of</w:t>
            </w:r>
          </w:p>
        </w:tc>
        <w:tc>
          <w:tcPr>
            <w:tcW w:w="142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Total future</w:t>
            </w: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shd w:val="clear" w:color="auto" w:fill="CECAC6"/>
          </w:tcPr>
          <w:p>
            <w:pPr>
              <w:spacing w:after="0"/>
              <w:rPr>
                <w:sz w:val="11"/>
                <w:szCs w:val="11"/>
                <w:color w:val="auto"/>
              </w:rPr>
            </w:pPr>
          </w:p>
        </w:tc>
        <w:tc>
          <w:tcPr>
            <w:tcW w:w="1640" w:type="dxa"/>
            <w:vAlign w:val="bottom"/>
            <w:shd w:val="clear" w:color="auto" w:fill="CECAC6"/>
          </w:tcPr>
          <w:p>
            <w:pPr>
              <w:jc w:val="right"/>
              <w:ind w:right="458"/>
              <w:spacing w:after="0" w:line="133" w:lineRule="exact"/>
              <w:rPr>
                <w:sz w:val="20"/>
                <w:szCs w:val="20"/>
                <w:color w:val="auto"/>
              </w:rPr>
            </w:pPr>
            <w:r>
              <w:rPr>
                <w:rFonts w:ascii="Arial" w:cs="Arial" w:eastAsia="Arial" w:hAnsi="Arial"/>
                <w:sz w:val="12"/>
                <w:szCs w:val="12"/>
                <w:color w:val="auto"/>
              </w:rPr>
              <w:t>minimum finance</w:t>
            </w:r>
          </w:p>
        </w:tc>
        <w:tc>
          <w:tcPr>
            <w:tcW w:w="1360" w:type="dxa"/>
            <w:vAlign w:val="bottom"/>
            <w:shd w:val="clear" w:color="auto" w:fill="CECAC6"/>
          </w:tcPr>
          <w:p>
            <w:pPr>
              <w:spacing w:after="0"/>
              <w:rPr>
                <w:sz w:val="11"/>
                <w:szCs w:val="11"/>
                <w:color w:val="auto"/>
              </w:rPr>
            </w:pPr>
          </w:p>
        </w:tc>
        <w:tc>
          <w:tcPr>
            <w:tcW w:w="160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minimum finance</w:t>
            </w:r>
          </w:p>
        </w:tc>
        <w:tc>
          <w:tcPr>
            <w:tcW w:w="14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minimum operating</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shd w:val="clear" w:color="auto" w:fill="CECAC6"/>
          </w:tcPr>
          <w:p>
            <w:pPr>
              <w:spacing w:after="0"/>
              <w:rPr>
                <w:sz w:val="12"/>
                <w:szCs w:val="12"/>
                <w:color w:val="auto"/>
              </w:rPr>
            </w:pPr>
          </w:p>
        </w:tc>
        <w:tc>
          <w:tcPr>
            <w:tcW w:w="1640" w:type="dxa"/>
            <w:vAlign w:val="bottom"/>
            <w:shd w:val="clear" w:color="auto" w:fill="CECAC6"/>
          </w:tcPr>
          <w:p>
            <w:pPr>
              <w:jc w:val="right"/>
              <w:ind w:right="478"/>
              <w:spacing w:after="0"/>
              <w:rPr>
                <w:sz w:val="20"/>
                <w:szCs w:val="20"/>
                <w:color w:val="auto"/>
              </w:rPr>
            </w:pPr>
            <w:r>
              <w:rPr>
                <w:rFonts w:ascii="Arial" w:cs="Arial" w:eastAsia="Arial" w:hAnsi="Arial"/>
                <w:sz w:val="12"/>
                <w:szCs w:val="12"/>
                <w:color w:val="auto"/>
              </w:rPr>
              <w:t>lease payments</w:t>
            </w:r>
          </w:p>
        </w:tc>
        <w:tc>
          <w:tcPr>
            <w:tcW w:w="136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Interest</w:t>
            </w:r>
          </w:p>
        </w:tc>
        <w:tc>
          <w:tcPr>
            <w:tcW w:w="160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lease payments</w:t>
            </w:r>
          </w:p>
        </w:tc>
        <w:tc>
          <w:tcPr>
            <w:tcW w:w="14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lease payments</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60" w:type="dxa"/>
            <w:vAlign w:val="bottom"/>
            <w:gridSpan w:val="2"/>
          </w:tcPr>
          <w:p>
            <w:pPr>
              <w:spacing w:after="0"/>
              <w:rPr>
                <w:sz w:val="11"/>
                <w:szCs w:val="11"/>
                <w:color w:val="auto"/>
              </w:rPr>
            </w:pPr>
          </w:p>
        </w:tc>
        <w:tc>
          <w:tcPr>
            <w:tcW w:w="2860" w:type="dxa"/>
            <w:vAlign w:val="bottom"/>
          </w:tcPr>
          <w:p>
            <w:pPr>
              <w:spacing w:after="0" w:line="128" w:lineRule="exact"/>
              <w:rPr>
                <w:sz w:val="20"/>
                <w:szCs w:val="20"/>
                <w:color w:val="auto"/>
              </w:rPr>
            </w:pPr>
            <w:r>
              <w:rPr>
                <w:rFonts w:ascii="Arial" w:cs="Arial" w:eastAsia="Arial" w:hAnsi="Arial"/>
                <w:sz w:val="12"/>
                <w:szCs w:val="12"/>
                <w:color w:val="auto"/>
              </w:rPr>
              <w:t>2007</w:t>
            </w:r>
          </w:p>
        </w:tc>
        <w:tc>
          <w:tcPr>
            <w:tcW w:w="1640" w:type="dxa"/>
            <w:vAlign w:val="bottom"/>
          </w:tcPr>
          <w:p>
            <w:pPr>
              <w:jc w:val="right"/>
              <w:ind w:right="478"/>
              <w:spacing w:after="0" w:line="128" w:lineRule="exact"/>
              <w:rPr>
                <w:sz w:val="20"/>
                <w:szCs w:val="20"/>
                <w:color w:val="auto"/>
              </w:rPr>
            </w:pPr>
            <w:r>
              <w:rPr>
                <w:rFonts w:ascii="Arial" w:cs="Arial" w:eastAsia="Arial" w:hAnsi="Arial"/>
                <w:sz w:val="12"/>
                <w:szCs w:val="12"/>
                <w:color w:val="auto"/>
              </w:rPr>
              <w:t>522</w:t>
            </w:r>
          </w:p>
        </w:tc>
        <w:tc>
          <w:tcPr>
            <w:tcW w:w="1360" w:type="dxa"/>
            <w:vAlign w:val="bottom"/>
          </w:tcPr>
          <w:p>
            <w:pPr>
              <w:jc w:val="right"/>
              <w:ind w:right="338"/>
              <w:spacing w:after="0" w:line="128" w:lineRule="exact"/>
              <w:rPr>
                <w:sz w:val="20"/>
                <w:szCs w:val="20"/>
                <w:color w:val="auto"/>
              </w:rPr>
            </w:pPr>
            <w:r>
              <w:rPr>
                <w:rFonts w:ascii="Arial" w:cs="Arial" w:eastAsia="Arial" w:hAnsi="Arial"/>
                <w:sz w:val="12"/>
                <w:szCs w:val="12"/>
                <w:color w:val="auto"/>
              </w:rPr>
              <w:t>317</w:t>
            </w:r>
          </w:p>
        </w:tc>
        <w:tc>
          <w:tcPr>
            <w:tcW w:w="160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205</w:t>
            </w:r>
          </w:p>
        </w:tc>
        <w:tc>
          <w:tcPr>
            <w:tcW w:w="14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3,062</w:t>
            </w:r>
          </w:p>
        </w:tc>
        <w:tc>
          <w:tcPr>
            <w:tcW w:w="0" w:type="dxa"/>
            <w:vAlign w:val="bottom"/>
          </w:tcPr>
          <w:p>
            <w:pPr>
              <w:spacing w:after="0"/>
              <w:rPr>
                <w:sz w:val="1"/>
                <w:szCs w:val="1"/>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80" w:type="dxa"/>
            <w:vAlign w:val="bottom"/>
            <w:gridSpan w:val="2"/>
          </w:tcPr>
          <w:p>
            <w:pPr>
              <w:spacing w:after="0" w:line="133" w:lineRule="exact"/>
              <w:rPr>
                <w:sz w:val="20"/>
                <w:szCs w:val="20"/>
                <w:color w:val="auto"/>
              </w:rPr>
            </w:pPr>
            <w:r>
              <w:rPr>
                <w:rFonts w:ascii="Arial" w:cs="Arial" w:eastAsia="Arial" w:hAnsi="Arial"/>
                <w:sz w:val="12"/>
                <w:szCs w:val="12"/>
                <w:color w:val="auto"/>
              </w:rPr>
              <w:t>2008–2011</w:t>
            </w:r>
          </w:p>
        </w:tc>
        <w:tc>
          <w:tcPr>
            <w:tcW w:w="164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1,848</w:t>
            </w:r>
          </w:p>
        </w:tc>
        <w:tc>
          <w:tcPr>
            <w:tcW w:w="136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1,127</w:t>
            </w:r>
          </w:p>
        </w:tc>
        <w:tc>
          <w:tcPr>
            <w:tcW w:w="16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721</w:t>
            </w:r>
          </w:p>
        </w:tc>
        <w:tc>
          <w:tcPr>
            <w:tcW w:w="14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6,532</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2012 and after</w:t>
            </w:r>
          </w:p>
        </w:tc>
        <w:tc>
          <w:tcPr>
            <w:tcW w:w="16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5,206</w:t>
            </w: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1,951</w:t>
            </w: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3,255</w:t>
            </w: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3,894</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64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7,576</w:t>
            </w:r>
          </w:p>
        </w:tc>
        <w:tc>
          <w:tcPr>
            <w:tcW w:w="13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3,395</w:t>
            </w: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4,181</w:t>
            </w: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13,488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-1945005</wp:posOffset>
            </wp:positionV>
            <wp:extent cx="8255" cy="48044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4804410"/>
                    </a:xfrm>
                    <a:prstGeom prst="rect">
                      <a:avLst/>
                    </a:prstGeom>
                    <a:noFill/>
                  </pic:spPr>
                </pic:pic>
              </a:graphicData>
            </a:graphic>
          </wp:anchor>
        </w:drawing>
      </w:r>
    </w:p>
    <w:p>
      <w:pPr>
        <w:spacing w:after="0" w:line="81"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In 2007 and 2006 there were no contingent rents under finance leases recognised as expense.</w:t>
      </w:r>
    </w:p>
    <w:p>
      <w:pPr>
        <w:spacing w:after="0" w:line="92" w:lineRule="exact"/>
        <w:rPr>
          <w:sz w:val="20"/>
          <w:szCs w:val="20"/>
          <w:color w:val="auto"/>
        </w:rPr>
      </w:pPr>
    </w:p>
    <w:p>
      <w:pPr>
        <w:ind w:left="1960" w:right="100"/>
        <w:spacing w:after="0" w:line="247" w:lineRule="auto"/>
        <w:rPr>
          <w:sz w:val="20"/>
          <w:szCs w:val="20"/>
          <w:color w:val="auto"/>
        </w:rPr>
      </w:pPr>
      <w:r>
        <w:rPr>
          <w:rFonts w:ascii="Arial" w:cs="Arial" w:eastAsia="Arial" w:hAnsi="Arial"/>
          <w:sz w:val="14"/>
          <w:szCs w:val="14"/>
          <w:color w:val="auto"/>
        </w:rPr>
        <w:t>For finance leases at December 31, 2007, there is a total of $14 million (2006: $15 million) of future minimum sub-lease payments expected to be received under non-cancellable sub-leases.</w:t>
      </w:r>
    </w:p>
    <w:p>
      <w:pPr>
        <w:spacing w:after="0" w:line="68"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Operating lease expenses were as follows:</w:t>
      </w:r>
    </w:p>
    <w:p>
      <w:pPr>
        <w:spacing w:after="0" w:line="12" w:lineRule="exact"/>
        <w:rPr>
          <w:sz w:val="20"/>
          <w:szCs w:val="20"/>
          <w:color w:val="auto"/>
        </w:rPr>
      </w:pPr>
    </w:p>
    <w:tbl>
      <w:tblPr>
        <w:tblLayout w:type="fixed"/>
        <w:tblInd w:w="19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140" w:type="dxa"/>
            <w:vAlign w:val="bottom"/>
            <w:shd w:val="clear" w:color="auto" w:fill="7DD0E0"/>
          </w:tcPr>
          <w:p>
            <w:pPr>
              <w:spacing w:after="0"/>
              <w:rPr>
                <w:sz w:val="12"/>
                <w:szCs w:val="12"/>
                <w:color w:val="auto"/>
              </w:rPr>
            </w:pPr>
          </w:p>
        </w:tc>
        <w:tc>
          <w:tcPr>
            <w:tcW w:w="640" w:type="dxa"/>
            <w:vAlign w:val="bottom"/>
            <w:shd w:val="clear" w:color="auto" w:fill="7DD0E0"/>
          </w:tcPr>
          <w:p>
            <w:pPr>
              <w:spacing w:after="0"/>
              <w:rPr>
                <w:sz w:val="12"/>
                <w:szCs w:val="12"/>
                <w:color w:val="auto"/>
              </w:rPr>
            </w:pPr>
          </w:p>
        </w:tc>
        <w:tc>
          <w:tcPr>
            <w:tcW w:w="1260" w:type="dxa"/>
            <w:vAlign w:val="bottom"/>
            <w:shd w:val="clear" w:color="auto" w:fill="7DD0E0"/>
          </w:tcPr>
          <w:p>
            <w:pPr>
              <w:spacing w:after="0"/>
              <w:rPr>
                <w:sz w:val="12"/>
                <w:szCs w:val="12"/>
                <w:color w:val="auto"/>
              </w:rPr>
            </w:pPr>
          </w:p>
        </w:tc>
        <w:tc>
          <w:tcPr>
            <w:tcW w:w="8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614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20" w:type="dxa"/>
            <w:vAlign w:val="bottom"/>
          </w:tcPr>
          <w:p>
            <w:pPr>
              <w:spacing w:after="0"/>
              <w:rPr>
                <w:sz w:val="11"/>
                <w:szCs w:val="11"/>
                <w:color w:val="auto"/>
              </w:rPr>
            </w:pPr>
          </w:p>
        </w:tc>
        <w:tc>
          <w:tcPr>
            <w:tcW w:w="6140" w:type="dxa"/>
            <w:vAlign w:val="bottom"/>
          </w:tcPr>
          <w:p>
            <w:pPr>
              <w:spacing w:after="0" w:line="128" w:lineRule="exact"/>
              <w:rPr>
                <w:sz w:val="20"/>
                <w:szCs w:val="20"/>
                <w:color w:val="auto"/>
              </w:rPr>
            </w:pPr>
            <w:r>
              <w:rPr>
                <w:rFonts w:ascii="Arial" w:cs="Arial" w:eastAsia="Arial" w:hAnsi="Arial"/>
                <w:sz w:val="12"/>
                <w:szCs w:val="12"/>
                <w:color w:val="auto"/>
              </w:rPr>
              <w:t>Minimum lease payments</w:t>
            </w:r>
          </w:p>
        </w:tc>
        <w:tc>
          <w:tcPr>
            <w:tcW w:w="6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3,091</w:t>
            </w:r>
          </w:p>
        </w:tc>
        <w:tc>
          <w:tcPr>
            <w:tcW w:w="126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2,571</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2,250</w:t>
            </w:r>
          </w:p>
        </w:tc>
      </w:tr>
      <w:tr>
        <w:trPr>
          <w:trHeight w:val="133"/>
        </w:trPr>
        <w:tc>
          <w:tcPr>
            <w:tcW w:w="6160" w:type="dxa"/>
            <w:vAlign w:val="bottom"/>
            <w:gridSpan w:val="2"/>
          </w:tcPr>
          <w:p>
            <w:pPr>
              <w:spacing w:after="0" w:line="133" w:lineRule="exact"/>
              <w:rPr>
                <w:sz w:val="20"/>
                <w:szCs w:val="20"/>
                <w:color w:val="auto"/>
              </w:rPr>
            </w:pPr>
            <w:r>
              <w:rPr>
                <w:rFonts w:ascii="Arial" w:cs="Arial" w:eastAsia="Arial" w:hAnsi="Arial"/>
                <w:sz w:val="12"/>
                <w:szCs w:val="12"/>
                <w:color w:val="auto"/>
              </w:rPr>
              <w:t>Contingent rentals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63</w:t>
            </w:r>
          </w:p>
        </w:tc>
        <w:tc>
          <w:tcPr>
            <w:tcW w:w="12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59</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56</w:t>
            </w:r>
          </w:p>
        </w:tc>
      </w:tr>
      <w:tr>
        <w:trPr>
          <w:trHeight w:val="139"/>
        </w:trPr>
        <w:tc>
          <w:tcPr>
            <w:tcW w:w="6160" w:type="dxa"/>
            <w:vAlign w:val="bottom"/>
            <w:gridSpan w:val="2"/>
          </w:tcPr>
          <w:p>
            <w:pPr>
              <w:spacing w:after="0"/>
              <w:rPr>
                <w:sz w:val="20"/>
                <w:szCs w:val="20"/>
                <w:color w:val="auto"/>
              </w:rPr>
            </w:pPr>
            <w:r>
              <w:rPr>
                <w:rFonts w:ascii="Arial" w:cs="Arial" w:eastAsia="Arial" w:hAnsi="Arial"/>
                <w:sz w:val="12"/>
                <w:szCs w:val="12"/>
                <w:color w:val="auto"/>
              </w:rPr>
              <w:t>Sub-lease payments</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(138)</w:t>
            </w:r>
          </w:p>
        </w:tc>
        <w:tc>
          <w:tcPr>
            <w:tcW w:w="1260" w:type="dxa"/>
            <w:vAlign w:val="bottom"/>
          </w:tcPr>
          <w:p>
            <w:pPr>
              <w:jc w:val="right"/>
              <w:ind w:right="178"/>
              <w:spacing w:after="0"/>
              <w:rPr>
                <w:sz w:val="20"/>
                <w:szCs w:val="20"/>
                <w:color w:val="auto"/>
              </w:rPr>
            </w:pPr>
            <w:r>
              <w:rPr>
                <w:rFonts w:ascii="Arial" w:cs="Arial" w:eastAsia="Arial" w:hAnsi="Arial"/>
                <w:sz w:val="12"/>
                <w:szCs w:val="12"/>
                <w:color w:val="auto"/>
              </w:rPr>
              <w:t>(132)</w:t>
            </w:r>
          </w:p>
        </w:tc>
        <w:tc>
          <w:tcPr>
            <w:tcW w:w="84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46"/>
        </w:trPr>
        <w:tc>
          <w:tcPr>
            <w:tcW w:w="20" w:type="dxa"/>
            <w:vAlign w:val="bottom"/>
          </w:tcPr>
          <w:p>
            <w:pPr>
              <w:spacing w:after="0"/>
              <w:rPr>
                <w:sz w:val="12"/>
                <w:szCs w:val="12"/>
                <w:color w:val="auto"/>
              </w:rPr>
            </w:pPr>
          </w:p>
        </w:tc>
        <w:tc>
          <w:tcPr>
            <w:tcW w:w="6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3,016</w:t>
            </w:r>
          </w:p>
        </w:tc>
        <w:tc>
          <w:tcPr>
            <w:tcW w:w="12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2"/>
                <w:szCs w:val="12"/>
                <w:color w:val="auto"/>
              </w:rPr>
              <w:t>2,498</w:t>
            </w:r>
          </w:p>
        </w:tc>
        <w:tc>
          <w:tcPr>
            <w:tcW w:w="8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2,175</w:t>
            </w:r>
          </w:p>
        </w:tc>
      </w:tr>
    </w:tbl>
    <w:p>
      <w:pPr>
        <w:spacing w:after="0" w:line="101" w:lineRule="exact"/>
        <w:rPr>
          <w:sz w:val="20"/>
          <w:szCs w:val="20"/>
          <w:color w:val="auto"/>
        </w:rPr>
      </w:pPr>
    </w:p>
    <w:p>
      <w:pPr>
        <w:ind w:left="1960" w:right="340"/>
        <w:spacing w:after="0" w:line="247" w:lineRule="auto"/>
        <w:rPr>
          <w:sz w:val="20"/>
          <w:szCs w:val="20"/>
          <w:color w:val="auto"/>
        </w:rPr>
      </w:pPr>
      <w:r>
        <w:rPr>
          <w:rFonts w:ascii="Arial" w:cs="Arial" w:eastAsia="Arial" w:hAnsi="Arial"/>
          <w:sz w:val="14"/>
          <w:szCs w:val="14"/>
          <w:color w:val="auto"/>
        </w:rPr>
        <w:t>For operating leases at December 31, 2007, there is a total of $350 million (2006: $321 million) of future minimum sub-lease payments expected to be received under non-cancellable sub-leases.</w:t>
      </w:r>
    </w:p>
    <w:p>
      <w:pPr>
        <w:spacing w:after="0" w:line="68" w:lineRule="exact"/>
        <w:rPr>
          <w:sz w:val="20"/>
          <w:szCs w:val="20"/>
          <w:color w:val="auto"/>
        </w:rPr>
      </w:pPr>
    </w:p>
    <w:p>
      <w:pPr>
        <w:ind w:left="1960" w:right="120"/>
        <w:spacing w:after="0" w:line="279" w:lineRule="auto"/>
        <w:rPr>
          <w:sz w:val="20"/>
          <w:szCs w:val="20"/>
          <w:color w:val="auto"/>
        </w:rPr>
      </w:pPr>
      <w:r>
        <w:rPr>
          <w:rFonts w:ascii="Arial" w:cs="Arial" w:eastAsia="Arial" w:hAnsi="Arial"/>
          <w:sz w:val="12"/>
          <w:szCs w:val="12"/>
          <w:color w:val="auto"/>
        </w:rPr>
        <w:t>Subsidiaries have obligations under certain power generation contracts (“tolling agreements”) which are recognised as finance leases. The present value of the future minimum lease payments is $2,704 million at December 31, 2007, (2006: $2,708 million) of which $516 million is denominated in Canadian dollars and the remainder in US dollars. The carrying amount of related assets, which are recognised as property, plant and equipment, is $1,720 million at December 31, 2007, (2006: $1,831 million). The leases mature between 2021 and 2024 and the average interest rate for 2007 was 8.2% (2006: 8.1%).</w:t>
      </w:r>
    </w:p>
    <w:p>
      <w:pPr>
        <w:spacing w:after="0" w:line="163"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[D] GEARING</w:t>
      </w:r>
    </w:p>
    <w:p>
      <w:pPr>
        <w:spacing w:after="0" w:line="6" w:lineRule="exact"/>
        <w:rPr>
          <w:sz w:val="20"/>
          <w:szCs w:val="20"/>
          <w:color w:val="auto"/>
        </w:rPr>
      </w:pPr>
    </w:p>
    <w:p>
      <w:pPr>
        <w:ind w:left="1960" w:right="160"/>
        <w:spacing w:after="0" w:line="234" w:lineRule="auto"/>
        <w:rPr>
          <w:sz w:val="20"/>
          <w:szCs w:val="20"/>
          <w:color w:val="auto"/>
        </w:rPr>
      </w:pPr>
      <w:r>
        <w:rPr>
          <w:rFonts w:ascii="Arial" w:cs="Arial" w:eastAsia="Arial" w:hAnsi="Arial"/>
          <w:sz w:val="14"/>
          <w:szCs w:val="14"/>
          <w:color w:val="auto"/>
        </w:rPr>
        <w:t>Under its financial framework after fulfilling its debt servicing obligations Shell prioritises its dividend to shareholders and the funding of investment and growth.</w:t>
      </w:r>
    </w:p>
    <w:p>
      <w:pPr>
        <w:spacing w:after="0" w:line="74" w:lineRule="exact"/>
        <w:rPr>
          <w:sz w:val="20"/>
          <w:szCs w:val="20"/>
          <w:color w:val="auto"/>
        </w:rPr>
      </w:pPr>
    </w:p>
    <w:p>
      <w:pPr>
        <w:jc w:val="both"/>
        <w:ind w:left="1960" w:right="100"/>
        <w:spacing w:after="0" w:line="235" w:lineRule="auto"/>
        <w:rPr>
          <w:sz w:val="20"/>
          <w:szCs w:val="20"/>
          <w:color w:val="auto"/>
        </w:rPr>
      </w:pPr>
      <w:r>
        <w:rPr>
          <w:rFonts w:ascii="Arial" w:cs="Arial" w:eastAsia="Arial" w:hAnsi="Arial"/>
          <w:sz w:val="14"/>
          <w:szCs w:val="14"/>
          <w:color w:val="auto"/>
        </w:rPr>
        <w:t>The numerator and denominator in the gearing calculation used by Shell is calculated by adding to reported debt and equity those obligations for operating leases and unfunded retirement benefits which it believes to be in the nature of incremental debt, and deducting cash and cash equivalents held in excess of amounts required for operational purposes.</w:t>
      </w:r>
    </w:p>
    <w:p>
      <w:pPr>
        <w:spacing w:after="0" w:line="73" w:lineRule="exact"/>
        <w:rPr>
          <w:sz w:val="20"/>
          <w:szCs w:val="20"/>
          <w:color w:val="auto"/>
        </w:rPr>
      </w:pPr>
    </w:p>
    <w:p>
      <w:pPr>
        <w:ind w:left="1960" w:right="240"/>
        <w:spacing w:after="0" w:line="247" w:lineRule="auto"/>
        <w:rPr>
          <w:sz w:val="20"/>
          <w:szCs w:val="20"/>
          <w:color w:val="auto"/>
        </w:rPr>
      </w:pPr>
      <w:r>
        <w:rPr>
          <w:rFonts w:ascii="Arial" w:cs="Arial" w:eastAsia="Arial" w:hAnsi="Arial"/>
          <w:sz w:val="14"/>
          <w:szCs w:val="14"/>
          <w:color w:val="auto"/>
        </w:rPr>
        <w:t>Dependent upon Shell’s view on market conditions and the current gearing level, Shell may undertake incremental capital investment or return capital to shareholders through share buybacks.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138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144" w:name="page145"/>
    <w:bookmarkEnd w:id="14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19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gearing ratios at December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-89535</wp:posOffset>
            </wp:positionV>
            <wp:extent cx="8255" cy="18351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18351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-89535</wp:posOffset>
            </wp:positionV>
            <wp:extent cx="282575" cy="8170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2575" cy="81705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280" w:type="dxa"/>
            <w:vAlign w:val="bottom"/>
            <w:shd w:val="clear" w:color="auto" w:fill="7DD0E3"/>
          </w:tcPr>
          <w:p>
            <w:pPr>
              <w:spacing w:after="0"/>
              <w:rPr>
                <w:sz w:val="12"/>
                <w:szCs w:val="12"/>
                <w:color w:val="auto"/>
              </w:rPr>
            </w:pPr>
          </w:p>
        </w:tc>
        <w:tc>
          <w:tcPr>
            <w:tcW w:w="640" w:type="dxa"/>
            <w:vAlign w:val="bottom"/>
            <w:shd w:val="clear" w:color="auto" w:fill="7DD0E3"/>
          </w:tcPr>
          <w:p>
            <w:pPr>
              <w:spacing w:after="0"/>
              <w:rPr>
                <w:sz w:val="12"/>
                <w:szCs w:val="12"/>
                <w:color w:val="auto"/>
              </w:rPr>
            </w:pPr>
          </w:p>
        </w:tc>
        <w:tc>
          <w:tcPr>
            <w:tcW w:w="10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728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0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20" w:type="dxa"/>
            <w:vAlign w:val="bottom"/>
          </w:tcPr>
          <w:p>
            <w:pPr>
              <w:spacing w:after="0"/>
              <w:rPr>
                <w:sz w:val="11"/>
                <w:szCs w:val="11"/>
                <w:color w:val="auto"/>
              </w:rPr>
            </w:pPr>
          </w:p>
        </w:tc>
        <w:tc>
          <w:tcPr>
            <w:tcW w:w="7280" w:type="dxa"/>
            <w:vAlign w:val="bottom"/>
          </w:tcPr>
          <w:p>
            <w:pPr>
              <w:spacing w:after="0" w:line="128" w:lineRule="exact"/>
              <w:rPr>
                <w:sz w:val="20"/>
                <w:szCs w:val="20"/>
                <w:color w:val="auto"/>
              </w:rPr>
            </w:pPr>
            <w:r>
              <w:rPr>
                <w:rFonts w:ascii="Arial" w:cs="Arial" w:eastAsia="Arial" w:hAnsi="Arial"/>
                <w:sz w:val="12"/>
                <w:szCs w:val="12"/>
                <w:color w:val="auto"/>
              </w:rPr>
              <w:t>Non-current debt</w:t>
            </w:r>
          </w:p>
        </w:tc>
        <w:tc>
          <w:tcPr>
            <w:tcW w:w="64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12,363</w:t>
            </w:r>
          </w:p>
        </w:tc>
        <w:tc>
          <w:tcPr>
            <w:tcW w:w="10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9,713</w:t>
            </w:r>
          </w:p>
        </w:tc>
      </w:tr>
      <w:tr>
        <w:trPr>
          <w:trHeight w:val="139"/>
        </w:trPr>
        <w:tc>
          <w:tcPr>
            <w:tcW w:w="7300" w:type="dxa"/>
            <w:vAlign w:val="bottom"/>
            <w:gridSpan w:val="2"/>
          </w:tcPr>
          <w:p>
            <w:pPr>
              <w:spacing w:after="0"/>
              <w:rPr>
                <w:sz w:val="20"/>
                <w:szCs w:val="20"/>
                <w:color w:val="auto"/>
              </w:rPr>
            </w:pPr>
            <w:r>
              <w:rPr>
                <w:rFonts w:ascii="Arial" w:cs="Arial" w:eastAsia="Arial" w:hAnsi="Arial"/>
                <w:sz w:val="12"/>
                <w:szCs w:val="12"/>
                <w:color w:val="auto"/>
              </w:rPr>
              <w:t>Current debt</w:t>
            </w:r>
          </w:p>
        </w:tc>
        <w:tc>
          <w:tcPr>
            <w:tcW w:w="64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5,736</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6,060</w:t>
            </w: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34"/>
        </w:trPr>
        <w:tc>
          <w:tcPr>
            <w:tcW w:w="7300" w:type="dxa"/>
            <w:vAlign w:val="bottom"/>
            <w:gridSpan w:val="2"/>
          </w:tcPr>
          <w:p>
            <w:pPr>
              <w:spacing w:after="0" w:line="134" w:lineRule="exact"/>
              <w:rPr>
                <w:sz w:val="20"/>
                <w:szCs w:val="20"/>
                <w:color w:val="auto"/>
              </w:rPr>
            </w:pPr>
            <w:r>
              <w:rPr>
                <w:rFonts w:ascii="Arial" w:cs="Arial" w:eastAsia="Arial" w:hAnsi="Arial"/>
                <w:sz w:val="12"/>
                <w:szCs w:val="12"/>
                <w:color w:val="auto"/>
              </w:rPr>
              <w:t>Total debt</w:t>
            </w:r>
          </w:p>
        </w:tc>
        <w:tc>
          <w:tcPr>
            <w:tcW w:w="640" w:type="dxa"/>
            <w:vAlign w:val="bottom"/>
            <w:shd w:val="clear" w:color="auto" w:fill="E4E3E1"/>
          </w:tcPr>
          <w:p>
            <w:pPr>
              <w:jc w:val="right"/>
              <w:ind w:right="18"/>
              <w:spacing w:after="0" w:line="134" w:lineRule="exact"/>
              <w:rPr>
                <w:sz w:val="20"/>
                <w:szCs w:val="20"/>
                <w:color w:val="auto"/>
              </w:rPr>
            </w:pPr>
            <w:r>
              <w:rPr>
                <w:rFonts w:ascii="Arial" w:cs="Arial" w:eastAsia="Arial" w:hAnsi="Arial"/>
                <w:sz w:val="12"/>
                <w:szCs w:val="12"/>
                <w:color w:val="auto"/>
              </w:rPr>
              <w:t>18,099</w:t>
            </w:r>
          </w:p>
        </w:tc>
        <w:tc>
          <w:tcPr>
            <w:tcW w:w="104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15,773</w:t>
            </w:r>
          </w:p>
        </w:tc>
      </w:tr>
      <w:tr>
        <w:trPr>
          <w:trHeight w:val="133"/>
        </w:trPr>
        <w:tc>
          <w:tcPr>
            <w:tcW w:w="7300" w:type="dxa"/>
            <w:vAlign w:val="bottom"/>
            <w:gridSpan w:val="2"/>
          </w:tcPr>
          <w:p>
            <w:pPr>
              <w:spacing w:after="0" w:line="133" w:lineRule="exact"/>
              <w:rPr>
                <w:sz w:val="20"/>
                <w:szCs w:val="20"/>
                <w:color w:val="auto"/>
              </w:rPr>
            </w:pPr>
            <w:r>
              <w:rPr>
                <w:rFonts w:ascii="Arial" w:cs="Arial" w:eastAsia="Arial" w:hAnsi="Arial"/>
                <w:sz w:val="12"/>
                <w:szCs w:val="12"/>
                <w:color w:val="auto"/>
              </w:rPr>
              <w:t>Add:</w:t>
            </w:r>
          </w:p>
        </w:tc>
        <w:tc>
          <w:tcPr>
            <w:tcW w:w="64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80" w:type="dxa"/>
            <w:vAlign w:val="bottom"/>
          </w:tcPr>
          <w:p>
            <w:pPr>
              <w:ind w:left="180"/>
              <w:spacing w:after="0" w:line="133" w:lineRule="exact"/>
              <w:rPr>
                <w:sz w:val="20"/>
                <w:szCs w:val="20"/>
                <w:color w:val="auto"/>
              </w:rPr>
            </w:pPr>
            <w:r>
              <w:rPr>
                <w:rFonts w:ascii="Arial" w:cs="Arial" w:eastAsia="Arial" w:hAnsi="Arial"/>
                <w:sz w:val="12"/>
                <w:szCs w:val="12"/>
                <w:color w:val="auto"/>
              </w:rPr>
              <w:t>Net present value of operating lease obligation</w:t>
            </w:r>
            <w:r>
              <w:rPr>
                <w:rFonts w:ascii="Arial" w:cs="Arial" w:eastAsia="Arial" w:hAnsi="Arial"/>
                <w:sz w:val="10"/>
                <w:szCs w:val="10"/>
                <w:color w:val="auto"/>
              </w:rPr>
              <w:t>[A]</w:t>
            </w:r>
          </w:p>
        </w:tc>
        <w:tc>
          <w:tcPr>
            <w:tcW w:w="6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14,387</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11,319</w:t>
            </w:r>
          </w:p>
        </w:tc>
      </w:tr>
      <w:tr>
        <w:trPr>
          <w:trHeight w:val="133"/>
        </w:trPr>
        <w:tc>
          <w:tcPr>
            <w:tcW w:w="20" w:type="dxa"/>
            <w:vAlign w:val="bottom"/>
          </w:tcPr>
          <w:p>
            <w:pPr>
              <w:spacing w:after="0"/>
              <w:rPr>
                <w:sz w:val="11"/>
                <w:szCs w:val="11"/>
                <w:color w:val="auto"/>
              </w:rPr>
            </w:pPr>
          </w:p>
        </w:tc>
        <w:tc>
          <w:tcPr>
            <w:tcW w:w="7280" w:type="dxa"/>
            <w:vAlign w:val="bottom"/>
          </w:tcPr>
          <w:p>
            <w:pPr>
              <w:ind w:left="180"/>
              <w:spacing w:after="0" w:line="133" w:lineRule="exact"/>
              <w:rPr>
                <w:sz w:val="20"/>
                <w:szCs w:val="20"/>
                <w:color w:val="auto"/>
              </w:rPr>
            </w:pPr>
            <w:r>
              <w:rPr>
                <w:rFonts w:ascii="Arial" w:cs="Arial" w:eastAsia="Arial" w:hAnsi="Arial"/>
                <w:sz w:val="12"/>
                <w:szCs w:val="12"/>
                <w:color w:val="auto"/>
              </w:rPr>
              <w:t>Unfunded retirement benefit obligations (after tax)</w:t>
            </w:r>
            <w:r>
              <w:rPr>
                <w:rFonts w:ascii="Arial" w:cs="Arial" w:eastAsia="Arial" w:hAnsi="Arial"/>
                <w:sz w:val="10"/>
                <w:szCs w:val="10"/>
                <w:color w:val="auto"/>
              </w:rPr>
              <w:t>[B]</w:t>
            </w:r>
          </w:p>
        </w:tc>
        <w:tc>
          <w:tcPr>
            <w:tcW w:w="64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7300" w:type="dxa"/>
            <w:vAlign w:val="bottom"/>
            <w:gridSpan w:val="2"/>
          </w:tcPr>
          <w:p>
            <w:pPr>
              <w:spacing w:after="0" w:line="133" w:lineRule="exact"/>
              <w:rPr>
                <w:sz w:val="20"/>
                <w:szCs w:val="20"/>
                <w:color w:val="auto"/>
              </w:rPr>
            </w:pPr>
            <w:r>
              <w:rPr>
                <w:rFonts w:ascii="Arial" w:cs="Arial" w:eastAsia="Arial" w:hAnsi="Arial"/>
                <w:sz w:val="12"/>
                <w:szCs w:val="12"/>
                <w:color w:val="auto"/>
              </w:rPr>
              <w:t>Less:</w:t>
            </w:r>
          </w:p>
        </w:tc>
        <w:tc>
          <w:tcPr>
            <w:tcW w:w="64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728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Cash and cash equivalents in excess of operational requirements</w:t>
            </w:r>
            <w:r>
              <w:rPr>
                <w:rFonts w:ascii="Arial" w:cs="Arial" w:eastAsia="Arial" w:hAnsi="Arial"/>
                <w:sz w:val="10"/>
                <w:szCs w:val="10"/>
                <w:color w:val="auto"/>
              </w:rPr>
              <w:t>[C]</w:t>
            </w:r>
          </w:p>
        </w:tc>
        <w:tc>
          <w:tcPr>
            <w:tcW w:w="64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7,356</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7,102</w:t>
            </w:r>
          </w:p>
        </w:tc>
      </w:tr>
      <w:tr>
        <w:trPr>
          <w:trHeight w:val="134"/>
        </w:trPr>
        <w:tc>
          <w:tcPr>
            <w:tcW w:w="7300" w:type="dxa"/>
            <w:vAlign w:val="bottom"/>
            <w:gridSpan w:val="2"/>
          </w:tcPr>
          <w:p>
            <w:pPr>
              <w:spacing w:after="0" w:line="134" w:lineRule="exact"/>
              <w:rPr>
                <w:sz w:val="20"/>
                <w:szCs w:val="20"/>
                <w:color w:val="auto"/>
              </w:rPr>
            </w:pPr>
            <w:r>
              <w:rPr>
                <w:rFonts w:ascii="Arial" w:cs="Arial" w:eastAsia="Arial" w:hAnsi="Arial"/>
                <w:sz w:val="12"/>
                <w:szCs w:val="12"/>
                <w:color w:val="auto"/>
              </w:rPr>
              <w:t>Adjusted debt</w:t>
            </w:r>
          </w:p>
        </w:tc>
        <w:tc>
          <w:tcPr>
            <w:tcW w:w="640" w:type="dxa"/>
            <w:vAlign w:val="bottom"/>
            <w:shd w:val="clear" w:color="auto" w:fill="E4E3E1"/>
          </w:tcPr>
          <w:p>
            <w:pPr>
              <w:jc w:val="right"/>
              <w:ind w:right="18"/>
              <w:spacing w:after="0" w:line="134" w:lineRule="exact"/>
              <w:rPr>
                <w:sz w:val="20"/>
                <w:szCs w:val="20"/>
                <w:color w:val="auto"/>
              </w:rPr>
            </w:pPr>
            <w:r>
              <w:rPr>
                <w:rFonts w:ascii="Arial" w:cs="Arial" w:eastAsia="Arial" w:hAnsi="Arial"/>
                <w:sz w:val="12"/>
                <w:szCs w:val="12"/>
                <w:color w:val="auto"/>
              </w:rPr>
              <w:t>25,130</w:t>
            </w:r>
          </w:p>
        </w:tc>
        <w:tc>
          <w:tcPr>
            <w:tcW w:w="104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19,990</w:t>
            </w:r>
          </w:p>
        </w:tc>
      </w:tr>
      <w:tr>
        <w:trPr>
          <w:trHeight w:val="139"/>
        </w:trPr>
        <w:tc>
          <w:tcPr>
            <w:tcW w:w="7300" w:type="dxa"/>
            <w:vAlign w:val="bottom"/>
            <w:gridSpan w:val="2"/>
          </w:tcPr>
          <w:p>
            <w:pPr>
              <w:spacing w:after="0"/>
              <w:rPr>
                <w:sz w:val="20"/>
                <w:szCs w:val="20"/>
                <w:color w:val="auto"/>
              </w:rPr>
            </w:pPr>
            <w:r>
              <w:rPr>
                <w:rFonts w:ascii="Arial" w:cs="Arial" w:eastAsia="Arial" w:hAnsi="Arial"/>
                <w:sz w:val="12"/>
                <w:szCs w:val="12"/>
                <w:color w:val="auto"/>
              </w:rPr>
              <w:t>Total equity</w:t>
            </w:r>
          </w:p>
        </w:tc>
        <w:tc>
          <w:tcPr>
            <w:tcW w:w="64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shd w:val="clear" w:color="auto" w:fill="E4E3E1"/>
              </w:rPr>
              <w:t>125,968</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114,945</w:t>
            </w:r>
          </w:p>
        </w:tc>
      </w:tr>
      <w:tr>
        <w:trPr>
          <w:trHeight w:val="20"/>
        </w:trPr>
        <w:tc>
          <w:tcPr>
            <w:tcW w:w="20" w:type="dxa"/>
            <w:vAlign w:val="bottom"/>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40"/>
        </w:trPr>
        <w:tc>
          <w:tcPr>
            <w:tcW w:w="7300" w:type="dxa"/>
            <w:vAlign w:val="bottom"/>
            <w:gridSpan w:val="2"/>
          </w:tcPr>
          <w:p>
            <w:pPr>
              <w:spacing w:after="0"/>
              <w:rPr>
                <w:sz w:val="20"/>
                <w:szCs w:val="20"/>
                <w:color w:val="auto"/>
              </w:rPr>
            </w:pPr>
            <w:r>
              <w:rPr>
                <w:rFonts w:ascii="Arial" w:cs="Arial" w:eastAsia="Arial" w:hAnsi="Arial"/>
                <w:sz w:val="12"/>
                <w:szCs w:val="12"/>
                <w:color w:val="auto"/>
              </w:rPr>
              <w:t>Total capital</w:t>
            </w:r>
          </w:p>
        </w:tc>
        <w:tc>
          <w:tcPr>
            <w:tcW w:w="64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151,098</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134,935</w:t>
            </w:r>
          </w:p>
        </w:tc>
      </w:tr>
      <w:tr>
        <w:trPr>
          <w:trHeight w:val="146"/>
        </w:trPr>
        <w:tc>
          <w:tcPr>
            <w:tcW w:w="20" w:type="dxa"/>
            <w:vAlign w:val="bottom"/>
          </w:tcPr>
          <w:p>
            <w:pPr>
              <w:spacing w:after="0"/>
              <w:rPr>
                <w:sz w:val="12"/>
                <w:szCs w:val="12"/>
                <w:color w:val="auto"/>
              </w:rPr>
            </w:pPr>
          </w:p>
        </w:tc>
        <w:tc>
          <w:tcPr>
            <w:tcW w:w="7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 xml:space="preserve">Gearing ratio </w:t>
            </w:r>
            <w:r>
              <w:rPr>
                <w:rFonts w:ascii="Arial" w:cs="Arial" w:eastAsia="Arial" w:hAnsi="Arial"/>
                <w:sz w:val="12"/>
                <w:szCs w:val="12"/>
                <w:color w:val="auto"/>
              </w:rPr>
              <w:t>(adjusted debt as a percentage of total capital)</w:t>
            </w:r>
          </w:p>
        </w:tc>
        <w:tc>
          <w:tcPr>
            <w:tcW w:w="640" w:type="dxa"/>
            <w:vAlign w:val="bottom"/>
            <w:tcBorders>
              <w:top w:val="single" w:sz="8" w:color="auto"/>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16.6%</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14.8%</w:t>
            </w:r>
          </w:p>
        </w:tc>
      </w:tr>
    </w:tbl>
    <w:p>
      <w:pPr>
        <w:spacing w:after="0" w:line="56" w:lineRule="exact"/>
        <w:rPr>
          <w:sz w:val="20"/>
          <w:szCs w:val="20"/>
          <w:color w:val="auto"/>
        </w:rPr>
      </w:pPr>
    </w:p>
    <w:p>
      <w:pPr>
        <w:ind w:left="230" w:hanging="230"/>
        <w:spacing w:after="0"/>
        <w:tabs>
          <w:tab w:leader="none" w:pos="23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Total future minimum operating lease payments at December 31, (see Note 19[C]) discounted at 5.0% (2007) and 5.25% (2006).</w:t>
      </w:r>
    </w:p>
    <w:p>
      <w:pPr>
        <w:ind w:left="230" w:right="20" w:hanging="230"/>
        <w:spacing w:after="0" w:line="231" w:lineRule="auto"/>
        <w:tabs>
          <w:tab w:leader="none" w:pos="23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The unfunded retirement benefit obligations are defined as that part of the pension and other retirement benefit obligations that exceeds the related assets (see Note 21).</w:t>
      </w:r>
    </w:p>
    <w:p>
      <w:pPr>
        <w:ind w:left="230" w:right="260" w:hanging="230"/>
        <w:spacing w:after="0" w:line="249" w:lineRule="auto"/>
        <w:tabs>
          <w:tab w:leader="none" w:pos="23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Consists of cash and cash equivalents as disclosed in Note 18 less cash required for operational requirements of $2.3 billion at December 31, 2007, (2006: $1.9 billion) which includes cash in transit and restricted cash balances held locally.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278765</wp:posOffset>
            </wp:positionV>
            <wp:extent cx="8255" cy="35864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358648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20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[A] TAXATION CHARGE FOR THE PERIOD</w:t>
            </w:r>
          </w:p>
        </w:tc>
        <w:tc>
          <w:tcPr>
            <w:tcW w:w="100" w:type="dxa"/>
            <w:vAlign w:val="bottom"/>
            <w:shd w:val="clear" w:color="auto" w:fill="7DD0E3"/>
          </w:tcPr>
          <w:p>
            <w:pPr>
              <w:spacing w:after="0"/>
              <w:rPr>
                <w:sz w:val="12"/>
                <w:szCs w:val="12"/>
                <w:color w:val="auto"/>
              </w:rPr>
            </w:pPr>
          </w:p>
        </w:tc>
        <w:tc>
          <w:tcPr>
            <w:tcW w:w="540" w:type="dxa"/>
            <w:vAlign w:val="bottom"/>
            <w:shd w:val="clear" w:color="auto" w:fill="7DD0E3"/>
          </w:tcPr>
          <w:p>
            <w:pPr>
              <w:spacing w:after="0"/>
              <w:rPr>
                <w:sz w:val="12"/>
                <w:szCs w:val="12"/>
                <w:color w:val="auto"/>
              </w:rPr>
            </w:pPr>
          </w:p>
        </w:tc>
        <w:tc>
          <w:tcPr>
            <w:tcW w:w="1300" w:type="dxa"/>
            <w:vAlign w:val="bottom"/>
            <w:shd w:val="clear" w:color="auto" w:fill="7DD0E3"/>
          </w:tcPr>
          <w:p>
            <w:pPr>
              <w:spacing w:after="0"/>
              <w:rPr>
                <w:sz w:val="12"/>
                <w:szCs w:val="12"/>
                <w:color w:val="auto"/>
              </w:rPr>
            </w:pPr>
          </w:p>
        </w:tc>
        <w:tc>
          <w:tcPr>
            <w:tcW w:w="82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$million</w:t>
            </w:r>
          </w:p>
        </w:tc>
      </w:tr>
      <w:tr>
        <w:trPr>
          <w:trHeight w:val="133"/>
        </w:trPr>
        <w:tc>
          <w:tcPr>
            <w:tcW w:w="20" w:type="dxa"/>
            <w:vAlign w:val="bottom"/>
          </w:tcPr>
          <w:p>
            <w:pPr>
              <w:spacing w:after="0"/>
              <w:rPr>
                <w:sz w:val="11"/>
                <w:szCs w:val="11"/>
                <w:color w:val="auto"/>
              </w:rPr>
            </w:pPr>
          </w:p>
        </w:tc>
        <w:tc>
          <w:tcPr>
            <w:tcW w:w="6200" w:type="dxa"/>
            <w:vAlign w:val="bottom"/>
            <w:shd w:val="clear" w:color="auto" w:fill="CECAC6"/>
          </w:tcPr>
          <w:p>
            <w:pPr>
              <w:spacing w:after="0"/>
              <w:rPr>
                <w:sz w:val="11"/>
                <w:szCs w:val="11"/>
                <w:color w:val="auto"/>
              </w:rPr>
            </w:pPr>
          </w:p>
        </w:tc>
        <w:tc>
          <w:tcPr>
            <w:tcW w:w="640" w:type="dxa"/>
            <w:vAlign w:val="bottom"/>
            <w:gridSpan w:val="2"/>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30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2006</w:t>
            </w:r>
          </w:p>
        </w:tc>
        <w:tc>
          <w:tcPr>
            <w:tcW w:w="8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20" w:type="dxa"/>
            <w:vAlign w:val="bottom"/>
          </w:tcPr>
          <w:p>
            <w:pPr>
              <w:spacing w:after="0"/>
              <w:rPr>
                <w:sz w:val="11"/>
                <w:szCs w:val="11"/>
                <w:color w:val="auto"/>
              </w:rPr>
            </w:pPr>
          </w:p>
        </w:tc>
        <w:tc>
          <w:tcPr>
            <w:tcW w:w="6200" w:type="dxa"/>
            <w:vAlign w:val="bottom"/>
          </w:tcPr>
          <w:p>
            <w:pPr>
              <w:ind w:left="180"/>
              <w:spacing w:after="0" w:line="128" w:lineRule="exact"/>
              <w:rPr>
                <w:sz w:val="20"/>
                <w:szCs w:val="20"/>
                <w:color w:val="auto"/>
              </w:rPr>
            </w:pPr>
            <w:r>
              <w:rPr>
                <w:rFonts w:ascii="Arial" w:cs="Arial" w:eastAsia="Arial" w:hAnsi="Arial"/>
                <w:sz w:val="12"/>
                <w:szCs w:val="12"/>
                <w:color w:val="auto"/>
              </w:rPr>
              <w:t>Charge in respect of current period</w:t>
            </w:r>
          </w:p>
        </w:tc>
        <w:tc>
          <w:tcPr>
            <w:tcW w:w="100" w:type="dxa"/>
            <w:vAlign w:val="bottom"/>
            <w:shd w:val="clear" w:color="auto" w:fill="E4E3E1"/>
          </w:tcPr>
          <w:p>
            <w:pPr>
              <w:spacing w:after="0"/>
              <w:rPr>
                <w:sz w:val="11"/>
                <w:szCs w:val="11"/>
                <w:color w:val="auto"/>
              </w:rPr>
            </w:pPr>
          </w:p>
        </w:tc>
        <w:tc>
          <w:tcPr>
            <w:tcW w:w="5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19,960</w:t>
            </w:r>
          </w:p>
        </w:tc>
        <w:tc>
          <w:tcPr>
            <w:tcW w:w="130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17,548</w:t>
            </w:r>
          </w:p>
        </w:tc>
        <w:tc>
          <w:tcPr>
            <w:tcW w:w="8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19,561</w:t>
            </w:r>
          </w:p>
        </w:tc>
      </w:tr>
      <w:tr>
        <w:trPr>
          <w:trHeight w:val="139"/>
        </w:trPr>
        <w:tc>
          <w:tcPr>
            <w:tcW w:w="20" w:type="dxa"/>
            <w:vAlign w:val="bottom"/>
          </w:tcPr>
          <w:p>
            <w:pPr>
              <w:spacing w:after="0"/>
              <w:rPr>
                <w:sz w:val="12"/>
                <w:szCs w:val="12"/>
                <w:color w:val="auto"/>
              </w:rPr>
            </w:pPr>
          </w:p>
        </w:tc>
        <w:tc>
          <w:tcPr>
            <w:tcW w:w="62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Adjustments in respect of prior periods</w:t>
            </w:r>
          </w:p>
        </w:tc>
        <w:tc>
          <w:tcPr>
            <w:tcW w:w="100" w:type="dxa"/>
            <w:vAlign w:val="bottom"/>
            <w:tcBorders>
              <w:bottom w:val="single" w:sz="8" w:color="auto"/>
            </w:tcBorders>
            <w:shd w:val="clear" w:color="auto" w:fill="E4E3E1"/>
          </w:tcPr>
          <w:p>
            <w:pPr>
              <w:spacing w:after="0"/>
              <w:rPr>
                <w:sz w:val="12"/>
                <w:szCs w:val="12"/>
                <w:color w:val="auto"/>
              </w:rPr>
            </w:pPr>
          </w:p>
        </w:tc>
        <w:tc>
          <w:tcPr>
            <w:tcW w:w="5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116</w:t>
            </w:r>
          </w:p>
        </w:tc>
        <w:tc>
          <w:tcPr>
            <w:tcW w:w="13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w:t>
            </w:r>
          </w:p>
        </w:tc>
      </w:tr>
      <w:tr>
        <w:trPr>
          <w:trHeight w:val="140"/>
        </w:trPr>
        <w:tc>
          <w:tcPr>
            <w:tcW w:w="6220" w:type="dxa"/>
            <w:vAlign w:val="bottom"/>
            <w:gridSpan w:val="2"/>
          </w:tcPr>
          <w:p>
            <w:pPr>
              <w:spacing w:after="0"/>
              <w:rPr>
                <w:sz w:val="20"/>
                <w:szCs w:val="20"/>
                <w:color w:val="auto"/>
              </w:rPr>
            </w:pPr>
            <w:r>
              <w:rPr>
                <w:rFonts w:ascii="Arial" w:cs="Arial" w:eastAsia="Arial" w:hAnsi="Arial"/>
                <w:sz w:val="12"/>
                <w:szCs w:val="12"/>
                <w:color w:val="auto"/>
              </w:rPr>
              <w:t>Current taxation</w:t>
            </w:r>
          </w:p>
        </w:tc>
        <w:tc>
          <w:tcPr>
            <w:tcW w:w="100" w:type="dxa"/>
            <w:vAlign w:val="bottom"/>
            <w:shd w:val="clear" w:color="auto" w:fill="E4E3E1"/>
          </w:tcPr>
          <w:p>
            <w:pPr>
              <w:spacing w:after="0"/>
              <w:rPr>
                <w:sz w:val="12"/>
                <w:szCs w:val="12"/>
                <w:color w:val="auto"/>
              </w:rPr>
            </w:pPr>
          </w:p>
        </w:tc>
        <w:tc>
          <w:tcPr>
            <w:tcW w:w="5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20,076</w:t>
            </w:r>
          </w:p>
        </w:tc>
        <w:tc>
          <w:tcPr>
            <w:tcW w:w="1300" w:type="dxa"/>
            <w:vAlign w:val="bottom"/>
          </w:tcPr>
          <w:p>
            <w:pPr>
              <w:jc w:val="right"/>
              <w:ind w:right="238"/>
              <w:spacing w:after="0"/>
              <w:rPr>
                <w:sz w:val="20"/>
                <w:szCs w:val="20"/>
                <w:color w:val="auto"/>
              </w:rPr>
            </w:pPr>
            <w:r>
              <w:rPr>
                <w:rFonts w:ascii="Arial" w:cs="Arial" w:eastAsia="Arial" w:hAnsi="Arial"/>
                <w:sz w:val="12"/>
                <w:szCs w:val="12"/>
                <w:color w:val="auto"/>
              </w:rPr>
              <w:t>17,338</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19,435</w:t>
            </w:r>
          </w:p>
        </w:tc>
      </w:tr>
      <w:tr>
        <w:trPr>
          <w:trHeight w:val="134"/>
        </w:trPr>
        <w:tc>
          <w:tcPr>
            <w:tcW w:w="20" w:type="dxa"/>
            <w:vAlign w:val="bottom"/>
          </w:tcPr>
          <w:p>
            <w:pPr>
              <w:spacing w:after="0"/>
              <w:rPr>
                <w:sz w:val="11"/>
                <w:szCs w:val="11"/>
                <w:color w:val="auto"/>
              </w:rPr>
            </w:pPr>
          </w:p>
        </w:tc>
        <w:tc>
          <w:tcPr>
            <w:tcW w:w="6200" w:type="dxa"/>
            <w:vAlign w:val="bottom"/>
            <w:tcBorders>
              <w:top w:val="single" w:sz="8" w:color="auto"/>
            </w:tcBorders>
          </w:tcPr>
          <w:p>
            <w:pPr>
              <w:ind w:left="180"/>
              <w:spacing w:after="0" w:line="134" w:lineRule="exact"/>
              <w:rPr>
                <w:sz w:val="20"/>
                <w:szCs w:val="20"/>
                <w:color w:val="auto"/>
              </w:rPr>
            </w:pPr>
            <w:r>
              <w:rPr>
                <w:rFonts w:ascii="Arial" w:cs="Arial" w:eastAsia="Arial" w:hAnsi="Arial"/>
                <w:sz w:val="12"/>
                <w:szCs w:val="12"/>
                <w:color w:val="auto"/>
              </w:rPr>
              <w:t>Relating to the origination and reversal of temporary differences</w:t>
            </w:r>
          </w:p>
        </w:tc>
        <w:tc>
          <w:tcPr>
            <w:tcW w:w="100" w:type="dxa"/>
            <w:vAlign w:val="bottom"/>
            <w:tcBorders>
              <w:top w:val="single" w:sz="8" w:color="E4E3E1"/>
            </w:tcBorders>
            <w:shd w:val="clear" w:color="auto" w:fill="E4E3E1"/>
          </w:tcPr>
          <w:p>
            <w:pPr>
              <w:spacing w:after="0"/>
              <w:rPr>
                <w:sz w:val="11"/>
                <w:szCs w:val="11"/>
                <w:color w:val="auto"/>
              </w:rPr>
            </w:pPr>
          </w:p>
        </w:tc>
        <w:tc>
          <w:tcPr>
            <w:tcW w:w="540" w:type="dxa"/>
            <w:vAlign w:val="bottom"/>
            <w:tcBorders>
              <w:top w:val="single" w:sz="8" w:color="auto"/>
            </w:tcBorders>
            <w:shd w:val="clear" w:color="auto" w:fill="E4E3E1"/>
          </w:tcPr>
          <w:p>
            <w:pPr>
              <w:jc w:val="right"/>
              <w:spacing w:after="0" w:line="134" w:lineRule="exact"/>
              <w:rPr>
                <w:sz w:val="20"/>
                <w:szCs w:val="20"/>
                <w:color w:val="auto"/>
              </w:rPr>
            </w:pPr>
            <w:r>
              <w:rPr>
                <w:rFonts w:ascii="Arial" w:cs="Arial" w:eastAsia="Arial" w:hAnsi="Arial"/>
                <w:sz w:val="12"/>
                <w:szCs w:val="12"/>
                <w:color w:val="auto"/>
              </w:rPr>
              <w:t>(717)</w:t>
            </w:r>
          </w:p>
        </w:tc>
        <w:tc>
          <w:tcPr>
            <w:tcW w:w="1300" w:type="dxa"/>
            <w:vAlign w:val="bottom"/>
            <w:tcBorders>
              <w:top w:val="single" w:sz="8" w:color="auto"/>
            </w:tcBorders>
          </w:tcPr>
          <w:p>
            <w:pPr>
              <w:jc w:val="right"/>
              <w:ind w:right="238"/>
              <w:spacing w:after="0" w:line="134" w:lineRule="exact"/>
              <w:rPr>
                <w:sz w:val="20"/>
                <w:szCs w:val="20"/>
                <w:color w:val="auto"/>
              </w:rPr>
            </w:pPr>
            <w:r>
              <w:rPr>
                <w:rFonts w:ascii="Arial" w:cs="Arial" w:eastAsia="Arial" w:hAnsi="Arial"/>
                <w:sz w:val="12"/>
                <w:szCs w:val="12"/>
                <w:color w:val="auto"/>
              </w:rPr>
              <w:t>913</w:t>
            </w:r>
          </w:p>
        </w:tc>
        <w:tc>
          <w:tcPr>
            <w:tcW w:w="8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(1,444)</w:t>
            </w:r>
          </w:p>
        </w:tc>
      </w:tr>
      <w:tr>
        <w:trPr>
          <w:trHeight w:val="133"/>
        </w:trPr>
        <w:tc>
          <w:tcPr>
            <w:tcW w:w="20" w:type="dxa"/>
            <w:vAlign w:val="bottom"/>
          </w:tcPr>
          <w:p>
            <w:pPr>
              <w:spacing w:after="0"/>
              <w:rPr>
                <w:sz w:val="11"/>
                <w:szCs w:val="11"/>
                <w:color w:val="auto"/>
              </w:rPr>
            </w:pPr>
          </w:p>
        </w:tc>
        <w:tc>
          <w:tcPr>
            <w:tcW w:w="6200" w:type="dxa"/>
            <w:vAlign w:val="bottom"/>
          </w:tcPr>
          <w:p>
            <w:pPr>
              <w:ind w:left="180"/>
              <w:spacing w:after="0" w:line="133" w:lineRule="exact"/>
              <w:rPr>
                <w:sz w:val="20"/>
                <w:szCs w:val="20"/>
                <w:color w:val="auto"/>
              </w:rPr>
            </w:pPr>
            <w:r>
              <w:rPr>
                <w:rFonts w:ascii="Arial" w:cs="Arial" w:eastAsia="Arial" w:hAnsi="Arial"/>
                <w:sz w:val="12"/>
                <w:szCs w:val="12"/>
                <w:color w:val="auto"/>
              </w:rPr>
              <w:t>Relating to changes in tax rates</w:t>
            </w:r>
          </w:p>
        </w:tc>
        <w:tc>
          <w:tcPr>
            <w:tcW w:w="100" w:type="dxa"/>
            <w:vAlign w:val="bottom"/>
            <w:shd w:val="clear" w:color="auto" w:fill="E4E3E1"/>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(746)</w:t>
            </w:r>
          </w:p>
        </w:tc>
        <w:tc>
          <w:tcPr>
            <w:tcW w:w="13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(50)</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(33)</w:t>
            </w:r>
          </w:p>
        </w:tc>
      </w:tr>
      <w:tr>
        <w:trPr>
          <w:trHeight w:val="139"/>
        </w:trPr>
        <w:tc>
          <w:tcPr>
            <w:tcW w:w="20" w:type="dxa"/>
            <w:vAlign w:val="bottom"/>
          </w:tcPr>
          <w:p>
            <w:pPr>
              <w:spacing w:after="0"/>
              <w:rPr>
                <w:sz w:val="12"/>
                <w:szCs w:val="12"/>
                <w:color w:val="auto"/>
              </w:rPr>
            </w:pPr>
          </w:p>
        </w:tc>
        <w:tc>
          <w:tcPr>
            <w:tcW w:w="62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Adjustments in respect of prior periods</w:t>
            </w:r>
          </w:p>
        </w:tc>
        <w:tc>
          <w:tcPr>
            <w:tcW w:w="100" w:type="dxa"/>
            <w:vAlign w:val="bottom"/>
            <w:tcBorders>
              <w:bottom w:val="single" w:sz="8" w:color="auto"/>
            </w:tcBorders>
            <w:shd w:val="clear" w:color="auto" w:fill="E4E3E1"/>
          </w:tcPr>
          <w:p>
            <w:pPr>
              <w:spacing w:after="0"/>
              <w:rPr>
                <w:sz w:val="12"/>
                <w:szCs w:val="12"/>
                <w:color w:val="auto"/>
              </w:rPr>
            </w:pPr>
          </w:p>
        </w:tc>
        <w:tc>
          <w:tcPr>
            <w:tcW w:w="5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37</w:t>
            </w: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116</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41</w:t>
            </w:r>
          </w:p>
        </w:tc>
      </w:tr>
      <w:tr>
        <w:trPr>
          <w:trHeight w:val="140"/>
        </w:trPr>
        <w:tc>
          <w:tcPr>
            <w:tcW w:w="6220" w:type="dxa"/>
            <w:vAlign w:val="bottom"/>
            <w:gridSpan w:val="2"/>
          </w:tcPr>
          <w:p>
            <w:pPr>
              <w:spacing w:after="0"/>
              <w:rPr>
                <w:sz w:val="20"/>
                <w:szCs w:val="20"/>
                <w:color w:val="auto"/>
              </w:rPr>
            </w:pPr>
            <w:r>
              <w:rPr>
                <w:rFonts w:ascii="Arial" w:cs="Arial" w:eastAsia="Arial" w:hAnsi="Arial"/>
                <w:sz w:val="12"/>
                <w:szCs w:val="12"/>
                <w:color w:val="auto"/>
              </w:rPr>
              <w:t>Deferred taxation</w:t>
            </w:r>
          </w:p>
        </w:tc>
        <w:tc>
          <w:tcPr>
            <w:tcW w:w="100" w:type="dxa"/>
            <w:vAlign w:val="bottom"/>
            <w:shd w:val="clear" w:color="auto" w:fill="E4E3E1"/>
          </w:tcPr>
          <w:p>
            <w:pPr>
              <w:spacing w:after="0"/>
              <w:rPr>
                <w:sz w:val="12"/>
                <w:szCs w:val="12"/>
                <w:color w:val="auto"/>
              </w:rPr>
            </w:pPr>
          </w:p>
        </w:tc>
        <w:tc>
          <w:tcPr>
            <w:tcW w:w="5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(1,426)</w:t>
            </w:r>
          </w:p>
        </w:tc>
        <w:tc>
          <w:tcPr>
            <w:tcW w:w="1300" w:type="dxa"/>
            <w:vAlign w:val="bottom"/>
          </w:tcPr>
          <w:p>
            <w:pPr>
              <w:jc w:val="right"/>
              <w:ind w:right="238"/>
              <w:spacing w:after="0"/>
              <w:rPr>
                <w:sz w:val="20"/>
                <w:szCs w:val="20"/>
                <w:color w:val="auto"/>
              </w:rPr>
            </w:pPr>
            <w:r>
              <w:rPr>
                <w:rFonts w:ascii="Arial" w:cs="Arial" w:eastAsia="Arial" w:hAnsi="Arial"/>
                <w:sz w:val="12"/>
                <w:szCs w:val="12"/>
                <w:color w:val="auto"/>
              </w:rPr>
              <w:t>979</w:t>
            </w:r>
          </w:p>
        </w:tc>
        <w:tc>
          <w:tcPr>
            <w:tcW w:w="820" w:type="dxa"/>
            <w:vAlign w:val="bottom"/>
          </w:tcPr>
          <w:p>
            <w:pPr>
              <w:jc w:val="right"/>
              <w:spacing w:after="0"/>
              <w:rPr>
                <w:sz w:val="20"/>
                <w:szCs w:val="20"/>
                <w:color w:val="auto"/>
              </w:rPr>
            </w:pPr>
            <w:r>
              <w:rPr>
                <w:rFonts w:ascii="Arial" w:cs="Arial" w:eastAsia="Arial" w:hAnsi="Arial"/>
                <w:sz w:val="12"/>
                <w:szCs w:val="12"/>
                <w:color w:val="auto"/>
              </w:rPr>
              <w:t>(1,436)</w:t>
            </w:r>
          </w:p>
        </w:tc>
      </w:tr>
      <w:tr>
        <w:trPr>
          <w:trHeight w:val="146"/>
        </w:trPr>
        <w:tc>
          <w:tcPr>
            <w:tcW w:w="20" w:type="dxa"/>
            <w:vAlign w:val="bottom"/>
          </w:tcPr>
          <w:p>
            <w:pPr>
              <w:spacing w:after="0"/>
              <w:rPr>
                <w:sz w:val="12"/>
                <w:szCs w:val="12"/>
                <w:color w:val="auto"/>
              </w:rPr>
            </w:pPr>
          </w:p>
        </w:tc>
        <w:tc>
          <w:tcPr>
            <w:tcW w:w="6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Taxation charge</w:t>
            </w:r>
          </w:p>
        </w:tc>
        <w:tc>
          <w:tcPr>
            <w:tcW w:w="100" w:type="dxa"/>
            <w:vAlign w:val="bottom"/>
            <w:tcBorders>
              <w:top w:val="single" w:sz="8" w:color="auto"/>
              <w:bottom w:val="single" w:sz="8" w:color="auto"/>
            </w:tcBorders>
            <w:shd w:val="clear" w:color="auto" w:fill="E4E3E1"/>
          </w:tcPr>
          <w:p>
            <w:pPr>
              <w:spacing w:after="0"/>
              <w:rPr>
                <w:sz w:val="12"/>
                <w:szCs w:val="12"/>
                <w:color w:val="auto"/>
              </w:rPr>
            </w:pPr>
          </w:p>
        </w:tc>
        <w:tc>
          <w:tcPr>
            <w:tcW w:w="5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18,650</w:t>
            </w:r>
          </w:p>
        </w:tc>
        <w:tc>
          <w:tcPr>
            <w:tcW w:w="130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2"/>
                <w:szCs w:val="12"/>
                <w:color w:val="auto"/>
              </w:rPr>
              <w:t>18,317</w:t>
            </w: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17,999</w:t>
            </w:r>
          </w:p>
        </w:tc>
      </w:tr>
    </w:tbl>
    <w:p>
      <w:pPr>
        <w:spacing w:after="0" w:line="101" w:lineRule="exact"/>
        <w:rPr>
          <w:sz w:val="20"/>
          <w:szCs w:val="20"/>
          <w:color w:val="auto"/>
        </w:rPr>
      </w:pPr>
    </w:p>
    <w:p>
      <w:pPr>
        <w:ind w:left="10"/>
        <w:spacing w:after="0"/>
        <w:rPr>
          <w:sz w:val="20"/>
          <w:szCs w:val="20"/>
          <w:color w:val="auto"/>
        </w:rPr>
      </w:pPr>
      <w:r>
        <w:rPr>
          <w:rFonts w:ascii="Arial" w:cs="Arial" w:eastAsia="Arial" w:hAnsi="Arial"/>
          <w:sz w:val="14"/>
          <w:szCs w:val="14"/>
          <w:color w:val="auto"/>
        </w:rPr>
        <w:t>Reconciliations of the expected tax charge to the actual tax charge are as follows:</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6220" w:type="dxa"/>
            <w:vAlign w:val="bottom"/>
            <w:shd w:val="clear" w:color="auto" w:fill="7DD0E3"/>
          </w:tcPr>
          <w:p>
            <w:pPr>
              <w:spacing w:after="0"/>
              <w:rPr>
                <w:sz w:val="12"/>
                <w:szCs w:val="12"/>
                <w:color w:val="auto"/>
              </w:rPr>
            </w:pPr>
          </w:p>
        </w:tc>
        <w:tc>
          <w:tcPr>
            <w:tcW w:w="640" w:type="dxa"/>
            <w:vAlign w:val="bottom"/>
            <w:shd w:val="clear" w:color="auto" w:fill="7DD0E3"/>
          </w:tcPr>
          <w:p>
            <w:pPr>
              <w:spacing w:after="0"/>
              <w:rPr>
                <w:sz w:val="12"/>
                <w:szCs w:val="12"/>
                <w:color w:val="auto"/>
              </w:rPr>
            </w:pPr>
          </w:p>
        </w:tc>
        <w:tc>
          <w:tcPr>
            <w:tcW w:w="1280" w:type="dxa"/>
            <w:vAlign w:val="bottom"/>
            <w:shd w:val="clear" w:color="auto" w:fill="7DD0E3"/>
          </w:tcPr>
          <w:p>
            <w:pPr>
              <w:spacing w:after="0"/>
              <w:rPr>
                <w:sz w:val="12"/>
                <w:szCs w:val="12"/>
                <w:color w:val="auto"/>
              </w:rPr>
            </w:pPr>
          </w:p>
        </w:tc>
        <w:tc>
          <w:tcPr>
            <w:tcW w:w="84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622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28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6220" w:type="dxa"/>
            <w:vAlign w:val="bottom"/>
          </w:tcPr>
          <w:p>
            <w:pPr>
              <w:spacing w:after="0" w:line="128" w:lineRule="exact"/>
              <w:rPr>
                <w:sz w:val="20"/>
                <w:szCs w:val="20"/>
                <w:color w:val="auto"/>
              </w:rPr>
            </w:pPr>
            <w:r>
              <w:rPr>
                <w:rFonts w:ascii="Arial" w:cs="Arial" w:eastAsia="Arial" w:hAnsi="Arial"/>
                <w:sz w:val="12"/>
                <w:szCs w:val="12"/>
                <w:color w:val="auto"/>
              </w:rPr>
              <w:t>Income before taxation</w:t>
            </w:r>
          </w:p>
        </w:tc>
        <w:tc>
          <w:tcPr>
            <w:tcW w:w="6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50,576</w:t>
            </w:r>
          </w:p>
        </w:tc>
        <w:tc>
          <w:tcPr>
            <w:tcW w:w="12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44,628</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44,567</w:t>
            </w:r>
          </w:p>
        </w:tc>
      </w:tr>
      <w:tr>
        <w:trPr>
          <w:trHeight w:val="139"/>
        </w:trPr>
        <w:tc>
          <w:tcPr>
            <w:tcW w:w="6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Share of profit of equity-accounted investments</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(8,234)</w:t>
            </w:r>
          </w:p>
        </w:tc>
        <w:tc>
          <w:tcPr>
            <w:tcW w:w="12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(6,671)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(7,123)</w:t>
            </w:r>
          </w:p>
        </w:tc>
      </w:tr>
      <w:tr>
        <w:trPr>
          <w:trHeight w:val="140"/>
        </w:trPr>
        <w:tc>
          <w:tcPr>
            <w:tcW w:w="6220" w:type="dxa"/>
            <w:vAlign w:val="bottom"/>
          </w:tcPr>
          <w:p>
            <w:pPr>
              <w:spacing w:after="0"/>
              <w:rPr>
                <w:sz w:val="20"/>
                <w:szCs w:val="20"/>
                <w:color w:val="auto"/>
              </w:rPr>
            </w:pPr>
            <w:r>
              <w:rPr>
                <w:rFonts w:ascii="Arial" w:cs="Arial" w:eastAsia="Arial" w:hAnsi="Arial"/>
                <w:sz w:val="12"/>
                <w:szCs w:val="12"/>
                <w:color w:val="auto"/>
              </w:rPr>
              <w:t>Income before taxation and share of profit from equity-accounted investments</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42,342</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37,957</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37,444</w:t>
            </w:r>
          </w:p>
        </w:tc>
      </w:tr>
      <w:tr>
        <w:trPr>
          <w:trHeight w:val="260"/>
        </w:trPr>
        <w:tc>
          <w:tcPr>
            <w:tcW w:w="6220" w:type="dxa"/>
            <w:vAlign w:val="bottom"/>
          </w:tcPr>
          <w:p>
            <w:pPr>
              <w:spacing w:after="0"/>
              <w:rPr>
                <w:sz w:val="20"/>
                <w:szCs w:val="20"/>
                <w:color w:val="auto"/>
              </w:rPr>
            </w:pPr>
            <w:r>
              <w:rPr>
                <w:rFonts w:ascii="Arial" w:cs="Arial" w:eastAsia="Arial" w:hAnsi="Arial"/>
                <w:sz w:val="12"/>
                <w:szCs w:val="12"/>
                <w:color w:val="auto"/>
              </w:rPr>
              <w:t>Applicable tax charge at statutory tax rates</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20,323</w:t>
            </w:r>
          </w:p>
        </w:tc>
        <w:tc>
          <w:tcPr>
            <w:tcW w:w="1280" w:type="dxa"/>
            <w:vAlign w:val="bottom"/>
          </w:tcPr>
          <w:p>
            <w:pPr>
              <w:jc w:val="right"/>
              <w:ind w:right="218"/>
              <w:spacing w:after="0"/>
              <w:rPr>
                <w:sz w:val="20"/>
                <w:szCs w:val="20"/>
                <w:color w:val="auto"/>
              </w:rPr>
            </w:pPr>
            <w:r>
              <w:rPr>
                <w:rFonts w:ascii="Arial" w:cs="Arial" w:eastAsia="Arial" w:hAnsi="Arial"/>
                <w:sz w:val="12"/>
                <w:szCs w:val="12"/>
                <w:color w:val="auto"/>
              </w:rPr>
              <w:t>19,219</w:t>
            </w:r>
          </w:p>
        </w:tc>
        <w:tc>
          <w:tcPr>
            <w:tcW w:w="840" w:type="dxa"/>
            <w:vAlign w:val="bottom"/>
          </w:tcPr>
          <w:p>
            <w:pPr>
              <w:jc w:val="right"/>
              <w:ind w:right="18"/>
              <w:spacing w:after="0"/>
              <w:rPr>
                <w:sz w:val="20"/>
                <w:szCs w:val="20"/>
                <w:color w:val="auto"/>
              </w:rPr>
            </w:pPr>
            <w:r>
              <w:rPr>
                <w:rFonts w:ascii="Arial" w:cs="Arial" w:eastAsia="Arial" w:hAnsi="Arial"/>
                <w:sz w:val="12"/>
                <w:szCs w:val="12"/>
                <w:color w:val="auto"/>
              </w:rPr>
              <w:t>18,802</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Adjustment in respect of prior periods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153</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(94)</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(85)</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Recognition of previously unrecognised/derecognition of previously recognised tax losses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(116)</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(205)</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(300)</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Income not subject to tax</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(1,994)</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(1,098)</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(517)</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Expenses not deductible for tax purposes</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1,602</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1,037</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508</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Taxable items deductible not expensed</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(768)</w:t>
            </w:r>
          </w:p>
        </w:tc>
        <w:tc>
          <w:tcPr>
            <w:tcW w:w="12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(1,006)</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(464)</w:t>
            </w:r>
          </w:p>
        </w:tc>
      </w:tr>
      <w:tr>
        <w:trPr>
          <w:trHeight w:val="133"/>
        </w:trPr>
        <w:tc>
          <w:tcPr>
            <w:tcW w:w="6220" w:type="dxa"/>
            <w:vAlign w:val="bottom"/>
          </w:tcPr>
          <w:p>
            <w:pPr>
              <w:spacing w:after="0" w:line="133" w:lineRule="exact"/>
              <w:rPr>
                <w:sz w:val="20"/>
                <w:szCs w:val="20"/>
                <w:color w:val="auto"/>
              </w:rPr>
            </w:pPr>
            <w:r>
              <w:rPr>
                <w:rFonts w:ascii="Arial" w:cs="Arial" w:eastAsia="Arial" w:hAnsi="Arial"/>
                <w:sz w:val="12"/>
                <w:szCs w:val="12"/>
                <w:color w:val="auto"/>
              </w:rPr>
              <w:t>Taxable income not booked</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321</w:t>
            </w:r>
          </w:p>
        </w:tc>
        <w:tc>
          <w:tcPr>
            <w:tcW w:w="12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255</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220</w:t>
            </w:r>
          </w:p>
        </w:tc>
      </w:tr>
      <w:tr>
        <w:trPr>
          <w:trHeight w:val="139"/>
        </w:trPr>
        <w:tc>
          <w:tcPr>
            <w:tcW w:w="62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reconciling items, including amounts relating to changes in tax rate</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(871)</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w:t>
            </w:r>
          </w:p>
        </w:tc>
      </w:tr>
      <w:tr>
        <w:trPr>
          <w:trHeight w:val="146"/>
        </w:trPr>
        <w:tc>
          <w:tcPr>
            <w:tcW w:w="6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Taxation charge</w:t>
            </w: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18,650</w:t>
            </w:r>
          </w:p>
        </w:tc>
        <w:tc>
          <w:tcPr>
            <w:tcW w:w="12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18,317</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17,999</w:t>
            </w:r>
          </w:p>
        </w:tc>
      </w:tr>
    </w:tbl>
    <w:p>
      <w:pPr>
        <w:spacing w:after="0" w:line="101" w:lineRule="exact"/>
        <w:rPr>
          <w:sz w:val="20"/>
          <w:szCs w:val="20"/>
          <w:color w:val="auto"/>
        </w:rPr>
      </w:pPr>
    </w:p>
    <w:p>
      <w:pPr>
        <w:ind w:left="10" w:right="40"/>
        <w:spacing w:after="0" w:line="251" w:lineRule="auto"/>
        <w:rPr>
          <w:sz w:val="20"/>
          <w:szCs w:val="20"/>
          <w:color w:val="auto"/>
        </w:rPr>
      </w:pPr>
      <w:r>
        <w:rPr>
          <w:rFonts w:ascii="Arial" w:cs="Arial" w:eastAsia="Arial" w:hAnsi="Arial"/>
          <w:sz w:val="13"/>
          <w:szCs w:val="13"/>
          <w:color w:val="auto"/>
        </w:rPr>
        <w:t>The weighted average of statutory tax rates was 48.0% in 2007 (2006: 50.6% and 2005: 50.2%). The decrease between 2006 and 2007 was because a lower proportion of income arose in the Exploration &amp; Production segment (more highly taxed than other segments), which was partly offset by an increase due to a change in the geographical mix of income. The increase between 2005 and 2006 was because a higher proportion of income arose in the Exploration &amp; Production segment, which was partly offset by a reduction due to a change in the geographical mix of income.</w:t>
      </w:r>
    </w:p>
    <w:p>
      <w:pPr>
        <w:spacing w:after="0" w:line="67" w:lineRule="exact"/>
        <w:rPr>
          <w:sz w:val="20"/>
          <w:szCs w:val="20"/>
          <w:color w:val="auto"/>
        </w:rPr>
      </w:pPr>
    </w:p>
    <w:p>
      <w:pPr>
        <w:ind w:left="10" w:right="200"/>
        <w:spacing w:after="0" w:line="247" w:lineRule="auto"/>
        <w:rPr>
          <w:sz w:val="20"/>
          <w:szCs w:val="20"/>
          <w:color w:val="auto"/>
        </w:rPr>
      </w:pPr>
      <w:r>
        <w:rPr>
          <w:rFonts w:ascii="Arial" w:cs="Arial" w:eastAsia="Arial" w:hAnsi="Arial"/>
          <w:sz w:val="14"/>
          <w:szCs w:val="14"/>
          <w:color w:val="auto"/>
        </w:rPr>
        <w:t>The taxation charge includes not only those of general application but also taxes at special rates levied on income from Exploration &amp; Production activities and various other taxes to which these activities are subject.</w:t>
      </w:r>
    </w:p>
    <w:p>
      <w:pPr>
        <w:spacing w:after="0" w:line="68" w:lineRule="exact"/>
        <w:rPr>
          <w:sz w:val="20"/>
          <w:szCs w:val="20"/>
          <w:color w:val="auto"/>
        </w:rPr>
      </w:pPr>
    </w:p>
    <w:p>
      <w:pPr>
        <w:ind w:left="10" w:right="80"/>
        <w:spacing w:after="0" w:line="247" w:lineRule="auto"/>
        <w:rPr>
          <w:sz w:val="20"/>
          <w:szCs w:val="20"/>
          <w:color w:val="auto"/>
        </w:rPr>
      </w:pPr>
      <w:r>
        <w:rPr>
          <w:rFonts w:ascii="Arial" w:cs="Arial" w:eastAsia="Arial" w:hAnsi="Arial"/>
          <w:sz w:val="14"/>
          <w:szCs w:val="14"/>
          <w:color w:val="auto"/>
        </w:rPr>
        <w:t>The adjustment in respect of prior periods relates to events in the current period and reflects the effects of changes in rules, facts or other factors compared to those used in establishing the current tax position or deferred tax balance.</w:t>
      </w:r>
    </w:p>
    <w:p>
      <w:pPr>
        <w:spacing w:after="0" w:line="68" w:lineRule="exact"/>
        <w:rPr>
          <w:sz w:val="20"/>
          <w:szCs w:val="20"/>
          <w:color w:val="auto"/>
        </w:rPr>
      </w:pPr>
    </w:p>
    <w:p>
      <w:pPr>
        <w:ind w:left="10"/>
        <w:spacing w:after="0"/>
        <w:rPr>
          <w:sz w:val="20"/>
          <w:szCs w:val="20"/>
          <w:color w:val="auto"/>
        </w:rPr>
      </w:pPr>
      <w:r>
        <w:rPr>
          <w:rFonts w:ascii="Arial" w:cs="Arial" w:eastAsia="Arial" w:hAnsi="Arial"/>
          <w:sz w:val="14"/>
          <w:szCs w:val="14"/>
          <w:color w:val="auto"/>
        </w:rPr>
        <w:t>The taxation charge above includes UK taxation of $968 million in 2007 (2006: $1,916 million; 2005: $1,209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-1172210</wp:posOffset>
            </wp:positionH>
            <wp:positionV relativeFrom="paragraph">
              <wp:posOffset>1850390</wp:posOffset>
            </wp:positionV>
            <wp:extent cx="7252970"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340" w:space="510"/>
            <w:col w:w="9010"/>
          </w:cols>
          <w:pgMar w:left="240" w:top="415" w:right="7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140970</wp:posOffset>
            </wp:positionV>
            <wp:extent cx="8255" cy="55994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559943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Arial" w:cs="Arial" w:eastAsia="Arial" w:hAnsi="Arial"/>
                <w:sz w:val="12"/>
                <w:szCs w:val="12"/>
                <w:b w:val="1"/>
                <w:bCs w:val="1"/>
                <w:i w:val="1"/>
                <w:iCs w:val="1"/>
                <w:color w:val="7DD0E0"/>
              </w:rPr>
              <w:t>Note 20 continued</w:t>
            </w:r>
          </w:p>
        </w:tc>
        <w:tc>
          <w:tcPr>
            <w:tcW w:w="5900" w:type="dxa"/>
            <w:vAlign w:val="bottom"/>
            <w:gridSpan w:val="2"/>
          </w:tcPr>
          <w:p>
            <w:pPr>
              <w:ind w:left="420"/>
              <w:spacing w:after="0"/>
              <w:rPr>
                <w:sz w:val="20"/>
                <w:szCs w:val="20"/>
                <w:color w:val="auto"/>
              </w:rPr>
            </w:pPr>
            <w:r>
              <w:rPr>
                <w:rFonts w:ascii="Arial" w:cs="Arial" w:eastAsia="Arial" w:hAnsi="Arial"/>
                <w:sz w:val="14"/>
                <w:szCs w:val="14"/>
                <w:b w:val="1"/>
                <w:bCs w:val="1"/>
                <w:color w:val="auto"/>
              </w:rPr>
              <w:t>[B] TAXES PAYABLE</w:t>
            </w:r>
          </w:p>
        </w:tc>
        <w:tc>
          <w:tcPr>
            <w:tcW w:w="2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18"/>
        </w:trPr>
        <w:tc>
          <w:tcPr>
            <w:tcW w:w="1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60" w:type="dxa"/>
            <w:vAlign w:val="bottom"/>
            <w:shd w:val="clear" w:color="auto" w:fill="7DD0E0"/>
          </w:tcPr>
          <w:p>
            <w:pPr>
              <w:spacing w:after="0"/>
              <w:rPr>
                <w:sz w:val="11"/>
                <w:szCs w:val="11"/>
                <w:color w:val="auto"/>
              </w:rPr>
            </w:pPr>
          </w:p>
        </w:tc>
        <w:tc>
          <w:tcPr>
            <w:tcW w:w="2180" w:type="dxa"/>
            <w:vAlign w:val="bottom"/>
            <w:shd w:val="clear" w:color="auto" w:fill="7DD0E0"/>
          </w:tcPr>
          <w:p>
            <w:pPr>
              <w:spacing w:after="0"/>
              <w:rPr>
                <w:sz w:val="11"/>
                <w:szCs w:val="11"/>
                <w:color w:val="auto"/>
              </w:rPr>
            </w:pPr>
          </w:p>
        </w:tc>
        <w:tc>
          <w:tcPr>
            <w:tcW w:w="540" w:type="dxa"/>
            <w:vAlign w:val="bottom"/>
            <w:shd w:val="clear" w:color="auto" w:fill="7DD0E0"/>
          </w:tcPr>
          <w:p>
            <w:pPr>
              <w:spacing w:after="0"/>
              <w:rPr>
                <w:sz w:val="11"/>
                <w:szCs w:val="11"/>
                <w:color w:val="auto"/>
              </w:rPr>
            </w:pPr>
          </w:p>
        </w:tc>
        <w:tc>
          <w:tcPr>
            <w:tcW w:w="128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r>
      <w:tr>
        <w:trPr>
          <w:trHeight w:val="133"/>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60" w:type="dxa"/>
            <w:vAlign w:val="bottom"/>
            <w:shd w:val="clear" w:color="auto" w:fill="CECAC6"/>
          </w:tcPr>
          <w:p>
            <w:pPr>
              <w:spacing w:after="0"/>
              <w:rPr>
                <w:sz w:val="11"/>
                <w:szCs w:val="11"/>
                <w:color w:val="auto"/>
              </w:rPr>
            </w:pPr>
          </w:p>
        </w:tc>
        <w:tc>
          <w:tcPr>
            <w:tcW w:w="272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2007</w:t>
            </w:r>
          </w:p>
        </w:tc>
        <w:tc>
          <w:tcPr>
            <w:tcW w:w="12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2006</w:t>
            </w: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60" w:type="dxa"/>
            <w:vAlign w:val="bottom"/>
          </w:tcPr>
          <w:p>
            <w:pPr>
              <w:spacing w:after="0" w:line="128" w:lineRule="exact"/>
              <w:rPr>
                <w:sz w:val="20"/>
                <w:szCs w:val="20"/>
                <w:color w:val="auto"/>
              </w:rPr>
            </w:pPr>
            <w:r>
              <w:rPr>
                <w:rFonts w:ascii="Arial" w:cs="Arial" w:eastAsia="Arial" w:hAnsi="Arial"/>
                <w:sz w:val="12"/>
                <w:szCs w:val="12"/>
                <w:color w:val="auto"/>
              </w:rPr>
              <w:t>Income taxes</w:t>
            </w:r>
          </w:p>
        </w:tc>
        <w:tc>
          <w:tcPr>
            <w:tcW w:w="2180" w:type="dxa"/>
            <w:vAlign w:val="bottom"/>
          </w:tcPr>
          <w:p>
            <w:pPr>
              <w:spacing w:after="0"/>
              <w:rPr>
                <w:sz w:val="11"/>
                <w:szCs w:val="11"/>
                <w:color w:val="auto"/>
              </w:rPr>
            </w:pPr>
          </w:p>
        </w:tc>
        <w:tc>
          <w:tcPr>
            <w:tcW w:w="5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5,777</w:t>
            </w:r>
          </w:p>
        </w:tc>
        <w:tc>
          <w:tcPr>
            <w:tcW w:w="12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3,142</w:t>
            </w:r>
          </w:p>
        </w:tc>
      </w:tr>
      <w:tr>
        <w:trPr>
          <w:trHeight w:val="139"/>
        </w:trPr>
        <w:tc>
          <w:tcPr>
            <w:tcW w:w="1520" w:type="dxa"/>
            <w:vAlign w:val="bottom"/>
          </w:tcPr>
          <w:p>
            <w:pPr>
              <w:spacing w:after="0"/>
              <w:rPr>
                <w:sz w:val="12"/>
                <w:szCs w:val="12"/>
                <w:color w:val="auto"/>
              </w:rPr>
            </w:pPr>
          </w:p>
        </w:tc>
        <w:tc>
          <w:tcPr>
            <w:tcW w:w="5900" w:type="dxa"/>
            <w:vAlign w:val="bottom"/>
            <w:gridSpan w:val="2"/>
          </w:tcPr>
          <w:p>
            <w:pPr>
              <w:ind w:left="420"/>
              <w:spacing w:after="0"/>
              <w:rPr>
                <w:sz w:val="20"/>
                <w:szCs w:val="20"/>
                <w:color w:val="auto"/>
              </w:rPr>
            </w:pPr>
            <w:r>
              <w:rPr>
                <w:rFonts w:ascii="Arial" w:cs="Arial" w:eastAsia="Arial" w:hAnsi="Arial"/>
                <w:sz w:val="12"/>
                <w:szCs w:val="12"/>
                <w:color w:val="auto"/>
              </w:rPr>
              <w:t>Sales taxes, excise duties and similar levies and social law taxes</w:t>
            </w:r>
          </w:p>
        </w:tc>
        <w:tc>
          <w:tcPr>
            <w:tcW w:w="2180" w:type="dxa"/>
            <w:vAlign w:val="bottom"/>
          </w:tcPr>
          <w:p>
            <w:pPr>
              <w:spacing w:after="0"/>
              <w:rPr>
                <w:sz w:val="12"/>
                <w:szCs w:val="12"/>
                <w:color w:val="auto"/>
              </w:rPr>
            </w:pPr>
          </w:p>
        </w:tc>
        <w:tc>
          <w:tcPr>
            <w:tcW w:w="5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3,956</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2,879</w:t>
            </w:r>
          </w:p>
        </w:tc>
      </w:tr>
      <w:tr>
        <w:trPr>
          <w:trHeight w:val="146"/>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9,733</w:t>
            </w: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6,021</w:t>
            </w:r>
          </w:p>
        </w:tc>
      </w:tr>
    </w:tbl>
    <w:p>
      <w:pPr>
        <w:spacing w:after="0" w:line="213"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[C] PROVISION FOR DEFERRED TAXATION</w:t>
      </w:r>
    </w:p>
    <w:p>
      <w:pPr>
        <w:spacing w:after="0" w:line="6"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Movements in deferred tax liabilities and assets during the year, taking into consideration the offsetting balances within the same tax jurisdiction, are as follows:</w:t>
      </w:r>
    </w:p>
    <w:p>
      <w:pPr>
        <w:spacing w:after="0" w:line="131"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8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DEFERRED TAX LIABILITIES</w:t>
            </w:r>
          </w:p>
        </w:tc>
        <w:tc>
          <w:tcPr>
            <w:tcW w:w="1380" w:type="dxa"/>
            <w:vAlign w:val="bottom"/>
            <w:shd w:val="clear" w:color="auto" w:fill="7DD0E0"/>
          </w:tcPr>
          <w:p>
            <w:pPr>
              <w:spacing w:after="0"/>
              <w:rPr>
                <w:sz w:val="12"/>
                <w:szCs w:val="12"/>
                <w:color w:val="auto"/>
              </w:rPr>
            </w:pPr>
          </w:p>
        </w:tc>
        <w:tc>
          <w:tcPr>
            <w:tcW w:w="1160" w:type="dxa"/>
            <w:vAlign w:val="bottom"/>
            <w:shd w:val="clear" w:color="auto" w:fill="7DD0E0"/>
          </w:tcPr>
          <w:p>
            <w:pPr>
              <w:spacing w:after="0"/>
              <w:rPr>
                <w:sz w:val="12"/>
                <w:szCs w:val="12"/>
                <w:color w:val="auto"/>
              </w:rPr>
            </w:pPr>
          </w:p>
        </w:tc>
        <w:tc>
          <w:tcPr>
            <w:tcW w:w="124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88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3780" w:type="dxa"/>
            <w:vAlign w:val="bottom"/>
            <w:shd w:val="clear" w:color="auto" w:fill="CECAC6"/>
          </w:tcPr>
          <w:p>
            <w:pPr>
              <w:spacing w:after="0"/>
              <w:rPr>
                <w:sz w:val="11"/>
                <w:szCs w:val="11"/>
                <w:color w:val="auto"/>
              </w:rPr>
            </w:pPr>
          </w:p>
        </w:tc>
        <w:tc>
          <w:tcPr>
            <w:tcW w:w="1380" w:type="dxa"/>
            <w:vAlign w:val="bottom"/>
            <w:shd w:val="clear" w:color="auto" w:fill="CECAC6"/>
          </w:tcPr>
          <w:p>
            <w:pPr>
              <w:jc w:val="right"/>
              <w:ind w:right="238"/>
              <w:spacing w:after="0" w:line="128" w:lineRule="exact"/>
              <w:rPr>
                <w:sz w:val="20"/>
                <w:szCs w:val="20"/>
                <w:color w:val="auto"/>
              </w:rPr>
            </w:pPr>
            <w:r>
              <w:rPr>
                <w:rFonts w:ascii="Arial" w:cs="Arial" w:eastAsia="Arial" w:hAnsi="Arial"/>
                <w:sz w:val="12"/>
                <w:szCs w:val="12"/>
                <w:color w:val="auto"/>
              </w:rPr>
              <w:t>Property,</w:t>
            </w:r>
          </w:p>
        </w:tc>
        <w:tc>
          <w:tcPr>
            <w:tcW w:w="1160" w:type="dxa"/>
            <w:vAlign w:val="bottom"/>
            <w:shd w:val="clear" w:color="auto" w:fill="CECAC6"/>
          </w:tcPr>
          <w:p>
            <w:pPr>
              <w:spacing w:after="0"/>
              <w:rPr>
                <w:sz w:val="11"/>
                <w:szCs w:val="11"/>
                <w:color w:val="auto"/>
              </w:rPr>
            </w:pPr>
          </w:p>
        </w:tc>
        <w:tc>
          <w:tcPr>
            <w:tcW w:w="124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780" w:type="dxa"/>
            <w:vAlign w:val="bottom"/>
            <w:shd w:val="clear" w:color="auto" w:fill="CECAC6"/>
          </w:tcPr>
          <w:p>
            <w:pPr>
              <w:spacing w:after="0"/>
              <w:rPr>
                <w:sz w:val="11"/>
                <w:szCs w:val="11"/>
                <w:color w:val="auto"/>
              </w:rPr>
            </w:pPr>
          </w:p>
        </w:tc>
        <w:tc>
          <w:tcPr>
            <w:tcW w:w="138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plant and</w:t>
            </w:r>
          </w:p>
        </w:tc>
        <w:tc>
          <w:tcPr>
            <w:tcW w:w="11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Retirement</w:t>
            </w:r>
          </w:p>
        </w:tc>
        <w:tc>
          <w:tcPr>
            <w:tcW w:w="124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Other</w:t>
            </w:r>
          </w:p>
        </w:tc>
        <w:tc>
          <w:tcPr>
            <w:tcW w:w="102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3780" w:type="dxa"/>
            <w:vAlign w:val="bottom"/>
            <w:shd w:val="clear" w:color="auto" w:fill="CECAC6"/>
          </w:tcPr>
          <w:p>
            <w:pPr>
              <w:spacing w:after="0"/>
              <w:rPr>
                <w:sz w:val="12"/>
                <w:szCs w:val="12"/>
                <w:color w:val="auto"/>
              </w:rPr>
            </w:pPr>
          </w:p>
        </w:tc>
        <w:tc>
          <w:tcPr>
            <w:tcW w:w="13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equipment</w:t>
            </w:r>
          </w:p>
        </w:tc>
        <w:tc>
          <w:tcPr>
            <w:tcW w:w="116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benefits</w:t>
            </w:r>
          </w:p>
        </w:tc>
        <w:tc>
          <w:tcPr>
            <w:tcW w:w="124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provisions</w:t>
            </w:r>
          </w:p>
        </w:tc>
        <w:tc>
          <w:tcPr>
            <w:tcW w:w="10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Other</w:t>
            </w:r>
          </w:p>
        </w:tc>
        <w:tc>
          <w:tcPr>
            <w:tcW w:w="8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r>
      <w:tr>
        <w:trPr>
          <w:trHeight w:val="127"/>
        </w:trPr>
        <w:tc>
          <w:tcPr>
            <w:tcW w:w="20" w:type="dxa"/>
            <w:vAlign w:val="bottom"/>
          </w:tcPr>
          <w:p>
            <w:pPr>
              <w:spacing w:after="0"/>
              <w:rPr>
                <w:sz w:val="11"/>
                <w:szCs w:val="11"/>
                <w:color w:val="auto"/>
              </w:rPr>
            </w:pPr>
          </w:p>
        </w:tc>
        <w:tc>
          <w:tcPr>
            <w:tcW w:w="378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3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14,682</w:t>
            </w:r>
          </w:p>
        </w:tc>
        <w:tc>
          <w:tcPr>
            <w:tcW w:w="116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(537)</w:t>
            </w:r>
          </w:p>
        </w:tc>
        <w:tc>
          <w:tcPr>
            <w:tcW w:w="1240" w:type="dxa"/>
            <w:vAlign w:val="bottom"/>
          </w:tcPr>
          <w:p>
            <w:pPr>
              <w:jc w:val="right"/>
              <w:ind w:right="338"/>
              <w:spacing w:after="0" w:line="128" w:lineRule="exact"/>
              <w:rPr>
                <w:sz w:val="20"/>
                <w:szCs w:val="20"/>
                <w:color w:val="auto"/>
              </w:rPr>
            </w:pPr>
            <w:r>
              <w:rPr>
                <w:rFonts w:ascii="Arial" w:cs="Arial" w:eastAsia="Arial" w:hAnsi="Arial"/>
                <w:sz w:val="12"/>
                <w:szCs w:val="12"/>
                <w:color w:val="auto"/>
              </w:rPr>
              <w:t>(2,825)</w:t>
            </w:r>
          </w:p>
        </w:tc>
        <w:tc>
          <w:tcPr>
            <w:tcW w:w="10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(557)</w:t>
            </w:r>
          </w:p>
        </w:tc>
        <w:tc>
          <w:tcPr>
            <w:tcW w:w="8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10,763</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Charged/(credited) to income</w:t>
            </w:r>
          </w:p>
        </w:tc>
        <w:tc>
          <w:tcPr>
            <w:tcW w:w="13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735</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367</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(944)</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854</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1,012</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Other movements</w:t>
            </w:r>
          </w:p>
        </w:tc>
        <w:tc>
          <w:tcPr>
            <w:tcW w:w="13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1,528</w:t>
            </w:r>
          </w:p>
        </w:tc>
        <w:tc>
          <w:tcPr>
            <w:tcW w:w="11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(13)</w:t>
            </w:r>
          </w:p>
        </w:tc>
        <w:tc>
          <w:tcPr>
            <w:tcW w:w="12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51</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(768)</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798</w:t>
            </w:r>
          </w:p>
        </w:tc>
      </w:tr>
      <w:tr>
        <w:trPr>
          <w:trHeight w:val="13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679</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85</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(221)</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(22)</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521</w:t>
            </w:r>
          </w:p>
        </w:tc>
      </w:tr>
      <w:tr>
        <w:trPr>
          <w:trHeight w:val="134"/>
        </w:trPr>
        <w:tc>
          <w:tcPr>
            <w:tcW w:w="3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3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17,624</w:t>
            </w:r>
          </w:p>
        </w:tc>
        <w:tc>
          <w:tcPr>
            <w:tcW w:w="116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(98)</w:t>
            </w:r>
          </w:p>
        </w:tc>
        <w:tc>
          <w:tcPr>
            <w:tcW w:w="124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(3,939)</w:t>
            </w:r>
          </w:p>
        </w:tc>
        <w:tc>
          <w:tcPr>
            <w:tcW w:w="102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(493)</w:t>
            </w:r>
          </w:p>
        </w:tc>
        <w:tc>
          <w:tcPr>
            <w:tcW w:w="8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13,094</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Charged/(credited) to income</w:t>
            </w:r>
          </w:p>
        </w:tc>
        <w:tc>
          <w:tcPr>
            <w:tcW w:w="13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(460)</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461</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(1,995)</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775</w:t>
            </w: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(1,219)</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Other movements</w:t>
            </w:r>
          </w:p>
        </w:tc>
        <w:tc>
          <w:tcPr>
            <w:tcW w:w="13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(717)</w:t>
            </w:r>
          </w:p>
        </w:tc>
        <w:tc>
          <w:tcPr>
            <w:tcW w:w="11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(57)</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(44)</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938</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120</w:t>
            </w:r>
          </w:p>
        </w:tc>
      </w:tr>
      <w:tr>
        <w:trPr>
          <w:trHeight w:val="13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1,080</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34</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(115)</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45</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1,044</w:t>
            </w:r>
          </w:p>
        </w:tc>
      </w:tr>
      <w:tr>
        <w:trPr>
          <w:trHeight w:val="146"/>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At December 31, 2007</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17,527</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340</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(6,093)</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1,265</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13,039</w:t>
            </w:r>
          </w:p>
        </w:tc>
      </w:tr>
    </w:tbl>
    <w:p>
      <w:pPr>
        <w:spacing w:after="0" w:line="354"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8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DEFERRED TAX ASSETS</w:t>
            </w:r>
          </w:p>
        </w:tc>
        <w:tc>
          <w:tcPr>
            <w:tcW w:w="1380" w:type="dxa"/>
            <w:vAlign w:val="bottom"/>
            <w:shd w:val="clear" w:color="auto" w:fill="7DD0E0"/>
          </w:tcPr>
          <w:p>
            <w:pPr>
              <w:spacing w:after="0"/>
              <w:rPr>
                <w:sz w:val="12"/>
                <w:szCs w:val="12"/>
                <w:color w:val="auto"/>
              </w:rPr>
            </w:pPr>
          </w:p>
        </w:tc>
        <w:tc>
          <w:tcPr>
            <w:tcW w:w="1160" w:type="dxa"/>
            <w:vAlign w:val="bottom"/>
            <w:shd w:val="clear" w:color="auto" w:fill="7DD0E0"/>
          </w:tcPr>
          <w:p>
            <w:pPr>
              <w:spacing w:after="0"/>
              <w:rPr>
                <w:sz w:val="12"/>
                <w:szCs w:val="12"/>
                <w:color w:val="auto"/>
              </w:rPr>
            </w:pPr>
          </w:p>
        </w:tc>
        <w:tc>
          <w:tcPr>
            <w:tcW w:w="124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88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3780" w:type="dxa"/>
            <w:vAlign w:val="bottom"/>
            <w:shd w:val="clear" w:color="auto" w:fill="CECAC6"/>
          </w:tcPr>
          <w:p>
            <w:pPr>
              <w:spacing w:after="0"/>
              <w:rPr>
                <w:sz w:val="11"/>
                <w:szCs w:val="11"/>
                <w:color w:val="auto"/>
              </w:rPr>
            </w:pPr>
          </w:p>
        </w:tc>
        <w:tc>
          <w:tcPr>
            <w:tcW w:w="1380" w:type="dxa"/>
            <w:vAlign w:val="bottom"/>
            <w:shd w:val="clear" w:color="auto" w:fill="CECAC6"/>
          </w:tcPr>
          <w:p>
            <w:pPr>
              <w:jc w:val="right"/>
              <w:ind w:right="238"/>
              <w:spacing w:after="0" w:line="128" w:lineRule="exact"/>
              <w:rPr>
                <w:sz w:val="20"/>
                <w:szCs w:val="20"/>
                <w:color w:val="auto"/>
              </w:rPr>
            </w:pPr>
            <w:r>
              <w:rPr>
                <w:rFonts w:ascii="Arial" w:cs="Arial" w:eastAsia="Arial" w:hAnsi="Arial"/>
                <w:sz w:val="12"/>
                <w:szCs w:val="12"/>
                <w:color w:val="auto"/>
              </w:rPr>
              <w:t>Losses</w:t>
            </w:r>
          </w:p>
        </w:tc>
        <w:tc>
          <w:tcPr>
            <w:tcW w:w="1160" w:type="dxa"/>
            <w:vAlign w:val="bottom"/>
            <w:shd w:val="clear" w:color="auto" w:fill="CECAC6"/>
          </w:tcPr>
          <w:p>
            <w:pPr>
              <w:spacing w:after="0"/>
              <w:rPr>
                <w:sz w:val="11"/>
                <w:szCs w:val="11"/>
                <w:color w:val="auto"/>
              </w:rPr>
            </w:pPr>
          </w:p>
        </w:tc>
        <w:tc>
          <w:tcPr>
            <w:tcW w:w="124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3780" w:type="dxa"/>
            <w:vAlign w:val="bottom"/>
            <w:shd w:val="clear" w:color="auto" w:fill="CECAC6"/>
          </w:tcPr>
          <w:p>
            <w:pPr>
              <w:spacing w:after="0"/>
              <w:rPr>
                <w:sz w:val="11"/>
                <w:szCs w:val="11"/>
                <w:color w:val="auto"/>
              </w:rPr>
            </w:pPr>
          </w:p>
        </w:tc>
        <w:tc>
          <w:tcPr>
            <w:tcW w:w="138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carried</w:t>
            </w:r>
          </w:p>
        </w:tc>
        <w:tc>
          <w:tcPr>
            <w:tcW w:w="11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Retirement</w:t>
            </w:r>
          </w:p>
        </w:tc>
        <w:tc>
          <w:tcPr>
            <w:tcW w:w="124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Other</w:t>
            </w:r>
          </w:p>
        </w:tc>
        <w:tc>
          <w:tcPr>
            <w:tcW w:w="102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3780" w:type="dxa"/>
            <w:vAlign w:val="bottom"/>
            <w:shd w:val="clear" w:color="auto" w:fill="CECAC6"/>
          </w:tcPr>
          <w:p>
            <w:pPr>
              <w:spacing w:after="0"/>
              <w:rPr>
                <w:sz w:val="12"/>
                <w:szCs w:val="12"/>
                <w:color w:val="auto"/>
              </w:rPr>
            </w:pPr>
          </w:p>
        </w:tc>
        <w:tc>
          <w:tcPr>
            <w:tcW w:w="13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forward</w:t>
            </w:r>
          </w:p>
        </w:tc>
        <w:tc>
          <w:tcPr>
            <w:tcW w:w="116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benefits</w:t>
            </w:r>
          </w:p>
        </w:tc>
        <w:tc>
          <w:tcPr>
            <w:tcW w:w="124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provisions</w:t>
            </w:r>
          </w:p>
        </w:tc>
        <w:tc>
          <w:tcPr>
            <w:tcW w:w="10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Other</w:t>
            </w:r>
          </w:p>
        </w:tc>
        <w:tc>
          <w:tcPr>
            <w:tcW w:w="8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r>
      <w:tr>
        <w:trPr>
          <w:trHeight w:val="127"/>
        </w:trPr>
        <w:tc>
          <w:tcPr>
            <w:tcW w:w="20" w:type="dxa"/>
            <w:vAlign w:val="bottom"/>
          </w:tcPr>
          <w:p>
            <w:pPr>
              <w:spacing w:after="0"/>
              <w:rPr>
                <w:sz w:val="11"/>
                <w:szCs w:val="11"/>
                <w:color w:val="auto"/>
              </w:rPr>
            </w:pPr>
          </w:p>
        </w:tc>
        <w:tc>
          <w:tcPr>
            <w:tcW w:w="378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3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1,527</w:t>
            </w:r>
          </w:p>
        </w:tc>
        <w:tc>
          <w:tcPr>
            <w:tcW w:w="116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191</w:t>
            </w:r>
          </w:p>
        </w:tc>
        <w:tc>
          <w:tcPr>
            <w:tcW w:w="124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277</w:t>
            </w:r>
          </w:p>
        </w:tc>
        <w:tc>
          <w:tcPr>
            <w:tcW w:w="1020" w:type="dxa"/>
            <w:vAlign w:val="bottom"/>
          </w:tcPr>
          <w:p>
            <w:pPr>
              <w:jc w:val="right"/>
              <w:ind w:right="278"/>
              <w:spacing w:after="0" w:line="128" w:lineRule="exact"/>
              <w:rPr>
                <w:sz w:val="20"/>
                <w:szCs w:val="20"/>
                <w:color w:val="auto"/>
              </w:rPr>
            </w:pPr>
            <w:r>
              <w:rPr>
                <w:rFonts w:ascii="Arial" w:cs="Arial" w:eastAsia="Arial" w:hAnsi="Arial"/>
                <w:sz w:val="12"/>
                <w:szCs w:val="12"/>
                <w:color w:val="auto"/>
              </w:rPr>
              <w:t>567</w:t>
            </w:r>
          </w:p>
        </w:tc>
        <w:tc>
          <w:tcPr>
            <w:tcW w:w="8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2,562</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(Charged)/credited to income</w:t>
            </w:r>
          </w:p>
        </w:tc>
        <w:tc>
          <w:tcPr>
            <w:tcW w:w="13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(154)</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11</w:t>
            </w:r>
          </w:p>
        </w:tc>
        <w:tc>
          <w:tcPr>
            <w:tcW w:w="12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88</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88</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33</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Other movements</w:t>
            </w:r>
          </w:p>
        </w:tc>
        <w:tc>
          <w:tcPr>
            <w:tcW w:w="13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(545)</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176</w:t>
            </w:r>
          </w:p>
        </w:tc>
        <w:tc>
          <w:tcPr>
            <w:tcW w:w="12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38</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625</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294</w:t>
            </w:r>
          </w:p>
        </w:tc>
      </w:tr>
      <w:tr>
        <w:trPr>
          <w:trHeight w:val="13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45</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22</w:t>
            </w: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25</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(13)</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79</w:t>
            </w:r>
          </w:p>
        </w:tc>
      </w:tr>
      <w:tr>
        <w:trPr>
          <w:trHeight w:val="134"/>
        </w:trPr>
        <w:tc>
          <w:tcPr>
            <w:tcW w:w="3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3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873</w:t>
            </w:r>
          </w:p>
        </w:tc>
        <w:tc>
          <w:tcPr>
            <w:tcW w:w="11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400</w:t>
            </w:r>
          </w:p>
        </w:tc>
        <w:tc>
          <w:tcPr>
            <w:tcW w:w="1240" w:type="dxa"/>
            <w:vAlign w:val="bottom"/>
          </w:tcPr>
          <w:p>
            <w:pPr>
              <w:jc w:val="right"/>
              <w:ind w:right="378"/>
              <w:spacing w:after="0" w:line="134" w:lineRule="exact"/>
              <w:rPr>
                <w:sz w:val="20"/>
                <w:szCs w:val="20"/>
                <w:color w:val="auto"/>
              </w:rPr>
            </w:pPr>
            <w:r>
              <w:rPr>
                <w:rFonts w:ascii="Arial" w:cs="Arial" w:eastAsia="Arial" w:hAnsi="Arial"/>
                <w:sz w:val="12"/>
                <w:szCs w:val="12"/>
                <w:color w:val="auto"/>
              </w:rPr>
              <w:t>428</w:t>
            </w:r>
          </w:p>
        </w:tc>
        <w:tc>
          <w:tcPr>
            <w:tcW w:w="102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1,267</w:t>
            </w:r>
          </w:p>
        </w:tc>
        <w:tc>
          <w:tcPr>
            <w:tcW w:w="8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2,968</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(Charged)/credited to income</w:t>
            </w:r>
          </w:p>
        </w:tc>
        <w:tc>
          <w:tcPr>
            <w:tcW w:w="13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58</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30</w:t>
            </w:r>
          </w:p>
        </w:tc>
        <w:tc>
          <w:tcPr>
            <w:tcW w:w="12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76</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43</w:t>
            </w:r>
          </w:p>
        </w:tc>
        <w:tc>
          <w:tcPr>
            <w:tcW w:w="8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207</w:t>
            </w:r>
          </w:p>
        </w:tc>
      </w:tr>
      <w:tr>
        <w:trPr>
          <w:trHeight w:val="133"/>
        </w:trPr>
        <w:tc>
          <w:tcPr>
            <w:tcW w:w="3800" w:type="dxa"/>
            <w:vAlign w:val="bottom"/>
            <w:gridSpan w:val="2"/>
          </w:tcPr>
          <w:p>
            <w:pPr>
              <w:spacing w:after="0" w:line="133" w:lineRule="exact"/>
              <w:rPr>
                <w:sz w:val="20"/>
                <w:szCs w:val="20"/>
                <w:color w:val="auto"/>
              </w:rPr>
            </w:pPr>
            <w:r>
              <w:rPr>
                <w:rFonts w:ascii="Arial" w:cs="Arial" w:eastAsia="Arial" w:hAnsi="Arial"/>
                <w:sz w:val="12"/>
                <w:szCs w:val="12"/>
                <w:color w:val="auto"/>
              </w:rPr>
              <w:t>Other movements</w:t>
            </w:r>
          </w:p>
        </w:tc>
        <w:tc>
          <w:tcPr>
            <w:tcW w:w="13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138</w:t>
            </w:r>
          </w:p>
        </w:tc>
        <w:tc>
          <w:tcPr>
            <w:tcW w:w="11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(22)</w:t>
            </w:r>
          </w:p>
        </w:tc>
        <w:tc>
          <w:tcPr>
            <w:tcW w:w="10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(209)</w:t>
            </w:r>
          </w:p>
        </w:tc>
        <w:tc>
          <w:tcPr>
            <w:tcW w:w="880" w:type="dxa"/>
            <w:vAlign w:val="bottom"/>
          </w:tcPr>
          <w:p>
            <w:pPr>
              <w:jc w:val="right"/>
              <w:spacing w:after="0" w:line="133" w:lineRule="exact"/>
              <w:rPr>
                <w:sz w:val="20"/>
                <w:szCs w:val="20"/>
                <w:color w:val="auto"/>
              </w:rPr>
            </w:pPr>
            <w:r>
              <w:rPr>
                <w:rFonts w:ascii="Arial" w:cs="Arial" w:eastAsia="Arial" w:hAnsi="Arial"/>
                <w:sz w:val="12"/>
                <w:szCs w:val="12"/>
                <w:color w:val="auto"/>
              </w:rPr>
              <w:t>(99)</w:t>
            </w:r>
          </w:p>
        </w:tc>
      </w:tr>
      <w:tr>
        <w:trPr>
          <w:trHeight w:val="139"/>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77</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40</w:t>
            </w: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59</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177</w:t>
            </w:r>
          </w:p>
        </w:tc>
      </w:tr>
      <w:tr>
        <w:trPr>
          <w:trHeight w:val="146"/>
        </w:trPr>
        <w:tc>
          <w:tcPr>
            <w:tcW w:w="3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At December 31, 2007</w:t>
            </w:r>
          </w:p>
        </w:tc>
        <w:tc>
          <w:tcPr>
            <w:tcW w:w="13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1,146</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464</w:t>
            </w:r>
          </w:p>
        </w:tc>
        <w:tc>
          <w:tcPr>
            <w:tcW w:w="12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541</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1,102</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3,253</w:t>
            </w:r>
          </w:p>
        </w:tc>
      </w:tr>
    </w:tbl>
    <w:p>
      <w:pPr>
        <w:spacing w:after="0" w:line="101" w:lineRule="exact"/>
        <w:rPr>
          <w:sz w:val="20"/>
          <w:szCs w:val="20"/>
          <w:color w:val="auto"/>
        </w:rPr>
      </w:pPr>
    </w:p>
    <w:p>
      <w:pPr>
        <w:ind w:left="1940" w:right="180"/>
        <w:spacing w:after="0" w:line="247" w:lineRule="auto"/>
        <w:rPr>
          <w:sz w:val="20"/>
          <w:szCs w:val="20"/>
          <w:color w:val="auto"/>
        </w:rPr>
      </w:pPr>
      <w:r>
        <w:rPr>
          <w:rFonts w:ascii="Arial" w:cs="Arial" w:eastAsia="Arial" w:hAnsi="Arial"/>
          <w:sz w:val="14"/>
          <w:szCs w:val="14"/>
          <w:color w:val="auto"/>
        </w:rPr>
        <w:t>Other movements in deferred tax assets and liabilities relate mainly to acquisitions, a change in accounting status (see Note 28) and reclassifications between assets and liabilities.</w:t>
      </w:r>
    </w:p>
    <w:p>
      <w:pPr>
        <w:spacing w:after="0" w:line="68" w:lineRule="exact"/>
        <w:rPr>
          <w:sz w:val="20"/>
          <w:szCs w:val="20"/>
          <w:color w:val="auto"/>
        </w:rPr>
      </w:pPr>
    </w:p>
    <w:p>
      <w:pPr>
        <w:ind w:left="1940" w:right="20"/>
        <w:spacing w:after="0" w:line="247" w:lineRule="auto"/>
        <w:rPr>
          <w:sz w:val="20"/>
          <w:szCs w:val="20"/>
          <w:color w:val="auto"/>
        </w:rPr>
      </w:pPr>
      <w:r>
        <w:rPr>
          <w:rFonts w:ascii="Arial" w:cs="Arial" w:eastAsia="Arial" w:hAnsi="Arial"/>
          <w:sz w:val="14"/>
          <w:szCs w:val="14"/>
          <w:color w:val="auto"/>
        </w:rPr>
        <w:t>Where the realisation of deferred tax assets is dependent on future profits, Shell recognises losses carried forward only to the extent that business forecasts predict that such profits will be available. At December 31, 2007 recognised losses carried forward amounted to $6,107 million.</w:t>
      </w:r>
    </w:p>
    <w:p>
      <w:pPr>
        <w:spacing w:after="0" w:line="68"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Unrecognised losses amount to $3,338 million as at December 31, 2007 and expire in the following years:</w:t>
      </w:r>
    </w:p>
    <w:p>
      <w:pPr>
        <w:spacing w:after="0" w:line="65"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20" w:type="dxa"/>
            <w:vAlign w:val="bottom"/>
            <w:shd w:val="clear" w:color="auto" w:fill="7DD0E0"/>
          </w:tcPr>
          <w:p>
            <w:pPr>
              <w:spacing w:after="0"/>
              <w:rPr>
                <w:sz w:val="12"/>
                <w:szCs w:val="12"/>
                <w:color w:val="auto"/>
              </w:rPr>
            </w:pPr>
          </w:p>
        </w:tc>
        <w:tc>
          <w:tcPr>
            <w:tcW w:w="464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4820" w:type="dxa"/>
            <w:vAlign w:val="bottom"/>
          </w:tcPr>
          <w:p>
            <w:pPr>
              <w:jc w:val="right"/>
              <w:ind w:right="4498"/>
              <w:spacing w:after="0" w:line="128" w:lineRule="exact"/>
              <w:rPr>
                <w:sz w:val="20"/>
                <w:szCs w:val="20"/>
                <w:color w:val="auto"/>
              </w:rPr>
            </w:pPr>
            <w:r>
              <w:rPr>
                <w:rFonts w:ascii="Arial" w:cs="Arial" w:eastAsia="Arial" w:hAnsi="Arial"/>
                <w:sz w:val="12"/>
                <w:szCs w:val="12"/>
                <w:color w:val="auto"/>
                <w:w w:val="89"/>
              </w:rPr>
              <w:t>2008</w:t>
            </w:r>
          </w:p>
        </w:tc>
        <w:tc>
          <w:tcPr>
            <w:tcW w:w="46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73</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2009</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2010</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2011</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w:t>
            </w:r>
          </w:p>
        </w:tc>
      </w:tr>
      <w:tr>
        <w:trPr>
          <w:trHeight w:val="146"/>
        </w:trPr>
        <w:tc>
          <w:tcPr>
            <w:tcW w:w="4840" w:type="dxa"/>
            <w:vAlign w:val="bottom"/>
            <w:tcBorders>
              <w:bottom w:val="single" w:sz="8" w:color="auto"/>
            </w:tcBorders>
            <w:gridSpan w:val="2"/>
          </w:tcPr>
          <w:p>
            <w:pPr>
              <w:jc w:val="right"/>
              <w:ind w:right="3958"/>
              <w:spacing w:after="0"/>
              <w:rPr>
                <w:sz w:val="20"/>
                <w:szCs w:val="20"/>
                <w:color w:val="auto"/>
              </w:rPr>
            </w:pPr>
            <w:r>
              <w:rPr>
                <w:rFonts w:ascii="Arial" w:cs="Arial" w:eastAsia="Arial" w:hAnsi="Arial"/>
                <w:sz w:val="12"/>
                <w:szCs w:val="12"/>
                <w:color w:val="auto"/>
              </w:rPr>
              <w:t>2012 and after</w:t>
            </w:r>
          </w:p>
        </w:tc>
        <w:tc>
          <w:tcPr>
            <w:tcW w:w="4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3,252</w:t>
            </w:r>
          </w:p>
        </w:tc>
      </w:tr>
    </w:tbl>
    <w:p>
      <w:pPr>
        <w:spacing w:after="0" w:line="10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Unrecognised losses amounted to $3,649 million as at December 31, 2006 and expire in the following years:</w:t>
      </w:r>
    </w:p>
    <w:p>
      <w:pPr>
        <w:spacing w:after="0" w:line="65"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20" w:type="dxa"/>
            <w:vAlign w:val="bottom"/>
            <w:shd w:val="clear" w:color="auto" w:fill="7DD0E0"/>
          </w:tcPr>
          <w:p>
            <w:pPr>
              <w:spacing w:after="0"/>
              <w:rPr>
                <w:sz w:val="12"/>
                <w:szCs w:val="12"/>
                <w:color w:val="auto"/>
              </w:rPr>
            </w:pPr>
          </w:p>
        </w:tc>
        <w:tc>
          <w:tcPr>
            <w:tcW w:w="464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4820" w:type="dxa"/>
            <w:vAlign w:val="bottom"/>
          </w:tcPr>
          <w:p>
            <w:pPr>
              <w:jc w:val="right"/>
              <w:ind w:right="4498"/>
              <w:spacing w:after="0" w:line="128" w:lineRule="exact"/>
              <w:rPr>
                <w:sz w:val="20"/>
                <w:szCs w:val="20"/>
                <w:color w:val="auto"/>
              </w:rPr>
            </w:pPr>
            <w:r>
              <w:rPr>
                <w:rFonts w:ascii="Arial" w:cs="Arial" w:eastAsia="Arial" w:hAnsi="Arial"/>
                <w:sz w:val="12"/>
                <w:szCs w:val="12"/>
                <w:color w:val="auto"/>
                <w:w w:val="89"/>
              </w:rPr>
              <w:t>2007</w:t>
            </w:r>
          </w:p>
        </w:tc>
        <w:tc>
          <w:tcPr>
            <w:tcW w:w="46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507</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2008</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2009</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w:t>
            </w:r>
          </w:p>
        </w:tc>
      </w:tr>
      <w:tr>
        <w:trPr>
          <w:trHeight w:val="133"/>
        </w:trPr>
        <w:tc>
          <w:tcPr>
            <w:tcW w:w="4840" w:type="dxa"/>
            <w:vAlign w:val="bottom"/>
            <w:gridSpan w:val="2"/>
          </w:tcPr>
          <w:p>
            <w:pPr>
              <w:jc w:val="right"/>
              <w:ind w:right="4498"/>
              <w:spacing w:after="0" w:line="133" w:lineRule="exact"/>
              <w:rPr>
                <w:sz w:val="20"/>
                <w:szCs w:val="20"/>
                <w:color w:val="auto"/>
              </w:rPr>
            </w:pPr>
            <w:r>
              <w:rPr>
                <w:rFonts w:ascii="Arial" w:cs="Arial" w:eastAsia="Arial" w:hAnsi="Arial"/>
                <w:sz w:val="12"/>
                <w:szCs w:val="12"/>
                <w:color w:val="auto"/>
                <w:w w:val="97"/>
              </w:rPr>
              <w:t>2010</w:t>
            </w:r>
          </w:p>
        </w:tc>
        <w:tc>
          <w:tcPr>
            <w:tcW w:w="46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w:t>
            </w:r>
          </w:p>
        </w:tc>
      </w:tr>
      <w:tr>
        <w:trPr>
          <w:trHeight w:val="146"/>
        </w:trPr>
        <w:tc>
          <w:tcPr>
            <w:tcW w:w="4840" w:type="dxa"/>
            <w:vAlign w:val="bottom"/>
            <w:tcBorders>
              <w:bottom w:val="single" w:sz="8" w:color="auto"/>
            </w:tcBorders>
            <w:gridSpan w:val="2"/>
          </w:tcPr>
          <w:p>
            <w:pPr>
              <w:jc w:val="right"/>
              <w:ind w:right="3958"/>
              <w:spacing w:after="0"/>
              <w:rPr>
                <w:sz w:val="20"/>
                <w:szCs w:val="20"/>
                <w:color w:val="auto"/>
              </w:rPr>
            </w:pPr>
            <w:r>
              <w:rPr>
                <w:rFonts w:ascii="Arial" w:cs="Arial" w:eastAsia="Arial" w:hAnsi="Arial"/>
                <w:sz w:val="12"/>
                <w:szCs w:val="12"/>
                <w:color w:val="auto"/>
              </w:rPr>
              <w:t>2011 and after</w:t>
            </w:r>
          </w:p>
        </w:tc>
        <w:tc>
          <w:tcPr>
            <w:tcW w:w="46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140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6" w:name="page147"/>
    <w:bookmarkEnd w:id="146"/>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20 continued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21</w:t>
      </w:r>
    </w:p>
    <w:p>
      <w:pPr>
        <w:spacing w:after="0" w:line="20" w:lineRule="exact"/>
        <w:rPr>
          <w:sz w:val="20"/>
          <w:szCs w:val="20"/>
          <w:color w:val="auto"/>
        </w:rPr>
      </w:pPr>
    </w:p>
    <w:p>
      <w:pPr>
        <w:ind w:right="420"/>
        <w:spacing w:after="0" w:line="252" w:lineRule="auto"/>
        <w:rPr>
          <w:sz w:val="20"/>
          <w:szCs w:val="20"/>
          <w:color w:val="auto"/>
        </w:rPr>
      </w:pPr>
      <w:r>
        <w:rPr>
          <w:rFonts w:ascii="Arial" w:cs="Arial" w:eastAsia="Arial" w:hAnsi="Arial"/>
          <w:sz w:val="14"/>
          <w:szCs w:val="14"/>
          <w:b w:val="1"/>
          <w:bCs w:val="1"/>
          <w:color w:val="auto"/>
        </w:rPr>
        <w:t>RETIREMENT BENEFITS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260"/>
        <w:spacing w:after="0" w:line="260" w:lineRule="auto"/>
        <w:rPr>
          <w:sz w:val="20"/>
          <w:szCs w:val="20"/>
          <w:color w:val="auto"/>
        </w:rPr>
      </w:pPr>
      <w:r>
        <w:rPr>
          <w:rFonts w:ascii="Arial" w:cs="Arial" w:eastAsia="Arial" w:hAnsi="Arial"/>
          <w:sz w:val="13"/>
          <w:szCs w:val="13"/>
          <w:color w:val="auto"/>
        </w:rPr>
        <w:t>Earnings retained by the subsidiaries and equity-accounted investments of Royal Dutch Shell amounted to $105,322 million at December 31, 2007 (2006: $94,278 million). Provision has been made for withholding and other taxes which would become payable on the distribution of these earnings only to the extent that either Shell does not control the relevant entity or it is expected that these earnings will be remitted in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-313055</wp:posOffset>
            </wp:positionV>
            <wp:extent cx="8255" cy="295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29591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-313055</wp:posOffset>
            </wp:positionV>
            <wp:extent cx="282575" cy="70370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82575" cy="7037070"/>
                    </a:xfrm>
                    <a:prstGeom prst="rect">
                      <a:avLst/>
                    </a:prstGeom>
                    <a:noFill/>
                  </pic:spPr>
                </pic:pic>
              </a:graphicData>
            </a:graphic>
          </wp:anchor>
        </w:drawing>
      </w:r>
    </w:p>
    <w:p>
      <w:pPr>
        <w:spacing w:after="0" w:line="400"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Retirement plans are provided for permanent employees of all major subsidiaries. The nature of such plans varies according to the legal and fiscal requirements and economic conditions of the country in which the employees are engaged. Generally, the plans provide defined benefits based on employees’ years of service and average/final pensionable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-296545</wp:posOffset>
            </wp:positionV>
            <wp:extent cx="8255" cy="39077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3907790"/>
                    </a:xfrm>
                    <a:prstGeom prst="rect">
                      <a:avLst/>
                    </a:prstGeom>
                    <a:noFill/>
                  </pic:spPr>
                </pic:pic>
              </a:graphicData>
            </a:graphic>
          </wp:anchor>
        </w:drawing>
      </w:r>
    </w:p>
    <w:p>
      <w:pPr>
        <w:spacing w:after="0" w:line="53" w:lineRule="exact"/>
        <w:rPr>
          <w:sz w:val="20"/>
          <w:szCs w:val="20"/>
          <w:color w:val="auto"/>
        </w:rPr>
      </w:pPr>
    </w:p>
    <w:p>
      <w:pPr>
        <w:ind w:right="280"/>
        <w:spacing w:after="0" w:line="285" w:lineRule="auto"/>
        <w:rPr>
          <w:sz w:val="20"/>
          <w:szCs w:val="20"/>
          <w:color w:val="auto"/>
        </w:rPr>
      </w:pPr>
      <w:r>
        <w:rPr>
          <w:rFonts w:ascii="Arial" w:cs="Arial" w:eastAsia="Arial" w:hAnsi="Arial"/>
          <w:sz w:val="13"/>
          <w:szCs w:val="13"/>
          <w:color w:val="auto"/>
        </w:rPr>
        <w:t>Some subsidiaries have established unfunded defined benefit plans to provide certain retirement healthcare and life insurance benefits to their retirees, the entitlement to which is usually based on the employee remaining in service up to retirement age and the completion of a minimum service period.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840" w:type="dxa"/>
            <w:vAlign w:val="bottom"/>
            <w:shd w:val="clear" w:color="auto" w:fill="7DD0E0"/>
          </w:tcPr>
          <w:p>
            <w:pPr>
              <w:spacing w:after="0"/>
              <w:rPr>
                <w:sz w:val="12"/>
                <w:szCs w:val="12"/>
                <w:color w:val="auto"/>
              </w:rPr>
            </w:pPr>
          </w:p>
        </w:tc>
        <w:tc>
          <w:tcPr>
            <w:tcW w:w="380" w:type="dxa"/>
            <w:vAlign w:val="bottom"/>
            <w:shd w:val="clear" w:color="auto" w:fill="7DD0E0"/>
          </w:tcPr>
          <w:p>
            <w:pPr>
              <w:spacing w:after="0"/>
              <w:rPr>
                <w:sz w:val="12"/>
                <w:szCs w:val="12"/>
                <w:color w:val="auto"/>
              </w:rPr>
            </w:pPr>
          </w:p>
        </w:tc>
        <w:tc>
          <w:tcPr>
            <w:tcW w:w="640" w:type="dxa"/>
            <w:vAlign w:val="bottom"/>
            <w:shd w:val="clear" w:color="auto" w:fill="7DD0E0"/>
          </w:tcPr>
          <w:p>
            <w:pPr>
              <w:spacing w:after="0"/>
              <w:rPr>
                <w:sz w:val="12"/>
                <w:szCs w:val="12"/>
                <w:color w:val="auto"/>
              </w:rPr>
            </w:pPr>
          </w:p>
        </w:tc>
        <w:tc>
          <w:tcPr>
            <w:tcW w:w="1460" w:type="dxa"/>
            <w:vAlign w:val="bottom"/>
            <w:shd w:val="clear" w:color="auto" w:fill="7DD0E0"/>
          </w:tcPr>
          <w:p>
            <w:pPr>
              <w:spacing w:after="0"/>
              <w:rPr>
                <w:sz w:val="12"/>
                <w:szCs w:val="12"/>
                <w:color w:val="auto"/>
              </w:rPr>
            </w:pPr>
          </w:p>
        </w:tc>
        <w:tc>
          <w:tcPr>
            <w:tcW w:w="600" w:type="dxa"/>
            <w:vAlign w:val="bottom"/>
            <w:shd w:val="clear" w:color="auto" w:fill="7DD0E0"/>
          </w:tcPr>
          <w:p>
            <w:pPr>
              <w:spacing w:after="0"/>
              <w:rPr>
                <w:sz w:val="12"/>
                <w:szCs w:val="12"/>
                <w:color w:val="auto"/>
              </w:rPr>
            </w:pPr>
          </w:p>
        </w:tc>
        <w:tc>
          <w:tcPr>
            <w:tcW w:w="10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41"/>
        </w:trPr>
        <w:tc>
          <w:tcPr>
            <w:tcW w:w="20" w:type="dxa"/>
            <w:vAlign w:val="bottom"/>
          </w:tcPr>
          <w:p>
            <w:pPr>
              <w:spacing w:after="0"/>
              <w:rPr>
                <w:sz w:val="12"/>
                <w:szCs w:val="12"/>
                <w:color w:val="auto"/>
              </w:rPr>
            </w:pPr>
          </w:p>
        </w:tc>
        <w:tc>
          <w:tcPr>
            <w:tcW w:w="4840" w:type="dxa"/>
            <w:vAlign w:val="bottom"/>
            <w:shd w:val="clear" w:color="auto" w:fill="CECAC6"/>
          </w:tcPr>
          <w:p>
            <w:pPr>
              <w:spacing w:after="0"/>
              <w:rPr>
                <w:sz w:val="12"/>
                <w:szCs w:val="12"/>
                <w:color w:val="auto"/>
              </w:rPr>
            </w:pPr>
          </w:p>
        </w:tc>
        <w:tc>
          <w:tcPr>
            <w:tcW w:w="380" w:type="dxa"/>
            <w:vAlign w:val="bottom"/>
            <w:shd w:val="clear" w:color="auto" w:fill="CECAC6"/>
          </w:tcPr>
          <w:p>
            <w:pPr>
              <w:spacing w:after="0"/>
              <w:rPr>
                <w:sz w:val="12"/>
                <w:szCs w:val="12"/>
                <w:color w:val="auto"/>
              </w:rPr>
            </w:pPr>
          </w:p>
        </w:tc>
        <w:tc>
          <w:tcPr>
            <w:tcW w:w="640" w:type="dxa"/>
            <w:vAlign w:val="bottom"/>
            <w:shd w:val="clear" w:color="auto" w:fill="CECAC6"/>
          </w:tcPr>
          <w:p>
            <w:pPr>
              <w:spacing w:after="0"/>
              <w:rPr>
                <w:sz w:val="12"/>
                <w:szCs w:val="12"/>
                <w:color w:val="auto"/>
              </w:rPr>
            </w:pPr>
          </w:p>
        </w:tc>
        <w:tc>
          <w:tcPr>
            <w:tcW w:w="1460" w:type="dxa"/>
            <w:vAlign w:val="bottom"/>
            <w:shd w:val="clear" w:color="auto" w:fill="CECAC6"/>
          </w:tcPr>
          <w:p>
            <w:pPr>
              <w:jc w:val="right"/>
              <w:ind w:right="418"/>
              <w:spacing w:after="0"/>
              <w:rPr>
                <w:sz w:val="20"/>
                <w:szCs w:val="20"/>
                <w:color w:val="auto"/>
              </w:rPr>
            </w:pPr>
            <w:r>
              <w:rPr>
                <w:rFonts w:ascii="Arial" w:cs="Arial" w:eastAsia="Arial" w:hAnsi="Arial"/>
                <w:sz w:val="12"/>
                <w:szCs w:val="12"/>
                <w:color w:val="auto"/>
              </w:rPr>
              <w:t>Pension benefits</w:t>
            </w:r>
          </w:p>
        </w:tc>
        <w:tc>
          <w:tcPr>
            <w:tcW w:w="600" w:type="dxa"/>
            <w:vAlign w:val="bottom"/>
            <w:shd w:val="clear" w:color="auto" w:fill="CECAC6"/>
          </w:tcPr>
          <w:p>
            <w:pPr>
              <w:spacing w:after="0"/>
              <w:rPr>
                <w:sz w:val="12"/>
                <w:szCs w:val="12"/>
                <w:color w:val="auto"/>
              </w:rPr>
            </w:pPr>
          </w:p>
        </w:tc>
        <w:tc>
          <w:tcPr>
            <w:tcW w:w="10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Other benefits</w:t>
            </w:r>
          </w:p>
        </w:tc>
      </w:tr>
      <w:tr>
        <w:trPr>
          <w:trHeight w:val="139"/>
        </w:trPr>
        <w:tc>
          <w:tcPr>
            <w:tcW w:w="20" w:type="dxa"/>
            <w:vAlign w:val="bottom"/>
          </w:tcPr>
          <w:p>
            <w:pPr>
              <w:spacing w:after="0"/>
              <w:rPr>
                <w:sz w:val="12"/>
                <w:szCs w:val="12"/>
                <w:color w:val="auto"/>
              </w:rPr>
            </w:pPr>
          </w:p>
        </w:tc>
        <w:tc>
          <w:tcPr>
            <w:tcW w:w="4840" w:type="dxa"/>
            <w:vAlign w:val="bottom"/>
            <w:shd w:val="clear" w:color="auto" w:fill="CECAC6"/>
          </w:tcPr>
          <w:p>
            <w:pPr>
              <w:spacing w:after="0"/>
              <w:rPr>
                <w:sz w:val="12"/>
                <w:szCs w:val="12"/>
                <w:color w:val="auto"/>
              </w:rPr>
            </w:pPr>
          </w:p>
        </w:tc>
        <w:tc>
          <w:tcPr>
            <w:tcW w:w="102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460" w:type="dxa"/>
            <w:vAlign w:val="bottom"/>
            <w:shd w:val="clear" w:color="auto" w:fill="CECAC6"/>
          </w:tcPr>
          <w:p>
            <w:pPr>
              <w:jc w:val="right"/>
              <w:ind w:right="418"/>
              <w:spacing w:after="0"/>
              <w:rPr>
                <w:sz w:val="20"/>
                <w:szCs w:val="20"/>
                <w:color w:val="auto"/>
              </w:rPr>
            </w:pPr>
            <w:r>
              <w:rPr>
                <w:rFonts w:ascii="Arial" w:cs="Arial" w:eastAsia="Arial" w:hAnsi="Arial"/>
                <w:sz w:val="12"/>
                <w:szCs w:val="12"/>
                <w:color w:val="auto"/>
              </w:rPr>
              <w:t>2006</w:t>
            </w:r>
          </w:p>
        </w:tc>
        <w:tc>
          <w:tcPr>
            <w:tcW w:w="6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2007</w:t>
            </w:r>
          </w:p>
        </w:tc>
        <w:tc>
          <w:tcPr>
            <w:tcW w:w="10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2006</w:t>
            </w:r>
          </w:p>
        </w:tc>
      </w:tr>
      <w:tr>
        <w:trPr>
          <w:trHeight w:val="127"/>
        </w:trPr>
        <w:tc>
          <w:tcPr>
            <w:tcW w:w="20" w:type="dxa"/>
            <w:vAlign w:val="bottom"/>
          </w:tcPr>
          <w:p>
            <w:pPr>
              <w:spacing w:after="0"/>
              <w:rPr>
                <w:sz w:val="11"/>
                <w:szCs w:val="11"/>
                <w:color w:val="auto"/>
              </w:rPr>
            </w:pPr>
          </w:p>
        </w:tc>
        <w:tc>
          <w:tcPr>
            <w:tcW w:w="4840" w:type="dxa"/>
            <w:vAlign w:val="bottom"/>
          </w:tcPr>
          <w:p>
            <w:pPr>
              <w:spacing w:after="0" w:line="128" w:lineRule="exact"/>
              <w:rPr>
                <w:sz w:val="20"/>
                <w:szCs w:val="20"/>
                <w:color w:val="auto"/>
              </w:rPr>
            </w:pPr>
            <w:r>
              <w:rPr>
                <w:rFonts w:ascii="Arial" w:cs="Arial" w:eastAsia="Arial" w:hAnsi="Arial"/>
                <w:sz w:val="12"/>
                <w:szCs w:val="12"/>
                <w:b w:val="1"/>
                <w:bCs w:val="1"/>
                <w:color w:val="auto"/>
              </w:rPr>
              <w:t>Change in benefit obligation</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Obligations for benefits based on employee service to date at January 1</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60,258</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55,677</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3,163</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3,143</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Increase in present value of the obligation for benefits based on employee service</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during the year</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1,188</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1,285</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50</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53</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Interest on the obligation for benefits in respect of employee service in</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3,051</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2,648</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171</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160</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previous years</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Benefit payments made</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(2,894)</w:t>
            </w:r>
          </w:p>
        </w:tc>
        <w:tc>
          <w:tcPr>
            <w:tcW w:w="14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(2,535)</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(158)</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(138)</w:t>
            </w:r>
          </w:p>
        </w:tc>
      </w:tr>
      <w:tr>
        <w:trPr>
          <w:trHeight w:val="119"/>
        </w:trPr>
        <w:tc>
          <w:tcPr>
            <w:tcW w:w="4860" w:type="dxa"/>
            <w:vAlign w:val="bottom"/>
            <w:gridSpan w:val="2"/>
          </w:tcPr>
          <w:p>
            <w:pPr>
              <w:spacing w:after="0" w:line="120" w:lineRule="exact"/>
              <w:rPr>
                <w:sz w:val="20"/>
                <w:szCs w:val="20"/>
                <w:color w:val="auto"/>
              </w:rPr>
            </w:pPr>
            <w:r>
              <w:rPr>
                <w:rFonts w:ascii="Arial" w:cs="Arial" w:eastAsia="Arial" w:hAnsi="Arial"/>
                <w:sz w:val="12"/>
                <w:szCs w:val="12"/>
                <w:color w:val="auto"/>
              </w:rPr>
              <w:t>Currency translation differences</w:t>
            </w:r>
          </w:p>
        </w:tc>
        <w:tc>
          <w:tcPr>
            <w:tcW w:w="380" w:type="dxa"/>
            <w:vAlign w:val="bottom"/>
          </w:tcPr>
          <w:p>
            <w:pPr>
              <w:spacing w:after="0"/>
              <w:rPr>
                <w:sz w:val="10"/>
                <w:szCs w:val="10"/>
                <w:color w:val="auto"/>
              </w:rPr>
            </w:pPr>
          </w:p>
        </w:tc>
        <w:tc>
          <w:tcPr>
            <w:tcW w:w="640" w:type="dxa"/>
            <w:vAlign w:val="bottom"/>
            <w:shd w:val="clear" w:color="auto" w:fill="E4E3E1"/>
          </w:tcPr>
          <w:p>
            <w:pPr>
              <w:jc w:val="right"/>
              <w:ind w:right="38"/>
              <w:spacing w:after="0" w:line="120" w:lineRule="exact"/>
              <w:rPr>
                <w:sz w:val="20"/>
                <w:szCs w:val="20"/>
                <w:color w:val="auto"/>
              </w:rPr>
            </w:pPr>
            <w:r>
              <w:rPr>
                <w:rFonts w:ascii="Arial" w:cs="Arial" w:eastAsia="Arial" w:hAnsi="Arial"/>
                <w:sz w:val="12"/>
                <w:szCs w:val="12"/>
                <w:color w:val="auto"/>
              </w:rPr>
              <w:t>3,803</w:t>
            </w:r>
          </w:p>
        </w:tc>
        <w:tc>
          <w:tcPr>
            <w:tcW w:w="1460" w:type="dxa"/>
            <w:vAlign w:val="bottom"/>
          </w:tcPr>
          <w:p>
            <w:pPr>
              <w:jc w:val="right"/>
              <w:ind w:right="418"/>
              <w:spacing w:after="0" w:line="120" w:lineRule="exact"/>
              <w:rPr>
                <w:sz w:val="20"/>
                <w:szCs w:val="20"/>
                <w:color w:val="auto"/>
              </w:rPr>
            </w:pPr>
            <w:r>
              <w:rPr>
                <w:rFonts w:ascii="Arial" w:cs="Arial" w:eastAsia="Arial" w:hAnsi="Arial"/>
                <w:sz w:val="12"/>
                <w:szCs w:val="12"/>
                <w:color w:val="auto"/>
              </w:rPr>
              <w:t>5,250</w:t>
            </w:r>
          </w:p>
        </w:tc>
        <w:tc>
          <w:tcPr>
            <w:tcW w:w="600" w:type="dxa"/>
            <w:vAlign w:val="bottom"/>
            <w:shd w:val="clear" w:color="auto" w:fill="E4E3E1"/>
          </w:tcPr>
          <w:p>
            <w:pPr>
              <w:jc w:val="right"/>
              <w:ind w:right="18"/>
              <w:spacing w:after="0" w:line="120" w:lineRule="exact"/>
              <w:rPr>
                <w:sz w:val="20"/>
                <w:szCs w:val="20"/>
                <w:color w:val="auto"/>
              </w:rPr>
            </w:pPr>
            <w:r>
              <w:rPr>
                <w:rFonts w:ascii="Arial" w:cs="Arial" w:eastAsia="Arial" w:hAnsi="Arial"/>
                <w:sz w:val="12"/>
                <w:szCs w:val="12"/>
                <w:color w:val="auto"/>
              </w:rPr>
              <w:t>73</w:t>
            </w:r>
          </w:p>
        </w:tc>
        <w:tc>
          <w:tcPr>
            <w:tcW w:w="1040" w:type="dxa"/>
            <w:vAlign w:val="bottom"/>
          </w:tcPr>
          <w:p>
            <w:pPr>
              <w:jc w:val="right"/>
              <w:ind w:right="18"/>
              <w:spacing w:after="0" w:line="120" w:lineRule="exact"/>
              <w:rPr>
                <w:sz w:val="20"/>
                <w:szCs w:val="20"/>
                <w:color w:val="auto"/>
              </w:rPr>
            </w:pPr>
            <w:r>
              <w:rPr>
                <w:rFonts w:ascii="Arial" w:cs="Arial" w:eastAsia="Arial" w:hAnsi="Arial"/>
                <w:sz w:val="12"/>
                <w:szCs w:val="12"/>
                <w:color w:val="auto"/>
              </w:rPr>
              <w:t>24</w:t>
            </w:r>
          </w:p>
        </w:tc>
      </w:tr>
      <w:tr>
        <w:trPr>
          <w:trHeight w:val="153"/>
        </w:trPr>
        <w:tc>
          <w:tcPr>
            <w:tcW w:w="4860" w:type="dxa"/>
            <w:vAlign w:val="bottom"/>
            <w:gridSpan w:val="2"/>
          </w:tcPr>
          <w:p>
            <w:pPr>
              <w:spacing w:after="0"/>
              <w:rPr>
                <w:sz w:val="20"/>
                <w:szCs w:val="20"/>
                <w:color w:val="auto"/>
              </w:rPr>
            </w:pPr>
            <w:r>
              <w:rPr>
                <w:rFonts w:ascii="Arial" w:cs="Arial" w:eastAsia="Arial" w:hAnsi="Arial"/>
                <w:sz w:val="12"/>
                <w:szCs w:val="12"/>
                <w:color w:val="auto"/>
              </w:rPr>
              <w:t xml:space="preserve">Other components </w:t>
            </w:r>
            <w:r>
              <w:rPr>
                <w:rFonts w:ascii="Arial" w:cs="Arial" w:eastAsia="Arial" w:hAnsi="Arial"/>
                <w:sz w:val="12"/>
                <w:szCs w:val="12"/>
                <w:b w:val="1"/>
                <w:bCs w:val="1"/>
                <w:color w:val="auto"/>
              </w:rPr>
              <w:t>[A]</w:t>
            </w:r>
          </w:p>
        </w:tc>
        <w:tc>
          <w:tcPr>
            <w:tcW w:w="380" w:type="dxa"/>
            <w:vAlign w:val="bottom"/>
          </w:tcPr>
          <w:p>
            <w:pPr>
              <w:spacing w:after="0"/>
              <w:rPr>
                <w:sz w:val="13"/>
                <w:szCs w:val="13"/>
                <w:color w:val="auto"/>
              </w:rPr>
            </w:pP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(2,883)</w:t>
            </w:r>
          </w:p>
        </w:tc>
        <w:tc>
          <w:tcPr>
            <w:tcW w:w="1460" w:type="dxa"/>
            <w:vAlign w:val="bottom"/>
          </w:tcPr>
          <w:p>
            <w:pPr>
              <w:jc w:val="right"/>
              <w:ind w:right="378"/>
              <w:spacing w:after="0"/>
              <w:rPr>
                <w:sz w:val="20"/>
                <w:szCs w:val="20"/>
                <w:color w:val="auto"/>
              </w:rPr>
            </w:pPr>
            <w:r>
              <w:rPr>
                <w:rFonts w:ascii="Arial" w:cs="Arial" w:eastAsia="Arial" w:hAnsi="Arial"/>
                <w:sz w:val="12"/>
                <w:szCs w:val="12"/>
                <w:color w:val="auto"/>
              </w:rPr>
              <w:t>(2,067)</w:t>
            </w:r>
          </w:p>
        </w:tc>
        <w:tc>
          <w:tcPr>
            <w:tcW w:w="60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(120)</w:t>
            </w:r>
          </w:p>
        </w:tc>
        <w:tc>
          <w:tcPr>
            <w:tcW w:w="1040" w:type="dxa"/>
            <w:vAlign w:val="bottom"/>
          </w:tcPr>
          <w:p>
            <w:pPr>
              <w:jc w:val="right"/>
              <w:spacing w:after="0"/>
              <w:rPr>
                <w:sz w:val="20"/>
                <w:szCs w:val="20"/>
                <w:color w:val="auto"/>
              </w:rPr>
            </w:pPr>
            <w:r>
              <w:rPr>
                <w:rFonts w:ascii="Arial" w:cs="Arial" w:eastAsia="Arial" w:hAnsi="Arial"/>
                <w:sz w:val="12"/>
                <w:szCs w:val="12"/>
                <w:color w:val="auto"/>
              </w:rPr>
              <w:t>(79)</w:t>
            </w: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40"/>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Obligations for benefits based on employee service to date at December 31</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62,523</w:t>
            </w:r>
          </w:p>
        </w:tc>
        <w:tc>
          <w:tcPr>
            <w:tcW w:w="14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60,258</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3,179</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3,163</w:t>
            </w:r>
          </w:p>
        </w:tc>
      </w:tr>
      <w:tr>
        <w:trPr>
          <w:trHeight w:val="134"/>
        </w:trPr>
        <w:tc>
          <w:tcPr>
            <w:tcW w:w="4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Change in plan assets</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Plan assets held in trust at fair value at January 1</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67,479</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54,650</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Expected return on plan assets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4,821</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4,003</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Actuarial gains/(losses)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1,025</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4,130</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Employer contributions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1,260</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1,309</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Plan participants’ contributions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94</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71</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Benefit payments made</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(2,894)</w:t>
            </w:r>
          </w:p>
        </w:tc>
        <w:tc>
          <w:tcPr>
            <w:tcW w:w="14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(2,535)</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Currency translation differences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4,428</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5,848</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9"/>
        </w:trPr>
        <w:tc>
          <w:tcPr>
            <w:tcW w:w="4860" w:type="dxa"/>
            <w:vAlign w:val="bottom"/>
            <w:gridSpan w:val="2"/>
          </w:tcPr>
          <w:p>
            <w:pPr>
              <w:spacing w:after="0"/>
              <w:rPr>
                <w:sz w:val="20"/>
                <w:szCs w:val="20"/>
                <w:color w:val="auto"/>
              </w:rPr>
            </w:pPr>
            <w:r>
              <w:rPr>
                <w:rFonts w:ascii="Arial" w:cs="Arial" w:eastAsia="Arial" w:hAnsi="Arial"/>
                <w:sz w:val="12"/>
                <w:szCs w:val="12"/>
                <w:color w:val="auto"/>
              </w:rPr>
              <w:t>Other components</w:t>
            </w:r>
          </w:p>
        </w:tc>
        <w:tc>
          <w:tcPr>
            <w:tcW w:w="380" w:type="dxa"/>
            <w:vAlign w:val="bottom"/>
          </w:tcPr>
          <w:p>
            <w:pPr>
              <w:spacing w:after="0"/>
              <w:rPr>
                <w:sz w:val="12"/>
                <w:szCs w:val="12"/>
                <w:color w:val="auto"/>
              </w:rPr>
            </w:pP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(15)</w:t>
            </w:r>
          </w:p>
        </w:tc>
        <w:tc>
          <w:tcPr>
            <w:tcW w:w="1460" w:type="dxa"/>
            <w:vAlign w:val="bottom"/>
          </w:tcPr>
          <w:p>
            <w:pPr>
              <w:jc w:val="right"/>
              <w:ind w:right="418"/>
              <w:spacing w:after="0"/>
              <w:rPr>
                <w:sz w:val="20"/>
                <w:szCs w:val="20"/>
                <w:color w:val="auto"/>
              </w:rPr>
            </w:pPr>
            <w:r>
              <w:rPr>
                <w:rFonts w:ascii="Arial" w:cs="Arial" w:eastAsia="Arial" w:hAnsi="Arial"/>
                <w:sz w:val="12"/>
                <w:szCs w:val="12"/>
                <w:color w:val="auto"/>
              </w:rPr>
              <w:t>3</w:t>
            </w:r>
          </w:p>
        </w:tc>
        <w:tc>
          <w:tcPr>
            <w:tcW w:w="600" w:type="dxa"/>
            <w:vAlign w:val="bottom"/>
            <w:shd w:val="clear" w:color="auto" w:fill="E4E3E1"/>
          </w:tcPr>
          <w:p>
            <w:pPr>
              <w:spacing w:after="0"/>
              <w:rPr>
                <w:sz w:val="12"/>
                <w:szCs w:val="12"/>
                <w:color w:val="auto"/>
              </w:rPr>
            </w:pPr>
          </w:p>
        </w:tc>
        <w:tc>
          <w:tcPr>
            <w:tcW w:w="104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40"/>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Plan assets held in trust at fair value at December 31</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76,198</w:t>
            </w:r>
          </w:p>
        </w:tc>
        <w:tc>
          <w:tcPr>
            <w:tcW w:w="14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67,479</w:t>
            </w:r>
          </w:p>
        </w:tc>
        <w:tc>
          <w:tcPr>
            <w:tcW w:w="600" w:type="dxa"/>
            <w:vAlign w:val="bottom"/>
            <w:tcBorders>
              <w:bottom w:val="single" w:sz="8" w:color="auto"/>
            </w:tcBorders>
            <w:shd w:val="clear" w:color="auto" w:fill="E4E3E1"/>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r>
      <w:tr>
        <w:trPr>
          <w:trHeight w:val="120"/>
        </w:trPr>
        <w:tc>
          <w:tcPr>
            <w:tcW w:w="4860" w:type="dxa"/>
            <w:vAlign w:val="bottom"/>
            <w:gridSpan w:val="2"/>
          </w:tcPr>
          <w:p>
            <w:pPr>
              <w:spacing w:after="0" w:line="120" w:lineRule="exact"/>
              <w:rPr>
                <w:sz w:val="20"/>
                <w:szCs w:val="20"/>
                <w:color w:val="auto"/>
              </w:rPr>
            </w:pPr>
            <w:r>
              <w:rPr>
                <w:rFonts w:ascii="Arial" w:cs="Arial" w:eastAsia="Arial" w:hAnsi="Arial"/>
                <w:sz w:val="12"/>
                <w:szCs w:val="12"/>
                <w:b w:val="1"/>
                <w:bCs w:val="1"/>
                <w:color w:val="auto"/>
              </w:rPr>
              <w:t>Plan assets in excess of/(less than) the present value of obligations for benefits at</w:t>
            </w:r>
          </w:p>
        </w:tc>
        <w:tc>
          <w:tcPr>
            <w:tcW w:w="380" w:type="dxa"/>
            <w:vAlign w:val="bottom"/>
          </w:tcPr>
          <w:p>
            <w:pPr>
              <w:spacing w:after="0"/>
              <w:rPr>
                <w:sz w:val="10"/>
                <w:szCs w:val="10"/>
                <w:color w:val="auto"/>
              </w:rPr>
            </w:pPr>
          </w:p>
        </w:tc>
        <w:tc>
          <w:tcPr>
            <w:tcW w:w="640" w:type="dxa"/>
            <w:vAlign w:val="bottom"/>
            <w:shd w:val="clear" w:color="auto" w:fill="E4E3E1"/>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shd w:val="clear" w:color="auto" w:fill="E4E3E1"/>
          </w:tcPr>
          <w:p>
            <w:pPr>
              <w:spacing w:after="0"/>
              <w:rPr>
                <w:sz w:val="10"/>
                <w:szCs w:val="10"/>
                <w:color w:val="auto"/>
              </w:rPr>
            </w:pPr>
          </w:p>
        </w:tc>
        <w:tc>
          <w:tcPr>
            <w:tcW w:w="1040" w:type="dxa"/>
            <w:vAlign w:val="bottom"/>
          </w:tcPr>
          <w:p>
            <w:pPr>
              <w:spacing w:after="0"/>
              <w:rPr>
                <w:sz w:val="10"/>
                <w:szCs w:val="10"/>
                <w:color w:val="auto"/>
              </w:rPr>
            </w:pPr>
          </w:p>
        </w:tc>
      </w:tr>
      <w:tr>
        <w:trPr>
          <w:trHeight w:val="147"/>
        </w:trPr>
        <w:tc>
          <w:tcPr>
            <w:tcW w:w="486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380" w:type="dxa"/>
            <w:vAlign w:val="bottom"/>
          </w:tcPr>
          <w:p>
            <w:pPr>
              <w:spacing w:after="0"/>
              <w:rPr>
                <w:sz w:val="12"/>
                <w:szCs w:val="12"/>
                <w:color w:val="auto"/>
              </w:rPr>
            </w:pP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13,675</w:t>
            </w:r>
          </w:p>
        </w:tc>
        <w:tc>
          <w:tcPr>
            <w:tcW w:w="1460" w:type="dxa"/>
            <w:vAlign w:val="bottom"/>
          </w:tcPr>
          <w:p>
            <w:pPr>
              <w:jc w:val="right"/>
              <w:ind w:right="418"/>
              <w:spacing w:after="0"/>
              <w:rPr>
                <w:sz w:val="20"/>
                <w:szCs w:val="20"/>
                <w:color w:val="auto"/>
              </w:rPr>
            </w:pPr>
            <w:r>
              <w:rPr>
                <w:rFonts w:ascii="Arial" w:cs="Arial" w:eastAsia="Arial" w:hAnsi="Arial"/>
                <w:sz w:val="12"/>
                <w:szCs w:val="12"/>
                <w:color w:val="auto"/>
              </w:rPr>
              <w:t>7,221</w:t>
            </w:r>
          </w:p>
        </w:tc>
        <w:tc>
          <w:tcPr>
            <w:tcW w:w="600" w:type="dxa"/>
            <w:vAlign w:val="bottom"/>
            <w:shd w:val="clear" w:color="auto" w:fill="E4E3E1"/>
          </w:tcPr>
          <w:p>
            <w:pPr>
              <w:jc w:val="right"/>
              <w:spacing w:after="0"/>
              <w:rPr>
                <w:sz w:val="20"/>
                <w:szCs w:val="20"/>
                <w:color w:val="auto"/>
              </w:rPr>
            </w:pPr>
            <w:r>
              <w:rPr>
                <w:rFonts w:ascii="Arial" w:cs="Arial" w:eastAsia="Arial" w:hAnsi="Arial"/>
                <w:sz w:val="12"/>
                <w:szCs w:val="12"/>
                <w:color w:val="auto"/>
              </w:rPr>
              <w:t>(3,179)</w:t>
            </w:r>
          </w:p>
        </w:tc>
        <w:tc>
          <w:tcPr>
            <w:tcW w:w="1040" w:type="dxa"/>
            <w:vAlign w:val="bottom"/>
          </w:tcPr>
          <w:p>
            <w:pPr>
              <w:jc w:val="right"/>
              <w:spacing w:after="0"/>
              <w:rPr>
                <w:sz w:val="20"/>
                <w:szCs w:val="20"/>
                <w:color w:val="auto"/>
              </w:rPr>
            </w:pPr>
            <w:r>
              <w:rPr>
                <w:rFonts w:ascii="Arial" w:cs="Arial" w:eastAsia="Arial" w:hAnsi="Arial"/>
                <w:sz w:val="12"/>
                <w:szCs w:val="12"/>
                <w:color w:val="auto"/>
              </w:rPr>
              <w:t>(3,163)</w:t>
            </w: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Unrecognised net actuarial (gains)/losses since adoption</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(11,338)</w:t>
            </w:r>
          </w:p>
        </w:tc>
        <w:tc>
          <w:tcPr>
            <w:tcW w:w="14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(6,588)</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(217)</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w:t>
            </w:r>
          </w:p>
        </w:tc>
      </w:tr>
      <w:tr>
        <w:trPr>
          <w:trHeight w:val="139"/>
        </w:trPr>
        <w:tc>
          <w:tcPr>
            <w:tcW w:w="4860" w:type="dxa"/>
            <w:vAlign w:val="bottom"/>
            <w:gridSpan w:val="2"/>
          </w:tcPr>
          <w:p>
            <w:pPr>
              <w:spacing w:after="0"/>
              <w:rPr>
                <w:sz w:val="20"/>
                <w:szCs w:val="20"/>
                <w:color w:val="auto"/>
              </w:rPr>
            </w:pPr>
            <w:r>
              <w:rPr>
                <w:rFonts w:ascii="Arial" w:cs="Arial" w:eastAsia="Arial" w:hAnsi="Arial"/>
                <w:sz w:val="12"/>
                <w:szCs w:val="12"/>
                <w:color w:val="auto"/>
              </w:rPr>
              <w:t>Unrecognised prior service cost/(credit)</w:t>
            </w:r>
          </w:p>
        </w:tc>
        <w:tc>
          <w:tcPr>
            <w:tcW w:w="380" w:type="dxa"/>
            <w:vAlign w:val="bottom"/>
          </w:tcPr>
          <w:p>
            <w:pPr>
              <w:spacing w:after="0"/>
              <w:rPr>
                <w:sz w:val="12"/>
                <w:szCs w:val="12"/>
                <w:color w:val="auto"/>
              </w:rPr>
            </w:pP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10</w:t>
            </w:r>
          </w:p>
        </w:tc>
        <w:tc>
          <w:tcPr>
            <w:tcW w:w="1460" w:type="dxa"/>
            <w:vAlign w:val="bottom"/>
          </w:tcPr>
          <w:p>
            <w:pPr>
              <w:jc w:val="right"/>
              <w:ind w:right="418"/>
              <w:spacing w:after="0"/>
              <w:rPr>
                <w:sz w:val="20"/>
                <w:szCs w:val="20"/>
                <w:color w:val="auto"/>
              </w:rPr>
            </w:pPr>
            <w:r>
              <w:rPr>
                <w:rFonts w:ascii="Arial" w:cs="Arial" w:eastAsia="Arial" w:hAnsi="Arial"/>
                <w:sz w:val="12"/>
                <w:szCs w:val="12"/>
                <w:color w:val="auto"/>
              </w:rPr>
              <w:t>8</w:t>
            </w:r>
          </w:p>
        </w:tc>
        <w:tc>
          <w:tcPr>
            <w:tcW w:w="600" w:type="dxa"/>
            <w:vAlign w:val="bottom"/>
            <w:shd w:val="clear" w:color="auto" w:fill="E4E3E1"/>
          </w:tcPr>
          <w:p>
            <w:pPr>
              <w:jc w:val="right"/>
              <w:ind w:right="18"/>
              <w:spacing w:after="0"/>
              <w:rPr>
                <w:sz w:val="20"/>
                <w:szCs w:val="20"/>
                <w:color w:val="auto"/>
              </w:rPr>
            </w:pPr>
            <w:r>
              <w:rPr>
                <w:rFonts w:ascii="Arial" w:cs="Arial" w:eastAsia="Arial" w:hAnsi="Arial"/>
                <w:sz w:val="12"/>
                <w:szCs w:val="12"/>
                <w:color w:val="auto"/>
              </w:rPr>
              <w:t>17</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19</w:t>
            </w:r>
          </w:p>
        </w:tc>
      </w:tr>
      <w:tr>
        <w:trPr>
          <w:trHeight w:val="20"/>
        </w:trPr>
        <w:tc>
          <w:tcPr>
            <w:tcW w:w="20" w:type="dxa"/>
            <w:vAlign w:val="bottom"/>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40"/>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Net amount recognised</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2,347</w:t>
            </w:r>
          </w:p>
        </w:tc>
        <w:tc>
          <w:tcPr>
            <w:tcW w:w="14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641</w:t>
            </w:r>
          </w:p>
        </w:tc>
        <w:tc>
          <w:tcPr>
            <w:tcW w:w="6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(3,379)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(3,130)</w:t>
            </w:r>
          </w:p>
        </w:tc>
      </w:tr>
      <w:tr>
        <w:trPr>
          <w:trHeight w:val="134"/>
        </w:trPr>
        <w:tc>
          <w:tcPr>
            <w:tcW w:w="4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Amounts recognised in the Consolidated Balance Sheet:</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Pre-paid pension costs</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5,559</w:t>
            </w:r>
          </w:p>
        </w:tc>
        <w:tc>
          <w:tcPr>
            <w:tcW w:w="14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3,926</w:t>
            </w: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860" w:type="dxa"/>
            <w:vAlign w:val="bottom"/>
            <w:gridSpan w:val="2"/>
          </w:tcPr>
          <w:p>
            <w:pPr>
              <w:spacing w:after="0" w:line="133" w:lineRule="exact"/>
              <w:rPr>
                <w:sz w:val="20"/>
                <w:szCs w:val="20"/>
                <w:color w:val="auto"/>
              </w:rPr>
            </w:pPr>
            <w:r>
              <w:rPr>
                <w:rFonts w:ascii="Arial" w:cs="Arial" w:eastAsia="Arial" w:hAnsi="Arial"/>
                <w:sz w:val="12"/>
                <w:szCs w:val="12"/>
                <w:color w:val="auto"/>
              </w:rPr>
              <w:t>Retirement benefit obligations:</w:t>
            </w:r>
          </w:p>
        </w:tc>
        <w:tc>
          <w:tcPr>
            <w:tcW w:w="380" w:type="dxa"/>
            <w:vAlign w:val="bottom"/>
          </w:tcPr>
          <w:p>
            <w:pPr>
              <w:spacing w:after="0"/>
              <w:rPr>
                <w:sz w:val="11"/>
                <w:szCs w:val="11"/>
                <w:color w:val="auto"/>
              </w:rPr>
            </w:pPr>
          </w:p>
        </w:tc>
        <w:tc>
          <w:tcPr>
            <w:tcW w:w="640" w:type="dxa"/>
            <w:vAlign w:val="bottom"/>
            <w:shd w:val="clear" w:color="auto" w:fill="E4E3E1"/>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840" w:type="dxa"/>
            <w:vAlign w:val="bottom"/>
          </w:tcPr>
          <w:p>
            <w:pPr>
              <w:ind w:left="180"/>
              <w:spacing w:after="0" w:line="133" w:lineRule="exact"/>
              <w:rPr>
                <w:sz w:val="20"/>
                <w:szCs w:val="20"/>
                <w:color w:val="auto"/>
              </w:rPr>
            </w:pPr>
            <w:r>
              <w:rPr>
                <w:rFonts w:ascii="Arial" w:cs="Arial" w:eastAsia="Arial" w:hAnsi="Arial"/>
                <w:sz w:val="12"/>
                <w:szCs w:val="12"/>
                <w:color w:val="auto"/>
              </w:rPr>
              <w:t>Current</w:t>
            </w:r>
          </w:p>
        </w:tc>
        <w:tc>
          <w:tcPr>
            <w:tcW w:w="380" w:type="dxa"/>
            <w:vAlign w:val="bottom"/>
          </w:tcPr>
          <w:p>
            <w:pPr>
              <w:spacing w:after="0"/>
              <w:rPr>
                <w:sz w:val="11"/>
                <w:szCs w:val="11"/>
                <w:color w:val="auto"/>
              </w:rPr>
            </w:pP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(253)</w:t>
            </w:r>
          </w:p>
        </w:tc>
        <w:tc>
          <w:tcPr>
            <w:tcW w:w="14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(202)</w:t>
            </w:r>
          </w:p>
        </w:tc>
        <w:tc>
          <w:tcPr>
            <w:tcW w:w="60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(173)</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(117)</w:t>
            </w:r>
          </w:p>
        </w:tc>
      </w:tr>
      <w:tr>
        <w:trPr>
          <w:trHeight w:val="139"/>
        </w:trPr>
        <w:tc>
          <w:tcPr>
            <w:tcW w:w="20" w:type="dxa"/>
            <w:vAlign w:val="bottom"/>
          </w:tcPr>
          <w:p>
            <w:pPr>
              <w:spacing w:after="0"/>
              <w:rPr>
                <w:sz w:val="12"/>
                <w:szCs w:val="12"/>
                <w:color w:val="auto"/>
              </w:rPr>
            </w:pPr>
          </w:p>
        </w:tc>
        <w:tc>
          <w:tcPr>
            <w:tcW w:w="484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Non-current</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(2,959)</w:t>
            </w:r>
          </w:p>
        </w:tc>
        <w:tc>
          <w:tcPr>
            <w:tcW w:w="14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(3,083)</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(3,206)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(3,013)</w:t>
            </w:r>
          </w:p>
        </w:tc>
      </w:tr>
      <w:tr>
        <w:trPr>
          <w:trHeight w:val="146"/>
        </w:trPr>
        <w:tc>
          <w:tcPr>
            <w:tcW w:w="20" w:type="dxa"/>
            <w:vAlign w:val="bottom"/>
          </w:tcPr>
          <w:p>
            <w:pPr>
              <w:spacing w:after="0"/>
              <w:rPr>
                <w:sz w:val="12"/>
                <w:szCs w:val="12"/>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amount recognised</w:t>
            </w: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2,347</w:t>
            </w:r>
          </w:p>
        </w:tc>
        <w:tc>
          <w:tcPr>
            <w:tcW w:w="14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641</w:t>
            </w:r>
          </w:p>
        </w:tc>
        <w:tc>
          <w:tcPr>
            <w:tcW w:w="60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(3,379)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-2934335</wp:posOffset>
            </wp:positionV>
            <wp:extent cx="2393315" cy="1778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393315" cy="17780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[A]  Other components comprise mainly the effect of changes in actuarial assumptions, most notably the discount rate.</w:t>
      </w:r>
    </w:p>
    <w:p>
      <w:pPr>
        <w:spacing w:after="0" w:line="200" w:lineRule="exact"/>
        <w:rPr>
          <w:sz w:val="20"/>
          <w:szCs w:val="20"/>
          <w:color w:val="auto"/>
        </w:rPr>
      </w:pPr>
    </w:p>
    <w:p>
      <w:pPr>
        <w:sectPr>
          <w:pgSz w:w="11900" w:h="16838" w:orient="portrait"/>
          <w:cols w:equalWidth="0" w:num="2">
            <w:col w:w="1340" w:space="520"/>
            <w:col w:w="900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9540"/>
        <w:spacing w:after="0"/>
        <w:rPr>
          <w:sz w:val="20"/>
          <w:szCs w:val="20"/>
          <w:color w:val="auto"/>
        </w:rPr>
      </w:pPr>
      <w:r>
        <w:rPr>
          <w:rFonts w:ascii="Arial" w:cs="Arial" w:eastAsia="Arial" w:hAnsi="Arial"/>
          <w:sz w:val="11"/>
          <w:szCs w:val="11"/>
          <w:color w:val="auto"/>
        </w:rPr>
        <w:t xml:space="preserve">Royal Dutch Shell plc </w:t>
      </w:r>
      <w:r>
        <w:rPr>
          <w:rFonts w:ascii="Arial" w:cs="Arial" w:eastAsia="Arial" w:hAnsi="Arial"/>
          <w:sz w:val="11"/>
          <w:szCs w:val="11"/>
          <w:b w:val="1"/>
          <w:bCs w:val="1"/>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1950720</wp:posOffset>
            </wp:positionV>
            <wp:extent cx="7252970"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140970</wp:posOffset>
            </wp:positionV>
            <wp:extent cx="8255" cy="50749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507492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20" w:type="dxa"/>
            <w:vAlign w:val="bottom"/>
          </w:tcPr>
          <w:p>
            <w:pPr>
              <w:spacing w:after="0"/>
              <w:rPr>
                <w:sz w:val="20"/>
                <w:szCs w:val="20"/>
                <w:color w:val="auto"/>
              </w:rPr>
            </w:pPr>
            <w:r>
              <w:rPr>
                <w:rFonts w:ascii="Arial" w:cs="Arial" w:eastAsia="Arial" w:hAnsi="Arial"/>
                <w:sz w:val="12"/>
                <w:szCs w:val="12"/>
                <w:b w:val="1"/>
                <w:bCs w:val="1"/>
                <w:i w:val="1"/>
                <w:iCs w:val="1"/>
                <w:color w:val="7DD0E0"/>
              </w:rPr>
              <w:t>Note 21 continued</w:t>
            </w:r>
          </w:p>
        </w:tc>
        <w:tc>
          <w:tcPr>
            <w:tcW w:w="6700" w:type="dxa"/>
            <w:vAlign w:val="bottom"/>
            <w:gridSpan w:val="3"/>
          </w:tcPr>
          <w:p>
            <w:pPr>
              <w:ind w:left="420"/>
              <w:spacing w:after="0"/>
              <w:rPr>
                <w:sz w:val="20"/>
                <w:szCs w:val="20"/>
                <w:color w:val="auto"/>
              </w:rPr>
            </w:pPr>
            <w:r>
              <w:rPr>
                <w:rFonts w:ascii="Arial" w:cs="Arial" w:eastAsia="Arial" w:hAnsi="Arial"/>
                <w:sz w:val="14"/>
                <w:szCs w:val="14"/>
                <w:b w:val="1"/>
                <w:bCs w:val="1"/>
                <w:color w:val="auto"/>
              </w:rPr>
              <w:t>ADDITIONAL INFORMATION</w:t>
            </w: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60" w:type="dxa"/>
            <w:vAlign w:val="bottom"/>
            <w:shd w:val="clear" w:color="auto" w:fill="7DD0E0"/>
          </w:tcPr>
          <w:p>
            <w:pPr>
              <w:spacing w:after="0"/>
              <w:rPr>
                <w:sz w:val="11"/>
                <w:szCs w:val="11"/>
                <w:color w:val="auto"/>
              </w:rPr>
            </w:pPr>
          </w:p>
        </w:tc>
        <w:tc>
          <w:tcPr>
            <w:tcW w:w="680" w:type="dxa"/>
            <w:vAlign w:val="bottom"/>
            <w:shd w:val="clear" w:color="auto" w:fill="7DD0E0"/>
          </w:tcPr>
          <w:p>
            <w:pPr>
              <w:spacing w:after="0"/>
              <w:rPr>
                <w:sz w:val="11"/>
                <w:szCs w:val="11"/>
                <w:color w:val="auto"/>
              </w:rPr>
            </w:pPr>
          </w:p>
        </w:tc>
        <w:tc>
          <w:tcPr>
            <w:tcW w:w="98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74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6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98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2006</w:t>
            </w:r>
          </w:p>
        </w:tc>
        <w:tc>
          <w:tcPr>
            <w:tcW w:w="80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2005</w:t>
            </w:r>
          </w:p>
        </w:tc>
        <w:tc>
          <w:tcPr>
            <w:tcW w:w="7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2004</w:t>
            </w:r>
          </w:p>
        </w:tc>
      </w:tr>
      <w:tr>
        <w:trPr>
          <w:trHeight w:val="127"/>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60" w:type="dxa"/>
            <w:vAlign w:val="bottom"/>
          </w:tcPr>
          <w:p>
            <w:pPr>
              <w:spacing w:after="0" w:line="128" w:lineRule="exact"/>
              <w:rPr>
                <w:sz w:val="20"/>
                <w:szCs w:val="20"/>
                <w:color w:val="auto"/>
              </w:rPr>
            </w:pPr>
            <w:r>
              <w:rPr>
                <w:rFonts w:ascii="Arial" w:cs="Arial" w:eastAsia="Arial" w:hAnsi="Arial"/>
                <w:sz w:val="12"/>
                <w:szCs w:val="12"/>
                <w:b w:val="1"/>
                <w:bCs w:val="1"/>
                <w:color w:val="auto"/>
              </w:rPr>
              <w:t>Pension benefits</w:t>
            </w:r>
          </w:p>
        </w:tc>
        <w:tc>
          <w:tcPr>
            <w:tcW w:w="680" w:type="dxa"/>
            <w:vAlign w:val="bottom"/>
            <w:shd w:val="clear" w:color="auto" w:fill="E4E3E1"/>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3" w:lineRule="exact"/>
              <w:rPr>
                <w:sz w:val="20"/>
                <w:szCs w:val="20"/>
                <w:color w:val="auto"/>
              </w:rPr>
            </w:pPr>
            <w:r>
              <w:rPr>
                <w:rFonts w:ascii="Arial" w:cs="Arial" w:eastAsia="Arial" w:hAnsi="Arial"/>
                <w:sz w:val="12"/>
                <w:szCs w:val="12"/>
                <w:color w:val="auto"/>
              </w:rPr>
              <w:t>Obligation for pension benefits in respect of unfunded plans</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2,505</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1,931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1,904</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2,032</w:t>
            </w:r>
          </w:p>
        </w:tc>
      </w:tr>
      <w:tr>
        <w:trPr>
          <w:trHeight w:val="139"/>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Obligation for pension benefits in respect of funded plans</w:t>
            </w:r>
          </w:p>
        </w:tc>
        <w:tc>
          <w:tcPr>
            <w:tcW w:w="6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60,018</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58,327</w:t>
            </w: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53,773</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52,790</w:t>
            </w:r>
          </w:p>
        </w:tc>
      </w:tr>
      <w:tr>
        <w:trPr>
          <w:trHeight w:val="20"/>
        </w:trPr>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140"/>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Total benefit obligation</w:t>
            </w:r>
          </w:p>
        </w:tc>
        <w:tc>
          <w:tcPr>
            <w:tcW w:w="6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62,523</w:t>
            </w:r>
          </w:p>
        </w:tc>
        <w:tc>
          <w:tcPr>
            <w:tcW w:w="9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60,258</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55,677</w:t>
            </w: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54,822</w:t>
            </w:r>
          </w:p>
        </w:tc>
      </w:tr>
      <w:tr>
        <w:trPr>
          <w:trHeight w:val="134"/>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4" w:lineRule="exact"/>
              <w:rPr>
                <w:sz w:val="20"/>
                <w:szCs w:val="20"/>
                <w:color w:val="auto"/>
              </w:rPr>
            </w:pPr>
            <w:r>
              <w:rPr>
                <w:rFonts w:ascii="Arial" w:cs="Arial" w:eastAsia="Arial" w:hAnsi="Arial"/>
                <w:sz w:val="12"/>
                <w:szCs w:val="12"/>
                <w:color w:val="auto"/>
              </w:rPr>
              <w:t>Experience adjustments as a percentage of the total benefit obligation</w:t>
            </w:r>
          </w:p>
        </w:tc>
        <w:tc>
          <w:tcPr>
            <w:tcW w:w="680" w:type="dxa"/>
            <w:vAlign w:val="bottom"/>
            <w:shd w:val="clear" w:color="auto" w:fill="E4E3E1"/>
          </w:tcPr>
          <w:p>
            <w:pPr>
              <w:jc w:val="right"/>
              <w:ind w:right="38"/>
              <w:spacing w:after="0" w:line="134" w:lineRule="exact"/>
              <w:rPr>
                <w:sz w:val="20"/>
                <w:szCs w:val="20"/>
                <w:color w:val="auto"/>
              </w:rPr>
            </w:pPr>
            <w:r>
              <w:rPr>
                <w:rFonts w:ascii="Arial" w:cs="Arial" w:eastAsia="Arial" w:hAnsi="Arial"/>
                <w:sz w:val="12"/>
                <w:szCs w:val="12"/>
                <w:color w:val="auto"/>
              </w:rPr>
              <w:t>0.7%</w:t>
            </w:r>
          </w:p>
        </w:tc>
        <w:tc>
          <w:tcPr>
            <w:tcW w:w="98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0.7%</w:t>
            </w:r>
          </w:p>
        </w:tc>
        <w:tc>
          <w:tcPr>
            <w:tcW w:w="8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0.2%</w:t>
            </w:r>
          </w:p>
        </w:tc>
        <w:tc>
          <w:tcPr>
            <w:tcW w:w="7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2.1%</w:t>
            </w: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3" w:lineRule="exact"/>
              <w:rPr>
                <w:sz w:val="20"/>
                <w:szCs w:val="20"/>
                <w:color w:val="auto"/>
              </w:rPr>
            </w:pPr>
            <w:r>
              <w:rPr>
                <w:rFonts w:ascii="Arial" w:cs="Arial" w:eastAsia="Arial" w:hAnsi="Arial"/>
                <w:sz w:val="12"/>
                <w:szCs w:val="12"/>
                <w:color w:val="auto"/>
              </w:rPr>
              <w:t>Plan assets</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76,198</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67,479</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54,650</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51,874</w:t>
            </w: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3" w:lineRule="exact"/>
              <w:rPr>
                <w:sz w:val="20"/>
                <w:szCs w:val="20"/>
                <w:color w:val="auto"/>
              </w:rPr>
            </w:pPr>
            <w:r>
              <w:rPr>
                <w:rFonts w:ascii="Arial" w:cs="Arial" w:eastAsia="Arial" w:hAnsi="Arial"/>
                <w:sz w:val="12"/>
                <w:szCs w:val="12"/>
                <w:color w:val="auto"/>
              </w:rPr>
              <w:t>Experience adjustments as a percentage of plan assets</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1.3%</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10.8%</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3.8%</w:t>
            </w: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3" w:lineRule="exact"/>
              <w:rPr>
                <w:sz w:val="20"/>
                <w:szCs w:val="20"/>
                <w:color w:val="auto"/>
              </w:rPr>
            </w:pPr>
            <w:r>
              <w:rPr>
                <w:rFonts w:ascii="Arial" w:cs="Arial" w:eastAsia="Arial" w:hAnsi="Arial"/>
                <w:sz w:val="12"/>
                <w:szCs w:val="12"/>
                <w:color w:val="auto"/>
              </w:rPr>
              <w:t>Plan surplus/(deficit)</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13,675</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7,221</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(1,027)</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(2,948)</w:t>
            </w:r>
          </w:p>
        </w:tc>
      </w:tr>
      <w:tr>
        <w:trPr>
          <w:trHeight w:val="119"/>
        </w:trPr>
        <w:tc>
          <w:tcPr>
            <w:tcW w:w="1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80" w:type="dxa"/>
            <w:vAlign w:val="bottom"/>
            <w:gridSpan w:val="2"/>
          </w:tcPr>
          <w:p>
            <w:pPr>
              <w:spacing w:after="0" w:line="120" w:lineRule="exact"/>
              <w:rPr>
                <w:sz w:val="20"/>
                <w:szCs w:val="20"/>
                <w:color w:val="auto"/>
              </w:rPr>
            </w:pPr>
            <w:r>
              <w:rPr>
                <w:rFonts w:ascii="Arial" w:cs="Arial" w:eastAsia="Arial" w:hAnsi="Arial"/>
                <w:sz w:val="12"/>
                <w:szCs w:val="12"/>
                <w:color w:val="auto"/>
              </w:rPr>
              <w:t>Actual return on plan assets</w:t>
            </w:r>
          </w:p>
        </w:tc>
        <w:tc>
          <w:tcPr>
            <w:tcW w:w="680" w:type="dxa"/>
            <w:vAlign w:val="bottom"/>
            <w:shd w:val="clear" w:color="auto" w:fill="E4E3E1"/>
          </w:tcPr>
          <w:p>
            <w:pPr>
              <w:jc w:val="right"/>
              <w:ind w:right="38"/>
              <w:spacing w:after="0" w:line="120" w:lineRule="exact"/>
              <w:rPr>
                <w:sz w:val="20"/>
                <w:szCs w:val="20"/>
                <w:color w:val="auto"/>
              </w:rPr>
            </w:pPr>
            <w:r>
              <w:rPr>
                <w:rFonts w:ascii="Arial" w:cs="Arial" w:eastAsia="Arial" w:hAnsi="Arial"/>
                <w:sz w:val="12"/>
                <w:szCs w:val="12"/>
                <w:color w:val="auto"/>
              </w:rPr>
              <w:t>5,846</w:t>
            </w:r>
          </w:p>
        </w:tc>
        <w:tc>
          <w:tcPr>
            <w:tcW w:w="980" w:type="dxa"/>
            <w:vAlign w:val="bottom"/>
          </w:tcPr>
          <w:p>
            <w:pPr>
              <w:jc w:val="right"/>
              <w:ind w:right="178"/>
              <w:spacing w:after="0" w:line="120" w:lineRule="exact"/>
              <w:rPr>
                <w:sz w:val="20"/>
                <w:szCs w:val="20"/>
                <w:color w:val="auto"/>
              </w:rPr>
            </w:pPr>
            <w:r>
              <w:rPr>
                <w:rFonts w:ascii="Arial" w:cs="Arial" w:eastAsia="Arial" w:hAnsi="Arial"/>
                <w:sz w:val="12"/>
                <w:szCs w:val="12"/>
                <w:color w:val="auto"/>
              </w:rPr>
              <w:t>8,133</w:t>
            </w:r>
          </w:p>
        </w:tc>
        <w:tc>
          <w:tcPr>
            <w:tcW w:w="800" w:type="dxa"/>
            <w:vAlign w:val="bottom"/>
          </w:tcPr>
          <w:p>
            <w:pPr>
              <w:jc w:val="right"/>
              <w:ind w:right="138"/>
              <w:spacing w:after="0" w:line="120" w:lineRule="exact"/>
              <w:rPr>
                <w:sz w:val="20"/>
                <w:szCs w:val="20"/>
                <w:color w:val="auto"/>
              </w:rPr>
            </w:pPr>
            <w:r>
              <w:rPr>
                <w:rFonts w:ascii="Arial" w:cs="Arial" w:eastAsia="Arial" w:hAnsi="Arial"/>
                <w:sz w:val="12"/>
                <w:szCs w:val="12"/>
                <w:color w:val="auto"/>
              </w:rPr>
              <w:t>9,290</w:t>
            </w:r>
          </w:p>
        </w:tc>
        <w:tc>
          <w:tcPr>
            <w:tcW w:w="740" w:type="dxa"/>
            <w:vAlign w:val="bottom"/>
          </w:tcPr>
          <w:p>
            <w:pPr>
              <w:jc w:val="right"/>
              <w:ind w:right="38"/>
              <w:spacing w:after="0" w:line="120" w:lineRule="exact"/>
              <w:rPr>
                <w:sz w:val="20"/>
                <w:szCs w:val="20"/>
                <w:color w:val="auto"/>
              </w:rPr>
            </w:pPr>
            <w:r>
              <w:rPr>
                <w:rFonts w:ascii="Arial" w:cs="Arial" w:eastAsia="Arial" w:hAnsi="Arial"/>
                <w:sz w:val="12"/>
                <w:szCs w:val="12"/>
                <w:color w:val="auto"/>
              </w:rPr>
              <w:t>5,262</w:t>
            </w:r>
          </w:p>
        </w:tc>
      </w:tr>
      <w:tr>
        <w:trPr>
          <w:trHeight w:val="147"/>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80" w:type="dxa"/>
            <w:vAlign w:val="bottom"/>
            <w:gridSpan w:val="2"/>
          </w:tcPr>
          <w:p>
            <w:pPr>
              <w:spacing w:after="0"/>
              <w:rPr>
                <w:sz w:val="20"/>
                <w:szCs w:val="20"/>
                <w:color w:val="auto"/>
              </w:rPr>
            </w:pPr>
            <w:r>
              <w:rPr>
                <w:rFonts w:ascii="Arial" w:cs="Arial" w:eastAsia="Arial" w:hAnsi="Arial"/>
                <w:sz w:val="12"/>
                <w:szCs w:val="12"/>
                <w:b w:val="1"/>
                <w:bCs w:val="1"/>
                <w:color w:val="auto"/>
              </w:rPr>
              <w:t>Other benefits</w:t>
            </w:r>
          </w:p>
        </w:tc>
        <w:tc>
          <w:tcPr>
            <w:tcW w:w="680" w:type="dxa"/>
            <w:vAlign w:val="bottom"/>
            <w:shd w:val="clear" w:color="auto" w:fill="E4E3E1"/>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3"/>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80" w:type="dxa"/>
            <w:vAlign w:val="bottom"/>
            <w:gridSpan w:val="2"/>
          </w:tcPr>
          <w:p>
            <w:pPr>
              <w:spacing w:after="0" w:line="133" w:lineRule="exact"/>
              <w:rPr>
                <w:sz w:val="20"/>
                <w:szCs w:val="20"/>
                <w:color w:val="auto"/>
              </w:rPr>
            </w:pPr>
            <w:r>
              <w:rPr>
                <w:rFonts w:ascii="Arial" w:cs="Arial" w:eastAsia="Arial" w:hAnsi="Arial"/>
                <w:sz w:val="12"/>
                <w:szCs w:val="12"/>
                <w:color w:val="auto"/>
              </w:rPr>
              <w:t>Total benefit obligation (unfunded)</w:t>
            </w: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3,179</w:t>
            </w: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3,163</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3,143</w:t>
            </w:r>
          </w:p>
        </w:tc>
        <w:tc>
          <w:tcPr>
            <w:tcW w:w="7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3,120</w:t>
            </w:r>
          </w:p>
        </w:tc>
      </w:tr>
      <w:tr>
        <w:trPr>
          <w:trHeight w:val="139"/>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80" w:type="dxa"/>
            <w:vAlign w:val="bottom"/>
            <w:gridSpan w:val="2"/>
          </w:tcPr>
          <w:p>
            <w:pPr>
              <w:spacing w:after="0"/>
              <w:rPr>
                <w:sz w:val="20"/>
                <w:szCs w:val="20"/>
                <w:color w:val="auto"/>
              </w:rPr>
            </w:pPr>
            <w:r>
              <w:rPr>
                <w:rFonts w:ascii="Arial" w:cs="Arial" w:eastAsia="Arial" w:hAnsi="Arial"/>
                <w:sz w:val="12"/>
                <w:szCs w:val="12"/>
                <w:color w:val="auto"/>
              </w:rPr>
              <w:t>Experience adjustments as a percentage of the total benefit obligation</w:t>
            </w:r>
          </w:p>
        </w:tc>
        <w:tc>
          <w:tcPr>
            <w:tcW w:w="6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6.01%</w:t>
            </w:r>
          </w:p>
        </w:tc>
        <w:tc>
          <w:tcPr>
            <w:tcW w:w="980" w:type="dxa"/>
            <w:vAlign w:val="bottom"/>
          </w:tcPr>
          <w:p>
            <w:pPr>
              <w:jc w:val="right"/>
              <w:ind w:right="178"/>
              <w:spacing w:after="0"/>
              <w:rPr>
                <w:sz w:val="20"/>
                <w:szCs w:val="20"/>
                <w:color w:val="auto"/>
              </w:rPr>
            </w:pPr>
            <w:r>
              <w:rPr>
                <w:rFonts w:ascii="Arial" w:cs="Arial" w:eastAsia="Arial" w:hAnsi="Arial"/>
                <w:sz w:val="12"/>
                <w:szCs w:val="12"/>
                <w:color w:val="auto"/>
              </w:rPr>
              <w:t>0.72%</w:t>
            </w:r>
          </w:p>
        </w:tc>
        <w:tc>
          <w:tcPr>
            <w:tcW w:w="800" w:type="dxa"/>
            <w:vAlign w:val="bottom"/>
          </w:tcPr>
          <w:p>
            <w:pPr>
              <w:jc w:val="right"/>
              <w:ind w:right="138"/>
              <w:spacing w:after="0"/>
              <w:rPr>
                <w:sz w:val="20"/>
                <w:szCs w:val="20"/>
                <w:color w:val="auto"/>
              </w:rPr>
            </w:pPr>
            <w:r>
              <w:rPr>
                <w:rFonts w:ascii="Arial" w:cs="Arial" w:eastAsia="Arial" w:hAnsi="Arial"/>
                <w:sz w:val="12"/>
                <w:szCs w:val="12"/>
                <w:color w:val="auto"/>
              </w:rPr>
              <w:t>0.03%</w:t>
            </w:r>
          </w:p>
        </w:tc>
        <w:tc>
          <w:tcPr>
            <w:tcW w:w="740" w:type="dxa"/>
            <w:vAlign w:val="bottom"/>
          </w:tcPr>
          <w:p>
            <w:pPr>
              <w:jc w:val="right"/>
              <w:ind w:right="38"/>
              <w:spacing w:after="0"/>
              <w:rPr>
                <w:sz w:val="20"/>
                <w:szCs w:val="20"/>
                <w:color w:val="auto"/>
              </w:rPr>
            </w:pPr>
            <w:r>
              <w:rPr>
                <w:rFonts w:ascii="Arial" w:cs="Arial" w:eastAsia="Arial" w:hAnsi="Arial"/>
                <w:sz w:val="12"/>
                <w:szCs w:val="12"/>
                <w:color w:val="auto"/>
              </w:rPr>
              <w:t>0.26%</w:t>
            </w:r>
          </w:p>
        </w:tc>
      </w:tr>
      <w:tr>
        <w:trPr>
          <w:trHeight w:val="27"/>
        </w:trPr>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Employer contributions to defined benefit pension plans during 2008 are estimated to be $0.9 billion.</w:t>
      </w:r>
    </w:p>
    <w:p>
      <w:pPr>
        <w:spacing w:after="0" w:line="92"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Benefit costs for the year comprise:</w:t>
      </w:r>
    </w:p>
    <w:p>
      <w:pPr>
        <w:spacing w:after="0" w:line="25"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100" w:type="dxa"/>
            <w:vAlign w:val="bottom"/>
            <w:shd w:val="clear" w:color="auto" w:fill="7DD0E0"/>
          </w:tcPr>
          <w:p>
            <w:pPr>
              <w:spacing w:after="0"/>
              <w:rPr>
                <w:sz w:val="12"/>
                <w:szCs w:val="12"/>
                <w:color w:val="auto"/>
              </w:rPr>
            </w:pPr>
          </w:p>
        </w:tc>
        <w:tc>
          <w:tcPr>
            <w:tcW w:w="380" w:type="dxa"/>
            <w:vAlign w:val="bottom"/>
            <w:shd w:val="clear" w:color="auto" w:fill="7DD0E0"/>
          </w:tcPr>
          <w:p>
            <w:pPr>
              <w:spacing w:after="0"/>
              <w:rPr>
                <w:sz w:val="12"/>
                <w:szCs w:val="12"/>
                <w:color w:val="auto"/>
              </w:rPr>
            </w:pPr>
          </w:p>
        </w:tc>
        <w:tc>
          <w:tcPr>
            <w:tcW w:w="660" w:type="dxa"/>
            <w:vAlign w:val="bottom"/>
            <w:shd w:val="clear" w:color="auto" w:fill="7DD0E0"/>
          </w:tcPr>
          <w:p>
            <w:pPr>
              <w:spacing w:after="0"/>
              <w:rPr>
                <w:sz w:val="12"/>
                <w:szCs w:val="12"/>
                <w:color w:val="auto"/>
              </w:rPr>
            </w:pPr>
          </w:p>
        </w:tc>
        <w:tc>
          <w:tcPr>
            <w:tcW w:w="110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660" w:type="dxa"/>
            <w:vAlign w:val="bottom"/>
            <w:shd w:val="clear" w:color="auto" w:fill="7DD0E0"/>
          </w:tcPr>
          <w:p>
            <w:pPr>
              <w:spacing w:after="0"/>
              <w:rPr>
                <w:sz w:val="12"/>
                <w:szCs w:val="12"/>
                <w:color w:val="auto"/>
              </w:rPr>
            </w:pPr>
          </w:p>
        </w:tc>
        <w:tc>
          <w:tcPr>
            <w:tcW w:w="860" w:type="dxa"/>
            <w:vAlign w:val="bottom"/>
            <w:shd w:val="clear" w:color="auto" w:fill="7DD0E0"/>
          </w:tcPr>
          <w:p>
            <w:pPr>
              <w:spacing w:after="0"/>
              <w:rPr>
                <w:sz w:val="12"/>
                <w:szCs w:val="12"/>
                <w:color w:val="auto"/>
              </w:rPr>
            </w:pPr>
          </w:p>
        </w:tc>
        <w:tc>
          <w:tcPr>
            <w:tcW w:w="68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41"/>
        </w:trPr>
        <w:tc>
          <w:tcPr>
            <w:tcW w:w="20" w:type="dxa"/>
            <w:vAlign w:val="bottom"/>
          </w:tcPr>
          <w:p>
            <w:pPr>
              <w:spacing w:after="0"/>
              <w:rPr>
                <w:sz w:val="12"/>
                <w:szCs w:val="12"/>
                <w:color w:val="auto"/>
              </w:rPr>
            </w:pPr>
          </w:p>
        </w:tc>
        <w:tc>
          <w:tcPr>
            <w:tcW w:w="4100" w:type="dxa"/>
            <w:vAlign w:val="bottom"/>
            <w:shd w:val="clear" w:color="auto" w:fill="CECAC6"/>
          </w:tcPr>
          <w:p>
            <w:pPr>
              <w:spacing w:after="0"/>
              <w:rPr>
                <w:sz w:val="12"/>
                <w:szCs w:val="12"/>
                <w:color w:val="auto"/>
              </w:rPr>
            </w:pPr>
          </w:p>
        </w:tc>
        <w:tc>
          <w:tcPr>
            <w:tcW w:w="380" w:type="dxa"/>
            <w:vAlign w:val="bottom"/>
            <w:shd w:val="clear" w:color="auto" w:fill="CECAC6"/>
          </w:tcPr>
          <w:p>
            <w:pPr>
              <w:spacing w:after="0"/>
              <w:rPr>
                <w:sz w:val="12"/>
                <w:szCs w:val="12"/>
                <w:color w:val="auto"/>
              </w:rPr>
            </w:pPr>
          </w:p>
        </w:tc>
        <w:tc>
          <w:tcPr>
            <w:tcW w:w="660" w:type="dxa"/>
            <w:vAlign w:val="bottom"/>
            <w:shd w:val="clear" w:color="auto" w:fill="CECAC6"/>
          </w:tcPr>
          <w:p>
            <w:pPr>
              <w:spacing w:after="0"/>
              <w:rPr>
                <w:sz w:val="12"/>
                <w:szCs w:val="12"/>
                <w:color w:val="auto"/>
              </w:rPr>
            </w:pPr>
          </w:p>
        </w:tc>
        <w:tc>
          <w:tcPr>
            <w:tcW w:w="2120" w:type="dxa"/>
            <w:vAlign w:val="bottom"/>
            <w:gridSpan w:val="2"/>
            <w:shd w:val="clear" w:color="auto" w:fill="CECAC6"/>
          </w:tcPr>
          <w:p>
            <w:pPr>
              <w:jc w:val="right"/>
              <w:ind w:right="398"/>
              <w:spacing w:after="0"/>
              <w:rPr>
                <w:sz w:val="20"/>
                <w:szCs w:val="20"/>
                <w:color w:val="auto"/>
              </w:rPr>
            </w:pPr>
            <w:r>
              <w:rPr>
                <w:rFonts w:ascii="Arial" w:cs="Arial" w:eastAsia="Arial" w:hAnsi="Arial"/>
                <w:sz w:val="12"/>
                <w:szCs w:val="12"/>
                <w:color w:val="auto"/>
              </w:rPr>
              <w:t>Pension benefits</w:t>
            </w:r>
          </w:p>
        </w:tc>
        <w:tc>
          <w:tcPr>
            <w:tcW w:w="660" w:type="dxa"/>
            <w:vAlign w:val="bottom"/>
            <w:shd w:val="clear" w:color="auto" w:fill="CECAC6"/>
          </w:tcPr>
          <w:p>
            <w:pPr>
              <w:spacing w:after="0"/>
              <w:rPr>
                <w:sz w:val="12"/>
                <w:szCs w:val="12"/>
                <w:color w:val="auto"/>
              </w:rPr>
            </w:pPr>
          </w:p>
        </w:tc>
        <w:tc>
          <w:tcPr>
            <w:tcW w:w="154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Other benefits</w:t>
            </w:r>
          </w:p>
        </w:tc>
      </w:tr>
      <w:tr>
        <w:trPr>
          <w:trHeight w:val="139"/>
        </w:trPr>
        <w:tc>
          <w:tcPr>
            <w:tcW w:w="20" w:type="dxa"/>
            <w:vAlign w:val="bottom"/>
          </w:tcPr>
          <w:p>
            <w:pPr>
              <w:spacing w:after="0"/>
              <w:rPr>
                <w:sz w:val="12"/>
                <w:szCs w:val="12"/>
                <w:color w:val="auto"/>
              </w:rPr>
            </w:pPr>
          </w:p>
        </w:tc>
        <w:tc>
          <w:tcPr>
            <w:tcW w:w="4100" w:type="dxa"/>
            <w:vAlign w:val="bottom"/>
            <w:shd w:val="clear" w:color="auto" w:fill="CECAC6"/>
          </w:tcPr>
          <w:p>
            <w:pPr>
              <w:spacing w:after="0"/>
              <w:rPr>
                <w:sz w:val="12"/>
                <w:szCs w:val="12"/>
                <w:color w:val="auto"/>
              </w:rPr>
            </w:pPr>
          </w:p>
        </w:tc>
        <w:tc>
          <w:tcPr>
            <w:tcW w:w="104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100" w:type="dxa"/>
            <w:vAlign w:val="bottom"/>
            <w:shd w:val="clear" w:color="auto" w:fill="CECAC6"/>
          </w:tcPr>
          <w:p>
            <w:pPr>
              <w:jc w:val="right"/>
              <w:ind w:right="298"/>
              <w:spacing w:after="0"/>
              <w:rPr>
                <w:sz w:val="20"/>
                <w:szCs w:val="20"/>
                <w:color w:val="auto"/>
              </w:rPr>
            </w:pPr>
            <w:r>
              <w:rPr>
                <w:rFonts w:ascii="Arial" w:cs="Arial" w:eastAsia="Arial" w:hAnsi="Arial"/>
                <w:sz w:val="12"/>
                <w:szCs w:val="12"/>
                <w:color w:val="auto"/>
              </w:rPr>
              <w:t>2006</w:t>
            </w:r>
          </w:p>
        </w:tc>
        <w:tc>
          <w:tcPr>
            <w:tcW w:w="1020" w:type="dxa"/>
            <w:vAlign w:val="bottom"/>
            <w:shd w:val="clear" w:color="auto" w:fill="CECAC6"/>
          </w:tcPr>
          <w:p>
            <w:pPr>
              <w:jc w:val="right"/>
              <w:ind w:right="398"/>
              <w:spacing w:after="0"/>
              <w:rPr>
                <w:sz w:val="20"/>
                <w:szCs w:val="20"/>
                <w:color w:val="auto"/>
              </w:rPr>
            </w:pPr>
            <w:r>
              <w:rPr>
                <w:rFonts w:ascii="Arial" w:cs="Arial" w:eastAsia="Arial" w:hAnsi="Arial"/>
                <w:sz w:val="12"/>
                <w:szCs w:val="12"/>
                <w:color w:val="auto"/>
              </w:rPr>
              <w:t>2005</w:t>
            </w:r>
          </w:p>
        </w:tc>
        <w:tc>
          <w:tcPr>
            <w:tcW w:w="6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8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2006</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27"/>
        </w:trPr>
        <w:tc>
          <w:tcPr>
            <w:tcW w:w="20" w:type="dxa"/>
            <w:vAlign w:val="bottom"/>
          </w:tcPr>
          <w:p>
            <w:pPr>
              <w:spacing w:after="0"/>
              <w:rPr>
                <w:sz w:val="11"/>
                <w:szCs w:val="11"/>
                <w:color w:val="auto"/>
              </w:rPr>
            </w:pPr>
          </w:p>
        </w:tc>
        <w:tc>
          <w:tcPr>
            <w:tcW w:w="4100" w:type="dxa"/>
            <w:vAlign w:val="bottom"/>
          </w:tcPr>
          <w:p>
            <w:pPr>
              <w:spacing w:after="0" w:line="128" w:lineRule="exact"/>
              <w:rPr>
                <w:sz w:val="20"/>
                <w:szCs w:val="20"/>
                <w:color w:val="auto"/>
              </w:rPr>
            </w:pPr>
            <w:r>
              <w:rPr>
                <w:rFonts w:ascii="Arial" w:cs="Arial" w:eastAsia="Arial" w:hAnsi="Arial"/>
                <w:sz w:val="12"/>
                <w:szCs w:val="12"/>
                <w:color w:val="auto"/>
              </w:rPr>
              <w:t>Service cost</w:t>
            </w:r>
          </w:p>
        </w:tc>
        <w:tc>
          <w:tcPr>
            <w:tcW w:w="380" w:type="dxa"/>
            <w:vAlign w:val="bottom"/>
          </w:tcPr>
          <w:p>
            <w:pPr>
              <w:spacing w:after="0"/>
              <w:rPr>
                <w:sz w:val="11"/>
                <w:szCs w:val="11"/>
                <w:color w:val="auto"/>
              </w:rPr>
            </w:pPr>
          </w:p>
        </w:tc>
        <w:tc>
          <w:tcPr>
            <w:tcW w:w="6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1,188</w:t>
            </w:r>
          </w:p>
        </w:tc>
        <w:tc>
          <w:tcPr>
            <w:tcW w:w="110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1,285</w:t>
            </w:r>
          </w:p>
        </w:tc>
        <w:tc>
          <w:tcPr>
            <w:tcW w:w="1020" w:type="dxa"/>
            <w:vAlign w:val="bottom"/>
          </w:tcPr>
          <w:p>
            <w:pPr>
              <w:jc w:val="right"/>
              <w:ind w:right="398"/>
              <w:spacing w:after="0" w:line="128" w:lineRule="exact"/>
              <w:rPr>
                <w:sz w:val="20"/>
                <w:szCs w:val="20"/>
                <w:color w:val="auto"/>
              </w:rPr>
            </w:pPr>
            <w:r>
              <w:rPr>
                <w:rFonts w:ascii="Arial" w:cs="Arial" w:eastAsia="Arial" w:hAnsi="Arial"/>
                <w:sz w:val="12"/>
                <w:szCs w:val="12"/>
                <w:color w:val="auto"/>
              </w:rPr>
              <w:t>1,163</w:t>
            </w:r>
          </w:p>
        </w:tc>
        <w:tc>
          <w:tcPr>
            <w:tcW w:w="6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50</w:t>
            </w:r>
          </w:p>
        </w:tc>
        <w:tc>
          <w:tcPr>
            <w:tcW w:w="860" w:type="dxa"/>
            <w:vAlign w:val="bottom"/>
          </w:tcPr>
          <w:p>
            <w:pPr>
              <w:jc w:val="right"/>
              <w:ind w:right="58"/>
              <w:spacing w:after="0" w:line="128" w:lineRule="exact"/>
              <w:rPr>
                <w:sz w:val="20"/>
                <w:szCs w:val="20"/>
                <w:color w:val="auto"/>
              </w:rPr>
            </w:pPr>
            <w:r>
              <w:rPr>
                <w:rFonts w:ascii="Arial" w:cs="Arial" w:eastAsia="Arial" w:hAnsi="Arial"/>
                <w:sz w:val="12"/>
                <w:szCs w:val="12"/>
                <w:color w:val="auto"/>
              </w:rPr>
              <w:t>53</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65</w:t>
            </w:r>
          </w:p>
        </w:tc>
      </w:tr>
      <w:tr>
        <w:trPr>
          <w:trHeight w:val="133"/>
        </w:trPr>
        <w:tc>
          <w:tcPr>
            <w:tcW w:w="4120" w:type="dxa"/>
            <w:vAlign w:val="bottom"/>
            <w:gridSpan w:val="2"/>
          </w:tcPr>
          <w:p>
            <w:pPr>
              <w:spacing w:after="0" w:line="133" w:lineRule="exact"/>
              <w:rPr>
                <w:sz w:val="20"/>
                <w:szCs w:val="20"/>
                <w:color w:val="auto"/>
              </w:rPr>
            </w:pPr>
            <w:r>
              <w:rPr>
                <w:rFonts w:ascii="Arial" w:cs="Arial" w:eastAsia="Arial" w:hAnsi="Arial"/>
                <w:sz w:val="12"/>
                <w:szCs w:val="12"/>
                <w:color w:val="auto"/>
              </w:rPr>
              <w:t>Interest cost</w:t>
            </w:r>
          </w:p>
        </w:tc>
        <w:tc>
          <w:tcPr>
            <w:tcW w:w="380" w:type="dxa"/>
            <w:vAlign w:val="bottom"/>
          </w:tcPr>
          <w:p>
            <w:pPr>
              <w:spacing w:after="0"/>
              <w:rPr>
                <w:sz w:val="11"/>
                <w:szCs w:val="11"/>
                <w:color w:val="auto"/>
              </w:rPr>
            </w:pP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3,051</w:t>
            </w:r>
          </w:p>
        </w:tc>
        <w:tc>
          <w:tcPr>
            <w:tcW w:w="110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2,648</w:t>
            </w:r>
          </w:p>
        </w:tc>
        <w:tc>
          <w:tcPr>
            <w:tcW w:w="102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2,575</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171</w:t>
            </w:r>
          </w:p>
        </w:tc>
        <w:tc>
          <w:tcPr>
            <w:tcW w:w="8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160</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168</w:t>
            </w:r>
          </w:p>
        </w:tc>
      </w:tr>
      <w:tr>
        <w:trPr>
          <w:trHeight w:val="119"/>
        </w:trPr>
        <w:tc>
          <w:tcPr>
            <w:tcW w:w="4120" w:type="dxa"/>
            <w:vAlign w:val="bottom"/>
            <w:gridSpan w:val="2"/>
          </w:tcPr>
          <w:p>
            <w:pPr>
              <w:spacing w:after="0" w:line="120" w:lineRule="exact"/>
              <w:rPr>
                <w:sz w:val="20"/>
                <w:szCs w:val="20"/>
                <w:color w:val="auto"/>
              </w:rPr>
            </w:pPr>
            <w:r>
              <w:rPr>
                <w:rFonts w:ascii="Arial" w:cs="Arial" w:eastAsia="Arial" w:hAnsi="Arial"/>
                <w:sz w:val="12"/>
                <w:szCs w:val="12"/>
                <w:color w:val="auto"/>
              </w:rPr>
              <w:t>Expected return on plan assets</w:t>
            </w:r>
          </w:p>
        </w:tc>
        <w:tc>
          <w:tcPr>
            <w:tcW w:w="380" w:type="dxa"/>
            <w:vAlign w:val="bottom"/>
          </w:tcPr>
          <w:p>
            <w:pPr>
              <w:spacing w:after="0"/>
              <w:rPr>
                <w:sz w:val="10"/>
                <w:szCs w:val="10"/>
                <w:color w:val="auto"/>
              </w:rPr>
            </w:pPr>
          </w:p>
        </w:tc>
        <w:tc>
          <w:tcPr>
            <w:tcW w:w="660" w:type="dxa"/>
            <w:vAlign w:val="bottom"/>
            <w:shd w:val="clear" w:color="auto" w:fill="E4E3E1"/>
          </w:tcPr>
          <w:p>
            <w:pPr>
              <w:jc w:val="right"/>
              <w:ind w:right="38"/>
              <w:spacing w:after="0" w:line="120" w:lineRule="exact"/>
              <w:rPr>
                <w:sz w:val="20"/>
                <w:szCs w:val="20"/>
                <w:color w:val="auto"/>
              </w:rPr>
            </w:pPr>
            <w:r>
              <w:rPr>
                <w:rFonts w:ascii="Arial" w:cs="Arial" w:eastAsia="Arial" w:hAnsi="Arial"/>
                <w:sz w:val="12"/>
                <w:szCs w:val="12"/>
                <w:color w:val="auto"/>
              </w:rPr>
              <w:t>(4,821)</w:t>
            </w:r>
          </w:p>
        </w:tc>
        <w:tc>
          <w:tcPr>
            <w:tcW w:w="110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(4,003)</w:t>
            </w:r>
          </w:p>
        </w:tc>
        <w:tc>
          <w:tcPr>
            <w:tcW w:w="1020" w:type="dxa"/>
            <w:vAlign w:val="bottom"/>
          </w:tcPr>
          <w:p>
            <w:pPr>
              <w:jc w:val="right"/>
              <w:ind w:right="358"/>
              <w:spacing w:after="0" w:line="120" w:lineRule="exact"/>
              <w:rPr>
                <w:sz w:val="20"/>
                <w:szCs w:val="20"/>
                <w:color w:val="auto"/>
              </w:rPr>
            </w:pPr>
            <w:r>
              <w:rPr>
                <w:rFonts w:ascii="Arial" w:cs="Arial" w:eastAsia="Arial" w:hAnsi="Arial"/>
                <w:sz w:val="12"/>
                <w:szCs w:val="12"/>
                <w:color w:val="auto"/>
              </w:rPr>
              <w:t>(3,389)</w:t>
            </w:r>
          </w:p>
        </w:tc>
        <w:tc>
          <w:tcPr>
            <w:tcW w:w="660" w:type="dxa"/>
            <w:vAlign w:val="bottom"/>
            <w:shd w:val="clear" w:color="auto" w:fill="E4E3E1"/>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4120" w:type="dxa"/>
            <w:vAlign w:val="bottom"/>
            <w:gridSpan w:val="2"/>
          </w:tcPr>
          <w:p>
            <w:pPr>
              <w:spacing w:after="0"/>
              <w:rPr>
                <w:sz w:val="20"/>
                <w:szCs w:val="20"/>
                <w:color w:val="auto"/>
              </w:rPr>
            </w:pPr>
            <w:r>
              <w:rPr>
                <w:rFonts w:ascii="Arial" w:cs="Arial" w:eastAsia="Arial" w:hAnsi="Arial"/>
                <w:sz w:val="12"/>
                <w:szCs w:val="12"/>
                <w:color w:val="auto"/>
              </w:rPr>
              <w:t>Other components</w:t>
            </w:r>
          </w:p>
        </w:tc>
        <w:tc>
          <w:tcPr>
            <w:tcW w:w="380" w:type="dxa"/>
            <w:vAlign w:val="bottom"/>
          </w:tcPr>
          <w:p>
            <w:pPr>
              <w:spacing w:after="0"/>
              <w:rPr>
                <w:sz w:val="13"/>
                <w:szCs w:val="13"/>
                <w:color w:val="auto"/>
              </w:rPr>
            </w:pPr>
          </w:p>
        </w:tc>
        <w:tc>
          <w:tcPr>
            <w:tcW w:w="6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158</w:t>
            </w:r>
          </w:p>
        </w:tc>
        <w:tc>
          <w:tcPr>
            <w:tcW w:w="1100" w:type="dxa"/>
            <w:vAlign w:val="bottom"/>
          </w:tcPr>
          <w:p>
            <w:pPr>
              <w:jc w:val="right"/>
              <w:ind w:right="138"/>
              <w:spacing w:after="0"/>
              <w:rPr>
                <w:sz w:val="20"/>
                <w:szCs w:val="20"/>
                <w:color w:val="auto"/>
              </w:rPr>
            </w:pPr>
            <w:r>
              <w:rPr>
                <w:rFonts w:ascii="Arial" w:cs="Arial" w:eastAsia="Arial" w:hAnsi="Arial"/>
                <w:sz w:val="12"/>
                <w:szCs w:val="12"/>
                <w:color w:val="auto"/>
              </w:rPr>
              <w:t>389</w:t>
            </w:r>
            <w:r>
              <w:rPr>
                <w:rFonts w:ascii="Arial" w:cs="Arial" w:eastAsia="Arial" w:hAnsi="Arial"/>
                <w:sz w:val="12"/>
                <w:szCs w:val="12"/>
                <w:b w:val="1"/>
                <w:bCs w:val="1"/>
                <w:color w:val="auto"/>
              </w:rPr>
              <w:t>[A]</w:t>
            </w:r>
          </w:p>
        </w:tc>
        <w:tc>
          <w:tcPr>
            <w:tcW w:w="1020" w:type="dxa"/>
            <w:vAlign w:val="bottom"/>
          </w:tcPr>
          <w:p>
            <w:pPr>
              <w:jc w:val="right"/>
              <w:ind w:right="398"/>
              <w:spacing w:after="0"/>
              <w:rPr>
                <w:sz w:val="20"/>
                <w:szCs w:val="20"/>
                <w:color w:val="auto"/>
              </w:rPr>
            </w:pPr>
            <w:r>
              <w:rPr>
                <w:rFonts w:ascii="Arial" w:cs="Arial" w:eastAsia="Arial" w:hAnsi="Arial"/>
                <w:sz w:val="12"/>
                <w:szCs w:val="12"/>
                <w:color w:val="auto"/>
              </w:rPr>
              <w:t>127</w:t>
            </w:r>
          </w:p>
        </w:tc>
        <w:tc>
          <w:tcPr>
            <w:tcW w:w="6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68</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8</w:t>
            </w:r>
          </w:p>
        </w:tc>
        <w:tc>
          <w:tcPr>
            <w:tcW w:w="68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34"/>
        </w:trPr>
        <w:tc>
          <w:tcPr>
            <w:tcW w:w="4120" w:type="dxa"/>
            <w:vAlign w:val="bottom"/>
            <w:gridSpan w:val="2"/>
          </w:tcPr>
          <w:p>
            <w:pPr>
              <w:spacing w:after="0" w:line="134" w:lineRule="exact"/>
              <w:rPr>
                <w:sz w:val="20"/>
                <w:szCs w:val="20"/>
                <w:color w:val="auto"/>
              </w:rPr>
            </w:pPr>
            <w:r>
              <w:rPr>
                <w:rFonts w:ascii="Arial" w:cs="Arial" w:eastAsia="Arial" w:hAnsi="Arial"/>
                <w:sz w:val="12"/>
                <w:szCs w:val="12"/>
                <w:color w:val="auto"/>
              </w:rPr>
              <w:t>Cost of defined benefit plans</w:t>
            </w:r>
          </w:p>
        </w:tc>
        <w:tc>
          <w:tcPr>
            <w:tcW w:w="380" w:type="dxa"/>
            <w:vAlign w:val="bottom"/>
          </w:tcPr>
          <w:p>
            <w:pPr>
              <w:spacing w:after="0"/>
              <w:rPr>
                <w:sz w:val="11"/>
                <w:szCs w:val="11"/>
                <w:color w:val="auto"/>
              </w:rPr>
            </w:pPr>
          </w:p>
        </w:tc>
        <w:tc>
          <w:tcPr>
            <w:tcW w:w="66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(424)</w:t>
            </w:r>
          </w:p>
        </w:tc>
        <w:tc>
          <w:tcPr>
            <w:tcW w:w="110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319</w:t>
            </w:r>
          </w:p>
        </w:tc>
        <w:tc>
          <w:tcPr>
            <w:tcW w:w="1020" w:type="dxa"/>
            <w:vAlign w:val="bottom"/>
          </w:tcPr>
          <w:p>
            <w:pPr>
              <w:jc w:val="right"/>
              <w:ind w:right="398"/>
              <w:spacing w:after="0" w:line="134" w:lineRule="exact"/>
              <w:rPr>
                <w:sz w:val="20"/>
                <w:szCs w:val="20"/>
                <w:color w:val="auto"/>
              </w:rPr>
            </w:pPr>
            <w:r>
              <w:rPr>
                <w:rFonts w:ascii="Arial" w:cs="Arial" w:eastAsia="Arial" w:hAnsi="Arial"/>
                <w:sz w:val="12"/>
                <w:szCs w:val="12"/>
                <w:color w:val="auto"/>
              </w:rPr>
              <w:t>476</w:t>
            </w:r>
          </w:p>
        </w:tc>
        <w:tc>
          <w:tcPr>
            <w:tcW w:w="660" w:type="dxa"/>
            <w:vAlign w:val="bottom"/>
            <w:shd w:val="clear" w:color="auto" w:fill="E4E3E1"/>
          </w:tcPr>
          <w:p>
            <w:pPr>
              <w:jc w:val="right"/>
              <w:ind w:right="38"/>
              <w:spacing w:after="0" w:line="134" w:lineRule="exact"/>
              <w:rPr>
                <w:sz w:val="20"/>
                <w:szCs w:val="20"/>
                <w:color w:val="auto"/>
              </w:rPr>
            </w:pPr>
            <w:r>
              <w:rPr>
                <w:rFonts w:ascii="Arial" w:cs="Arial" w:eastAsia="Arial" w:hAnsi="Arial"/>
                <w:sz w:val="12"/>
                <w:szCs w:val="12"/>
                <w:color w:val="auto"/>
              </w:rPr>
              <w:t>289</w:t>
            </w:r>
          </w:p>
        </w:tc>
        <w:tc>
          <w:tcPr>
            <w:tcW w:w="8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221</w:t>
            </w:r>
          </w:p>
        </w:tc>
        <w:tc>
          <w:tcPr>
            <w:tcW w:w="680" w:type="dxa"/>
            <w:vAlign w:val="bottom"/>
          </w:tcPr>
          <w:p>
            <w:pPr>
              <w:jc w:val="right"/>
              <w:spacing w:after="0" w:line="134" w:lineRule="exact"/>
              <w:rPr>
                <w:sz w:val="20"/>
                <w:szCs w:val="20"/>
                <w:color w:val="auto"/>
              </w:rPr>
            </w:pPr>
            <w:r>
              <w:rPr>
                <w:rFonts w:ascii="Arial" w:cs="Arial" w:eastAsia="Arial" w:hAnsi="Arial"/>
                <w:sz w:val="12"/>
                <w:szCs w:val="12"/>
                <w:color w:val="auto"/>
              </w:rPr>
              <w:t>103</w:t>
            </w:r>
          </w:p>
        </w:tc>
      </w:tr>
      <w:tr>
        <w:trPr>
          <w:trHeight w:val="139"/>
        </w:trPr>
        <w:tc>
          <w:tcPr>
            <w:tcW w:w="4120" w:type="dxa"/>
            <w:vAlign w:val="bottom"/>
            <w:gridSpan w:val="2"/>
          </w:tcPr>
          <w:p>
            <w:pPr>
              <w:spacing w:after="0"/>
              <w:rPr>
                <w:sz w:val="20"/>
                <w:szCs w:val="20"/>
                <w:color w:val="auto"/>
              </w:rPr>
            </w:pPr>
            <w:r>
              <w:rPr>
                <w:rFonts w:ascii="Arial" w:cs="Arial" w:eastAsia="Arial" w:hAnsi="Arial"/>
                <w:sz w:val="12"/>
                <w:szCs w:val="12"/>
                <w:color w:val="auto"/>
              </w:rPr>
              <w:t>Payments to defined contribution plans</w:t>
            </w:r>
          </w:p>
        </w:tc>
        <w:tc>
          <w:tcPr>
            <w:tcW w:w="380" w:type="dxa"/>
            <w:vAlign w:val="bottom"/>
          </w:tcPr>
          <w:p>
            <w:pPr>
              <w:spacing w:after="0"/>
              <w:rPr>
                <w:sz w:val="12"/>
                <w:szCs w:val="12"/>
                <w:color w:val="auto"/>
              </w:rPr>
            </w:pPr>
          </w:p>
        </w:tc>
        <w:tc>
          <w:tcPr>
            <w:tcW w:w="6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233</w:t>
            </w:r>
          </w:p>
        </w:tc>
        <w:tc>
          <w:tcPr>
            <w:tcW w:w="1100" w:type="dxa"/>
            <w:vAlign w:val="bottom"/>
          </w:tcPr>
          <w:p>
            <w:pPr>
              <w:jc w:val="right"/>
              <w:ind w:right="298"/>
              <w:spacing w:after="0"/>
              <w:rPr>
                <w:sz w:val="20"/>
                <w:szCs w:val="20"/>
                <w:color w:val="auto"/>
              </w:rPr>
            </w:pPr>
            <w:r>
              <w:rPr>
                <w:rFonts w:ascii="Arial" w:cs="Arial" w:eastAsia="Arial" w:hAnsi="Arial"/>
                <w:sz w:val="12"/>
                <w:szCs w:val="12"/>
                <w:color w:val="auto"/>
              </w:rPr>
              <w:t>203</w:t>
            </w:r>
          </w:p>
        </w:tc>
        <w:tc>
          <w:tcPr>
            <w:tcW w:w="1020" w:type="dxa"/>
            <w:vAlign w:val="bottom"/>
          </w:tcPr>
          <w:p>
            <w:pPr>
              <w:jc w:val="right"/>
              <w:ind w:right="398"/>
              <w:spacing w:after="0"/>
              <w:rPr>
                <w:sz w:val="20"/>
                <w:szCs w:val="20"/>
                <w:color w:val="auto"/>
              </w:rPr>
            </w:pPr>
            <w:r>
              <w:rPr>
                <w:rFonts w:ascii="Arial" w:cs="Arial" w:eastAsia="Arial" w:hAnsi="Arial"/>
                <w:sz w:val="12"/>
                <w:szCs w:val="12"/>
                <w:color w:val="auto"/>
              </w:rPr>
              <w:t>189</w:t>
            </w:r>
          </w:p>
        </w:tc>
        <w:tc>
          <w:tcPr>
            <w:tcW w:w="660" w:type="dxa"/>
            <w:vAlign w:val="bottom"/>
            <w:shd w:val="clear" w:color="auto" w:fill="E4E3E1"/>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6"/>
        </w:trPr>
        <w:tc>
          <w:tcPr>
            <w:tcW w:w="20" w:type="dxa"/>
            <w:vAlign w:val="bottom"/>
          </w:tcPr>
          <w:p>
            <w:pPr>
              <w:spacing w:after="0"/>
              <w:rPr>
                <w:sz w:val="12"/>
                <w:szCs w:val="12"/>
                <w:color w:val="auto"/>
              </w:rPr>
            </w:pPr>
          </w:p>
        </w:tc>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3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(191)</w:t>
            </w:r>
          </w:p>
        </w:tc>
        <w:tc>
          <w:tcPr>
            <w:tcW w:w="11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2"/>
                <w:szCs w:val="12"/>
                <w:color w:val="auto"/>
              </w:rPr>
              <w:t>522</w:t>
            </w:r>
          </w:p>
        </w:tc>
        <w:tc>
          <w:tcPr>
            <w:tcW w:w="102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2"/>
                <w:szCs w:val="12"/>
                <w:color w:val="auto"/>
              </w:rPr>
              <w:t>665</w:t>
            </w:r>
          </w:p>
        </w:tc>
        <w:tc>
          <w:tcPr>
            <w:tcW w:w="66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289</w:t>
            </w:r>
          </w:p>
        </w:tc>
        <w:tc>
          <w:tcPr>
            <w:tcW w:w="8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221</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-819785</wp:posOffset>
            </wp:positionV>
            <wp:extent cx="3171825" cy="1778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171825" cy="177800"/>
                    </a:xfrm>
                    <a:prstGeom prst="rect">
                      <a:avLst/>
                    </a:prstGeom>
                    <a:noFill/>
                  </pic:spPr>
                </pic:pic>
              </a:graphicData>
            </a:graphic>
          </wp:anchor>
        </w:drawing>
      </w:r>
    </w:p>
    <w:p>
      <w:pPr>
        <w:spacing w:after="0" w:line="14" w:lineRule="exact"/>
        <w:rPr>
          <w:sz w:val="20"/>
          <w:szCs w:val="20"/>
          <w:color w:val="auto"/>
        </w:rPr>
      </w:pPr>
    </w:p>
    <w:p>
      <w:pPr>
        <w:ind w:left="1940"/>
        <w:spacing w:after="0"/>
        <w:rPr>
          <w:sz w:val="20"/>
          <w:szCs w:val="20"/>
          <w:color w:val="auto"/>
        </w:rPr>
      </w:pPr>
      <w:r>
        <w:rPr>
          <w:rFonts w:ascii="Arial" w:cs="Arial" w:eastAsia="Arial" w:hAnsi="Arial"/>
          <w:sz w:val="12"/>
          <w:szCs w:val="12"/>
          <w:color w:val="auto"/>
        </w:rPr>
        <w:t>[A] Comprises mainly the effect of curtailment of the plan in France and changes in plans in the USA and the UK.</w:t>
      </w:r>
    </w:p>
    <w:p>
      <w:pPr>
        <w:spacing w:after="0" w:line="89"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The cost of defined benefit plans is reported in the Consolidated Statement of Income, principally within cost of sales.</w:t>
      </w:r>
    </w:p>
    <w:p>
      <w:pPr>
        <w:spacing w:after="0" w:line="92" w:lineRule="exact"/>
        <w:rPr>
          <w:sz w:val="20"/>
          <w:szCs w:val="20"/>
          <w:color w:val="auto"/>
        </w:rPr>
      </w:pPr>
    </w:p>
    <w:p>
      <w:pPr>
        <w:ind w:left="1940" w:right="20"/>
        <w:spacing w:after="0" w:line="230" w:lineRule="auto"/>
        <w:rPr>
          <w:sz w:val="20"/>
          <w:szCs w:val="20"/>
          <w:color w:val="auto"/>
        </w:rPr>
      </w:pPr>
      <w:r>
        <w:rPr>
          <w:rFonts w:ascii="Arial" w:cs="Arial" w:eastAsia="Arial" w:hAnsi="Arial"/>
          <w:sz w:val="14"/>
          <w:szCs w:val="14"/>
          <w:color w:val="auto"/>
        </w:rPr>
        <w:t>Discount rates, projected rates of remuneration growth and expected rates of return on plan assets vary for the different plans as they are determined in the light of local conditions. Expected rates of return on plan assets are calculated using a common assumption setting process based on a projection of real long-term bond yields and an equity risk premium which are combined with local inflation assumptions and applied to each plan’s actual asset mix. The weighted averages applicable for the principal plans in Shell are:</w:t>
      </w:r>
    </w:p>
    <w:p>
      <w:pPr>
        <w:spacing w:after="0" w:line="21" w:lineRule="exact"/>
        <w:rPr>
          <w:sz w:val="20"/>
          <w:szCs w:val="20"/>
          <w:color w:val="auto"/>
        </w:rPr>
      </w:pPr>
    </w:p>
    <w:tbl>
      <w:tblPr>
        <w:tblLayout w:type="fixed"/>
        <w:tblInd w:w="194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3980" w:type="dxa"/>
            <w:vAlign w:val="bottom"/>
            <w:shd w:val="clear" w:color="auto" w:fill="7DD0E0"/>
          </w:tcPr>
          <w:p>
            <w:pPr>
              <w:spacing w:after="0"/>
              <w:rPr>
                <w:sz w:val="9"/>
                <w:szCs w:val="9"/>
                <w:color w:val="auto"/>
              </w:rPr>
            </w:pPr>
          </w:p>
        </w:tc>
        <w:tc>
          <w:tcPr>
            <w:tcW w:w="400" w:type="dxa"/>
            <w:vAlign w:val="bottom"/>
            <w:shd w:val="clear" w:color="auto" w:fill="7DD0E0"/>
          </w:tcPr>
          <w:p>
            <w:pPr>
              <w:spacing w:after="0"/>
              <w:rPr>
                <w:sz w:val="9"/>
                <w:szCs w:val="9"/>
                <w:color w:val="auto"/>
              </w:rPr>
            </w:pPr>
          </w:p>
        </w:tc>
        <w:tc>
          <w:tcPr>
            <w:tcW w:w="680" w:type="dxa"/>
            <w:vAlign w:val="bottom"/>
            <w:shd w:val="clear" w:color="auto" w:fill="7DD0E0"/>
          </w:tcPr>
          <w:p>
            <w:pPr>
              <w:spacing w:after="0"/>
              <w:rPr>
                <w:sz w:val="9"/>
                <w:szCs w:val="9"/>
                <w:color w:val="auto"/>
              </w:rPr>
            </w:pPr>
          </w:p>
        </w:tc>
        <w:tc>
          <w:tcPr>
            <w:tcW w:w="2080" w:type="dxa"/>
            <w:vAlign w:val="bottom"/>
            <w:gridSpan w:val="2"/>
            <w:shd w:val="clear" w:color="auto" w:fill="7DD0E0"/>
          </w:tcPr>
          <w:p>
            <w:pPr>
              <w:spacing w:after="0"/>
              <w:rPr>
                <w:sz w:val="9"/>
                <w:szCs w:val="9"/>
                <w:color w:val="auto"/>
              </w:rPr>
            </w:pPr>
          </w:p>
        </w:tc>
        <w:tc>
          <w:tcPr>
            <w:tcW w:w="80" w:type="dxa"/>
            <w:vAlign w:val="bottom"/>
            <w:shd w:val="clear" w:color="auto" w:fill="7DD0E0"/>
          </w:tcPr>
          <w:p>
            <w:pPr>
              <w:spacing w:after="0"/>
              <w:rPr>
                <w:sz w:val="9"/>
                <w:szCs w:val="9"/>
                <w:color w:val="auto"/>
              </w:rPr>
            </w:pPr>
          </w:p>
        </w:tc>
        <w:tc>
          <w:tcPr>
            <w:tcW w:w="560" w:type="dxa"/>
            <w:vAlign w:val="bottom"/>
            <w:shd w:val="clear" w:color="auto" w:fill="7DD0E0"/>
          </w:tcPr>
          <w:p>
            <w:pPr>
              <w:spacing w:after="0"/>
              <w:rPr>
                <w:sz w:val="9"/>
                <w:szCs w:val="9"/>
                <w:color w:val="auto"/>
              </w:rPr>
            </w:pPr>
          </w:p>
        </w:tc>
        <w:tc>
          <w:tcPr>
            <w:tcW w:w="780" w:type="dxa"/>
            <w:vAlign w:val="bottom"/>
            <w:shd w:val="clear" w:color="auto" w:fill="7DD0E0"/>
          </w:tcPr>
          <w:p>
            <w:pPr>
              <w:spacing w:after="0"/>
              <w:rPr>
                <w:sz w:val="9"/>
                <w:szCs w:val="9"/>
                <w:color w:val="auto"/>
              </w:rPr>
            </w:pPr>
          </w:p>
        </w:tc>
        <w:tc>
          <w:tcPr>
            <w:tcW w:w="900" w:type="dxa"/>
            <w:vAlign w:val="bottom"/>
            <w:shd w:val="clear" w:color="auto" w:fill="7DD0E0"/>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3980" w:type="dxa"/>
            <w:vAlign w:val="bottom"/>
            <w:shd w:val="clear" w:color="auto" w:fill="CECAC6"/>
          </w:tcPr>
          <w:p>
            <w:pPr>
              <w:spacing w:after="0"/>
              <w:rPr>
                <w:sz w:val="12"/>
                <w:szCs w:val="12"/>
                <w:color w:val="auto"/>
              </w:rPr>
            </w:pPr>
          </w:p>
        </w:tc>
        <w:tc>
          <w:tcPr>
            <w:tcW w:w="40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2080" w:type="dxa"/>
            <w:vAlign w:val="bottom"/>
            <w:gridSpan w:val="2"/>
            <w:shd w:val="clear" w:color="auto" w:fill="CECAC6"/>
          </w:tcPr>
          <w:p>
            <w:pPr>
              <w:jc w:val="right"/>
              <w:ind w:right="418"/>
              <w:spacing w:after="0"/>
              <w:rPr>
                <w:sz w:val="20"/>
                <w:szCs w:val="20"/>
                <w:color w:val="auto"/>
              </w:rPr>
            </w:pPr>
            <w:r>
              <w:rPr>
                <w:rFonts w:ascii="Arial" w:cs="Arial" w:eastAsia="Arial" w:hAnsi="Arial"/>
                <w:sz w:val="12"/>
                <w:szCs w:val="12"/>
                <w:color w:val="auto"/>
              </w:rPr>
              <w:t>Pension benefits</w:t>
            </w:r>
          </w:p>
        </w:tc>
        <w:tc>
          <w:tcPr>
            <w:tcW w:w="80" w:type="dxa"/>
            <w:vAlign w:val="bottom"/>
            <w:shd w:val="clear" w:color="auto" w:fill="CECAC6"/>
          </w:tcPr>
          <w:p>
            <w:pPr>
              <w:spacing w:after="0"/>
              <w:rPr>
                <w:sz w:val="12"/>
                <w:szCs w:val="12"/>
                <w:color w:val="auto"/>
              </w:rPr>
            </w:pPr>
          </w:p>
        </w:tc>
        <w:tc>
          <w:tcPr>
            <w:tcW w:w="56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Other benefits</w:t>
            </w:r>
          </w:p>
        </w:tc>
      </w:tr>
      <w:tr>
        <w:trPr>
          <w:trHeight w:val="139"/>
        </w:trPr>
        <w:tc>
          <w:tcPr>
            <w:tcW w:w="20" w:type="dxa"/>
            <w:vAlign w:val="bottom"/>
          </w:tcPr>
          <w:p>
            <w:pPr>
              <w:spacing w:after="0"/>
              <w:rPr>
                <w:sz w:val="12"/>
                <w:szCs w:val="12"/>
                <w:color w:val="auto"/>
              </w:rPr>
            </w:pPr>
          </w:p>
        </w:tc>
        <w:tc>
          <w:tcPr>
            <w:tcW w:w="3980" w:type="dxa"/>
            <w:vAlign w:val="bottom"/>
            <w:shd w:val="clear" w:color="auto" w:fill="CECAC6"/>
          </w:tcPr>
          <w:p>
            <w:pPr>
              <w:spacing w:after="0"/>
              <w:rPr>
                <w:sz w:val="12"/>
                <w:szCs w:val="12"/>
                <w:color w:val="auto"/>
              </w:rPr>
            </w:pPr>
          </w:p>
        </w:tc>
        <w:tc>
          <w:tcPr>
            <w:tcW w:w="108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04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2006</w:t>
            </w:r>
          </w:p>
        </w:tc>
        <w:tc>
          <w:tcPr>
            <w:tcW w:w="1040" w:type="dxa"/>
            <w:vAlign w:val="bottom"/>
            <w:shd w:val="clear" w:color="auto" w:fill="CECAC6"/>
          </w:tcPr>
          <w:p>
            <w:pPr>
              <w:jc w:val="right"/>
              <w:ind w:right="418"/>
              <w:spacing w:after="0"/>
              <w:rPr>
                <w:sz w:val="20"/>
                <w:szCs w:val="20"/>
                <w:color w:val="auto"/>
              </w:rPr>
            </w:pPr>
            <w:r>
              <w:rPr>
                <w:rFonts w:ascii="Arial" w:cs="Arial" w:eastAsia="Arial" w:hAnsi="Arial"/>
                <w:sz w:val="12"/>
                <w:szCs w:val="12"/>
                <w:color w:val="auto"/>
              </w:rPr>
              <w:t>2005</w:t>
            </w:r>
          </w:p>
        </w:tc>
        <w:tc>
          <w:tcPr>
            <w:tcW w:w="64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2006</w:t>
            </w: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2005</w:t>
            </w:r>
          </w:p>
        </w:tc>
      </w:tr>
      <w:tr>
        <w:trPr>
          <w:trHeight w:val="113"/>
        </w:trPr>
        <w:tc>
          <w:tcPr>
            <w:tcW w:w="20" w:type="dxa"/>
            <w:vAlign w:val="bottom"/>
          </w:tcPr>
          <w:p>
            <w:pPr>
              <w:spacing w:after="0"/>
              <w:rPr>
                <w:sz w:val="9"/>
                <w:szCs w:val="9"/>
                <w:color w:val="auto"/>
              </w:rPr>
            </w:pPr>
          </w:p>
        </w:tc>
        <w:tc>
          <w:tcPr>
            <w:tcW w:w="3980" w:type="dxa"/>
            <w:vAlign w:val="bottom"/>
          </w:tcPr>
          <w:p>
            <w:pPr>
              <w:spacing w:after="0" w:line="114" w:lineRule="exact"/>
              <w:rPr>
                <w:sz w:val="20"/>
                <w:szCs w:val="20"/>
                <w:color w:val="auto"/>
              </w:rPr>
            </w:pPr>
            <w:r>
              <w:rPr>
                <w:rFonts w:ascii="Arial" w:cs="Arial" w:eastAsia="Arial" w:hAnsi="Arial"/>
                <w:sz w:val="12"/>
                <w:szCs w:val="12"/>
                <w:b w:val="1"/>
                <w:bCs w:val="1"/>
                <w:color w:val="auto"/>
              </w:rPr>
              <w:t>Assumptions used to determine benefit obligations at</w:t>
            </w:r>
          </w:p>
        </w:tc>
        <w:tc>
          <w:tcPr>
            <w:tcW w:w="400" w:type="dxa"/>
            <w:vAlign w:val="bottom"/>
          </w:tcPr>
          <w:p>
            <w:pPr>
              <w:spacing w:after="0"/>
              <w:rPr>
                <w:sz w:val="9"/>
                <w:szCs w:val="9"/>
                <w:color w:val="auto"/>
              </w:rPr>
            </w:pPr>
          </w:p>
        </w:tc>
        <w:tc>
          <w:tcPr>
            <w:tcW w:w="680" w:type="dxa"/>
            <w:vAlign w:val="bottom"/>
            <w:shd w:val="clear" w:color="auto" w:fill="E4E3E1"/>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shd w:val="clear" w:color="auto" w:fill="E4E3E1"/>
          </w:tcPr>
          <w:p>
            <w:pPr>
              <w:spacing w:after="0"/>
              <w:rPr>
                <w:sz w:val="9"/>
                <w:szCs w:val="9"/>
                <w:color w:val="auto"/>
              </w:rPr>
            </w:pPr>
          </w:p>
        </w:tc>
        <w:tc>
          <w:tcPr>
            <w:tcW w:w="560" w:type="dxa"/>
            <w:vAlign w:val="bottom"/>
            <w:shd w:val="clear" w:color="auto" w:fill="E4E3E1"/>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47"/>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12"/>
                <w:szCs w:val="12"/>
                <w:color w:val="auto"/>
              </w:rPr>
            </w:pPr>
          </w:p>
        </w:tc>
        <w:tc>
          <w:tcPr>
            <w:tcW w:w="680" w:type="dxa"/>
            <w:vAlign w:val="bottom"/>
            <w:shd w:val="clear" w:color="auto" w:fill="E4E3E1"/>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shd w:val="clear" w:color="auto" w:fill="E4E3E1"/>
          </w:tcPr>
          <w:p>
            <w:pPr>
              <w:spacing w:after="0"/>
              <w:rPr>
                <w:sz w:val="12"/>
                <w:szCs w:val="12"/>
                <w:color w:val="auto"/>
              </w:rPr>
            </w:pPr>
          </w:p>
        </w:tc>
        <w:tc>
          <w:tcPr>
            <w:tcW w:w="560" w:type="dxa"/>
            <w:vAlign w:val="bottom"/>
            <w:shd w:val="clear" w:color="auto" w:fill="E4E3E1"/>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2"/>
                <w:szCs w:val="12"/>
                <w:color w:val="auto"/>
              </w:rPr>
              <w:t>Discount rate</w:t>
            </w:r>
          </w:p>
        </w:tc>
        <w:tc>
          <w:tcPr>
            <w:tcW w:w="400" w:type="dxa"/>
            <w:vAlign w:val="bottom"/>
          </w:tcPr>
          <w:p>
            <w:pPr>
              <w:spacing w:after="0"/>
              <w:rPr>
                <w:sz w:val="11"/>
                <w:szCs w:val="11"/>
                <w:color w:val="auto"/>
              </w:rPr>
            </w:pP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5.7%</w:t>
            </w:r>
          </w:p>
        </w:tc>
        <w:tc>
          <w:tcPr>
            <w:tcW w:w="10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5.0%</w:t>
            </w:r>
          </w:p>
        </w:tc>
        <w:tc>
          <w:tcPr>
            <w:tcW w:w="10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4.7%</w:t>
            </w:r>
          </w:p>
        </w:tc>
        <w:tc>
          <w:tcPr>
            <w:tcW w:w="80" w:type="dxa"/>
            <w:vAlign w:val="bottom"/>
            <w:shd w:val="clear" w:color="auto" w:fill="E4E3E1"/>
          </w:tcPr>
          <w:p>
            <w:pPr>
              <w:spacing w:after="0"/>
              <w:rPr>
                <w:sz w:val="11"/>
                <w:szCs w:val="11"/>
                <w:color w:val="auto"/>
              </w:rPr>
            </w:pPr>
          </w:p>
        </w:tc>
        <w:tc>
          <w:tcPr>
            <w:tcW w:w="5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6.0%</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5.6%</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5.4%</w:t>
            </w:r>
          </w:p>
        </w:tc>
      </w:tr>
      <w:tr>
        <w:trPr>
          <w:trHeight w:val="139"/>
        </w:trPr>
        <w:tc>
          <w:tcPr>
            <w:tcW w:w="4000" w:type="dxa"/>
            <w:vAlign w:val="bottom"/>
            <w:gridSpan w:val="2"/>
          </w:tcPr>
          <w:p>
            <w:pPr>
              <w:spacing w:after="0"/>
              <w:rPr>
                <w:sz w:val="20"/>
                <w:szCs w:val="20"/>
                <w:color w:val="auto"/>
              </w:rPr>
            </w:pPr>
            <w:r>
              <w:rPr>
                <w:rFonts w:ascii="Arial" w:cs="Arial" w:eastAsia="Arial" w:hAnsi="Arial"/>
                <w:sz w:val="12"/>
                <w:szCs w:val="12"/>
                <w:color w:val="auto"/>
              </w:rPr>
              <w:t>Projected rate of remuneration growth</w:t>
            </w:r>
          </w:p>
        </w:tc>
        <w:tc>
          <w:tcPr>
            <w:tcW w:w="400" w:type="dxa"/>
            <w:vAlign w:val="bottom"/>
          </w:tcPr>
          <w:p>
            <w:pPr>
              <w:spacing w:after="0"/>
              <w:rPr>
                <w:sz w:val="12"/>
                <w:szCs w:val="12"/>
                <w:color w:val="auto"/>
              </w:rPr>
            </w:pPr>
          </w:p>
        </w:tc>
        <w:tc>
          <w:tcPr>
            <w:tcW w:w="6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4.0%</w:t>
            </w:r>
          </w:p>
        </w:tc>
        <w:tc>
          <w:tcPr>
            <w:tcW w:w="1040" w:type="dxa"/>
            <w:vAlign w:val="bottom"/>
          </w:tcPr>
          <w:p>
            <w:pPr>
              <w:jc w:val="right"/>
              <w:ind w:right="218"/>
              <w:spacing w:after="0"/>
              <w:rPr>
                <w:sz w:val="20"/>
                <w:szCs w:val="20"/>
                <w:color w:val="auto"/>
              </w:rPr>
            </w:pPr>
            <w:r>
              <w:rPr>
                <w:rFonts w:ascii="Arial" w:cs="Arial" w:eastAsia="Arial" w:hAnsi="Arial"/>
                <w:sz w:val="12"/>
                <w:szCs w:val="12"/>
                <w:color w:val="auto"/>
              </w:rPr>
              <w:t>3.9%</w:t>
            </w:r>
          </w:p>
        </w:tc>
        <w:tc>
          <w:tcPr>
            <w:tcW w:w="1040" w:type="dxa"/>
            <w:vAlign w:val="bottom"/>
          </w:tcPr>
          <w:p>
            <w:pPr>
              <w:jc w:val="right"/>
              <w:ind w:right="418"/>
              <w:spacing w:after="0"/>
              <w:rPr>
                <w:sz w:val="20"/>
                <w:szCs w:val="20"/>
                <w:color w:val="auto"/>
              </w:rPr>
            </w:pPr>
            <w:r>
              <w:rPr>
                <w:rFonts w:ascii="Arial" w:cs="Arial" w:eastAsia="Arial" w:hAnsi="Arial"/>
                <w:sz w:val="12"/>
                <w:szCs w:val="12"/>
                <w:color w:val="auto"/>
              </w:rPr>
              <w:t>4.1%</w:t>
            </w:r>
          </w:p>
        </w:tc>
        <w:tc>
          <w:tcPr>
            <w:tcW w:w="80" w:type="dxa"/>
            <w:vAlign w:val="bottom"/>
            <w:shd w:val="clear" w:color="auto" w:fill="E4E3E1"/>
          </w:tcPr>
          <w:p>
            <w:pPr>
              <w:spacing w:after="0"/>
              <w:rPr>
                <w:sz w:val="12"/>
                <w:szCs w:val="12"/>
                <w:color w:val="auto"/>
              </w:rPr>
            </w:pPr>
          </w:p>
        </w:tc>
        <w:tc>
          <w:tcPr>
            <w:tcW w:w="560" w:type="dxa"/>
            <w:vAlign w:val="bottom"/>
            <w:shd w:val="clear" w:color="auto" w:fill="E4E3E1"/>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20"/>
        </w:trPr>
        <w:tc>
          <w:tcPr>
            <w:tcW w:w="20" w:type="dxa"/>
            <w:vAlign w:val="bottom"/>
          </w:tcPr>
          <w:p>
            <w:pPr>
              <w:spacing w:after="0"/>
              <w:rPr>
                <w:sz w:val="10"/>
                <w:szCs w:val="10"/>
                <w:color w:val="auto"/>
              </w:rPr>
            </w:pPr>
          </w:p>
        </w:tc>
        <w:tc>
          <w:tcPr>
            <w:tcW w:w="398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Assumptions used to determine benefit costs for year-ended</w:t>
            </w:r>
          </w:p>
        </w:tc>
        <w:tc>
          <w:tcPr>
            <w:tcW w:w="4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shd w:val="clear" w:color="auto" w:fill="E4E3E1"/>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80" w:type="dxa"/>
            <w:vAlign w:val="bottom"/>
            <w:tcBorders>
              <w:top w:val="single" w:sz="8" w:color="E4E3E1"/>
            </w:tcBorders>
            <w:shd w:val="clear" w:color="auto" w:fill="E4E3E1"/>
          </w:tcPr>
          <w:p>
            <w:pPr>
              <w:spacing w:after="0"/>
              <w:rPr>
                <w:sz w:val="10"/>
                <w:szCs w:val="10"/>
                <w:color w:val="auto"/>
              </w:rPr>
            </w:pPr>
          </w:p>
        </w:tc>
        <w:tc>
          <w:tcPr>
            <w:tcW w:w="560" w:type="dxa"/>
            <w:vAlign w:val="bottom"/>
            <w:tcBorders>
              <w:top w:val="single" w:sz="8" w:color="auto"/>
            </w:tcBorders>
            <w:shd w:val="clear" w:color="auto" w:fill="E4E3E1"/>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47"/>
        </w:trPr>
        <w:tc>
          <w:tcPr>
            <w:tcW w:w="4000" w:type="dxa"/>
            <w:vAlign w:val="bottom"/>
            <w:gridSpan w:val="2"/>
          </w:tcPr>
          <w:p>
            <w:pPr>
              <w:spacing w:after="0"/>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12"/>
                <w:szCs w:val="12"/>
                <w:color w:val="auto"/>
              </w:rPr>
            </w:pPr>
          </w:p>
        </w:tc>
        <w:tc>
          <w:tcPr>
            <w:tcW w:w="680" w:type="dxa"/>
            <w:vAlign w:val="bottom"/>
            <w:shd w:val="clear" w:color="auto" w:fill="E4E3E1"/>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shd w:val="clear" w:color="auto" w:fill="E4E3E1"/>
          </w:tcPr>
          <w:p>
            <w:pPr>
              <w:spacing w:after="0"/>
              <w:rPr>
                <w:sz w:val="12"/>
                <w:szCs w:val="12"/>
                <w:color w:val="auto"/>
              </w:rPr>
            </w:pPr>
          </w:p>
        </w:tc>
        <w:tc>
          <w:tcPr>
            <w:tcW w:w="560" w:type="dxa"/>
            <w:vAlign w:val="bottom"/>
            <w:shd w:val="clear" w:color="auto" w:fill="E4E3E1"/>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2"/>
                <w:szCs w:val="12"/>
                <w:color w:val="auto"/>
              </w:rPr>
              <w:t>Discount rate</w:t>
            </w:r>
          </w:p>
        </w:tc>
        <w:tc>
          <w:tcPr>
            <w:tcW w:w="400" w:type="dxa"/>
            <w:vAlign w:val="bottom"/>
          </w:tcPr>
          <w:p>
            <w:pPr>
              <w:spacing w:after="0"/>
              <w:rPr>
                <w:sz w:val="11"/>
                <w:szCs w:val="11"/>
                <w:color w:val="auto"/>
              </w:rPr>
            </w:pP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5.0%</w:t>
            </w:r>
          </w:p>
        </w:tc>
        <w:tc>
          <w:tcPr>
            <w:tcW w:w="10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4.7%</w:t>
            </w:r>
          </w:p>
        </w:tc>
        <w:tc>
          <w:tcPr>
            <w:tcW w:w="10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5.1%</w:t>
            </w:r>
          </w:p>
        </w:tc>
        <w:tc>
          <w:tcPr>
            <w:tcW w:w="80" w:type="dxa"/>
            <w:vAlign w:val="bottom"/>
            <w:shd w:val="clear" w:color="auto" w:fill="E4E3E1"/>
          </w:tcPr>
          <w:p>
            <w:pPr>
              <w:spacing w:after="0"/>
              <w:rPr>
                <w:sz w:val="11"/>
                <w:szCs w:val="11"/>
                <w:color w:val="auto"/>
              </w:rPr>
            </w:pPr>
          </w:p>
        </w:tc>
        <w:tc>
          <w:tcPr>
            <w:tcW w:w="5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5.6%</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5.4%</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5.6%</w:t>
            </w: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2"/>
                <w:szCs w:val="12"/>
                <w:color w:val="auto"/>
              </w:rPr>
              <w:t>Expected rate of return on plan assets</w:t>
            </w:r>
          </w:p>
        </w:tc>
        <w:tc>
          <w:tcPr>
            <w:tcW w:w="400" w:type="dxa"/>
            <w:vAlign w:val="bottom"/>
          </w:tcPr>
          <w:p>
            <w:pPr>
              <w:spacing w:after="0"/>
              <w:rPr>
                <w:sz w:val="11"/>
                <w:szCs w:val="11"/>
                <w:color w:val="auto"/>
              </w:rPr>
            </w:pPr>
          </w:p>
        </w:tc>
        <w:tc>
          <w:tcPr>
            <w:tcW w:w="68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7.1%</w:t>
            </w:r>
          </w:p>
        </w:tc>
        <w:tc>
          <w:tcPr>
            <w:tcW w:w="10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7.1%</w:t>
            </w:r>
          </w:p>
        </w:tc>
        <w:tc>
          <w:tcPr>
            <w:tcW w:w="10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7.1%</w:t>
            </w:r>
          </w:p>
        </w:tc>
        <w:tc>
          <w:tcPr>
            <w:tcW w:w="80" w:type="dxa"/>
            <w:vAlign w:val="bottom"/>
            <w:shd w:val="clear" w:color="auto" w:fill="E4E3E1"/>
          </w:tcPr>
          <w:p>
            <w:pPr>
              <w:spacing w:after="0"/>
              <w:rPr>
                <w:sz w:val="11"/>
                <w:szCs w:val="11"/>
                <w:color w:val="auto"/>
              </w:rPr>
            </w:pPr>
          </w:p>
        </w:tc>
        <w:tc>
          <w:tcPr>
            <w:tcW w:w="560" w:type="dxa"/>
            <w:vAlign w:val="bottom"/>
            <w:shd w:val="clear" w:color="auto" w:fill="E4E3E1"/>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9"/>
        </w:trPr>
        <w:tc>
          <w:tcPr>
            <w:tcW w:w="4000" w:type="dxa"/>
            <w:vAlign w:val="bottom"/>
            <w:gridSpan w:val="2"/>
          </w:tcPr>
          <w:p>
            <w:pPr>
              <w:spacing w:after="0"/>
              <w:rPr>
                <w:sz w:val="20"/>
                <w:szCs w:val="20"/>
                <w:color w:val="auto"/>
              </w:rPr>
            </w:pPr>
            <w:r>
              <w:rPr>
                <w:rFonts w:ascii="Arial" w:cs="Arial" w:eastAsia="Arial" w:hAnsi="Arial"/>
                <w:sz w:val="12"/>
                <w:szCs w:val="12"/>
                <w:color w:val="auto"/>
              </w:rPr>
              <w:t>Projected rate of remuneration growth</w:t>
            </w:r>
          </w:p>
        </w:tc>
        <w:tc>
          <w:tcPr>
            <w:tcW w:w="400" w:type="dxa"/>
            <w:vAlign w:val="bottom"/>
          </w:tcPr>
          <w:p>
            <w:pPr>
              <w:spacing w:after="0"/>
              <w:rPr>
                <w:sz w:val="12"/>
                <w:szCs w:val="12"/>
                <w:color w:val="auto"/>
              </w:rPr>
            </w:pPr>
          </w:p>
        </w:tc>
        <w:tc>
          <w:tcPr>
            <w:tcW w:w="6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3.9%</w:t>
            </w:r>
          </w:p>
        </w:tc>
        <w:tc>
          <w:tcPr>
            <w:tcW w:w="1040" w:type="dxa"/>
            <w:vAlign w:val="bottom"/>
          </w:tcPr>
          <w:p>
            <w:pPr>
              <w:jc w:val="right"/>
              <w:ind w:right="218"/>
              <w:spacing w:after="0"/>
              <w:rPr>
                <w:sz w:val="20"/>
                <w:szCs w:val="20"/>
                <w:color w:val="auto"/>
              </w:rPr>
            </w:pPr>
            <w:r>
              <w:rPr>
                <w:rFonts w:ascii="Arial" w:cs="Arial" w:eastAsia="Arial" w:hAnsi="Arial"/>
                <w:sz w:val="12"/>
                <w:szCs w:val="12"/>
                <w:color w:val="auto"/>
              </w:rPr>
              <w:t>4.1%</w:t>
            </w:r>
          </w:p>
        </w:tc>
        <w:tc>
          <w:tcPr>
            <w:tcW w:w="1040" w:type="dxa"/>
            <w:vAlign w:val="bottom"/>
          </w:tcPr>
          <w:p>
            <w:pPr>
              <w:jc w:val="right"/>
              <w:ind w:right="418"/>
              <w:spacing w:after="0"/>
              <w:rPr>
                <w:sz w:val="20"/>
                <w:szCs w:val="20"/>
                <w:color w:val="auto"/>
              </w:rPr>
            </w:pPr>
            <w:r>
              <w:rPr>
                <w:rFonts w:ascii="Arial" w:cs="Arial" w:eastAsia="Arial" w:hAnsi="Arial"/>
                <w:sz w:val="12"/>
                <w:szCs w:val="12"/>
                <w:color w:val="auto"/>
              </w:rPr>
              <w:t>3.8%</w:t>
            </w:r>
          </w:p>
        </w:tc>
        <w:tc>
          <w:tcPr>
            <w:tcW w:w="80" w:type="dxa"/>
            <w:vAlign w:val="bottom"/>
            <w:shd w:val="clear" w:color="auto" w:fill="E4E3E1"/>
          </w:tcPr>
          <w:p>
            <w:pPr>
              <w:spacing w:after="0"/>
              <w:rPr>
                <w:sz w:val="12"/>
                <w:szCs w:val="12"/>
                <w:color w:val="auto"/>
              </w:rPr>
            </w:pPr>
          </w:p>
        </w:tc>
        <w:tc>
          <w:tcPr>
            <w:tcW w:w="560" w:type="dxa"/>
            <w:vAlign w:val="bottom"/>
            <w:shd w:val="clear" w:color="auto" w:fill="E4E3E1"/>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3980" w:type="dxa"/>
            <w:vAlign w:val="bottom"/>
            <w:tcBorders>
              <w:top w:val="single" w:sz="8" w:color="auto"/>
            </w:tcBorders>
          </w:tcPr>
          <w:p>
            <w:pPr>
              <w:spacing w:after="0" w:line="134" w:lineRule="exact"/>
              <w:rPr>
                <w:sz w:val="20"/>
                <w:szCs w:val="20"/>
                <w:color w:val="auto"/>
              </w:rPr>
            </w:pPr>
            <w:r>
              <w:rPr>
                <w:rFonts w:ascii="Arial" w:cs="Arial" w:eastAsia="Arial" w:hAnsi="Arial"/>
                <w:sz w:val="12"/>
                <w:szCs w:val="12"/>
                <w:b w:val="1"/>
                <w:bCs w:val="1"/>
                <w:color w:val="auto"/>
              </w:rPr>
              <w:t>Healthcare cost trend rates</w:t>
            </w:r>
          </w:p>
        </w:tc>
        <w:tc>
          <w:tcPr>
            <w:tcW w:w="4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shd w:val="clear" w:color="auto" w:fill="E4E3E1"/>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80" w:type="dxa"/>
            <w:vAlign w:val="bottom"/>
            <w:tcBorders>
              <w:top w:val="single" w:sz="8" w:color="E4E3E1"/>
            </w:tcBorders>
            <w:shd w:val="clear" w:color="auto" w:fill="E4E3E1"/>
          </w:tcPr>
          <w:p>
            <w:pPr>
              <w:spacing w:after="0"/>
              <w:rPr>
                <w:sz w:val="11"/>
                <w:szCs w:val="11"/>
                <w:color w:val="auto"/>
              </w:rPr>
            </w:pPr>
          </w:p>
        </w:tc>
        <w:tc>
          <w:tcPr>
            <w:tcW w:w="560" w:type="dxa"/>
            <w:vAlign w:val="bottom"/>
            <w:tcBorders>
              <w:top w:val="single" w:sz="8" w:color="auto"/>
            </w:tcBorders>
            <w:shd w:val="clear" w:color="auto" w:fill="E4E3E1"/>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2"/>
                <w:szCs w:val="12"/>
                <w:color w:val="auto"/>
              </w:rPr>
              <w:t>Healthcare cost trend rate in year after reporting year</w:t>
            </w:r>
          </w:p>
        </w:tc>
        <w:tc>
          <w:tcPr>
            <w:tcW w:w="40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shd w:val="clear" w:color="auto" w:fill="E4E3E1"/>
          </w:tcPr>
          <w:p>
            <w:pPr>
              <w:spacing w:after="0"/>
              <w:rPr>
                <w:sz w:val="11"/>
                <w:szCs w:val="11"/>
                <w:color w:val="auto"/>
              </w:rPr>
            </w:pPr>
          </w:p>
        </w:tc>
        <w:tc>
          <w:tcPr>
            <w:tcW w:w="5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8.1%</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8.3%</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8.4%</w:t>
            </w:r>
          </w:p>
        </w:tc>
      </w:tr>
      <w:tr>
        <w:trPr>
          <w:trHeight w:val="133"/>
        </w:trPr>
        <w:tc>
          <w:tcPr>
            <w:tcW w:w="4000" w:type="dxa"/>
            <w:vAlign w:val="bottom"/>
            <w:gridSpan w:val="2"/>
          </w:tcPr>
          <w:p>
            <w:pPr>
              <w:spacing w:after="0" w:line="133" w:lineRule="exact"/>
              <w:rPr>
                <w:sz w:val="20"/>
                <w:szCs w:val="20"/>
                <w:color w:val="auto"/>
              </w:rPr>
            </w:pPr>
            <w:r>
              <w:rPr>
                <w:rFonts w:ascii="Arial" w:cs="Arial" w:eastAsia="Arial" w:hAnsi="Arial"/>
                <w:sz w:val="12"/>
                <w:szCs w:val="12"/>
                <w:color w:val="auto"/>
              </w:rPr>
              <w:t>Ultimate healthcare cost trend rate</w:t>
            </w:r>
          </w:p>
        </w:tc>
        <w:tc>
          <w:tcPr>
            <w:tcW w:w="400" w:type="dxa"/>
            <w:vAlign w:val="bottom"/>
          </w:tcPr>
          <w:p>
            <w:pPr>
              <w:spacing w:after="0"/>
              <w:rPr>
                <w:sz w:val="11"/>
                <w:szCs w:val="11"/>
                <w:color w:val="auto"/>
              </w:rPr>
            </w:pPr>
          </w:p>
        </w:tc>
        <w:tc>
          <w:tcPr>
            <w:tcW w:w="680" w:type="dxa"/>
            <w:vAlign w:val="bottom"/>
            <w:shd w:val="clear" w:color="auto" w:fill="E4E3E1"/>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shd w:val="clear" w:color="auto" w:fill="E4E3E1"/>
          </w:tcPr>
          <w:p>
            <w:pPr>
              <w:spacing w:after="0"/>
              <w:rPr>
                <w:sz w:val="11"/>
                <w:szCs w:val="11"/>
                <w:color w:val="auto"/>
              </w:rPr>
            </w:pPr>
          </w:p>
        </w:tc>
        <w:tc>
          <w:tcPr>
            <w:tcW w:w="5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4.6%</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4.7%</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4.7%</w:t>
            </w:r>
          </w:p>
        </w:tc>
      </w:tr>
      <w:tr>
        <w:trPr>
          <w:trHeight w:val="139"/>
        </w:trPr>
        <w:tc>
          <w:tcPr>
            <w:tcW w:w="4000" w:type="dxa"/>
            <w:vAlign w:val="bottom"/>
            <w:gridSpan w:val="2"/>
          </w:tcPr>
          <w:p>
            <w:pPr>
              <w:spacing w:after="0"/>
              <w:rPr>
                <w:sz w:val="20"/>
                <w:szCs w:val="20"/>
                <w:color w:val="auto"/>
              </w:rPr>
            </w:pPr>
            <w:r>
              <w:rPr>
                <w:rFonts w:ascii="Arial" w:cs="Arial" w:eastAsia="Arial" w:hAnsi="Arial"/>
                <w:sz w:val="12"/>
                <w:szCs w:val="12"/>
                <w:color w:val="auto"/>
              </w:rPr>
              <w:t>Year ultimate healthcare cost trend rate is applicable</w:t>
            </w:r>
          </w:p>
        </w:tc>
        <w:tc>
          <w:tcPr>
            <w:tcW w:w="400" w:type="dxa"/>
            <w:vAlign w:val="bottom"/>
          </w:tcPr>
          <w:p>
            <w:pPr>
              <w:spacing w:after="0"/>
              <w:rPr>
                <w:sz w:val="12"/>
                <w:szCs w:val="12"/>
                <w:color w:val="auto"/>
              </w:rPr>
            </w:pPr>
          </w:p>
        </w:tc>
        <w:tc>
          <w:tcPr>
            <w:tcW w:w="680" w:type="dxa"/>
            <w:vAlign w:val="bottom"/>
            <w:shd w:val="clear" w:color="auto" w:fill="E4E3E1"/>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shd w:val="clear" w:color="auto" w:fill="E4E3E1"/>
          </w:tcPr>
          <w:p>
            <w:pPr>
              <w:spacing w:after="0"/>
              <w:rPr>
                <w:sz w:val="12"/>
                <w:szCs w:val="12"/>
                <w:color w:val="auto"/>
              </w:rPr>
            </w:pPr>
          </w:p>
        </w:tc>
        <w:tc>
          <w:tcPr>
            <w:tcW w:w="5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2013</w:t>
            </w:r>
          </w:p>
        </w:tc>
        <w:tc>
          <w:tcPr>
            <w:tcW w:w="780" w:type="dxa"/>
            <w:vAlign w:val="bottom"/>
          </w:tcPr>
          <w:p>
            <w:pPr>
              <w:jc w:val="right"/>
              <w:spacing w:after="0"/>
              <w:rPr>
                <w:sz w:val="20"/>
                <w:szCs w:val="20"/>
                <w:color w:val="auto"/>
              </w:rPr>
            </w:pPr>
            <w:r>
              <w:rPr>
                <w:rFonts w:ascii="Arial" w:cs="Arial" w:eastAsia="Arial" w:hAnsi="Arial"/>
                <w:sz w:val="12"/>
                <w:szCs w:val="12"/>
                <w:color w:val="auto"/>
              </w:rPr>
              <w:t>2013</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2012</w:t>
            </w:r>
          </w:p>
        </w:tc>
      </w:tr>
      <w:tr>
        <w:trPr>
          <w:trHeight w:val="27"/>
        </w:trPr>
        <w:tc>
          <w:tcPr>
            <w:tcW w:w="20" w:type="dxa"/>
            <w:vAlign w:val="bottom"/>
          </w:tcPr>
          <w:p>
            <w:pPr>
              <w:spacing w:after="0"/>
              <w:rPr>
                <w:sz w:val="2"/>
                <w:szCs w:val="2"/>
                <w:color w:val="auto"/>
              </w:rPr>
            </w:pPr>
          </w:p>
        </w:tc>
        <w:tc>
          <w:tcPr>
            <w:tcW w:w="39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4013200</wp:posOffset>
            </wp:positionH>
            <wp:positionV relativeFrom="paragraph">
              <wp:posOffset>-1327150</wp:posOffset>
            </wp:positionV>
            <wp:extent cx="3239135" cy="1778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239135" cy="177800"/>
                    </a:xfrm>
                    <a:prstGeom prst="rect">
                      <a:avLst/>
                    </a:prstGeom>
                    <a:noFill/>
                  </pic:spPr>
                </pic:pic>
              </a:graphicData>
            </a:graphic>
          </wp:anchor>
        </w:drawing>
      </w:r>
    </w:p>
    <w:p>
      <w:pPr>
        <w:spacing w:after="0" w:line="81"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The effect of a one percentage point increase/(decrease) in the annual rate of increase in the assumed healthcare cost trend rates would be to increase/(decrease)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annual retirement benefit cost by approximately $27 million/($22 million) and the benefit obligation by approximately $353 million/($288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142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8170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82575" cy="817054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Borders>
              <w:right w:val="single" w:sz="8" w:color="7DD0E3"/>
            </w:tcBorders>
          </w:tcPr>
          <w:p>
            <w:pPr>
              <w:spacing w:after="0"/>
              <w:rPr>
                <w:sz w:val="20"/>
                <w:szCs w:val="20"/>
                <w:color w:val="auto"/>
              </w:rPr>
            </w:pPr>
            <w:r>
              <w:rPr>
                <w:rFonts w:ascii="Arial" w:cs="Arial" w:eastAsia="Arial" w:hAnsi="Arial"/>
                <w:sz w:val="12"/>
                <w:szCs w:val="12"/>
                <w:b w:val="1"/>
                <w:bCs w:val="1"/>
                <w:i w:val="1"/>
                <w:iCs w:val="1"/>
                <w:color w:val="7DD0E3"/>
              </w:rPr>
              <w:t>Note 21 continued</w:t>
            </w:r>
          </w:p>
        </w:tc>
        <w:tc>
          <w:tcPr>
            <w:tcW w:w="9100" w:type="dxa"/>
            <w:vAlign w:val="bottom"/>
            <w:gridSpan w:val="9"/>
          </w:tcPr>
          <w:p>
            <w:pPr>
              <w:ind w:left="120"/>
              <w:spacing w:after="0"/>
              <w:rPr>
                <w:sz w:val="20"/>
                <w:szCs w:val="20"/>
                <w:color w:val="auto"/>
              </w:rPr>
            </w:pPr>
            <w:r>
              <w:rPr>
                <w:rFonts w:ascii="Arial" w:cs="Arial" w:eastAsia="Arial" w:hAnsi="Arial"/>
                <w:sz w:val="14"/>
                <w:szCs w:val="14"/>
                <w:color w:val="auto"/>
                <w:w w:val="94"/>
              </w:rPr>
              <w:t>Demographic (including mortality) assumptions are also determined in the light of local conditions. Mortality assumptions are based on the latest available</w:t>
            </w:r>
          </w:p>
        </w:tc>
        <w:tc>
          <w:tcPr>
            <w:tcW w:w="0" w:type="dxa"/>
            <w:vAlign w:val="bottom"/>
          </w:tcPr>
          <w:p>
            <w:pPr>
              <w:spacing w:after="0"/>
              <w:rPr>
                <w:sz w:val="1"/>
                <w:szCs w:val="1"/>
                <w:color w:val="auto"/>
              </w:rPr>
            </w:pPr>
          </w:p>
        </w:tc>
      </w:tr>
      <w:tr>
        <w:trPr>
          <w:trHeight w:val="147"/>
        </w:trPr>
        <w:tc>
          <w:tcPr>
            <w:tcW w:w="1740" w:type="dxa"/>
            <w:vAlign w:val="bottom"/>
            <w:tcBorders>
              <w:right w:val="single" w:sz="8" w:color="7DD0E3"/>
            </w:tcBorders>
          </w:tcPr>
          <w:p>
            <w:pPr>
              <w:spacing w:after="0"/>
              <w:rPr>
                <w:sz w:val="12"/>
                <w:szCs w:val="12"/>
                <w:color w:val="auto"/>
              </w:rPr>
            </w:pPr>
          </w:p>
        </w:tc>
        <w:tc>
          <w:tcPr>
            <w:tcW w:w="9100" w:type="dxa"/>
            <w:vAlign w:val="bottom"/>
            <w:gridSpan w:val="9"/>
          </w:tcPr>
          <w:p>
            <w:pPr>
              <w:ind w:left="120"/>
              <w:spacing w:after="0" w:line="147" w:lineRule="exact"/>
              <w:rPr>
                <w:sz w:val="20"/>
                <w:szCs w:val="20"/>
                <w:color w:val="auto"/>
              </w:rPr>
            </w:pPr>
            <w:r>
              <w:rPr>
                <w:rFonts w:ascii="Arial" w:cs="Arial" w:eastAsia="Arial" w:hAnsi="Arial"/>
                <w:sz w:val="14"/>
                <w:szCs w:val="14"/>
                <w:color w:val="auto"/>
                <w:w w:val="98"/>
              </w:rPr>
              <w:t>standard mortality tables for the individual countries concerned, adjusted where appropriate to reflect the experience of Shell. The average total life</w:t>
            </w:r>
          </w:p>
        </w:tc>
        <w:tc>
          <w:tcPr>
            <w:tcW w:w="0" w:type="dxa"/>
            <w:vAlign w:val="bottom"/>
          </w:tcPr>
          <w:p>
            <w:pPr>
              <w:spacing w:after="0"/>
              <w:rPr>
                <w:sz w:val="1"/>
                <w:szCs w:val="1"/>
                <w:color w:val="auto"/>
              </w:rPr>
            </w:pPr>
          </w:p>
        </w:tc>
      </w:tr>
      <w:tr>
        <w:trPr>
          <w:trHeight w:val="181"/>
        </w:trPr>
        <w:tc>
          <w:tcPr>
            <w:tcW w:w="1740" w:type="dxa"/>
            <w:vAlign w:val="bottom"/>
            <w:tcBorders>
              <w:right w:val="single" w:sz="8" w:color="7DD0E3"/>
            </w:tcBorders>
          </w:tcPr>
          <w:p>
            <w:pPr>
              <w:spacing w:after="0"/>
              <w:rPr>
                <w:sz w:val="15"/>
                <w:szCs w:val="15"/>
                <w:color w:val="auto"/>
              </w:rPr>
            </w:pPr>
          </w:p>
        </w:tc>
        <w:tc>
          <w:tcPr>
            <w:tcW w:w="6240" w:type="dxa"/>
            <w:vAlign w:val="bottom"/>
            <w:gridSpan w:val="6"/>
          </w:tcPr>
          <w:p>
            <w:pPr>
              <w:ind w:left="120"/>
              <w:spacing w:after="0"/>
              <w:rPr>
                <w:sz w:val="20"/>
                <w:szCs w:val="20"/>
                <w:color w:val="auto"/>
              </w:rPr>
            </w:pPr>
            <w:r>
              <w:rPr>
                <w:rFonts w:ascii="Arial" w:cs="Arial" w:eastAsia="Arial" w:hAnsi="Arial"/>
                <w:sz w:val="14"/>
                <w:szCs w:val="14"/>
                <w:color w:val="auto"/>
              </w:rPr>
              <w:t>expectancy for males and females currently aged 60 years is, respectively, 85 years and 88 years.</w:t>
            </w: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740" w:type="dxa"/>
            <w:vAlign w:val="bottom"/>
            <w:tcBorders>
              <w:right w:val="single" w:sz="8" w:color="7DD0E3"/>
            </w:tcBorders>
          </w:tcPr>
          <w:p>
            <w:pPr>
              <w:spacing w:after="0"/>
              <w:rPr>
                <w:sz w:val="22"/>
                <w:szCs w:val="22"/>
                <w:color w:val="auto"/>
              </w:rPr>
            </w:pPr>
          </w:p>
        </w:tc>
        <w:tc>
          <w:tcPr>
            <w:tcW w:w="6240" w:type="dxa"/>
            <w:vAlign w:val="bottom"/>
            <w:gridSpan w:val="6"/>
          </w:tcPr>
          <w:p>
            <w:pPr>
              <w:ind w:left="120"/>
              <w:spacing w:after="0"/>
              <w:rPr>
                <w:sz w:val="20"/>
                <w:szCs w:val="20"/>
                <w:color w:val="auto"/>
              </w:rPr>
            </w:pPr>
            <w:r>
              <w:rPr>
                <w:rFonts w:ascii="Arial" w:cs="Arial" w:eastAsia="Arial" w:hAnsi="Arial"/>
                <w:sz w:val="14"/>
                <w:szCs w:val="14"/>
                <w:color w:val="auto"/>
                <w:w w:val="96"/>
              </w:rPr>
              <w:t>Weighted average plan asset allocations by asset category for the principal pension plans in Shell are:</w:t>
            </w:r>
          </w:p>
        </w:tc>
        <w:tc>
          <w:tcPr>
            <w:tcW w:w="10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740" w:type="dxa"/>
            <w:vAlign w:val="bottom"/>
            <w:tcBorders>
              <w:right w:val="single" w:sz="8" w:color="7DD0E3"/>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7DD0E3"/>
          </w:tcPr>
          <w:p>
            <w:pPr>
              <w:spacing w:after="0"/>
              <w:rPr>
                <w:sz w:val="11"/>
                <w:szCs w:val="11"/>
                <w:color w:val="auto"/>
              </w:rPr>
            </w:pPr>
          </w:p>
        </w:tc>
        <w:tc>
          <w:tcPr>
            <w:tcW w:w="1520" w:type="dxa"/>
            <w:vAlign w:val="bottom"/>
            <w:shd w:val="clear" w:color="auto" w:fill="7DD0E3"/>
          </w:tcPr>
          <w:p>
            <w:pPr>
              <w:spacing w:after="0"/>
              <w:rPr>
                <w:sz w:val="11"/>
                <w:szCs w:val="11"/>
                <w:color w:val="auto"/>
              </w:rPr>
            </w:pPr>
          </w:p>
        </w:tc>
        <w:tc>
          <w:tcPr>
            <w:tcW w:w="1160" w:type="dxa"/>
            <w:vAlign w:val="bottom"/>
            <w:shd w:val="clear" w:color="auto" w:fill="7DD0E3"/>
          </w:tcPr>
          <w:p>
            <w:pPr>
              <w:spacing w:after="0"/>
              <w:rPr>
                <w:sz w:val="11"/>
                <w:szCs w:val="11"/>
                <w:color w:val="auto"/>
              </w:rPr>
            </w:pPr>
          </w:p>
        </w:tc>
        <w:tc>
          <w:tcPr>
            <w:tcW w:w="1200" w:type="dxa"/>
            <w:vAlign w:val="bottom"/>
            <w:shd w:val="clear" w:color="auto" w:fill="7DD0E3"/>
          </w:tcPr>
          <w:p>
            <w:pPr>
              <w:spacing w:after="0"/>
              <w:rPr>
                <w:sz w:val="11"/>
                <w:szCs w:val="11"/>
                <w:color w:val="auto"/>
              </w:rPr>
            </w:pPr>
          </w:p>
        </w:tc>
        <w:tc>
          <w:tcPr>
            <w:tcW w:w="1080" w:type="dxa"/>
            <w:vAlign w:val="bottom"/>
            <w:shd w:val="clear" w:color="auto" w:fill="7DD0E3"/>
          </w:tcPr>
          <w:p>
            <w:pPr>
              <w:spacing w:after="0"/>
              <w:rPr>
                <w:sz w:val="11"/>
                <w:szCs w:val="11"/>
                <w:color w:val="auto"/>
              </w:rPr>
            </w:pPr>
          </w:p>
        </w:tc>
        <w:tc>
          <w:tcPr>
            <w:tcW w:w="880" w:type="dxa"/>
            <w:vAlign w:val="bottom"/>
            <w:shd w:val="clear" w:color="auto" w:fill="7DD0E3"/>
          </w:tcPr>
          <w:p>
            <w:pPr>
              <w:spacing w:after="0"/>
              <w:rPr>
                <w:sz w:val="11"/>
                <w:szCs w:val="11"/>
                <w:color w:val="auto"/>
              </w:rPr>
            </w:pPr>
          </w:p>
        </w:tc>
        <w:tc>
          <w:tcPr>
            <w:tcW w:w="900" w:type="dxa"/>
            <w:vAlign w:val="bottom"/>
            <w:shd w:val="clear" w:color="auto" w:fill="7DD0E3"/>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CECAC6"/>
          </w:tcPr>
          <w:p>
            <w:pPr>
              <w:spacing w:after="0"/>
              <w:rPr>
                <w:sz w:val="11"/>
                <w:szCs w:val="11"/>
                <w:color w:val="auto"/>
              </w:rPr>
            </w:pPr>
          </w:p>
        </w:tc>
        <w:tc>
          <w:tcPr>
            <w:tcW w:w="152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20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Target</w:t>
            </w:r>
          </w:p>
        </w:tc>
        <w:tc>
          <w:tcPr>
            <w:tcW w:w="108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90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Percentage of</w:t>
            </w:r>
          </w:p>
        </w:tc>
        <w:tc>
          <w:tcPr>
            <w:tcW w:w="0" w:type="dxa"/>
            <w:vAlign w:val="bottom"/>
          </w:tcPr>
          <w:p>
            <w:pPr>
              <w:spacing w:after="0"/>
              <w:rPr>
                <w:sz w:val="1"/>
                <w:szCs w:val="1"/>
                <w:color w:val="auto"/>
              </w:rPr>
            </w:pPr>
          </w:p>
        </w:tc>
      </w:tr>
      <w:tr>
        <w:trPr>
          <w:trHeight w:val="133"/>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CECAC6"/>
          </w:tcPr>
          <w:p>
            <w:pPr>
              <w:spacing w:after="0"/>
              <w:rPr>
                <w:sz w:val="11"/>
                <w:szCs w:val="11"/>
                <w:color w:val="auto"/>
              </w:rPr>
            </w:pPr>
          </w:p>
        </w:tc>
        <w:tc>
          <w:tcPr>
            <w:tcW w:w="152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2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allocation at</w:t>
            </w:r>
          </w:p>
        </w:tc>
        <w:tc>
          <w:tcPr>
            <w:tcW w:w="108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9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plan assets at</w:t>
            </w:r>
          </w:p>
        </w:tc>
        <w:tc>
          <w:tcPr>
            <w:tcW w:w="0" w:type="dxa"/>
            <w:vAlign w:val="bottom"/>
          </w:tcPr>
          <w:p>
            <w:pPr>
              <w:spacing w:after="0"/>
              <w:rPr>
                <w:sz w:val="1"/>
                <w:szCs w:val="1"/>
                <w:color w:val="auto"/>
              </w:rPr>
            </w:pPr>
          </w:p>
        </w:tc>
      </w:tr>
      <w:tr>
        <w:trPr>
          <w:trHeight w:val="133"/>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CECAC6"/>
          </w:tcPr>
          <w:p>
            <w:pPr>
              <w:spacing w:after="0"/>
              <w:rPr>
                <w:sz w:val="11"/>
                <w:szCs w:val="11"/>
                <w:color w:val="auto"/>
              </w:rPr>
            </w:pPr>
          </w:p>
        </w:tc>
        <w:tc>
          <w:tcPr>
            <w:tcW w:w="152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2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December 31,</w:t>
            </w:r>
          </w:p>
        </w:tc>
        <w:tc>
          <w:tcPr>
            <w:tcW w:w="108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9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9"/>
        </w:trPr>
        <w:tc>
          <w:tcPr>
            <w:tcW w:w="1740" w:type="dxa"/>
            <w:vAlign w:val="bottom"/>
            <w:tcBorders>
              <w:right w:val="single" w:sz="8" w:color="7DD0E3"/>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shd w:val="clear" w:color="auto" w:fill="CECAC6"/>
          </w:tcPr>
          <w:p>
            <w:pPr>
              <w:spacing w:after="0"/>
              <w:rPr>
                <w:sz w:val="12"/>
                <w:szCs w:val="12"/>
                <w:color w:val="auto"/>
              </w:rPr>
            </w:pPr>
          </w:p>
        </w:tc>
        <w:tc>
          <w:tcPr>
            <w:tcW w:w="1520" w:type="dxa"/>
            <w:vAlign w:val="bottom"/>
            <w:shd w:val="clear" w:color="auto" w:fill="CECAC6"/>
          </w:tcPr>
          <w:p>
            <w:pPr>
              <w:spacing w:after="0"/>
              <w:rPr>
                <w:sz w:val="12"/>
                <w:szCs w:val="12"/>
                <w:color w:val="auto"/>
              </w:rPr>
            </w:pPr>
          </w:p>
        </w:tc>
        <w:tc>
          <w:tcPr>
            <w:tcW w:w="1160" w:type="dxa"/>
            <w:vAlign w:val="bottom"/>
            <w:shd w:val="clear" w:color="auto" w:fill="CECAC6"/>
          </w:tcPr>
          <w:p>
            <w:pPr>
              <w:spacing w:after="0"/>
              <w:rPr>
                <w:sz w:val="12"/>
                <w:szCs w:val="12"/>
                <w:color w:val="auto"/>
              </w:rPr>
            </w:pPr>
          </w:p>
        </w:tc>
        <w:tc>
          <w:tcPr>
            <w:tcW w:w="12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1080" w:type="dxa"/>
            <w:vAlign w:val="bottom"/>
            <w:shd w:val="clear" w:color="auto" w:fill="CECAC6"/>
          </w:tcPr>
          <w:p>
            <w:pPr>
              <w:spacing w:after="0"/>
              <w:rPr>
                <w:sz w:val="12"/>
                <w:szCs w:val="12"/>
                <w:color w:val="auto"/>
              </w:rPr>
            </w:pPr>
          </w:p>
        </w:tc>
        <w:tc>
          <w:tcPr>
            <w:tcW w:w="8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2007</w:t>
            </w:r>
          </w:p>
        </w:tc>
        <w:tc>
          <w:tcPr>
            <w:tcW w:w="9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line="128" w:lineRule="exact"/>
              <w:rPr>
                <w:sz w:val="20"/>
                <w:szCs w:val="20"/>
                <w:color w:val="auto"/>
              </w:rPr>
            </w:pPr>
            <w:r>
              <w:rPr>
                <w:rFonts w:ascii="Arial" w:cs="Arial" w:eastAsia="Arial" w:hAnsi="Arial"/>
                <w:sz w:val="12"/>
                <w:szCs w:val="12"/>
                <w:color w:val="auto"/>
              </w:rPr>
              <w:t>Equities</w:t>
            </w:r>
          </w:p>
        </w:tc>
        <w:tc>
          <w:tcPr>
            <w:tcW w:w="1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jc w:val="right"/>
              <w:spacing w:after="0" w:line="128" w:lineRule="exact"/>
              <w:rPr>
                <w:sz w:val="20"/>
                <w:szCs w:val="20"/>
                <w:color w:val="auto"/>
              </w:rPr>
            </w:pPr>
            <w:r>
              <w:rPr>
                <w:rFonts w:ascii="Arial" w:cs="Arial" w:eastAsia="Arial" w:hAnsi="Arial"/>
                <w:sz w:val="12"/>
                <w:szCs w:val="12"/>
                <w:color w:val="auto"/>
              </w:rPr>
              <w:t>62%</w:t>
            </w:r>
          </w:p>
        </w:tc>
        <w:tc>
          <w:tcPr>
            <w:tcW w:w="1080" w:type="dxa"/>
            <w:vAlign w:val="bottom"/>
          </w:tcPr>
          <w:p>
            <w:pPr>
              <w:spacing w:after="0"/>
              <w:rPr>
                <w:sz w:val="11"/>
                <w:szCs w:val="11"/>
                <w:color w:val="auto"/>
              </w:rPr>
            </w:pPr>
          </w:p>
        </w:tc>
        <w:tc>
          <w:tcPr>
            <w:tcW w:w="88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61%</w:t>
            </w:r>
          </w:p>
        </w:tc>
        <w:tc>
          <w:tcPr>
            <w:tcW w:w="900" w:type="dxa"/>
            <w:vAlign w:val="bottom"/>
          </w:tcPr>
          <w:p>
            <w:pPr>
              <w:jc w:val="right"/>
              <w:spacing w:after="0" w:line="128" w:lineRule="exact"/>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33"/>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Debt securities</w:t>
            </w:r>
          </w:p>
        </w:tc>
        <w:tc>
          <w:tcPr>
            <w:tcW w:w="1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33%</w:t>
            </w:r>
          </w:p>
        </w:tc>
        <w:tc>
          <w:tcPr>
            <w:tcW w:w="1080" w:type="dxa"/>
            <w:vAlign w:val="bottom"/>
          </w:tcPr>
          <w:p>
            <w:pPr>
              <w:spacing w:after="0"/>
              <w:rPr>
                <w:sz w:val="11"/>
                <w:szCs w:val="11"/>
                <w:color w:val="auto"/>
              </w:rPr>
            </w:pPr>
          </w:p>
        </w:tc>
        <w:tc>
          <w:tcPr>
            <w:tcW w:w="88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33%</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133"/>
        </w:trPr>
        <w:tc>
          <w:tcPr>
            <w:tcW w:w="1740" w:type="dxa"/>
            <w:vAlign w:val="bottom"/>
            <w:tcBorders>
              <w:right w:val="single" w:sz="8" w:color="7DD0E3"/>
            </w:tcBorders>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Real estate</w:t>
            </w:r>
          </w:p>
        </w:tc>
        <w:tc>
          <w:tcPr>
            <w:tcW w:w="15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1080" w:type="dxa"/>
            <w:vAlign w:val="bottom"/>
          </w:tcPr>
          <w:p>
            <w:pPr>
              <w:spacing w:after="0"/>
              <w:rPr>
                <w:sz w:val="11"/>
                <w:szCs w:val="11"/>
                <w:color w:val="auto"/>
              </w:rPr>
            </w:pPr>
          </w:p>
        </w:tc>
        <w:tc>
          <w:tcPr>
            <w:tcW w:w="88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9"/>
        </w:trPr>
        <w:tc>
          <w:tcPr>
            <w:tcW w:w="1740" w:type="dxa"/>
            <w:vAlign w:val="bottom"/>
            <w:tcBorders>
              <w:right w:val="single" w:sz="8" w:color="7DD0E3"/>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w:t>
            </w:r>
          </w:p>
        </w:tc>
        <w:tc>
          <w:tcPr>
            <w:tcW w:w="1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10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6"/>
        </w:trPr>
        <w:tc>
          <w:tcPr>
            <w:tcW w:w="1740" w:type="dxa"/>
            <w:vAlign w:val="bottom"/>
            <w:tcBorders>
              <w:right w:val="single" w:sz="8" w:color="7DD0E3"/>
            </w:tcBorders>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5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10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48"/>
        </w:trPr>
        <w:tc>
          <w:tcPr>
            <w:tcW w:w="1740" w:type="dxa"/>
            <w:vAlign w:val="bottom"/>
            <w:tcBorders>
              <w:right w:val="single" w:sz="8" w:color="7DD0E3"/>
            </w:tcBorders>
          </w:tcPr>
          <w:p>
            <w:pPr>
              <w:spacing w:after="0"/>
              <w:rPr>
                <w:sz w:val="21"/>
                <w:szCs w:val="21"/>
                <w:color w:val="auto"/>
              </w:rPr>
            </w:pPr>
          </w:p>
        </w:tc>
        <w:tc>
          <w:tcPr>
            <w:tcW w:w="9100" w:type="dxa"/>
            <w:vAlign w:val="bottom"/>
            <w:gridSpan w:val="9"/>
          </w:tcPr>
          <w:p>
            <w:pPr>
              <w:ind w:left="120"/>
              <w:spacing w:after="0"/>
              <w:rPr>
                <w:sz w:val="20"/>
                <w:szCs w:val="20"/>
                <w:color w:val="auto"/>
              </w:rPr>
            </w:pPr>
            <w:r>
              <w:rPr>
                <w:rFonts w:ascii="Arial" w:cs="Arial" w:eastAsia="Arial" w:hAnsi="Arial"/>
                <w:sz w:val="14"/>
                <w:szCs w:val="14"/>
                <w:color w:val="auto"/>
                <w:w w:val="91"/>
              </w:rPr>
              <w:t>Plan long-term investment strategies are generally determined by the responsible Pension Fund Trustees using a structured asset liability modelling approach</w:t>
            </w:r>
          </w:p>
        </w:tc>
        <w:tc>
          <w:tcPr>
            <w:tcW w:w="0" w:type="dxa"/>
            <w:vAlign w:val="bottom"/>
          </w:tcPr>
          <w:p>
            <w:pPr>
              <w:spacing w:after="0"/>
              <w:rPr>
                <w:sz w:val="1"/>
                <w:szCs w:val="1"/>
                <w:color w:val="auto"/>
              </w:rPr>
            </w:pPr>
          </w:p>
        </w:tc>
      </w:tr>
      <w:tr>
        <w:trPr>
          <w:trHeight w:val="165"/>
        </w:trPr>
        <w:tc>
          <w:tcPr>
            <w:tcW w:w="1740" w:type="dxa"/>
            <w:vAlign w:val="bottom"/>
            <w:tcBorders>
              <w:right w:val="single" w:sz="8" w:color="7DD0E3"/>
            </w:tcBorders>
          </w:tcPr>
          <w:p>
            <w:pPr>
              <w:spacing w:after="0"/>
              <w:rPr>
                <w:sz w:val="14"/>
                <w:szCs w:val="14"/>
                <w:color w:val="auto"/>
              </w:rPr>
            </w:pPr>
          </w:p>
        </w:tc>
        <w:tc>
          <w:tcPr>
            <w:tcW w:w="8200" w:type="dxa"/>
            <w:vAlign w:val="bottom"/>
            <w:gridSpan w:val="8"/>
          </w:tcPr>
          <w:p>
            <w:pPr>
              <w:ind w:left="120"/>
              <w:spacing w:after="0"/>
              <w:rPr>
                <w:sz w:val="20"/>
                <w:szCs w:val="20"/>
                <w:color w:val="auto"/>
              </w:rPr>
            </w:pPr>
            <w:r>
              <w:rPr>
                <w:rFonts w:ascii="Arial" w:cs="Arial" w:eastAsia="Arial" w:hAnsi="Arial"/>
                <w:sz w:val="14"/>
                <w:szCs w:val="14"/>
                <w:color w:val="auto"/>
                <w:w w:val="98"/>
              </w:rPr>
              <w:t>to determine the asset mix which best meets the objectives of optimising investment return and maintaining adequate funding levels.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3"/>
        </w:trPr>
        <w:tc>
          <w:tcPr>
            <w:tcW w:w="1740" w:type="dxa"/>
            <w:vAlign w:val="bottom"/>
            <w:vMerge w:val="restart"/>
          </w:tcPr>
          <w:p>
            <w:pPr>
              <w:spacing w:after="0"/>
              <w:rPr>
                <w:sz w:val="20"/>
                <w:szCs w:val="20"/>
                <w:color w:val="auto"/>
              </w:rPr>
            </w:pPr>
            <w:r>
              <w:rPr>
                <w:rFonts w:ascii="Arial" w:cs="Arial" w:eastAsia="Arial" w:hAnsi="Arial"/>
                <w:sz w:val="18"/>
                <w:szCs w:val="18"/>
                <w:b w:val="1"/>
                <w:bCs w:val="1"/>
                <w:color w:val="7DD0E3"/>
              </w:rPr>
              <w:t>22</w:t>
            </w:r>
          </w:p>
        </w:tc>
        <w:tc>
          <w:tcPr>
            <w:tcW w:w="1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7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220" w:type="dxa"/>
            <w:vAlign w:val="bottom"/>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[A] CURRENT</w:t>
            </w:r>
          </w:p>
        </w:tc>
        <w:tc>
          <w:tcPr>
            <w:tcW w:w="1520" w:type="dxa"/>
            <w:vAlign w:val="bottom"/>
            <w:shd w:val="clear" w:color="auto" w:fill="7DD0E3"/>
          </w:tcPr>
          <w:p>
            <w:pPr>
              <w:spacing w:after="0"/>
              <w:rPr>
                <w:sz w:val="11"/>
                <w:szCs w:val="11"/>
                <w:color w:val="auto"/>
              </w:rPr>
            </w:pPr>
          </w:p>
        </w:tc>
        <w:tc>
          <w:tcPr>
            <w:tcW w:w="1160" w:type="dxa"/>
            <w:vAlign w:val="bottom"/>
            <w:shd w:val="clear" w:color="auto" w:fill="7DD0E3"/>
          </w:tcPr>
          <w:p>
            <w:pPr>
              <w:spacing w:after="0"/>
              <w:rPr>
                <w:sz w:val="11"/>
                <w:szCs w:val="11"/>
                <w:color w:val="auto"/>
              </w:rPr>
            </w:pPr>
          </w:p>
        </w:tc>
        <w:tc>
          <w:tcPr>
            <w:tcW w:w="1200" w:type="dxa"/>
            <w:vAlign w:val="bottom"/>
            <w:shd w:val="clear" w:color="auto" w:fill="7DD0E3"/>
          </w:tcPr>
          <w:p>
            <w:pPr>
              <w:spacing w:after="0"/>
              <w:rPr>
                <w:sz w:val="11"/>
                <w:szCs w:val="11"/>
                <w:color w:val="auto"/>
              </w:rPr>
            </w:pPr>
          </w:p>
        </w:tc>
        <w:tc>
          <w:tcPr>
            <w:tcW w:w="1080" w:type="dxa"/>
            <w:vAlign w:val="bottom"/>
            <w:shd w:val="clear" w:color="auto" w:fill="7DD0E3"/>
          </w:tcPr>
          <w:p>
            <w:pPr>
              <w:spacing w:after="0"/>
              <w:rPr>
                <w:sz w:val="11"/>
                <w:szCs w:val="11"/>
                <w:color w:val="auto"/>
              </w:rPr>
            </w:pPr>
          </w:p>
        </w:tc>
        <w:tc>
          <w:tcPr>
            <w:tcW w:w="880" w:type="dxa"/>
            <w:vAlign w:val="bottom"/>
            <w:shd w:val="clear" w:color="auto" w:fill="7DD0E3"/>
          </w:tcPr>
          <w:p>
            <w:pPr>
              <w:spacing w:after="0"/>
              <w:rPr>
                <w:sz w:val="11"/>
                <w:szCs w:val="11"/>
                <w:color w:val="auto"/>
              </w:rPr>
            </w:pPr>
          </w:p>
        </w:tc>
        <w:tc>
          <w:tcPr>
            <w:tcW w:w="900" w:type="dxa"/>
            <w:vAlign w:val="bottom"/>
            <w:shd w:val="clear" w:color="auto" w:fill="7DD0E3"/>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rPr>
              <w:t>OTHER PROVISIONS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CECAC6"/>
          </w:tcPr>
          <w:p>
            <w:pPr>
              <w:spacing w:after="0"/>
              <w:rPr>
                <w:sz w:val="11"/>
                <w:szCs w:val="11"/>
                <w:color w:val="auto"/>
              </w:rPr>
            </w:pPr>
          </w:p>
        </w:tc>
        <w:tc>
          <w:tcPr>
            <w:tcW w:w="1520" w:type="dxa"/>
            <w:vAlign w:val="bottom"/>
            <w:shd w:val="clear" w:color="auto" w:fill="CECAC6"/>
          </w:tcPr>
          <w:p>
            <w:pPr>
              <w:jc w:val="right"/>
              <w:ind w:right="158"/>
              <w:spacing w:after="0" w:line="128" w:lineRule="exact"/>
              <w:rPr>
                <w:sz w:val="20"/>
                <w:szCs w:val="20"/>
                <w:color w:val="auto"/>
              </w:rPr>
            </w:pPr>
            <w:r>
              <w:rPr>
                <w:rFonts w:ascii="Arial" w:cs="Arial" w:eastAsia="Arial" w:hAnsi="Arial"/>
                <w:sz w:val="12"/>
                <w:szCs w:val="12"/>
                <w:color w:val="auto"/>
              </w:rPr>
              <w:t>Decommissioning and</w:t>
            </w:r>
          </w:p>
        </w:tc>
        <w:tc>
          <w:tcPr>
            <w:tcW w:w="116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shd w:val="clear" w:color="auto" w:fill="CECAC6"/>
          </w:tcPr>
          <w:p>
            <w:pPr>
              <w:spacing w:after="0"/>
              <w:rPr>
                <w:sz w:val="12"/>
                <w:szCs w:val="12"/>
                <w:color w:val="auto"/>
              </w:rPr>
            </w:pPr>
          </w:p>
        </w:tc>
        <w:tc>
          <w:tcPr>
            <w:tcW w:w="15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restoration</w:t>
            </w:r>
          </w:p>
        </w:tc>
        <w:tc>
          <w:tcPr>
            <w:tcW w:w="116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Environmental</w:t>
            </w:r>
          </w:p>
        </w:tc>
        <w:tc>
          <w:tcPr>
            <w:tcW w:w="120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Redundancy</w:t>
            </w:r>
          </w:p>
        </w:tc>
        <w:tc>
          <w:tcPr>
            <w:tcW w:w="108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Litigation</w:t>
            </w:r>
          </w:p>
        </w:tc>
        <w:tc>
          <w:tcPr>
            <w:tcW w:w="8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Other</w:t>
            </w:r>
          </w:p>
        </w:tc>
        <w:tc>
          <w:tcPr>
            <w:tcW w:w="9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52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233</w:t>
            </w:r>
          </w:p>
        </w:tc>
        <w:tc>
          <w:tcPr>
            <w:tcW w:w="1160" w:type="dxa"/>
            <w:vAlign w:val="bottom"/>
          </w:tcPr>
          <w:p>
            <w:pPr>
              <w:jc w:val="right"/>
              <w:ind w:right="78"/>
              <w:spacing w:after="0" w:line="128" w:lineRule="exact"/>
              <w:rPr>
                <w:sz w:val="20"/>
                <w:szCs w:val="20"/>
                <w:color w:val="auto"/>
              </w:rPr>
            </w:pPr>
            <w:r>
              <w:rPr>
                <w:rFonts w:ascii="Arial" w:cs="Arial" w:eastAsia="Arial" w:hAnsi="Arial"/>
                <w:sz w:val="12"/>
                <w:szCs w:val="12"/>
                <w:color w:val="auto"/>
              </w:rPr>
              <w:t>259</w:t>
            </w:r>
          </w:p>
        </w:tc>
        <w:tc>
          <w:tcPr>
            <w:tcW w:w="120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264</w:t>
            </w:r>
          </w:p>
        </w:tc>
        <w:tc>
          <w:tcPr>
            <w:tcW w:w="10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135</w:t>
            </w:r>
          </w:p>
        </w:tc>
        <w:tc>
          <w:tcPr>
            <w:tcW w:w="88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658</w:t>
            </w:r>
          </w:p>
        </w:tc>
        <w:tc>
          <w:tcPr>
            <w:tcW w:w="9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1,549</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Additional provisions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19</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124</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18</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159</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245</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565</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Amounts charged against provisions</w:t>
            </w:r>
          </w:p>
        </w:tc>
        <w:tc>
          <w:tcPr>
            <w:tcW w:w="15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(99)</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(246)</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(113)</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(157)</w:t>
            </w:r>
          </w:p>
        </w:tc>
        <w:tc>
          <w:tcPr>
            <w:tcW w:w="8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(123)</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Reclassifications and other movements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117</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167</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(45)</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90</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327</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19</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12</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42</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89</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5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289</w:t>
            </w:r>
          </w:p>
        </w:tc>
        <w:tc>
          <w:tcPr>
            <w:tcW w:w="11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316</w:t>
            </w:r>
          </w:p>
        </w:tc>
        <w:tc>
          <w:tcPr>
            <w:tcW w:w="12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137</w:t>
            </w:r>
          </w:p>
        </w:tc>
        <w:tc>
          <w:tcPr>
            <w:tcW w:w="10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138</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912</w:t>
            </w:r>
          </w:p>
        </w:tc>
        <w:tc>
          <w:tcPr>
            <w:tcW w:w="9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1,792</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Additional provisions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88</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332</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241</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465</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1,137</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Amounts charged against provisions</w:t>
            </w:r>
          </w:p>
        </w:tc>
        <w:tc>
          <w:tcPr>
            <w:tcW w:w="15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(128)</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(165)</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(91)</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(64)</w:t>
            </w:r>
          </w:p>
        </w:tc>
        <w:tc>
          <w:tcPr>
            <w:tcW w:w="8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(231)</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(679)</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Reclassifications and other movements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201</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110</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10</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11</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81</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413</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15</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15</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10</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76</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129</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At December 31, 2007</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388</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364</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401</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336</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1,303</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2,792</w:t>
            </w:r>
          </w:p>
        </w:tc>
        <w:tc>
          <w:tcPr>
            <w:tcW w:w="0" w:type="dxa"/>
            <w:vAlign w:val="bottom"/>
          </w:tcPr>
          <w:p>
            <w:pPr>
              <w:spacing w:after="0"/>
              <w:rPr>
                <w:sz w:val="1"/>
                <w:szCs w:val="1"/>
                <w:color w:val="auto"/>
              </w:rPr>
            </w:pPr>
          </w:p>
        </w:tc>
      </w:tr>
      <w:tr>
        <w:trPr>
          <w:trHeight w:val="248"/>
        </w:trPr>
        <w:tc>
          <w:tcPr>
            <w:tcW w:w="1740" w:type="dxa"/>
            <w:vAlign w:val="bottom"/>
          </w:tcPr>
          <w:p>
            <w:pPr>
              <w:spacing w:after="0"/>
              <w:rPr>
                <w:sz w:val="21"/>
                <w:szCs w:val="21"/>
                <w:color w:val="auto"/>
              </w:rPr>
            </w:pPr>
          </w:p>
        </w:tc>
        <w:tc>
          <w:tcPr>
            <w:tcW w:w="9100" w:type="dxa"/>
            <w:vAlign w:val="bottom"/>
            <w:gridSpan w:val="9"/>
          </w:tcPr>
          <w:p>
            <w:pPr>
              <w:ind w:left="120"/>
              <w:spacing w:after="0"/>
              <w:rPr>
                <w:sz w:val="20"/>
                <w:szCs w:val="20"/>
                <w:color w:val="auto"/>
              </w:rPr>
            </w:pPr>
            <w:r>
              <w:rPr>
                <w:rFonts w:ascii="Arial" w:cs="Arial" w:eastAsia="Arial" w:hAnsi="Arial"/>
                <w:sz w:val="14"/>
                <w:szCs w:val="14"/>
                <w:color w:val="auto"/>
                <w:w w:val="95"/>
              </w:rPr>
              <w:t>Included in other provisions at December 31, 2007, are $0.2 billion (2006: $0.2 billion) relating to loyalty schemes, $0.2 billion (2006: $0.2 billion) relating</w:t>
            </w:r>
          </w:p>
        </w:tc>
        <w:tc>
          <w:tcPr>
            <w:tcW w:w="0" w:type="dxa"/>
            <w:vAlign w:val="bottom"/>
          </w:tcPr>
          <w:p>
            <w:pPr>
              <w:spacing w:after="0"/>
              <w:rPr>
                <w:sz w:val="1"/>
                <w:szCs w:val="1"/>
                <w:color w:val="auto"/>
              </w:rPr>
            </w:pPr>
          </w:p>
        </w:tc>
      </w:tr>
      <w:tr>
        <w:trPr>
          <w:trHeight w:val="181"/>
        </w:trPr>
        <w:tc>
          <w:tcPr>
            <w:tcW w:w="1740" w:type="dxa"/>
            <w:vAlign w:val="bottom"/>
          </w:tcPr>
          <w:p>
            <w:pPr>
              <w:spacing w:after="0"/>
              <w:rPr>
                <w:sz w:val="15"/>
                <w:szCs w:val="15"/>
                <w:color w:val="auto"/>
              </w:rPr>
            </w:pPr>
          </w:p>
        </w:tc>
        <w:tc>
          <w:tcPr>
            <w:tcW w:w="8200" w:type="dxa"/>
            <w:vAlign w:val="bottom"/>
            <w:gridSpan w:val="8"/>
          </w:tcPr>
          <w:p>
            <w:pPr>
              <w:ind w:left="120"/>
              <w:spacing w:after="0"/>
              <w:rPr>
                <w:sz w:val="20"/>
                <w:szCs w:val="20"/>
                <w:color w:val="auto"/>
              </w:rPr>
            </w:pPr>
            <w:r>
              <w:rPr>
                <w:rFonts w:ascii="Arial" w:cs="Arial" w:eastAsia="Arial" w:hAnsi="Arial"/>
                <w:sz w:val="14"/>
                <w:szCs w:val="14"/>
                <w:color w:val="auto"/>
                <w:w w:val="94"/>
              </w:rPr>
              <w:t>to employee end of service benefits, $0.2 billion (2006: $0.1 billion) relating to insurance and $0.2 billion (2006: nil) relating to sales taxes.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2220" w:type="dxa"/>
            <w:vAlign w:val="bottom"/>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[B] NON-CURRENT</w:t>
            </w:r>
          </w:p>
        </w:tc>
        <w:tc>
          <w:tcPr>
            <w:tcW w:w="1520" w:type="dxa"/>
            <w:vAlign w:val="bottom"/>
            <w:shd w:val="clear" w:color="auto" w:fill="7DD0E3"/>
          </w:tcPr>
          <w:p>
            <w:pPr>
              <w:spacing w:after="0"/>
              <w:rPr>
                <w:sz w:val="11"/>
                <w:szCs w:val="11"/>
                <w:color w:val="auto"/>
              </w:rPr>
            </w:pPr>
          </w:p>
        </w:tc>
        <w:tc>
          <w:tcPr>
            <w:tcW w:w="1160" w:type="dxa"/>
            <w:vAlign w:val="bottom"/>
            <w:shd w:val="clear" w:color="auto" w:fill="7DD0E3"/>
          </w:tcPr>
          <w:p>
            <w:pPr>
              <w:spacing w:after="0"/>
              <w:rPr>
                <w:sz w:val="11"/>
                <w:szCs w:val="11"/>
                <w:color w:val="auto"/>
              </w:rPr>
            </w:pPr>
          </w:p>
        </w:tc>
        <w:tc>
          <w:tcPr>
            <w:tcW w:w="1200" w:type="dxa"/>
            <w:vAlign w:val="bottom"/>
            <w:shd w:val="clear" w:color="auto" w:fill="7DD0E3"/>
          </w:tcPr>
          <w:p>
            <w:pPr>
              <w:spacing w:after="0"/>
              <w:rPr>
                <w:sz w:val="11"/>
                <w:szCs w:val="11"/>
                <w:color w:val="auto"/>
              </w:rPr>
            </w:pPr>
          </w:p>
        </w:tc>
        <w:tc>
          <w:tcPr>
            <w:tcW w:w="1080" w:type="dxa"/>
            <w:vAlign w:val="bottom"/>
            <w:shd w:val="clear" w:color="auto" w:fill="7DD0E3"/>
          </w:tcPr>
          <w:p>
            <w:pPr>
              <w:spacing w:after="0"/>
              <w:rPr>
                <w:sz w:val="11"/>
                <w:szCs w:val="11"/>
                <w:color w:val="auto"/>
              </w:rPr>
            </w:pPr>
          </w:p>
        </w:tc>
        <w:tc>
          <w:tcPr>
            <w:tcW w:w="880" w:type="dxa"/>
            <w:vAlign w:val="bottom"/>
            <w:shd w:val="clear" w:color="auto" w:fill="7DD0E3"/>
          </w:tcPr>
          <w:p>
            <w:pPr>
              <w:spacing w:after="0"/>
              <w:rPr>
                <w:sz w:val="11"/>
                <w:szCs w:val="11"/>
                <w:color w:val="auto"/>
              </w:rPr>
            </w:pPr>
          </w:p>
        </w:tc>
        <w:tc>
          <w:tcPr>
            <w:tcW w:w="900" w:type="dxa"/>
            <w:vAlign w:val="bottom"/>
            <w:shd w:val="clear" w:color="auto" w:fill="7DD0E3"/>
          </w:tcPr>
          <w:p>
            <w:pPr>
              <w:jc w:val="right"/>
              <w:ind w:right="1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shd w:val="clear" w:color="auto" w:fill="CECAC6"/>
          </w:tcPr>
          <w:p>
            <w:pPr>
              <w:spacing w:after="0"/>
              <w:rPr>
                <w:sz w:val="11"/>
                <w:szCs w:val="11"/>
                <w:color w:val="auto"/>
              </w:rPr>
            </w:pPr>
          </w:p>
        </w:tc>
        <w:tc>
          <w:tcPr>
            <w:tcW w:w="1520" w:type="dxa"/>
            <w:vAlign w:val="bottom"/>
            <w:shd w:val="clear" w:color="auto" w:fill="CECAC6"/>
          </w:tcPr>
          <w:p>
            <w:pPr>
              <w:jc w:val="right"/>
              <w:ind w:right="158"/>
              <w:spacing w:after="0" w:line="128" w:lineRule="exact"/>
              <w:rPr>
                <w:sz w:val="20"/>
                <w:szCs w:val="20"/>
                <w:color w:val="auto"/>
              </w:rPr>
            </w:pPr>
            <w:r>
              <w:rPr>
                <w:rFonts w:ascii="Arial" w:cs="Arial" w:eastAsia="Arial" w:hAnsi="Arial"/>
                <w:sz w:val="12"/>
                <w:szCs w:val="12"/>
                <w:color w:val="auto"/>
              </w:rPr>
              <w:t>Decommissioning and</w:t>
            </w:r>
          </w:p>
        </w:tc>
        <w:tc>
          <w:tcPr>
            <w:tcW w:w="116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88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shd w:val="clear" w:color="auto" w:fill="CECAC6"/>
          </w:tcPr>
          <w:p>
            <w:pPr>
              <w:spacing w:after="0"/>
              <w:rPr>
                <w:sz w:val="12"/>
                <w:szCs w:val="12"/>
                <w:color w:val="auto"/>
              </w:rPr>
            </w:pPr>
          </w:p>
        </w:tc>
        <w:tc>
          <w:tcPr>
            <w:tcW w:w="15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restoration</w:t>
            </w:r>
          </w:p>
        </w:tc>
        <w:tc>
          <w:tcPr>
            <w:tcW w:w="116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Environmental</w:t>
            </w:r>
          </w:p>
        </w:tc>
        <w:tc>
          <w:tcPr>
            <w:tcW w:w="120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Redundancy</w:t>
            </w:r>
          </w:p>
        </w:tc>
        <w:tc>
          <w:tcPr>
            <w:tcW w:w="108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Litigation</w:t>
            </w:r>
          </w:p>
        </w:tc>
        <w:tc>
          <w:tcPr>
            <w:tcW w:w="88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Other</w:t>
            </w:r>
          </w:p>
        </w:tc>
        <w:tc>
          <w:tcPr>
            <w:tcW w:w="9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52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5,692</w:t>
            </w:r>
          </w:p>
        </w:tc>
        <w:tc>
          <w:tcPr>
            <w:tcW w:w="1160" w:type="dxa"/>
            <w:vAlign w:val="bottom"/>
          </w:tcPr>
          <w:p>
            <w:pPr>
              <w:jc w:val="right"/>
              <w:ind w:right="78"/>
              <w:spacing w:after="0" w:line="128" w:lineRule="exact"/>
              <w:rPr>
                <w:sz w:val="20"/>
                <w:szCs w:val="20"/>
                <w:color w:val="auto"/>
              </w:rPr>
            </w:pPr>
            <w:r>
              <w:rPr>
                <w:rFonts w:ascii="Arial" w:cs="Arial" w:eastAsia="Arial" w:hAnsi="Arial"/>
                <w:sz w:val="12"/>
                <w:szCs w:val="12"/>
                <w:color w:val="auto"/>
              </w:rPr>
              <w:t>619</w:t>
            </w:r>
          </w:p>
        </w:tc>
        <w:tc>
          <w:tcPr>
            <w:tcW w:w="120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94</w:t>
            </w:r>
          </w:p>
        </w:tc>
        <w:tc>
          <w:tcPr>
            <w:tcW w:w="108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544</w:t>
            </w:r>
          </w:p>
        </w:tc>
        <w:tc>
          <w:tcPr>
            <w:tcW w:w="88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436</w:t>
            </w:r>
          </w:p>
        </w:tc>
        <w:tc>
          <w:tcPr>
            <w:tcW w:w="9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7,385</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Additional provisions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428</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147</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48</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599</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93</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1,315</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Amounts charged against provisions</w:t>
            </w:r>
          </w:p>
        </w:tc>
        <w:tc>
          <w:tcPr>
            <w:tcW w:w="15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(36)</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(320)</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153</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(236)</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Accretion expense</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371</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20</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26</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417</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Reclassifications and other movements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1,079</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(120)</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(31)</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(91)</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68</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905</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494</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14</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10</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41</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569</w:t>
            </w:r>
          </w:p>
        </w:tc>
        <w:tc>
          <w:tcPr>
            <w:tcW w:w="0" w:type="dxa"/>
            <w:vAlign w:val="bottom"/>
          </w:tcPr>
          <w:p>
            <w:pPr>
              <w:spacing w:after="0"/>
              <w:rPr>
                <w:sz w:val="1"/>
                <w:szCs w:val="1"/>
                <w:color w:val="auto"/>
              </w:rPr>
            </w:pPr>
          </w:p>
        </w:tc>
      </w:tr>
      <w:tr>
        <w:trPr>
          <w:trHeight w:val="134"/>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5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8,028</w:t>
            </w:r>
          </w:p>
        </w:tc>
        <w:tc>
          <w:tcPr>
            <w:tcW w:w="1160" w:type="dxa"/>
            <w:vAlign w:val="bottom"/>
          </w:tcPr>
          <w:p>
            <w:pPr>
              <w:jc w:val="right"/>
              <w:ind w:right="78"/>
              <w:spacing w:after="0" w:line="134" w:lineRule="exact"/>
              <w:rPr>
                <w:sz w:val="20"/>
                <w:szCs w:val="20"/>
                <w:color w:val="auto"/>
              </w:rPr>
            </w:pPr>
            <w:r>
              <w:rPr>
                <w:rFonts w:ascii="Arial" w:cs="Arial" w:eastAsia="Arial" w:hAnsi="Arial"/>
                <w:sz w:val="12"/>
                <w:szCs w:val="12"/>
                <w:color w:val="auto"/>
              </w:rPr>
              <w:t>651</w:t>
            </w:r>
          </w:p>
        </w:tc>
        <w:tc>
          <w:tcPr>
            <w:tcW w:w="120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117</w:t>
            </w:r>
          </w:p>
        </w:tc>
        <w:tc>
          <w:tcPr>
            <w:tcW w:w="108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742</w:t>
            </w:r>
          </w:p>
        </w:tc>
        <w:tc>
          <w:tcPr>
            <w:tcW w:w="88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817</w:t>
            </w:r>
          </w:p>
        </w:tc>
        <w:tc>
          <w:tcPr>
            <w:tcW w:w="9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10,355</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Additional provisions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97</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297</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65</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42</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177</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Amounts charged against provisions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(35)</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(6)</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w:t>
            </w:r>
          </w:p>
        </w:tc>
        <w:tc>
          <w:tcPr>
            <w:tcW w:w="8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(96)</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Accretion expense</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493</w:t>
            </w:r>
          </w:p>
        </w:tc>
        <w:tc>
          <w:tcPr>
            <w:tcW w:w="11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19</w:t>
            </w:r>
          </w:p>
        </w:tc>
        <w:tc>
          <w:tcPr>
            <w:tcW w:w="12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w:t>
            </w:r>
          </w:p>
        </w:tc>
        <w:tc>
          <w:tcPr>
            <w:tcW w:w="8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25</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540</w:t>
            </w:r>
          </w:p>
        </w:tc>
        <w:tc>
          <w:tcPr>
            <w:tcW w:w="0" w:type="dxa"/>
            <w:vAlign w:val="bottom"/>
          </w:tcPr>
          <w:p>
            <w:pPr>
              <w:spacing w:after="0"/>
              <w:rPr>
                <w:sz w:val="1"/>
                <w:szCs w:val="1"/>
                <w:color w:val="auto"/>
              </w:rPr>
            </w:pPr>
          </w:p>
        </w:tc>
      </w:tr>
      <w:tr>
        <w:trPr>
          <w:trHeight w:val="133"/>
        </w:trPr>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2"/>
          </w:tcPr>
          <w:p>
            <w:pPr>
              <w:spacing w:after="0" w:line="133" w:lineRule="exact"/>
              <w:rPr>
                <w:sz w:val="20"/>
                <w:szCs w:val="20"/>
                <w:color w:val="auto"/>
              </w:rPr>
            </w:pPr>
            <w:r>
              <w:rPr>
                <w:rFonts w:ascii="Arial" w:cs="Arial" w:eastAsia="Arial" w:hAnsi="Arial"/>
                <w:sz w:val="12"/>
                <w:szCs w:val="12"/>
                <w:color w:val="auto"/>
              </w:rPr>
              <w:t>Reclassifications and other movements</w:t>
            </w:r>
          </w:p>
        </w:tc>
        <w:tc>
          <w:tcPr>
            <w:tcW w:w="152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1,871</w:t>
            </w:r>
          </w:p>
        </w:tc>
        <w:tc>
          <w:tcPr>
            <w:tcW w:w="11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(109)</w:t>
            </w:r>
          </w:p>
        </w:tc>
        <w:tc>
          <w:tcPr>
            <w:tcW w:w="12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(33)</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w:t>
            </w:r>
          </w:p>
        </w:tc>
        <w:tc>
          <w:tcPr>
            <w:tcW w:w="8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(8)</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1,715</w:t>
            </w:r>
          </w:p>
        </w:tc>
        <w:tc>
          <w:tcPr>
            <w:tcW w:w="0" w:type="dxa"/>
            <w:vAlign w:val="bottom"/>
          </w:tcPr>
          <w:p>
            <w:pPr>
              <w:spacing w:after="0"/>
              <w:rPr>
                <w:sz w:val="1"/>
                <w:szCs w:val="1"/>
                <w:color w:val="auto"/>
              </w:rPr>
            </w:pPr>
          </w:p>
        </w:tc>
      </w:tr>
      <w:tr>
        <w:trPr>
          <w:trHeight w:val="139"/>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349</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25</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17</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14</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61</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6"/>
        </w:trPr>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At December 31, 2007</w:t>
            </w:r>
          </w:p>
        </w:tc>
        <w:tc>
          <w:tcPr>
            <w:tcW w:w="15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10,838</w:t>
            </w:r>
          </w:p>
        </w:tc>
        <w:tc>
          <w:tcPr>
            <w:tcW w:w="11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848</w:t>
            </w:r>
          </w:p>
        </w:tc>
        <w:tc>
          <w:tcPr>
            <w:tcW w:w="120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160</w:t>
            </w:r>
          </w:p>
        </w:tc>
        <w:tc>
          <w:tcPr>
            <w:tcW w:w="10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780</w:t>
            </w:r>
          </w:p>
        </w:tc>
        <w:tc>
          <w:tcPr>
            <w:tcW w:w="8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1,032</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13,658</w:t>
            </w:r>
          </w:p>
        </w:tc>
        <w:tc>
          <w:tcPr>
            <w:tcW w:w="0" w:type="dxa"/>
            <w:vAlign w:val="bottom"/>
          </w:tcPr>
          <w:p>
            <w:pPr>
              <w:spacing w:after="0"/>
              <w:rPr>
                <w:sz w:val="1"/>
                <w:szCs w:val="1"/>
                <w:color w:val="auto"/>
              </w:rPr>
            </w:pPr>
          </w:p>
        </w:tc>
      </w:tr>
      <w:tr>
        <w:trPr>
          <w:trHeight w:val="282"/>
        </w:trPr>
        <w:tc>
          <w:tcPr>
            <w:tcW w:w="1740" w:type="dxa"/>
            <w:vAlign w:val="bottom"/>
          </w:tcPr>
          <w:p>
            <w:pPr>
              <w:spacing w:after="0"/>
              <w:rPr>
                <w:sz w:val="24"/>
                <w:szCs w:val="24"/>
                <w:color w:val="auto"/>
              </w:rPr>
            </w:pPr>
          </w:p>
        </w:tc>
        <w:tc>
          <w:tcPr>
            <w:tcW w:w="9100" w:type="dxa"/>
            <w:vAlign w:val="bottom"/>
            <w:gridSpan w:val="9"/>
          </w:tcPr>
          <w:p>
            <w:pPr>
              <w:ind w:left="120"/>
              <w:spacing w:after="0"/>
              <w:rPr>
                <w:sz w:val="20"/>
                <w:szCs w:val="20"/>
                <w:color w:val="auto"/>
              </w:rPr>
            </w:pPr>
            <w:r>
              <w:rPr>
                <w:rFonts w:ascii="Arial" w:cs="Arial" w:eastAsia="Arial" w:hAnsi="Arial"/>
                <w:sz w:val="14"/>
                <w:szCs w:val="14"/>
                <w:color w:val="auto"/>
                <w:w w:val="96"/>
              </w:rPr>
              <w:t>The timing of payments related to these provisions is uncertain and is dependent on various items which are not always within management’s control.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-4576445</wp:posOffset>
            </wp:positionV>
            <wp:extent cx="8255" cy="3384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338455"/>
                    </a:xfrm>
                    <a:prstGeom prst="rect">
                      <a:avLst/>
                    </a:prstGeom>
                    <a:noFill/>
                  </pic:spPr>
                </pic:pic>
              </a:graphicData>
            </a:graphic>
          </wp:anchor>
        </w:drawing>
        <w:drawing>
          <wp:anchor simplePos="0" relativeHeight="251657728" behindDoc="1" locked="0" layoutInCell="0" allowOverlap="1">
            <wp:simplePos x="0" y="0"/>
            <wp:positionH relativeFrom="column">
              <wp:posOffset>1095375</wp:posOffset>
            </wp:positionH>
            <wp:positionV relativeFrom="paragraph">
              <wp:posOffset>-3231515</wp:posOffset>
            </wp:positionV>
            <wp:extent cx="8255" cy="37299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3729990"/>
                    </a:xfrm>
                    <a:prstGeom prst="rect">
                      <a:avLst/>
                    </a:prstGeom>
                    <a:noFill/>
                  </pic:spPr>
                </pic:pic>
              </a:graphicData>
            </a:graphic>
          </wp:anchor>
        </w:drawing>
      </w:r>
    </w:p>
    <w:p>
      <w:pPr>
        <w:spacing w:after="0" w:line="53" w:lineRule="exact"/>
        <w:rPr>
          <w:sz w:val="20"/>
          <w:szCs w:val="20"/>
          <w:color w:val="auto"/>
        </w:rPr>
      </w:pPr>
    </w:p>
    <w:p>
      <w:pPr>
        <w:ind w:left="1860" w:right="220"/>
        <w:spacing w:after="0" w:line="247" w:lineRule="auto"/>
        <w:rPr>
          <w:sz w:val="20"/>
          <w:szCs w:val="20"/>
          <w:color w:val="auto"/>
        </w:rPr>
      </w:pPr>
      <w:r>
        <w:rPr>
          <w:rFonts w:ascii="Arial" w:cs="Arial" w:eastAsia="Arial" w:hAnsi="Arial"/>
          <w:sz w:val="14"/>
          <w:szCs w:val="14"/>
          <w:color w:val="auto"/>
        </w:rPr>
        <w:t>Included in litigation provisions at December 31, 2007, is $0.5 billion (2006: $0.5 billion) in respect of a class action for alleged losses relating to the 2004 recategorisation of certain hydrocarbon reserves (see Note 32).</w:t>
      </w:r>
    </w:p>
    <w:p>
      <w:pPr>
        <w:spacing w:after="0" w:line="68" w:lineRule="exact"/>
        <w:rPr>
          <w:sz w:val="20"/>
          <w:szCs w:val="20"/>
          <w:color w:val="auto"/>
        </w:rPr>
      </w:pPr>
    </w:p>
    <w:p>
      <w:pPr>
        <w:ind w:left="1860"/>
        <w:spacing w:after="0"/>
        <w:rPr>
          <w:sz w:val="20"/>
          <w:szCs w:val="20"/>
          <w:color w:val="auto"/>
        </w:rPr>
      </w:pPr>
      <w:r>
        <w:rPr>
          <w:rFonts w:ascii="Arial" w:cs="Arial" w:eastAsia="Arial" w:hAnsi="Arial"/>
          <w:sz w:val="13"/>
          <w:szCs w:val="13"/>
          <w:color w:val="auto"/>
        </w:rPr>
        <w:t>Included in other provisions at December 31, 2007, are $0.1 billion (2006: $0.1 billion) relating to loyalty schemes, $0.3 billion (2006: $0.4 billion) relating</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to employee end of service benefits and $0.2 billion (2006: $0.2 billion) relating to onerous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1866900</wp:posOffset>
            </wp:positionV>
            <wp:extent cx="7252970"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148590</wp:posOffset>
            </wp:positionV>
            <wp:extent cx="8255" cy="29591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29591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22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23</w:t>
      </w:r>
    </w:p>
    <w:p>
      <w:pPr>
        <w:spacing w:after="0" w:line="20"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24</w:t>
      </w:r>
    </w:p>
    <w:p>
      <w:pPr>
        <w:spacing w:after="0" w:line="20" w:lineRule="exact"/>
        <w:rPr>
          <w:sz w:val="20"/>
          <w:szCs w:val="20"/>
          <w:color w:val="auto"/>
        </w:rPr>
      </w:pPr>
    </w:p>
    <w:p>
      <w:pPr>
        <w:ind w:right="100"/>
        <w:spacing w:after="0" w:line="273" w:lineRule="auto"/>
        <w:rPr>
          <w:sz w:val="20"/>
          <w:szCs w:val="20"/>
          <w:color w:val="auto"/>
        </w:rPr>
      </w:pPr>
      <w:r>
        <w:rPr>
          <w:rFonts w:ascii="Arial" w:cs="Arial" w:eastAsia="Arial" w:hAnsi="Arial"/>
          <w:sz w:val="13"/>
          <w:szCs w:val="13"/>
          <w:b w:val="1"/>
          <w:bCs w:val="1"/>
          <w:color w:val="auto"/>
        </w:rPr>
        <w:t>ACCOUNTS PAYABLE AND ACCRUED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25</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w:t>
      </w:r>
    </w:p>
    <w:p>
      <w:pPr>
        <w:spacing w:after="0" w:line="238" w:lineRule="auto"/>
        <w:rPr>
          <w:sz w:val="20"/>
          <w:szCs w:val="20"/>
          <w:color w:val="auto"/>
        </w:rPr>
      </w:pPr>
      <w:r>
        <w:rPr>
          <w:rFonts w:ascii="Arial" w:cs="Arial" w:eastAsia="Arial" w:hAnsi="Arial"/>
          <w:sz w:val="14"/>
          <w:szCs w:val="14"/>
          <w:b w:val="1"/>
          <w:bCs w:val="1"/>
          <w:color w:val="auto"/>
        </w:rPr>
        <w:t>SHARE</w:t>
      </w:r>
    </w:p>
    <w:p>
      <w:pPr>
        <w:spacing w:after="0"/>
        <w:rPr>
          <w:sz w:val="20"/>
          <w:szCs w:val="20"/>
          <w:color w:val="auto"/>
        </w:rPr>
      </w:pPr>
      <w:r>
        <w:rPr>
          <w:rFonts w:ascii="Arial" w:cs="Arial" w:eastAsia="Arial" w:hAnsi="Arial"/>
          <w:sz w:val="14"/>
          <w:szCs w:val="14"/>
          <w:b w:val="1"/>
          <w:bCs w:val="1"/>
          <w:color w:val="auto"/>
        </w:rPr>
        <w:t>CAPITAL</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ind w:right="180"/>
        <w:spacing w:after="0" w:line="235" w:lineRule="auto"/>
        <w:rPr>
          <w:sz w:val="20"/>
          <w:szCs w:val="20"/>
          <w:color w:val="auto"/>
        </w:rPr>
      </w:pPr>
      <w:r>
        <w:rPr>
          <w:rFonts w:ascii="Arial" w:cs="Arial" w:eastAsia="Arial" w:hAnsi="Arial"/>
          <w:sz w:val="14"/>
          <w:szCs w:val="14"/>
          <w:color w:val="auto"/>
        </w:rPr>
        <w:t>Reviews of the estimated provision for decommissioning and restoration were performed during 2007 and during 2006 based on current experience and techniques. This resulted in an increase of $2.3 billion in 2007 (2006: $1.1 billion) in both the provision, reported within ‘Reclassifications and other movements’, and the corresponding Property, plant and equipment assets reported within ‘Sales, retirements and other movements’ in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278130</wp:posOffset>
            </wp:positionV>
            <wp:extent cx="8255" cy="9728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97282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80" w:type="dxa"/>
            <w:vAlign w:val="bottom"/>
            <w:shd w:val="clear" w:color="auto" w:fill="7DD0E3"/>
          </w:tcPr>
          <w:p>
            <w:pPr>
              <w:spacing w:after="0"/>
              <w:rPr>
                <w:sz w:val="12"/>
                <w:szCs w:val="12"/>
                <w:color w:val="auto"/>
              </w:rPr>
            </w:pPr>
          </w:p>
        </w:tc>
        <w:tc>
          <w:tcPr>
            <w:tcW w:w="2260" w:type="dxa"/>
            <w:vAlign w:val="bottom"/>
            <w:shd w:val="clear" w:color="auto" w:fill="7DD0E3"/>
          </w:tcPr>
          <w:p>
            <w:pPr>
              <w:spacing w:after="0"/>
              <w:rPr>
                <w:sz w:val="12"/>
                <w:szCs w:val="12"/>
                <w:color w:val="auto"/>
              </w:rPr>
            </w:pPr>
          </w:p>
        </w:tc>
        <w:tc>
          <w:tcPr>
            <w:tcW w:w="540" w:type="dxa"/>
            <w:vAlign w:val="bottom"/>
            <w:shd w:val="clear" w:color="auto" w:fill="7DD0E3"/>
          </w:tcPr>
          <w:p>
            <w:pPr>
              <w:spacing w:after="0"/>
              <w:rPr>
                <w:sz w:val="12"/>
                <w:szCs w:val="12"/>
                <w:color w:val="auto"/>
              </w:rPr>
            </w:pPr>
          </w:p>
        </w:tc>
        <w:tc>
          <w:tcPr>
            <w:tcW w:w="128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5380" w:type="dxa"/>
            <w:vAlign w:val="bottom"/>
            <w:shd w:val="clear" w:color="auto" w:fill="CECAC6"/>
          </w:tcPr>
          <w:p>
            <w:pPr>
              <w:spacing w:after="0"/>
              <w:rPr>
                <w:sz w:val="11"/>
                <w:szCs w:val="11"/>
                <w:color w:val="auto"/>
              </w:rPr>
            </w:pPr>
          </w:p>
        </w:tc>
        <w:tc>
          <w:tcPr>
            <w:tcW w:w="280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2007</w:t>
            </w:r>
          </w:p>
        </w:tc>
        <w:tc>
          <w:tcPr>
            <w:tcW w:w="12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5380" w:type="dxa"/>
            <w:vAlign w:val="bottom"/>
          </w:tcPr>
          <w:p>
            <w:pPr>
              <w:spacing w:after="0" w:line="128" w:lineRule="exact"/>
              <w:rPr>
                <w:sz w:val="20"/>
                <w:szCs w:val="20"/>
                <w:color w:val="auto"/>
              </w:rPr>
            </w:pPr>
            <w:r>
              <w:rPr>
                <w:rFonts w:ascii="Arial" w:cs="Arial" w:eastAsia="Arial" w:hAnsi="Arial"/>
                <w:sz w:val="12"/>
                <w:szCs w:val="12"/>
                <w:color w:val="auto"/>
              </w:rPr>
              <w:t>Deferred income</w:t>
            </w:r>
          </w:p>
        </w:tc>
        <w:tc>
          <w:tcPr>
            <w:tcW w:w="2260" w:type="dxa"/>
            <w:vAlign w:val="bottom"/>
          </w:tcPr>
          <w:p>
            <w:pPr>
              <w:spacing w:after="0"/>
              <w:rPr>
                <w:sz w:val="11"/>
                <w:szCs w:val="11"/>
                <w:color w:val="auto"/>
              </w:rPr>
            </w:pPr>
          </w:p>
        </w:tc>
        <w:tc>
          <w:tcPr>
            <w:tcW w:w="5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696</w:t>
            </w:r>
          </w:p>
        </w:tc>
        <w:tc>
          <w:tcPr>
            <w:tcW w:w="12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1,328</w:t>
            </w:r>
          </w:p>
        </w:tc>
      </w:tr>
      <w:tr>
        <w:trPr>
          <w:trHeight w:val="133"/>
        </w:trPr>
        <w:tc>
          <w:tcPr>
            <w:tcW w:w="5400" w:type="dxa"/>
            <w:vAlign w:val="bottom"/>
            <w:gridSpan w:val="2"/>
          </w:tcPr>
          <w:p>
            <w:pPr>
              <w:spacing w:after="0" w:line="133" w:lineRule="exact"/>
              <w:rPr>
                <w:sz w:val="20"/>
                <w:szCs w:val="20"/>
                <w:color w:val="auto"/>
              </w:rPr>
            </w:pPr>
            <w:r>
              <w:rPr>
                <w:rFonts w:ascii="Arial" w:cs="Arial" w:eastAsia="Arial" w:hAnsi="Arial"/>
                <w:sz w:val="12"/>
                <w:szCs w:val="12"/>
                <w:color w:val="auto"/>
              </w:rPr>
              <w:t>Derivative contracts (see Note 26)</w:t>
            </w:r>
          </w:p>
        </w:tc>
        <w:tc>
          <w:tcPr>
            <w:tcW w:w="226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788</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646</w:t>
            </w:r>
          </w:p>
        </w:tc>
      </w:tr>
      <w:tr>
        <w:trPr>
          <w:trHeight w:val="133"/>
        </w:trPr>
        <w:tc>
          <w:tcPr>
            <w:tcW w:w="5400" w:type="dxa"/>
            <w:vAlign w:val="bottom"/>
            <w:gridSpan w:val="2"/>
          </w:tcPr>
          <w:p>
            <w:pPr>
              <w:spacing w:after="0" w:line="133" w:lineRule="exact"/>
              <w:rPr>
                <w:sz w:val="20"/>
                <w:szCs w:val="20"/>
                <w:color w:val="auto"/>
              </w:rPr>
            </w:pPr>
            <w:r>
              <w:rPr>
                <w:rFonts w:ascii="Arial" w:cs="Arial" w:eastAsia="Arial" w:hAnsi="Arial"/>
                <w:sz w:val="12"/>
                <w:szCs w:val="12"/>
                <w:color w:val="auto"/>
              </w:rPr>
              <w:t>Customer deposits</w:t>
            </w:r>
          </w:p>
        </w:tc>
        <w:tc>
          <w:tcPr>
            <w:tcW w:w="226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123</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116</w:t>
            </w:r>
          </w:p>
        </w:tc>
      </w:tr>
      <w:tr>
        <w:trPr>
          <w:trHeight w:val="133"/>
        </w:trPr>
        <w:tc>
          <w:tcPr>
            <w:tcW w:w="5400" w:type="dxa"/>
            <w:vAlign w:val="bottom"/>
            <w:gridSpan w:val="2"/>
          </w:tcPr>
          <w:p>
            <w:pPr>
              <w:spacing w:after="0" w:line="133" w:lineRule="exact"/>
              <w:rPr>
                <w:sz w:val="20"/>
                <w:szCs w:val="20"/>
                <w:color w:val="auto"/>
              </w:rPr>
            </w:pPr>
            <w:r>
              <w:rPr>
                <w:rFonts w:ascii="Arial" w:cs="Arial" w:eastAsia="Arial" w:hAnsi="Arial"/>
                <w:sz w:val="12"/>
                <w:szCs w:val="12"/>
                <w:color w:val="auto"/>
              </w:rPr>
              <w:t>Liabilities under staff benefit plans</w:t>
            </w:r>
          </w:p>
        </w:tc>
        <w:tc>
          <w:tcPr>
            <w:tcW w:w="226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432</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722</w:t>
            </w:r>
          </w:p>
        </w:tc>
      </w:tr>
      <w:tr>
        <w:trPr>
          <w:trHeight w:val="133"/>
        </w:trPr>
        <w:tc>
          <w:tcPr>
            <w:tcW w:w="5400" w:type="dxa"/>
            <w:vAlign w:val="bottom"/>
            <w:gridSpan w:val="2"/>
          </w:tcPr>
          <w:p>
            <w:pPr>
              <w:spacing w:after="0" w:line="133" w:lineRule="exact"/>
              <w:rPr>
                <w:sz w:val="20"/>
                <w:szCs w:val="20"/>
                <w:color w:val="auto"/>
              </w:rPr>
            </w:pPr>
            <w:r>
              <w:rPr>
                <w:rFonts w:ascii="Arial" w:cs="Arial" w:eastAsia="Arial" w:hAnsi="Arial"/>
                <w:sz w:val="12"/>
                <w:szCs w:val="12"/>
                <w:color w:val="auto"/>
              </w:rPr>
              <w:t>Advance payments received under long-term supply contracts</w:t>
            </w:r>
          </w:p>
        </w:tc>
        <w:tc>
          <w:tcPr>
            <w:tcW w:w="226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690</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273</w:t>
            </w:r>
          </w:p>
        </w:tc>
      </w:tr>
      <w:tr>
        <w:trPr>
          <w:trHeight w:val="139"/>
        </w:trPr>
        <w:tc>
          <w:tcPr>
            <w:tcW w:w="5400" w:type="dxa"/>
            <w:vAlign w:val="bottom"/>
            <w:gridSpan w:val="2"/>
          </w:tcPr>
          <w:p>
            <w:pPr>
              <w:spacing w:after="0"/>
              <w:rPr>
                <w:sz w:val="20"/>
                <w:szCs w:val="20"/>
                <w:color w:val="auto"/>
              </w:rPr>
            </w:pPr>
            <w:r>
              <w:rPr>
                <w:rFonts w:ascii="Arial" w:cs="Arial" w:eastAsia="Arial" w:hAnsi="Arial"/>
                <w:sz w:val="12"/>
                <w:szCs w:val="12"/>
                <w:color w:val="auto"/>
              </w:rPr>
              <w:t>Other payables</w:t>
            </w:r>
          </w:p>
        </w:tc>
        <w:tc>
          <w:tcPr>
            <w:tcW w:w="2260" w:type="dxa"/>
            <w:vAlign w:val="bottom"/>
          </w:tcPr>
          <w:p>
            <w:pPr>
              <w:spacing w:after="0"/>
              <w:rPr>
                <w:sz w:val="12"/>
                <w:szCs w:val="12"/>
                <w:color w:val="auto"/>
              </w:rPr>
            </w:pPr>
          </w:p>
        </w:tc>
        <w:tc>
          <w:tcPr>
            <w:tcW w:w="5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1,164</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1,240</w:t>
            </w:r>
          </w:p>
        </w:tc>
      </w:tr>
      <w:tr>
        <w:trPr>
          <w:trHeight w:val="146"/>
        </w:trPr>
        <w:tc>
          <w:tcPr>
            <w:tcW w:w="20" w:type="dxa"/>
            <w:vAlign w:val="bottom"/>
          </w:tcPr>
          <w:p>
            <w:pPr>
              <w:spacing w:after="0"/>
              <w:rPr>
                <w:sz w:val="12"/>
                <w:szCs w:val="12"/>
                <w:color w:val="auto"/>
              </w:rPr>
            </w:pPr>
          </w:p>
        </w:tc>
        <w:tc>
          <w:tcPr>
            <w:tcW w:w="5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2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3,893</w:t>
            </w: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4,325</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liabilities included above approximates the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290195</wp:posOffset>
            </wp:positionV>
            <wp:extent cx="8255" cy="88836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8836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940" w:type="dxa"/>
            <w:vAlign w:val="bottom"/>
            <w:shd w:val="clear" w:color="auto" w:fill="7DD0E3"/>
          </w:tcPr>
          <w:p>
            <w:pPr>
              <w:spacing w:after="0"/>
              <w:rPr>
                <w:sz w:val="12"/>
                <w:szCs w:val="12"/>
                <w:color w:val="auto"/>
              </w:rPr>
            </w:pPr>
          </w:p>
        </w:tc>
        <w:tc>
          <w:tcPr>
            <w:tcW w:w="2700" w:type="dxa"/>
            <w:vAlign w:val="bottom"/>
            <w:shd w:val="clear" w:color="auto" w:fill="7DD0E3"/>
          </w:tcPr>
          <w:p>
            <w:pPr>
              <w:spacing w:after="0"/>
              <w:rPr>
                <w:sz w:val="12"/>
                <w:szCs w:val="12"/>
                <w:color w:val="auto"/>
              </w:rPr>
            </w:pPr>
          </w:p>
        </w:tc>
        <w:tc>
          <w:tcPr>
            <w:tcW w:w="540" w:type="dxa"/>
            <w:vAlign w:val="bottom"/>
            <w:shd w:val="clear" w:color="auto" w:fill="7DD0E3"/>
          </w:tcPr>
          <w:p>
            <w:pPr>
              <w:spacing w:after="0"/>
              <w:rPr>
                <w:sz w:val="12"/>
                <w:szCs w:val="12"/>
                <w:color w:val="auto"/>
              </w:rPr>
            </w:pPr>
          </w:p>
        </w:tc>
        <w:tc>
          <w:tcPr>
            <w:tcW w:w="128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4940" w:type="dxa"/>
            <w:vAlign w:val="bottom"/>
            <w:shd w:val="clear" w:color="auto" w:fill="CECAC6"/>
          </w:tcPr>
          <w:p>
            <w:pPr>
              <w:spacing w:after="0"/>
              <w:rPr>
                <w:sz w:val="11"/>
                <w:szCs w:val="11"/>
                <w:color w:val="auto"/>
              </w:rPr>
            </w:pPr>
          </w:p>
        </w:tc>
        <w:tc>
          <w:tcPr>
            <w:tcW w:w="324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2007</w:t>
            </w:r>
          </w:p>
        </w:tc>
        <w:tc>
          <w:tcPr>
            <w:tcW w:w="12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4940" w:type="dxa"/>
            <w:vAlign w:val="bottom"/>
          </w:tcPr>
          <w:p>
            <w:pPr>
              <w:spacing w:after="0" w:line="128" w:lineRule="exact"/>
              <w:rPr>
                <w:sz w:val="20"/>
                <w:szCs w:val="20"/>
                <w:color w:val="auto"/>
              </w:rPr>
            </w:pPr>
            <w:r>
              <w:rPr>
                <w:rFonts w:ascii="Arial" w:cs="Arial" w:eastAsia="Arial" w:hAnsi="Arial"/>
                <w:sz w:val="12"/>
                <w:szCs w:val="12"/>
                <w:color w:val="auto"/>
              </w:rPr>
              <w:t>Trade payables</w:t>
            </w:r>
          </w:p>
        </w:tc>
        <w:tc>
          <w:tcPr>
            <w:tcW w:w="2700" w:type="dxa"/>
            <w:vAlign w:val="bottom"/>
          </w:tcPr>
          <w:p>
            <w:pPr>
              <w:spacing w:after="0"/>
              <w:rPr>
                <w:sz w:val="11"/>
                <w:szCs w:val="11"/>
                <w:color w:val="auto"/>
              </w:rPr>
            </w:pPr>
          </w:p>
        </w:tc>
        <w:tc>
          <w:tcPr>
            <w:tcW w:w="5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36,349</w:t>
            </w:r>
          </w:p>
        </w:tc>
        <w:tc>
          <w:tcPr>
            <w:tcW w:w="128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26,509</w:t>
            </w:r>
          </w:p>
        </w:tc>
      </w:tr>
      <w:tr>
        <w:trPr>
          <w:trHeight w:val="133"/>
        </w:trPr>
        <w:tc>
          <w:tcPr>
            <w:tcW w:w="4960" w:type="dxa"/>
            <w:vAlign w:val="bottom"/>
            <w:gridSpan w:val="2"/>
          </w:tcPr>
          <w:p>
            <w:pPr>
              <w:spacing w:after="0" w:line="133" w:lineRule="exact"/>
              <w:rPr>
                <w:sz w:val="20"/>
                <w:szCs w:val="20"/>
                <w:color w:val="auto"/>
              </w:rPr>
            </w:pPr>
            <w:r>
              <w:rPr>
                <w:rFonts w:ascii="Arial" w:cs="Arial" w:eastAsia="Arial" w:hAnsi="Arial"/>
                <w:sz w:val="12"/>
                <w:szCs w:val="12"/>
                <w:color w:val="auto"/>
              </w:rPr>
              <w:t>Derivative contracts (see Note 26)</w:t>
            </w:r>
          </w:p>
        </w:tc>
        <w:tc>
          <w:tcPr>
            <w:tcW w:w="270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19,849</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19,735</w:t>
            </w:r>
          </w:p>
        </w:tc>
      </w:tr>
      <w:tr>
        <w:trPr>
          <w:trHeight w:val="133"/>
        </w:trPr>
        <w:tc>
          <w:tcPr>
            <w:tcW w:w="4960" w:type="dxa"/>
            <w:vAlign w:val="bottom"/>
            <w:gridSpan w:val="2"/>
          </w:tcPr>
          <w:p>
            <w:pPr>
              <w:spacing w:after="0" w:line="133" w:lineRule="exact"/>
              <w:rPr>
                <w:sz w:val="20"/>
                <w:szCs w:val="20"/>
                <w:color w:val="auto"/>
              </w:rPr>
            </w:pPr>
            <w:r>
              <w:rPr>
                <w:rFonts w:ascii="Arial" w:cs="Arial" w:eastAsia="Arial" w:hAnsi="Arial"/>
                <w:sz w:val="12"/>
                <w:szCs w:val="12"/>
                <w:color w:val="auto"/>
              </w:rPr>
              <w:t>Amounts due to equity-accounted investments</w:t>
            </w:r>
          </w:p>
        </w:tc>
        <w:tc>
          <w:tcPr>
            <w:tcW w:w="270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3,614</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2,454</w:t>
            </w:r>
          </w:p>
        </w:tc>
      </w:tr>
      <w:tr>
        <w:trPr>
          <w:trHeight w:val="133"/>
        </w:trPr>
        <w:tc>
          <w:tcPr>
            <w:tcW w:w="4960" w:type="dxa"/>
            <w:vAlign w:val="bottom"/>
            <w:gridSpan w:val="2"/>
          </w:tcPr>
          <w:p>
            <w:pPr>
              <w:spacing w:after="0" w:line="133" w:lineRule="exact"/>
              <w:rPr>
                <w:sz w:val="20"/>
                <w:szCs w:val="20"/>
                <w:color w:val="auto"/>
              </w:rPr>
            </w:pPr>
            <w:r>
              <w:rPr>
                <w:rFonts w:ascii="Arial" w:cs="Arial" w:eastAsia="Arial" w:hAnsi="Arial"/>
                <w:sz w:val="12"/>
                <w:szCs w:val="12"/>
                <w:color w:val="auto"/>
              </w:rPr>
              <w:t>Accruals and deferred income</w:t>
            </w:r>
          </w:p>
        </w:tc>
        <w:tc>
          <w:tcPr>
            <w:tcW w:w="2700" w:type="dxa"/>
            <w:vAlign w:val="bottom"/>
          </w:tcPr>
          <w:p>
            <w:pPr>
              <w:spacing w:after="0"/>
              <w:rPr>
                <w:sz w:val="11"/>
                <w:szCs w:val="11"/>
                <w:color w:val="auto"/>
              </w:rPr>
            </w:pPr>
          </w:p>
        </w:tc>
        <w:tc>
          <w:tcPr>
            <w:tcW w:w="5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10,487</w:t>
            </w:r>
          </w:p>
        </w:tc>
        <w:tc>
          <w:tcPr>
            <w:tcW w:w="12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9,625</w:t>
            </w:r>
          </w:p>
        </w:tc>
      </w:tr>
      <w:tr>
        <w:trPr>
          <w:trHeight w:val="139"/>
        </w:trPr>
        <w:tc>
          <w:tcPr>
            <w:tcW w:w="4960" w:type="dxa"/>
            <w:vAlign w:val="bottom"/>
            <w:gridSpan w:val="2"/>
          </w:tcPr>
          <w:p>
            <w:pPr>
              <w:spacing w:after="0"/>
              <w:rPr>
                <w:sz w:val="20"/>
                <w:szCs w:val="20"/>
                <w:color w:val="auto"/>
              </w:rPr>
            </w:pPr>
            <w:r>
              <w:rPr>
                <w:rFonts w:ascii="Arial" w:cs="Arial" w:eastAsia="Arial" w:hAnsi="Arial"/>
                <w:sz w:val="12"/>
                <w:szCs w:val="12"/>
                <w:color w:val="auto"/>
              </w:rPr>
              <w:t>Other</w:t>
            </w:r>
          </w:p>
        </w:tc>
        <w:tc>
          <w:tcPr>
            <w:tcW w:w="2700" w:type="dxa"/>
            <w:vAlign w:val="bottom"/>
          </w:tcPr>
          <w:p>
            <w:pPr>
              <w:spacing w:after="0"/>
              <w:rPr>
                <w:sz w:val="12"/>
                <w:szCs w:val="12"/>
                <w:color w:val="auto"/>
              </w:rPr>
            </w:pPr>
          </w:p>
        </w:tc>
        <w:tc>
          <w:tcPr>
            <w:tcW w:w="5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5,398</w:t>
            </w:r>
          </w:p>
        </w:tc>
        <w:tc>
          <w:tcPr>
            <w:tcW w:w="1280" w:type="dxa"/>
            <w:vAlign w:val="bottom"/>
          </w:tcPr>
          <w:p>
            <w:pPr>
              <w:jc w:val="right"/>
              <w:ind w:right="38"/>
              <w:spacing w:after="0"/>
              <w:rPr>
                <w:sz w:val="20"/>
                <w:szCs w:val="20"/>
                <w:color w:val="auto"/>
              </w:rPr>
            </w:pPr>
            <w:r>
              <w:rPr>
                <w:rFonts w:ascii="Arial" w:cs="Arial" w:eastAsia="Arial" w:hAnsi="Arial"/>
                <w:sz w:val="12"/>
                <w:szCs w:val="12"/>
                <w:color w:val="auto"/>
              </w:rPr>
              <w:t>4,233</w:t>
            </w:r>
          </w:p>
        </w:tc>
      </w:tr>
      <w:tr>
        <w:trPr>
          <w:trHeight w:val="146"/>
        </w:trPr>
        <w:tc>
          <w:tcPr>
            <w:tcW w:w="20" w:type="dxa"/>
            <w:vAlign w:val="bottom"/>
          </w:tcPr>
          <w:p>
            <w:pPr>
              <w:spacing w:after="0"/>
              <w:rPr>
                <w:sz w:val="12"/>
                <w:szCs w:val="12"/>
                <w:color w:val="auto"/>
              </w:rPr>
            </w:pP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7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75,697</w:t>
            </w:r>
          </w:p>
        </w:tc>
        <w:tc>
          <w:tcPr>
            <w:tcW w:w="1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62,556</w:t>
            </w: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liabilities included above approximates the carrying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290195</wp:posOffset>
            </wp:positionV>
            <wp:extent cx="8255" cy="28670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286702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660" w:type="dxa"/>
            <w:vAlign w:val="bottom"/>
            <w:gridSpan w:val="2"/>
            <w:shd w:val="clear" w:color="auto" w:fill="7DD0E3"/>
          </w:tcPr>
          <w:p>
            <w:pPr>
              <w:spacing w:after="0"/>
              <w:rPr>
                <w:sz w:val="20"/>
                <w:szCs w:val="20"/>
                <w:color w:val="auto"/>
              </w:rPr>
            </w:pPr>
            <w:r>
              <w:rPr>
                <w:rFonts w:ascii="Arial" w:cs="Arial" w:eastAsia="Arial" w:hAnsi="Arial"/>
                <w:sz w:val="12"/>
                <w:szCs w:val="12"/>
                <w:b w:val="1"/>
                <w:bCs w:val="1"/>
                <w:color w:val="auto"/>
              </w:rPr>
              <w:t>AUTHORISED</w:t>
            </w:r>
          </w:p>
        </w:tc>
        <w:tc>
          <w:tcPr>
            <w:tcW w:w="1300" w:type="dxa"/>
            <w:vAlign w:val="bottom"/>
            <w:shd w:val="clear" w:color="auto" w:fill="7DD0E3"/>
          </w:tcPr>
          <w:p>
            <w:pPr>
              <w:spacing w:after="0"/>
              <w:rPr>
                <w:sz w:val="12"/>
                <w:szCs w:val="12"/>
                <w:color w:val="auto"/>
              </w:rPr>
            </w:pPr>
          </w:p>
        </w:tc>
        <w:tc>
          <w:tcPr>
            <w:tcW w:w="1260" w:type="dxa"/>
            <w:vAlign w:val="bottom"/>
            <w:shd w:val="clear" w:color="auto" w:fill="7DD0E3"/>
          </w:tcPr>
          <w:p>
            <w:pPr>
              <w:spacing w:after="0"/>
              <w:rPr>
                <w:sz w:val="12"/>
                <w:szCs w:val="12"/>
                <w:color w:val="auto"/>
              </w:rPr>
            </w:pPr>
          </w:p>
        </w:tc>
        <w:tc>
          <w:tcPr>
            <w:tcW w:w="1180" w:type="dxa"/>
            <w:vAlign w:val="bottom"/>
            <w:shd w:val="clear" w:color="auto" w:fill="7DD0E3"/>
          </w:tcPr>
          <w:p>
            <w:pPr>
              <w:spacing w:after="0"/>
              <w:rPr>
                <w:sz w:val="12"/>
                <w:szCs w:val="12"/>
                <w:color w:val="auto"/>
              </w:rPr>
            </w:pPr>
          </w:p>
        </w:tc>
        <w:tc>
          <w:tcPr>
            <w:tcW w:w="1260" w:type="dxa"/>
            <w:vAlign w:val="bottom"/>
            <w:shd w:val="clear" w:color="auto" w:fill="7DD0E3"/>
          </w:tcPr>
          <w:p>
            <w:pPr>
              <w:spacing w:after="0"/>
              <w:rPr>
                <w:sz w:val="12"/>
                <w:szCs w:val="12"/>
                <w:color w:val="auto"/>
              </w:rPr>
            </w:pPr>
          </w:p>
        </w:tc>
        <w:tc>
          <w:tcPr>
            <w:tcW w:w="1000" w:type="dxa"/>
            <w:vAlign w:val="bottom"/>
            <w:shd w:val="clear" w:color="auto" w:fill="7DD0E3"/>
          </w:tcPr>
          <w:p>
            <w:pPr>
              <w:spacing w:after="0"/>
              <w:rPr>
                <w:sz w:val="12"/>
                <w:szCs w:val="12"/>
                <w:color w:val="auto"/>
              </w:rPr>
            </w:pPr>
          </w:p>
        </w:tc>
        <w:tc>
          <w:tcPr>
            <w:tcW w:w="520" w:type="dxa"/>
            <w:vAlign w:val="bottom"/>
            <w:shd w:val="clear" w:color="auto" w:fill="7DD0E3"/>
          </w:tcPr>
          <w:p>
            <w:pPr>
              <w:spacing w:after="0"/>
              <w:rPr>
                <w:sz w:val="12"/>
                <w:szCs w:val="12"/>
                <w:color w:val="auto"/>
              </w:rPr>
            </w:pPr>
          </w:p>
        </w:tc>
        <w:tc>
          <w:tcPr>
            <w:tcW w:w="100" w:type="dxa"/>
            <w:vAlign w:val="bottom"/>
            <w:shd w:val="clear" w:color="auto" w:fill="7DD0E3"/>
          </w:tcPr>
          <w:p>
            <w:pPr>
              <w:spacing w:after="0"/>
              <w:rPr>
                <w:sz w:val="12"/>
                <w:szCs w:val="12"/>
                <w:color w:val="auto"/>
              </w:rPr>
            </w:pPr>
          </w:p>
        </w:tc>
        <w:tc>
          <w:tcPr>
            <w:tcW w:w="1180" w:type="dxa"/>
            <w:vAlign w:val="bottom"/>
            <w:shd w:val="clear" w:color="auto" w:fill="7DD0E3"/>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60" w:type="dxa"/>
            <w:vAlign w:val="bottom"/>
            <w:gridSpan w:val="2"/>
            <w:shd w:val="clear" w:color="auto" w:fill="CECAC6"/>
          </w:tcPr>
          <w:p>
            <w:pPr>
              <w:ind w:left="240"/>
              <w:spacing w:after="0" w:line="133" w:lineRule="exact"/>
              <w:rPr>
                <w:sz w:val="20"/>
                <w:szCs w:val="20"/>
                <w:color w:val="auto"/>
              </w:rPr>
            </w:pPr>
            <w:r>
              <w:rPr>
                <w:rFonts w:ascii="Arial" w:cs="Arial" w:eastAsia="Arial" w:hAnsi="Arial"/>
                <w:sz w:val="12"/>
                <w:szCs w:val="12"/>
                <w:color w:val="auto"/>
              </w:rPr>
              <w:t>Dec 31, 2007</w:t>
            </w:r>
          </w:p>
        </w:tc>
        <w:tc>
          <w:tcPr>
            <w:tcW w:w="1300" w:type="dxa"/>
            <w:vAlign w:val="bottom"/>
            <w:shd w:val="clear" w:color="auto" w:fill="CECAC6"/>
          </w:tcPr>
          <w:p>
            <w:pPr>
              <w:jc w:val="right"/>
              <w:ind w:right="318"/>
              <w:spacing w:after="0" w:line="133" w:lineRule="exact"/>
              <w:rPr>
                <w:sz w:val="20"/>
                <w:szCs w:val="20"/>
                <w:color w:val="auto"/>
              </w:rPr>
            </w:pPr>
            <w:r>
              <w:rPr>
                <w:rFonts w:ascii="Arial" w:cs="Arial" w:eastAsia="Arial" w:hAnsi="Arial"/>
                <w:sz w:val="12"/>
                <w:szCs w:val="12"/>
                <w:color w:val="auto"/>
              </w:rPr>
              <w:t>Dec 31, 2006</w:t>
            </w:r>
          </w:p>
        </w:tc>
        <w:tc>
          <w:tcPr>
            <w:tcW w:w="126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1620" w:type="dxa"/>
            <w:vAlign w:val="bottom"/>
            <w:gridSpan w:val="3"/>
            <w:shd w:val="clear" w:color="auto" w:fill="CECAC6"/>
          </w:tcPr>
          <w:p>
            <w:pPr>
              <w:ind w:left="620"/>
              <w:spacing w:after="0" w:line="133" w:lineRule="exact"/>
              <w:rPr>
                <w:sz w:val="20"/>
                <w:szCs w:val="20"/>
                <w:color w:val="auto"/>
              </w:rPr>
            </w:pPr>
            <w:r>
              <w:rPr>
                <w:rFonts w:ascii="Arial" w:cs="Arial" w:eastAsia="Arial" w:hAnsi="Arial"/>
                <w:sz w:val="12"/>
                <w:szCs w:val="12"/>
                <w:color w:val="auto"/>
              </w:rPr>
              <w:t>Dec 31, 2007</w:t>
            </w:r>
            <w:r>
              <w:rPr>
                <w:rFonts w:ascii="Arial" w:cs="Arial" w:eastAsia="Arial" w:hAnsi="Arial"/>
                <w:sz w:val="12"/>
                <w:szCs w:val="12"/>
                <w:b w:val="1"/>
                <w:bCs w:val="1"/>
                <w:color w:val="auto"/>
              </w:rPr>
              <w:t>[A]</w:t>
            </w:r>
          </w:p>
        </w:tc>
        <w:tc>
          <w:tcPr>
            <w:tcW w:w="11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Dec 31, 2006</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00" w:type="dxa"/>
            <w:vAlign w:val="bottom"/>
            <w:shd w:val="clear" w:color="auto" w:fill="E4E3E1"/>
          </w:tcPr>
          <w:p>
            <w:pPr>
              <w:jc w:val="right"/>
              <w:ind w:right="158"/>
              <w:spacing w:after="0" w:line="120" w:lineRule="exact"/>
              <w:rPr>
                <w:sz w:val="20"/>
                <w:szCs w:val="20"/>
                <w:color w:val="auto"/>
              </w:rPr>
            </w:pPr>
            <w:r>
              <w:rPr>
                <w:rFonts w:ascii="Arial" w:cs="Arial" w:eastAsia="Arial" w:hAnsi="Arial"/>
                <w:sz w:val="12"/>
                <w:szCs w:val="12"/>
                <w:color w:val="auto"/>
              </w:rPr>
              <w:t>4,077,359,886</w:t>
            </w:r>
          </w:p>
        </w:tc>
        <w:tc>
          <w:tcPr>
            <w:tcW w:w="460" w:type="dxa"/>
            <w:vAlign w:val="bottom"/>
          </w:tcPr>
          <w:p>
            <w:pPr>
              <w:spacing w:after="0"/>
              <w:rPr>
                <w:sz w:val="10"/>
                <w:szCs w:val="10"/>
                <w:color w:val="auto"/>
              </w:rPr>
            </w:pPr>
          </w:p>
        </w:tc>
        <w:tc>
          <w:tcPr>
            <w:tcW w:w="1300" w:type="dxa"/>
            <w:vAlign w:val="bottom"/>
          </w:tcPr>
          <w:p>
            <w:pPr>
              <w:jc w:val="right"/>
              <w:ind w:right="318"/>
              <w:spacing w:after="0" w:line="120" w:lineRule="exact"/>
              <w:rPr>
                <w:sz w:val="20"/>
                <w:szCs w:val="20"/>
                <w:color w:val="auto"/>
              </w:rPr>
            </w:pPr>
            <w:r>
              <w:rPr>
                <w:rFonts w:ascii="Arial" w:cs="Arial" w:eastAsia="Arial" w:hAnsi="Arial"/>
                <w:sz w:val="12"/>
                <w:szCs w:val="12"/>
                <w:color w:val="auto"/>
              </w:rPr>
              <w:t>4,077,359,886</w:t>
            </w:r>
          </w:p>
        </w:tc>
        <w:tc>
          <w:tcPr>
            <w:tcW w:w="2440" w:type="dxa"/>
            <w:vAlign w:val="bottom"/>
            <w:gridSpan w:val="2"/>
          </w:tcPr>
          <w:p>
            <w:pPr>
              <w:ind w:left="180"/>
              <w:spacing w:after="0" w:line="120" w:lineRule="exact"/>
              <w:rPr>
                <w:sz w:val="20"/>
                <w:szCs w:val="20"/>
                <w:color w:val="auto"/>
              </w:rPr>
            </w:pPr>
            <w:r>
              <w:rPr>
                <w:rFonts w:ascii="Arial" w:cs="Arial" w:eastAsia="Arial" w:hAnsi="Arial"/>
                <w:sz w:val="12"/>
                <w:szCs w:val="12"/>
                <w:color w:val="auto"/>
              </w:rPr>
              <w:t>Class A shares of €0.07 each</w:t>
            </w: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rPr>
              <w:t>€285</w:t>
            </w:r>
          </w:p>
        </w:tc>
        <w:tc>
          <w:tcPr>
            <w:tcW w:w="100" w:type="dxa"/>
            <w:vAlign w:val="bottom"/>
          </w:tcPr>
          <w:p>
            <w:pPr>
              <w:spacing w:after="0"/>
              <w:rPr>
                <w:sz w:val="10"/>
                <w:szCs w:val="10"/>
                <w:color w:val="auto"/>
              </w:rPr>
            </w:pPr>
          </w:p>
        </w:tc>
        <w:tc>
          <w:tcPr>
            <w:tcW w:w="1180" w:type="dxa"/>
            <w:vAlign w:val="bottom"/>
          </w:tcPr>
          <w:p>
            <w:pPr>
              <w:jc w:val="right"/>
              <w:spacing w:after="0" w:line="120" w:lineRule="exact"/>
              <w:rPr>
                <w:sz w:val="20"/>
                <w:szCs w:val="20"/>
                <w:color w:val="auto"/>
              </w:rPr>
            </w:pPr>
            <w:r>
              <w:rPr>
                <w:rFonts w:ascii="Arial" w:cs="Arial" w:eastAsia="Arial" w:hAnsi="Arial"/>
                <w:sz w:val="12"/>
                <w:szCs w:val="12"/>
                <w:color w:val="auto"/>
              </w:rPr>
              <w:t>€285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0" w:type="dxa"/>
            <w:vAlign w:val="bottom"/>
            <w:shd w:val="clear" w:color="auto" w:fill="E4E3E1"/>
          </w:tcPr>
          <w:p>
            <w:pPr>
              <w:jc w:val="right"/>
              <w:ind w:right="158"/>
              <w:spacing w:after="0" w:line="133" w:lineRule="exact"/>
              <w:rPr>
                <w:sz w:val="20"/>
                <w:szCs w:val="20"/>
                <w:color w:val="auto"/>
              </w:rPr>
            </w:pPr>
            <w:r>
              <w:rPr>
                <w:rFonts w:ascii="Arial" w:cs="Arial" w:eastAsia="Arial" w:hAnsi="Arial"/>
                <w:sz w:val="12"/>
                <w:szCs w:val="12"/>
                <w:color w:val="auto"/>
              </w:rPr>
              <w:t>2,759,360,000</w:t>
            </w:r>
          </w:p>
        </w:tc>
        <w:tc>
          <w:tcPr>
            <w:tcW w:w="460" w:type="dxa"/>
            <w:vAlign w:val="bottom"/>
          </w:tcPr>
          <w:p>
            <w:pPr>
              <w:spacing w:after="0"/>
              <w:rPr>
                <w:sz w:val="11"/>
                <w:szCs w:val="11"/>
                <w:color w:val="auto"/>
              </w:rPr>
            </w:pPr>
          </w:p>
        </w:tc>
        <w:tc>
          <w:tcPr>
            <w:tcW w:w="13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2,759,360,000</w:t>
            </w:r>
          </w:p>
        </w:tc>
        <w:tc>
          <w:tcPr>
            <w:tcW w:w="2440" w:type="dxa"/>
            <w:vAlign w:val="bottom"/>
            <w:gridSpan w:val="2"/>
          </w:tcPr>
          <w:p>
            <w:pPr>
              <w:ind w:left="180"/>
              <w:spacing w:after="0" w:line="133" w:lineRule="exact"/>
              <w:rPr>
                <w:sz w:val="20"/>
                <w:szCs w:val="20"/>
                <w:color w:val="auto"/>
              </w:rPr>
            </w:pPr>
            <w:r>
              <w:rPr>
                <w:rFonts w:ascii="Arial" w:cs="Arial" w:eastAsia="Arial" w:hAnsi="Arial"/>
                <w:sz w:val="12"/>
                <w:szCs w:val="12"/>
                <w:color w:val="auto"/>
              </w:rPr>
              <w:t>Class B shares of €0.07 each</w:t>
            </w: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€193</w:t>
            </w: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€193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0" w:type="dxa"/>
            <w:vAlign w:val="bottom"/>
            <w:shd w:val="clear" w:color="auto" w:fill="E4E3E1"/>
          </w:tcPr>
          <w:p>
            <w:pPr>
              <w:jc w:val="right"/>
              <w:ind w:right="158"/>
              <w:spacing w:after="0" w:line="133" w:lineRule="exact"/>
              <w:rPr>
                <w:sz w:val="20"/>
                <w:szCs w:val="20"/>
                <w:color w:val="auto"/>
              </w:rPr>
            </w:pPr>
            <w:r>
              <w:rPr>
                <w:rFonts w:ascii="Arial" w:cs="Arial" w:eastAsia="Arial" w:hAnsi="Arial"/>
                <w:sz w:val="12"/>
                <w:szCs w:val="12"/>
                <w:color w:val="auto"/>
              </w:rPr>
              <w:t>3,101,000,000</w:t>
            </w:r>
          </w:p>
        </w:tc>
        <w:tc>
          <w:tcPr>
            <w:tcW w:w="460" w:type="dxa"/>
            <w:vAlign w:val="bottom"/>
          </w:tcPr>
          <w:p>
            <w:pPr>
              <w:spacing w:after="0"/>
              <w:rPr>
                <w:sz w:val="11"/>
                <w:szCs w:val="11"/>
                <w:color w:val="auto"/>
              </w:rPr>
            </w:pPr>
          </w:p>
        </w:tc>
        <w:tc>
          <w:tcPr>
            <w:tcW w:w="13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3,101,000,000</w:t>
            </w:r>
          </w:p>
        </w:tc>
        <w:tc>
          <w:tcPr>
            <w:tcW w:w="2440" w:type="dxa"/>
            <w:vAlign w:val="bottom"/>
            <w:gridSpan w:val="2"/>
          </w:tcPr>
          <w:p>
            <w:pPr>
              <w:ind w:left="180"/>
              <w:spacing w:after="0" w:line="133" w:lineRule="exact"/>
              <w:rPr>
                <w:sz w:val="20"/>
                <w:szCs w:val="20"/>
                <w:color w:val="auto"/>
              </w:rPr>
            </w:pPr>
            <w:r>
              <w:rPr>
                <w:rFonts w:ascii="Arial" w:cs="Arial" w:eastAsia="Arial" w:hAnsi="Arial"/>
                <w:sz w:val="12"/>
                <w:szCs w:val="12"/>
                <w:color w:val="auto"/>
              </w:rPr>
              <w:t>Unclassified shares of €0.07 each</w:t>
            </w: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€217</w:t>
            </w: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00" w:type="dxa"/>
            <w:vAlign w:val="bottom"/>
            <w:shd w:val="clear" w:color="auto" w:fill="E4E3E1"/>
          </w:tcPr>
          <w:p>
            <w:pPr>
              <w:jc w:val="right"/>
              <w:ind w:right="158"/>
              <w:spacing w:after="0"/>
              <w:rPr>
                <w:sz w:val="20"/>
                <w:szCs w:val="20"/>
                <w:color w:val="auto"/>
              </w:rPr>
            </w:pPr>
            <w:r>
              <w:rPr>
                <w:rFonts w:ascii="Arial" w:cs="Arial" w:eastAsia="Arial" w:hAnsi="Arial"/>
                <w:sz w:val="12"/>
                <w:szCs w:val="12"/>
                <w:color w:val="auto"/>
              </w:rPr>
              <w:t>62,280,114</w:t>
            </w:r>
          </w:p>
        </w:tc>
        <w:tc>
          <w:tcPr>
            <w:tcW w:w="460" w:type="dxa"/>
            <w:vAlign w:val="bottom"/>
          </w:tcPr>
          <w:p>
            <w:pPr>
              <w:spacing w:after="0"/>
              <w:rPr>
                <w:sz w:val="12"/>
                <w:szCs w:val="12"/>
                <w:color w:val="auto"/>
              </w:rPr>
            </w:pPr>
          </w:p>
        </w:tc>
        <w:tc>
          <w:tcPr>
            <w:tcW w:w="1300" w:type="dxa"/>
            <w:vAlign w:val="bottom"/>
          </w:tcPr>
          <w:p>
            <w:pPr>
              <w:jc w:val="right"/>
              <w:ind w:right="318"/>
              <w:spacing w:after="0"/>
              <w:rPr>
                <w:sz w:val="20"/>
                <w:szCs w:val="20"/>
                <w:color w:val="auto"/>
              </w:rPr>
            </w:pPr>
            <w:r>
              <w:rPr>
                <w:rFonts w:ascii="Arial" w:cs="Arial" w:eastAsia="Arial" w:hAnsi="Arial"/>
                <w:sz w:val="12"/>
                <w:szCs w:val="12"/>
                <w:color w:val="auto"/>
              </w:rPr>
              <w:t>62,280,114</w:t>
            </w:r>
          </w:p>
        </w:tc>
        <w:tc>
          <w:tcPr>
            <w:tcW w:w="2440" w:type="dxa"/>
            <w:vAlign w:val="bottom"/>
            <w:gridSpan w:val="2"/>
          </w:tcPr>
          <w:p>
            <w:pPr>
              <w:ind w:left="180"/>
              <w:spacing w:after="0"/>
              <w:rPr>
                <w:sz w:val="20"/>
                <w:szCs w:val="20"/>
                <w:color w:val="auto"/>
              </w:rPr>
            </w:pPr>
            <w:r>
              <w:rPr>
                <w:rFonts w:ascii="Arial" w:cs="Arial" w:eastAsia="Arial" w:hAnsi="Arial"/>
                <w:sz w:val="12"/>
                <w:szCs w:val="12"/>
                <w:color w:val="auto"/>
              </w:rPr>
              <w:t>Euro deferred shares of €0.07 each</w:t>
            </w: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shd w:val="clear" w:color="auto" w:fill="E4E3E1"/>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200" w:type="dxa"/>
            <w:vAlign w:val="bottom"/>
            <w:tcBorders>
              <w:bottom w:val="single" w:sz="8" w:color="auto"/>
            </w:tcBorders>
            <w:shd w:val="clear" w:color="auto" w:fill="E4E3E1"/>
          </w:tcPr>
          <w:p>
            <w:pPr>
              <w:jc w:val="right"/>
              <w:ind w:right="158"/>
              <w:spacing w:after="0"/>
              <w:rPr>
                <w:sz w:val="20"/>
                <w:szCs w:val="20"/>
                <w:color w:val="auto"/>
              </w:rPr>
            </w:pPr>
            <w:r>
              <w:rPr>
                <w:rFonts w:ascii="Arial" w:cs="Arial" w:eastAsia="Arial" w:hAnsi="Arial"/>
                <w:sz w:val="12"/>
                <w:szCs w:val="12"/>
                <w:color w:val="auto"/>
              </w:rPr>
              <w:t>50,000</w:t>
            </w:r>
          </w:p>
        </w:tc>
        <w:tc>
          <w:tcPr>
            <w:tcW w:w="4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50,000</w:t>
            </w:r>
          </w:p>
        </w:tc>
        <w:tc>
          <w:tcPr>
            <w:tcW w:w="2440" w:type="dxa"/>
            <w:vAlign w:val="bottom"/>
            <w:tcBorders>
              <w:bottom w:val="single" w:sz="8" w:color="auto"/>
            </w:tcBorders>
            <w:gridSpan w:val="2"/>
          </w:tcPr>
          <w:p>
            <w:pPr>
              <w:ind w:left="180"/>
              <w:spacing w:after="0"/>
              <w:rPr>
                <w:sz w:val="20"/>
                <w:szCs w:val="20"/>
                <w:color w:val="auto"/>
              </w:rPr>
            </w:pPr>
            <w:r>
              <w:rPr>
                <w:rFonts w:ascii="Arial" w:cs="Arial" w:eastAsia="Arial" w:hAnsi="Arial"/>
                <w:sz w:val="12"/>
                <w:szCs w:val="12"/>
                <w:color w:val="auto"/>
              </w:rPr>
              <w:t>Sterling deferred shares of £1 each</w:t>
            </w:r>
          </w:p>
        </w:tc>
        <w:tc>
          <w:tcPr>
            <w:tcW w:w="1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9"/>
        </w:trPr>
        <w:tc>
          <w:tcPr>
            <w:tcW w:w="1680" w:type="dxa"/>
            <w:vAlign w:val="bottom"/>
            <w:gridSpan w:val="3"/>
          </w:tcPr>
          <w:p>
            <w:pPr>
              <w:spacing w:after="0"/>
              <w:rPr>
                <w:sz w:val="20"/>
                <w:szCs w:val="20"/>
                <w:color w:val="auto"/>
              </w:rPr>
            </w:pPr>
            <w:r>
              <w:rPr>
                <w:rFonts w:ascii="Arial" w:cs="Arial" w:eastAsia="Arial" w:hAnsi="Arial"/>
                <w:sz w:val="12"/>
                <w:szCs w:val="12"/>
                <w:color w:val="auto"/>
              </w:rPr>
              <w:t>[A]  Amounts are in millions.</w:t>
            </w:r>
          </w:p>
        </w:tc>
        <w:tc>
          <w:tcPr>
            <w:tcW w:w="1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660" w:type="dxa"/>
            <w:vAlign w:val="bottom"/>
            <w:gridSpan w:val="2"/>
          </w:tcPr>
          <w:p>
            <w:pPr>
              <w:spacing w:after="0"/>
              <w:rPr>
                <w:sz w:val="10"/>
                <w:szCs w:val="10"/>
                <w:color w:val="auto"/>
              </w:rPr>
            </w:pPr>
          </w:p>
        </w:tc>
        <w:tc>
          <w:tcPr>
            <w:tcW w:w="1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gridSpan w:val="2"/>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ISSUED AND FULLY PAID</w:t>
            </w:r>
          </w:p>
        </w:tc>
        <w:tc>
          <w:tcPr>
            <w:tcW w:w="130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18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00" w:type="dxa"/>
            <w:vAlign w:val="bottom"/>
            <w:shd w:val="clear" w:color="auto" w:fill="7DD0E3"/>
          </w:tcPr>
          <w:p>
            <w:pPr>
              <w:spacing w:after="0"/>
              <w:rPr>
                <w:sz w:val="11"/>
                <w:szCs w:val="11"/>
                <w:color w:val="auto"/>
              </w:rPr>
            </w:pPr>
          </w:p>
        </w:tc>
        <w:tc>
          <w:tcPr>
            <w:tcW w:w="520" w:type="dxa"/>
            <w:vAlign w:val="bottom"/>
            <w:shd w:val="clear" w:color="auto" w:fill="7DD0E3"/>
          </w:tcPr>
          <w:p>
            <w:pPr>
              <w:spacing w:after="0"/>
              <w:rPr>
                <w:sz w:val="11"/>
                <w:szCs w:val="11"/>
                <w:color w:val="auto"/>
              </w:rPr>
            </w:pPr>
          </w:p>
        </w:tc>
        <w:tc>
          <w:tcPr>
            <w:tcW w:w="100" w:type="dxa"/>
            <w:vAlign w:val="bottom"/>
            <w:shd w:val="clear" w:color="auto" w:fill="7DD0E3"/>
          </w:tcPr>
          <w:p>
            <w:pPr>
              <w:spacing w:after="0"/>
              <w:rPr>
                <w:sz w:val="11"/>
                <w:szCs w:val="11"/>
                <w:color w:val="auto"/>
              </w:rPr>
            </w:pPr>
          </w:p>
        </w:tc>
        <w:tc>
          <w:tcPr>
            <w:tcW w:w="1180" w:type="dxa"/>
            <w:vAlign w:val="bottom"/>
            <w:shd w:val="clear" w:color="auto" w:fill="7DD0E3"/>
          </w:tcPr>
          <w:p>
            <w:pPr>
              <w:jc w:val="right"/>
              <w:spacing w:after="0" w:line="133" w:lineRule="exact"/>
              <w:rPr>
                <w:sz w:val="20"/>
                <w:szCs w:val="20"/>
                <w:color w:val="auto"/>
              </w:rPr>
            </w:pPr>
            <w:r>
              <w:rPr>
                <w:rFonts w:ascii="Arial" w:cs="Arial" w:eastAsia="Arial" w:hAnsi="Arial"/>
                <w:sz w:val="12"/>
                <w:szCs w:val="12"/>
                <w:b w:val="1"/>
                <w:bCs w:val="1"/>
                <w:color w:val="auto"/>
              </w:rPr>
              <w:t>Number of shares</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13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1620" w:type="dxa"/>
            <w:vAlign w:val="bottom"/>
            <w:gridSpan w:val="3"/>
            <w:shd w:val="clear" w:color="auto" w:fill="CECAC6"/>
          </w:tcPr>
          <w:p>
            <w:pPr>
              <w:jc w:val="right"/>
              <w:ind w:right="480"/>
              <w:spacing w:after="0"/>
              <w:rPr>
                <w:sz w:val="20"/>
                <w:szCs w:val="20"/>
                <w:color w:val="auto"/>
              </w:rPr>
            </w:pPr>
            <w:r>
              <w:rPr>
                <w:rFonts w:ascii="Arial" w:cs="Arial" w:eastAsia="Arial" w:hAnsi="Arial"/>
                <w:sz w:val="12"/>
                <w:szCs w:val="12"/>
                <w:color w:val="auto"/>
                <w:w w:val="99"/>
              </w:rPr>
              <w:t>shares of €0.07 each</w:t>
            </w:r>
          </w:p>
        </w:tc>
        <w:tc>
          <w:tcPr>
            <w:tcW w:w="11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shares of £1 each</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13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Class A</w:t>
            </w:r>
          </w:p>
        </w:tc>
        <w:tc>
          <w:tcPr>
            <w:tcW w:w="12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Class B</w:t>
            </w:r>
          </w:p>
        </w:tc>
        <w:tc>
          <w:tcPr>
            <w:tcW w:w="1620" w:type="dxa"/>
            <w:vAlign w:val="bottom"/>
            <w:gridSpan w:val="3"/>
            <w:shd w:val="clear" w:color="auto" w:fill="CECAC6"/>
          </w:tcPr>
          <w:p>
            <w:pPr>
              <w:jc w:val="right"/>
              <w:ind w:right="480"/>
              <w:spacing w:after="0"/>
              <w:rPr>
                <w:sz w:val="20"/>
                <w:szCs w:val="20"/>
                <w:color w:val="auto"/>
              </w:rPr>
            </w:pPr>
            <w:r>
              <w:rPr>
                <w:rFonts w:ascii="Arial" w:cs="Arial" w:eastAsia="Arial" w:hAnsi="Arial"/>
                <w:sz w:val="12"/>
                <w:szCs w:val="12"/>
                <w:color w:val="auto"/>
              </w:rPr>
              <w:t>Euro deferred</w:t>
            </w:r>
          </w:p>
        </w:tc>
        <w:tc>
          <w:tcPr>
            <w:tcW w:w="11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Sterling deferred</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3,935,625,000</w:t>
            </w:r>
          </w:p>
        </w:tc>
        <w:tc>
          <w:tcPr>
            <w:tcW w:w="12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2,759,360,000</w:t>
            </w:r>
          </w:p>
        </w:tc>
        <w:tc>
          <w:tcPr>
            <w:tcW w:w="1520" w:type="dxa"/>
            <w:vAlign w:val="bottom"/>
            <w:gridSpan w:val="2"/>
          </w:tcPr>
          <w:p>
            <w:pPr>
              <w:jc w:val="right"/>
              <w:ind w:right="318"/>
              <w:spacing w:after="0" w:line="128" w:lineRule="exact"/>
              <w:rPr>
                <w:sz w:val="20"/>
                <w:szCs w:val="20"/>
                <w:color w:val="auto"/>
              </w:rPr>
            </w:pPr>
            <w:r>
              <w:rPr>
                <w:rFonts w:ascii="Arial" w:cs="Arial" w:eastAsia="Arial" w:hAnsi="Arial"/>
                <w:sz w:val="12"/>
                <w:szCs w:val="12"/>
                <w:color w:val="auto"/>
              </w:rPr>
              <w:t>62,280,114</w:t>
            </w:r>
          </w:p>
        </w:tc>
        <w:tc>
          <w:tcPr>
            <w:tcW w:w="100" w:type="dxa"/>
            <w:vAlign w:val="bottom"/>
          </w:tcPr>
          <w:p>
            <w:pPr>
              <w:spacing w:after="0"/>
              <w:rPr>
                <w:sz w:val="11"/>
                <w:szCs w:val="11"/>
                <w:color w:val="auto"/>
              </w:rPr>
            </w:pPr>
          </w:p>
        </w:tc>
        <w:tc>
          <w:tcPr>
            <w:tcW w:w="1180" w:type="dxa"/>
            <w:vAlign w:val="bottom"/>
          </w:tcPr>
          <w:p>
            <w:pPr>
              <w:jc w:val="right"/>
              <w:spacing w:after="0" w:line="128"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33"/>
        </w:trPr>
        <w:tc>
          <w:tcPr>
            <w:tcW w:w="1680" w:type="dxa"/>
            <w:vAlign w:val="bottom"/>
            <w:gridSpan w:val="3"/>
          </w:tcPr>
          <w:p>
            <w:pPr>
              <w:spacing w:after="0" w:line="133" w:lineRule="exact"/>
              <w:rPr>
                <w:sz w:val="20"/>
                <w:szCs w:val="20"/>
                <w:color w:val="auto"/>
              </w:rPr>
            </w:pPr>
            <w:r>
              <w:rPr>
                <w:rFonts w:ascii="Arial" w:cs="Arial" w:eastAsia="Arial" w:hAnsi="Arial"/>
                <w:sz w:val="12"/>
                <w:szCs w:val="12"/>
                <w:color w:val="auto"/>
              </w:rPr>
              <w:t>Shares issued</w:t>
            </w:r>
          </w:p>
        </w:tc>
        <w:tc>
          <w:tcPr>
            <w:tcW w:w="1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4,827,974</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spacing w:after="0"/>
              <w:rPr>
                <w:sz w:val="11"/>
                <w:szCs w:val="11"/>
                <w:color w:val="auto"/>
              </w:rPr>
            </w:pPr>
          </w:p>
        </w:tc>
        <w:tc>
          <w:tcPr>
            <w:tcW w:w="620" w:type="dxa"/>
            <w:vAlign w:val="bottom"/>
            <w:gridSpan w:val="2"/>
          </w:tcPr>
          <w:p>
            <w:pPr>
              <w:jc w:val="right"/>
              <w:ind w:right="480"/>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680" w:type="dxa"/>
            <w:vAlign w:val="bottom"/>
            <w:gridSpan w:val="3"/>
          </w:tcPr>
          <w:p>
            <w:pPr>
              <w:spacing w:after="0" w:line="133" w:lineRule="exact"/>
              <w:rPr>
                <w:sz w:val="20"/>
                <w:szCs w:val="20"/>
                <w:color w:val="auto"/>
              </w:rPr>
            </w:pPr>
            <w:r>
              <w:rPr>
                <w:rFonts w:ascii="Arial" w:cs="Arial" w:eastAsia="Arial" w:hAnsi="Arial"/>
                <w:sz w:val="12"/>
                <w:szCs w:val="12"/>
                <w:color w:val="auto"/>
              </w:rPr>
              <w:t>Redemption of share capital</w:t>
            </w:r>
          </w:p>
        </w:tc>
        <w:tc>
          <w:tcPr>
            <w:tcW w:w="1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1520" w:type="dxa"/>
            <w:vAlign w:val="bottom"/>
            <w:gridSpan w:val="2"/>
          </w:tcPr>
          <w:p>
            <w:pPr>
              <w:jc w:val="right"/>
              <w:ind w:right="278"/>
              <w:spacing w:after="0" w:line="133" w:lineRule="exact"/>
              <w:rPr>
                <w:sz w:val="20"/>
                <w:szCs w:val="20"/>
                <w:color w:val="auto"/>
              </w:rPr>
            </w:pPr>
            <w:r>
              <w:rPr>
                <w:rFonts w:ascii="Arial" w:cs="Arial" w:eastAsia="Arial" w:hAnsi="Arial"/>
                <w:sz w:val="12"/>
                <w:szCs w:val="12"/>
                <w:color w:val="auto"/>
              </w:rPr>
              <w:t>(62,280,114)</w:t>
            </w:r>
          </w:p>
        </w:tc>
        <w:tc>
          <w:tcPr>
            <w:tcW w:w="10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Shares repurchased for cancellation</w:t>
            </w:r>
          </w:p>
        </w:tc>
        <w:tc>
          <w:tcPr>
            <w:tcW w:w="1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(244,672,974)</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6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8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3,695,780,000</w:t>
            </w:r>
          </w:p>
        </w:tc>
        <w:tc>
          <w:tcPr>
            <w:tcW w:w="12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2,759,360,000</w:t>
            </w:r>
          </w:p>
        </w:tc>
        <w:tc>
          <w:tcPr>
            <w:tcW w:w="1000" w:type="dxa"/>
            <w:vAlign w:val="bottom"/>
          </w:tcPr>
          <w:p>
            <w:pPr>
              <w:spacing w:after="0"/>
              <w:rPr>
                <w:sz w:val="11"/>
                <w:szCs w:val="11"/>
                <w:color w:val="auto"/>
              </w:rPr>
            </w:pPr>
          </w:p>
        </w:tc>
        <w:tc>
          <w:tcPr>
            <w:tcW w:w="620" w:type="dxa"/>
            <w:vAlign w:val="bottom"/>
            <w:gridSpan w:val="2"/>
          </w:tcPr>
          <w:p>
            <w:pPr>
              <w:jc w:val="right"/>
              <w:ind w:right="480"/>
              <w:spacing w:after="0" w:line="134"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Shares repurchased for cancellation</w:t>
            </w:r>
          </w:p>
        </w:tc>
        <w:tc>
          <w:tcPr>
            <w:tcW w:w="1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(112,275,000)</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At December 31, 2007</w:t>
            </w:r>
          </w:p>
        </w:tc>
        <w:tc>
          <w:tcPr>
            <w:tcW w:w="1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3,583,505,000</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2,759,360,000</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w:t>
            </w:r>
          </w:p>
        </w:tc>
        <w:tc>
          <w:tcPr>
            <w:tcW w:w="0" w:type="dxa"/>
            <w:vAlign w:val="bottom"/>
          </w:tcPr>
          <w:p>
            <w:pPr>
              <w:spacing w:after="0"/>
              <w:rPr>
                <w:sz w:val="1"/>
                <w:szCs w:val="1"/>
                <w:color w:val="auto"/>
              </w:rPr>
            </w:pPr>
          </w:p>
        </w:tc>
      </w:tr>
      <w:tr>
        <w:trPr>
          <w:trHeight w:val="160"/>
        </w:trPr>
        <w:tc>
          <w:tcPr>
            <w:tcW w:w="20" w:type="dxa"/>
            <w:vAlign w:val="bottom"/>
            <w:vMerge w:val="restart"/>
          </w:tcPr>
          <w:p>
            <w:pPr>
              <w:spacing w:after="0"/>
              <w:rPr>
                <w:sz w:val="13"/>
                <w:szCs w:val="13"/>
                <w:color w:val="auto"/>
              </w:rPr>
            </w:pPr>
          </w:p>
        </w:tc>
        <w:tc>
          <w:tcPr>
            <w:tcW w:w="1660" w:type="dxa"/>
            <w:vAlign w:val="bottom"/>
            <w:gridSpan w:val="2"/>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660" w:type="dxa"/>
            <w:vAlign w:val="bottom"/>
            <w:gridSpan w:val="2"/>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NOMINAL VALUE</w:t>
            </w:r>
          </w:p>
        </w:tc>
        <w:tc>
          <w:tcPr>
            <w:tcW w:w="130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18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00" w:type="dxa"/>
            <w:vAlign w:val="bottom"/>
            <w:shd w:val="clear" w:color="auto" w:fill="7DD0E3"/>
          </w:tcPr>
          <w:p>
            <w:pPr>
              <w:spacing w:after="0"/>
              <w:rPr>
                <w:sz w:val="11"/>
                <w:szCs w:val="11"/>
                <w:color w:val="auto"/>
              </w:rPr>
            </w:pPr>
          </w:p>
        </w:tc>
        <w:tc>
          <w:tcPr>
            <w:tcW w:w="520" w:type="dxa"/>
            <w:vAlign w:val="bottom"/>
            <w:shd w:val="clear" w:color="auto" w:fill="7DD0E3"/>
          </w:tcPr>
          <w:p>
            <w:pPr>
              <w:spacing w:after="0"/>
              <w:rPr>
                <w:sz w:val="11"/>
                <w:szCs w:val="11"/>
                <w:color w:val="auto"/>
              </w:rPr>
            </w:pPr>
          </w:p>
        </w:tc>
        <w:tc>
          <w:tcPr>
            <w:tcW w:w="100" w:type="dxa"/>
            <w:vAlign w:val="bottom"/>
            <w:shd w:val="clear" w:color="auto" w:fill="7DD0E3"/>
          </w:tcPr>
          <w:p>
            <w:pPr>
              <w:spacing w:after="0"/>
              <w:rPr>
                <w:sz w:val="11"/>
                <w:szCs w:val="11"/>
                <w:color w:val="auto"/>
              </w:rPr>
            </w:pPr>
          </w:p>
        </w:tc>
        <w:tc>
          <w:tcPr>
            <w:tcW w:w="1180" w:type="dxa"/>
            <w:vAlign w:val="bottom"/>
            <w:shd w:val="clear" w:color="auto" w:fill="7DD0E3"/>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1300" w:type="dxa"/>
            <w:vAlign w:val="bottom"/>
            <w:shd w:val="clear" w:color="auto" w:fill="CECAC6"/>
          </w:tcPr>
          <w:p>
            <w:pPr>
              <w:spacing w:after="0"/>
              <w:rPr>
                <w:sz w:val="12"/>
                <w:szCs w:val="12"/>
                <w:color w:val="auto"/>
              </w:rPr>
            </w:pPr>
          </w:p>
        </w:tc>
        <w:tc>
          <w:tcPr>
            <w:tcW w:w="1260" w:type="dxa"/>
            <w:vAlign w:val="bottom"/>
            <w:shd w:val="clear" w:color="auto" w:fill="CECAC6"/>
          </w:tcPr>
          <w:p>
            <w:pPr>
              <w:spacing w:after="0"/>
              <w:rPr>
                <w:sz w:val="12"/>
                <w:szCs w:val="12"/>
                <w:color w:val="auto"/>
              </w:rPr>
            </w:pPr>
          </w:p>
        </w:tc>
        <w:tc>
          <w:tcPr>
            <w:tcW w:w="1180" w:type="dxa"/>
            <w:vAlign w:val="bottom"/>
            <w:shd w:val="clear" w:color="auto" w:fill="CECAC6"/>
          </w:tcPr>
          <w:p>
            <w:pPr>
              <w:spacing w:after="0"/>
              <w:rPr>
                <w:sz w:val="12"/>
                <w:szCs w:val="12"/>
                <w:color w:val="auto"/>
              </w:rPr>
            </w:pPr>
          </w:p>
        </w:tc>
        <w:tc>
          <w:tcPr>
            <w:tcW w:w="12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shares of €0.07 each</w:t>
            </w:r>
          </w:p>
        </w:tc>
        <w:tc>
          <w:tcPr>
            <w:tcW w:w="1620" w:type="dxa"/>
            <w:vAlign w:val="bottom"/>
            <w:gridSpan w:val="3"/>
            <w:shd w:val="clear" w:color="auto" w:fill="CECAC6"/>
          </w:tcPr>
          <w:p>
            <w:pPr>
              <w:jc w:val="right"/>
              <w:ind w:right="240"/>
              <w:spacing w:after="0"/>
              <w:rPr>
                <w:sz w:val="20"/>
                <w:szCs w:val="20"/>
                <w:color w:val="auto"/>
              </w:rPr>
            </w:pPr>
            <w:r>
              <w:rPr>
                <w:rFonts w:ascii="Arial" w:cs="Arial" w:eastAsia="Arial" w:hAnsi="Arial"/>
                <w:sz w:val="12"/>
                <w:szCs w:val="12"/>
                <w:color w:val="auto"/>
              </w:rPr>
              <w:t>shares of £1 each</w:t>
            </w:r>
          </w:p>
        </w:tc>
        <w:tc>
          <w:tcPr>
            <w:tcW w:w="1180" w:type="dxa"/>
            <w:vAlign w:val="bottom"/>
            <w:shd w:val="clear" w:color="auto" w:fill="CECAC6"/>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1300" w:type="dxa"/>
            <w:vAlign w:val="bottom"/>
            <w:shd w:val="clear" w:color="auto" w:fill="CECAC6"/>
          </w:tcPr>
          <w:p>
            <w:pPr>
              <w:spacing w:after="0"/>
              <w:rPr>
                <w:sz w:val="12"/>
                <w:szCs w:val="12"/>
                <w:color w:val="auto"/>
              </w:rPr>
            </w:pPr>
          </w:p>
        </w:tc>
        <w:tc>
          <w:tcPr>
            <w:tcW w:w="12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Class A</w:t>
            </w:r>
          </w:p>
        </w:tc>
        <w:tc>
          <w:tcPr>
            <w:tcW w:w="11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Class B</w:t>
            </w:r>
          </w:p>
        </w:tc>
        <w:tc>
          <w:tcPr>
            <w:tcW w:w="12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Euro deferred</w:t>
            </w:r>
          </w:p>
        </w:tc>
        <w:tc>
          <w:tcPr>
            <w:tcW w:w="1620" w:type="dxa"/>
            <w:vAlign w:val="bottom"/>
            <w:gridSpan w:val="3"/>
            <w:shd w:val="clear" w:color="auto" w:fill="CECAC6"/>
          </w:tcPr>
          <w:p>
            <w:pPr>
              <w:jc w:val="right"/>
              <w:ind w:right="240"/>
              <w:spacing w:after="0"/>
              <w:rPr>
                <w:sz w:val="20"/>
                <w:szCs w:val="20"/>
                <w:color w:val="auto"/>
              </w:rPr>
            </w:pPr>
            <w:r>
              <w:rPr>
                <w:rFonts w:ascii="Arial" w:cs="Arial" w:eastAsia="Arial" w:hAnsi="Arial"/>
                <w:sz w:val="12"/>
                <w:szCs w:val="12"/>
                <w:color w:val="auto"/>
              </w:rPr>
              <w:t>Sterling deferred</w:t>
            </w:r>
          </w:p>
        </w:tc>
        <w:tc>
          <w:tcPr>
            <w:tcW w:w="11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660" w:type="dxa"/>
            <w:vAlign w:val="bottom"/>
            <w:gridSpan w:val="2"/>
          </w:tcPr>
          <w:p>
            <w:pPr>
              <w:spacing w:after="0" w:line="114" w:lineRule="exact"/>
              <w:rPr>
                <w:sz w:val="20"/>
                <w:szCs w:val="20"/>
                <w:color w:val="auto"/>
              </w:rPr>
            </w:pPr>
            <w:r>
              <w:rPr>
                <w:rFonts w:ascii="Arial" w:cs="Arial" w:eastAsia="Arial" w:hAnsi="Arial"/>
                <w:sz w:val="12"/>
                <w:szCs w:val="12"/>
                <w:b w:val="1"/>
                <w:bCs w:val="1"/>
                <w:color w:val="auto"/>
              </w:rPr>
              <w:t>At January 1, 2006</w:t>
            </w:r>
          </w:p>
        </w:tc>
        <w:tc>
          <w:tcPr>
            <w:tcW w:w="1300" w:type="dxa"/>
            <w:vAlign w:val="bottom"/>
          </w:tcPr>
          <w:p>
            <w:pPr>
              <w:spacing w:after="0"/>
              <w:rPr>
                <w:sz w:val="9"/>
                <w:szCs w:val="9"/>
                <w:color w:val="auto"/>
              </w:rPr>
            </w:pPr>
          </w:p>
        </w:tc>
        <w:tc>
          <w:tcPr>
            <w:tcW w:w="1260" w:type="dxa"/>
            <w:vAlign w:val="bottom"/>
          </w:tcPr>
          <w:p>
            <w:pPr>
              <w:jc w:val="right"/>
              <w:ind w:right="58"/>
              <w:spacing w:after="0" w:line="114" w:lineRule="exact"/>
              <w:rPr>
                <w:sz w:val="20"/>
                <w:szCs w:val="20"/>
                <w:color w:val="auto"/>
              </w:rPr>
            </w:pPr>
            <w:r>
              <w:rPr>
                <w:rFonts w:ascii="Arial" w:cs="Arial" w:eastAsia="Arial" w:hAnsi="Arial"/>
                <w:sz w:val="12"/>
                <w:szCs w:val="12"/>
                <w:color w:val="auto"/>
              </w:rPr>
              <w:t>333</w:t>
            </w:r>
          </w:p>
        </w:tc>
        <w:tc>
          <w:tcPr>
            <w:tcW w:w="1180" w:type="dxa"/>
            <w:vAlign w:val="bottom"/>
          </w:tcPr>
          <w:p>
            <w:pPr>
              <w:jc w:val="right"/>
              <w:spacing w:after="0" w:line="114" w:lineRule="exact"/>
              <w:rPr>
                <w:sz w:val="20"/>
                <w:szCs w:val="20"/>
                <w:color w:val="auto"/>
              </w:rPr>
            </w:pPr>
            <w:r>
              <w:rPr>
                <w:rFonts w:ascii="Arial" w:cs="Arial" w:eastAsia="Arial" w:hAnsi="Arial"/>
                <w:sz w:val="12"/>
                <w:szCs w:val="12"/>
                <w:color w:val="auto"/>
              </w:rPr>
              <w:t>233</w:t>
            </w:r>
          </w:p>
        </w:tc>
        <w:tc>
          <w:tcPr>
            <w:tcW w:w="1260" w:type="dxa"/>
            <w:vAlign w:val="bottom"/>
          </w:tcPr>
          <w:p>
            <w:pPr>
              <w:jc w:val="right"/>
              <w:spacing w:after="0" w:line="114" w:lineRule="exact"/>
              <w:rPr>
                <w:sz w:val="20"/>
                <w:szCs w:val="20"/>
                <w:color w:val="auto"/>
              </w:rPr>
            </w:pPr>
            <w:r>
              <w:rPr>
                <w:rFonts w:ascii="Arial" w:cs="Arial" w:eastAsia="Arial" w:hAnsi="Arial"/>
                <w:sz w:val="12"/>
                <w:szCs w:val="12"/>
                <w:color w:val="auto"/>
              </w:rPr>
              <w:t>5</w:t>
            </w:r>
          </w:p>
        </w:tc>
        <w:tc>
          <w:tcPr>
            <w:tcW w:w="1000" w:type="dxa"/>
            <w:vAlign w:val="bottom"/>
          </w:tcPr>
          <w:p>
            <w:pPr>
              <w:spacing w:after="0"/>
              <w:rPr>
                <w:sz w:val="9"/>
                <w:szCs w:val="9"/>
                <w:color w:val="auto"/>
              </w:rPr>
            </w:pPr>
          </w:p>
        </w:tc>
        <w:tc>
          <w:tcPr>
            <w:tcW w:w="620" w:type="dxa"/>
            <w:vAlign w:val="bottom"/>
            <w:gridSpan w:val="2"/>
          </w:tcPr>
          <w:p>
            <w:pPr>
              <w:jc w:val="right"/>
              <w:ind w:right="240"/>
              <w:spacing w:after="0" w:line="114" w:lineRule="exact"/>
              <w:rPr>
                <w:sz w:val="20"/>
                <w:szCs w:val="20"/>
                <w:color w:val="auto"/>
              </w:rPr>
            </w:pPr>
            <w:r>
              <w:rPr>
                <w:rFonts w:ascii="Arial" w:cs="Arial" w:eastAsia="Arial" w:hAnsi="Arial"/>
                <w:sz w:val="12"/>
                <w:szCs w:val="12"/>
                <w:b w:val="1"/>
                <w:bCs w:val="1"/>
                <w:color w:val="auto"/>
              </w:rPr>
              <w:t>[A]</w:t>
            </w:r>
          </w:p>
        </w:tc>
        <w:tc>
          <w:tcPr>
            <w:tcW w:w="1180" w:type="dxa"/>
            <w:vAlign w:val="bottom"/>
          </w:tcPr>
          <w:p>
            <w:pPr>
              <w:jc w:val="right"/>
              <w:ind w:right="38"/>
              <w:spacing w:after="0" w:line="114" w:lineRule="exact"/>
              <w:rPr>
                <w:sz w:val="20"/>
                <w:szCs w:val="20"/>
                <w:color w:val="auto"/>
              </w:rPr>
            </w:pPr>
            <w:r>
              <w:rPr>
                <w:rFonts w:ascii="Arial" w:cs="Arial" w:eastAsia="Arial" w:hAnsi="Arial"/>
                <w:sz w:val="12"/>
                <w:szCs w:val="12"/>
                <w:color w:val="auto"/>
              </w:rPr>
              <w:t>571</w:t>
            </w:r>
          </w:p>
        </w:tc>
        <w:tc>
          <w:tcPr>
            <w:tcW w:w="0" w:type="dxa"/>
            <w:vAlign w:val="bottom"/>
          </w:tcPr>
          <w:p>
            <w:pPr>
              <w:spacing w:after="0"/>
              <w:rPr>
                <w:sz w:val="1"/>
                <w:szCs w:val="1"/>
                <w:color w:val="auto"/>
              </w:rPr>
            </w:pPr>
          </w:p>
        </w:tc>
      </w:tr>
      <w:tr>
        <w:trPr>
          <w:trHeight w:val="147"/>
        </w:trPr>
        <w:tc>
          <w:tcPr>
            <w:tcW w:w="1680" w:type="dxa"/>
            <w:vAlign w:val="bottom"/>
            <w:gridSpan w:val="3"/>
          </w:tcPr>
          <w:p>
            <w:pPr>
              <w:spacing w:after="0"/>
              <w:rPr>
                <w:sz w:val="20"/>
                <w:szCs w:val="20"/>
                <w:color w:val="auto"/>
              </w:rPr>
            </w:pPr>
            <w:r>
              <w:rPr>
                <w:rFonts w:ascii="Arial" w:cs="Arial" w:eastAsia="Arial" w:hAnsi="Arial"/>
                <w:sz w:val="12"/>
                <w:szCs w:val="12"/>
                <w:color w:val="auto"/>
              </w:rPr>
              <w:t>Shares issued</w:t>
            </w:r>
          </w:p>
        </w:tc>
        <w:tc>
          <w:tcPr>
            <w:tcW w:w="1300" w:type="dxa"/>
            <w:vAlign w:val="bottom"/>
          </w:tcPr>
          <w:p>
            <w:pPr>
              <w:spacing w:after="0"/>
              <w:rPr>
                <w:sz w:val="12"/>
                <w:szCs w:val="12"/>
                <w:color w:val="auto"/>
              </w:rPr>
            </w:pPr>
          </w:p>
        </w:tc>
        <w:tc>
          <w:tcPr>
            <w:tcW w:w="1260" w:type="dxa"/>
            <w:vAlign w:val="bottom"/>
          </w:tcPr>
          <w:p>
            <w:pPr>
              <w:jc w:val="right"/>
              <w:ind w:right="58"/>
              <w:spacing w:after="0"/>
              <w:rPr>
                <w:sz w:val="20"/>
                <w:szCs w:val="20"/>
                <w:color w:val="auto"/>
              </w:rPr>
            </w:pPr>
            <w:r>
              <w:rPr>
                <w:rFonts w:ascii="Arial" w:cs="Arial" w:eastAsia="Arial" w:hAnsi="Arial"/>
                <w:sz w:val="12"/>
                <w:szCs w:val="12"/>
                <w:b w:val="1"/>
                <w:bCs w:val="1"/>
                <w:color w:val="auto"/>
              </w:rPr>
              <w:t>[A]</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60" w:type="dxa"/>
            <w:vAlign w:val="bottom"/>
          </w:tcPr>
          <w:p>
            <w:pPr>
              <w:jc w:val="right"/>
              <w:spacing w:after="0"/>
              <w:rPr>
                <w:sz w:val="20"/>
                <w:szCs w:val="20"/>
                <w:color w:val="auto"/>
              </w:rPr>
            </w:pPr>
            <w:r>
              <w:rPr>
                <w:rFonts w:ascii="Arial" w:cs="Arial" w:eastAsia="Arial" w:hAnsi="Arial"/>
                <w:sz w:val="12"/>
                <w:szCs w:val="12"/>
                <w:color w:val="auto"/>
              </w:rPr>
              <w:t>–</w:t>
            </w:r>
          </w:p>
        </w:tc>
        <w:tc>
          <w:tcPr>
            <w:tcW w:w="100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38"/>
              <w:spacing w:after="0"/>
              <w:rPr>
                <w:sz w:val="20"/>
                <w:szCs w:val="20"/>
                <w:color w:val="auto"/>
              </w:rPr>
            </w:pP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133"/>
        </w:trPr>
        <w:tc>
          <w:tcPr>
            <w:tcW w:w="1680" w:type="dxa"/>
            <w:vAlign w:val="bottom"/>
            <w:gridSpan w:val="3"/>
          </w:tcPr>
          <w:p>
            <w:pPr>
              <w:spacing w:after="0" w:line="133" w:lineRule="exact"/>
              <w:rPr>
                <w:sz w:val="20"/>
                <w:szCs w:val="20"/>
                <w:color w:val="auto"/>
              </w:rPr>
            </w:pPr>
            <w:r>
              <w:rPr>
                <w:rFonts w:ascii="Arial" w:cs="Arial" w:eastAsia="Arial" w:hAnsi="Arial"/>
                <w:sz w:val="12"/>
                <w:szCs w:val="12"/>
                <w:color w:val="auto"/>
              </w:rPr>
              <w:t>Redemption of share capital</w:t>
            </w:r>
          </w:p>
        </w:tc>
        <w:tc>
          <w:tcPr>
            <w:tcW w:w="1300" w:type="dxa"/>
            <w:vAlign w:val="bottom"/>
          </w:tcPr>
          <w:p>
            <w:pPr>
              <w:spacing w:after="0"/>
              <w:rPr>
                <w:sz w:val="11"/>
                <w:szCs w:val="11"/>
                <w:color w:val="auto"/>
              </w:rPr>
            </w:pPr>
          </w:p>
        </w:tc>
        <w:tc>
          <w:tcPr>
            <w:tcW w:w="12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1000" w:type="dxa"/>
            <w:vAlign w:val="bottom"/>
          </w:tcPr>
          <w:p>
            <w:pPr>
              <w:spacing w:after="0"/>
              <w:rPr>
                <w:sz w:val="11"/>
                <w:szCs w:val="11"/>
                <w:color w:val="auto"/>
              </w:rPr>
            </w:pPr>
          </w:p>
        </w:tc>
        <w:tc>
          <w:tcPr>
            <w:tcW w:w="62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Shares repurchased for cancellation</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34"/>
        </w:trPr>
        <w:tc>
          <w:tcPr>
            <w:tcW w:w="168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300" w:type="dxa"/>
            <w:vAlign w:val="bottom"/>
          </w:tcPr>
          <w:p>
            <w:pPr>
              <w:spacing w:after="0"/>
              <w:rPr>
                <w:sz w:val="11"/>
                <w:szCs w:val="11"/>
                <w:color w:val="auto"/>
              </w:rPr>
            </w:pPr>
          </w:p>
        </w:tc>
        <w:tc>
          <w:tcPr>
            <w:tcW w:w="1260" w:type="dxa"/>
            <w:vAlign w:val="bottom"/>
          </w:tcPr>
          <w:p>
            <w:pPr>
              <w:jc w:val="right"/>
              <w:ind w:right="58"/>
              <w:spacing w:after="0" w:line="134" w:lineRule="exact"/>
              <w:rPr>
                <w:sz w:val="20"/>
                <w:szCs w:val="20"/>
                <w:color w:val="auto"/>
              </w:rPr>
            </w:pPr>
            <w:r>
              <w:rPr>
                <w:rFonts w:ascii="Arial" w:cs="Arial" w:eastAsia="Arial" w:hAnsi="Arial"/>
                <w:sz w:val="12"/>
                <w:szCs w:val="12"/>
                <w:color w:val="auto"/>
              </w:rPr>
              <w:t>312</w:t>
            </w:r>
          </w:p>
        </w:tc>
        <w:tc>
          <w:tcPr>
            <w:tcW w:w="1180" w:type="dxa"/>
            <w:vAlign w:val="bottom"/>
          </w:tcPr>
          <w:p>
            <w:pPr>
              <w:jc w:val="right"/>
              <w:spacing w:after="0" w:line="134" w:lineRule="exact"/>
              <w:rPr>
                <w:sz w:val="20"/>
                <w:szCs w:val="20"/>
                <w:color w:val="auto"/>
              </w:rPr>
            </w:pPr>
            <w:r>
              <w:rPr>
                <w:rFonts w:ascii="Arial" w:cs="Arial" w:eastAsia="Arial" w:hAnsi="Arial"/>
                <w:sz w:val="12"/>
                <w:szCs w:val="12"/>
                <w:color w:val="auto"/>
              </w:rPr>
              <w:t>233</w:t>
            </w:r>
          </w:p>
        </w:tc>
        <w:tc>
          <w:tcPr>
            <w:tcW w:w="126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spacing w:after="0"/>
              <w:rPr>
                <w:sz w:val="11"/>
                <w:szCs w:val="11"/>
                <w:color w:val="auto"/>
              </w:rPr>
            </w:pPr>
          </w:p>
        </w:tc>
        <w:tc>
          <w:tcPr>
            <w:tcW w:w="62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auto"/>
              </w:rPr>
              <w:t>[A]</w:t>
            </w:r>
          </w:p>
        </w:tc>
        <w:tc>
          <w:tcPr>
            <w:tcW w:w="11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139"/>
        </w:trPr>
        <w:tc>
          <w:tcPr>
            <w:tcW w:w="2980" w:type="dxa"/>
            <w:vAlign w:val="bottom"/>
            <w:tcBorders>
              <w:bottom w:val="single" w:sz="8" w:color="auto"/>
            </w:tcBorders>
            <w:gridSpan w:val="4"/>
          </w:tcPr>
          <w:p>
            <w:pPr>
              <w:spacing w:after="0"/>
              <w:rPr>
                <w:sz w:val="20"/>
                <w:szCs w:val="20"/>
                <w:color w:val="auto"/>
              </w:rPr>
            </w:pPr>
            <w:r>
              <w:rPr>
                <w:rFonts w:ascii="Arial" w:cs="Arial" w:eastAsia="Arial" w:hAnsi="Arial"/>
                <w:sz w:val="12"/>
                <w:szCs w:val="12"/>
                <w:color w:val="auto"/>
              </w:rPr>
              <w:t>Shares repurchased for cancellation</w:t>
            </w:r>
          </w:p>
        </w:tc>
        <w:tc>
          <w:tcPr>
            <w:tcW w:w="12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6"/>
        </w:trPr>
        <w:tc>
          <w:tcPr>
            <w:tcW w:w="16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At December 31, 2007</w:t>
            </w:r>
          </w:p>
        </w:tc>
        <w:tc>
          <w:tcPr>
            <w:tcW w:w="1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303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2"/>
                <w:szCs w:val="12"/>
                <w:b w:val="1"/>
                <w:bCs w:val="1"/>
                <w:color w:val="auto"/>
              </w:rPr>
              <w:t>[A]</w:t>
            </w:r>
          </w:p>
        </w:tc>
        <w:tc>
          <w:tcPr>
            <w:tcW w:w="11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-1826260</wp:posOffset>
            </wp:positionV>
            <wp:extent cx="3933190" cy="1778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933190" cy="177800"/>
                    </a:xfrm>
                    <a:prstGeom prst="rect">
                      <a:avLst/>
                    </a:prstGeom>
                    <a:noFill/>
                  </pic:spPr>
                </pic:pic>
              </a:graphicData>
            </a:graphic>
          </wp:anchor>
        </w:drawing>
        <w:drawing>
          <wp:anchor simplePos="0" relativeHeight="251657728" behindDoc="1" locked="0" layoutInCell="0" allowOverlap="1">
            <wp:simplePos x="0" y="0"/>
            <wp:positionH relativeFrom="column">
              <wp:posOffset>2037080</wp:posOffset>
            </wp:positionH>
            <wp:positionV relativeFrom="paragraph">
              <wp:posOffset>-819785</wp:posOffset>
            </wp:positionV>
            <wp:extent cx="3983990" cy="1778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983990" cy="17780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[A]  Less than $1 million.</w:t>
      </w:r>
    </w:p>
    <w:p>
      <w:pPr>
        <w:spacing w:after="0" w:line="200" w:lineRule="exact"/>
        <w:rPr>
          <w:sz w:val="20"/>
          <w:szCs w:val="20"/>
          <w:color w:val="auto"/>
        </w:rPr>
      </w:pPr>
    </w:p>
    <w:p>
      <w:pPr>
        <w:sectPr>
          <w:pgSz w:w="11900" w:h="16838" w:orient="portrait"/>
          <w:cols w:equalWidth="0" w:num="2">
            <w:col w:w="1600" w:space="340"/>
            <w:col w:w="948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144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50" w:name="page151"/>
    <w:bookmarkEnd w:id="15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76034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2575" cy="76034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26</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w:t>
      </w:r>
    </w:p>
    <w:p>
      <w:pPr>
        <w:spacing w:after="0" w:line="238" w:lineRule="auto"/>
        <w:rPr>
          <w:sz w:val="20"/>
          <w:szCs w:val="20"/>
          <w:color w:val="auto"/>
        </w:rPr>
      </w:pPr>
      <w:r>
        <w:rPr>
          <w:rFonts w:ascii="Arial" w:cs="Arial" w:eastAsia="Arial" w:hAnsi="Arial"/>
          <w:sz w:val="14"/>
          <w:szCs w:val="14"/>
          <w:b w:val="1"/>
          <w:bCs w:val="1"/>
          <w:color w:val="auto"/>
        </w:rPr>
        <w:t>INSTRUMENTS AND</w:t>
      </w:r>
    </w:p>
    <w:p>
      <w:pPr>
        <w:spacing w:after="0"/>
        <w:rPr>
          <w:sz w:val="20"/>
          <w:szCs w:val="20"/>
          <w:color w:val="auto"/>
        </w:rPr>
      </w:pPr>
      <w:r>
        <w:rPr>
          <w:rFonts w:ascii="Arial" w:cs="Arial" w:eastAsia="Arial" w:hAnsi="Arial"/>
          <w:sz w:val="14"/>
          <w:szCs w:val="14"/>
          <w:b w:val="1"/>
          <w:bCs w:val="1"/>
          <w:color w:val="auto"/>
        </w:rPr>
        <w:t>OTHER DERIVATIVE</w:t>
      </w:r>
    </w:p>
    <w:p>
      <w:pPr>
        <w:spacing w:after="0"/>
        <w:rPr>
          <w:sz w:val="20"/>
          <w:szCs w:val="20"/>
          <w:color w:val="auto"/>
        </w:rPr>
      </w:pPr>
      <w:r>
        <w:rPr>
          <w:rFonts w:ascii="Arial" w:cs="Arial" w:eastAsia="Arial" w:hAnsi="Arial"/>
          <w:sz w:val="14"/>
          <w:szCs w:val="14"/>
          <w:b w:val="1"/>
          <w:bCs w:val="1"/>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-3175</wp:posOffset>
            </wp:positionV>
            <wp:extent cx="8255" cy="54552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5455285"/>
                    </a:xfrm>
                    <a:prstGeom prst="rect">
                      <a:avLst/>
                    </a:prstGeom>
                    <a:noFill/>
                  </pic:spPr>
                </pic:pic>
              </a:graphicData>
            </a:graphic>
          </wp:anchor>
        </w:drawing>
      </w:r>
    </w:p>
    <w:p>
      <w:pPr>
        <w:ind w:left="340" w:right="1460"/>
        <w:spacing w:after="0" w:line="229" w:lineRule="auto"/>
        <w:rPr>
          <w:sz w:val="20"/>
          <w:szCs w:val="20"/>
          <w:color w:val="auto"/>
        </w:rPr>
      </w:pPr>
      <w:r>
        <w:rPr>
          <w:rFonts w:ascii="Arial" w:cs="Arial" w:eastAsia="Arial" w:hAnsi="Arial"/>
          <w:sz w:val="14"/>
          <w:szCs w:val="14"/>
          <w:color w:val="auto"/>
        </w:rPr>
        <w:t>Financial instruments and other derivative contracts in the Consolidated Balance Sheet comprise financial assets (see Note 14), cash and cash equivalents (see Note 18), debt (see Note 19) and certain amounts (including derivatives) reported within other non-current assets, accounts receivable, accounts payable and accrued liabilities and other non-current liabilities.</w:t>
      </w:r>
    </w:p>
    <w:p>
      <w:pPr>
        <w:spacing w:after="0" w:line="73" w:lineRule="exact"/>
        <w:rPr>
          <w:sz w:val="20"/>
          <w:szCs w:val="20"/>
          <w:color w:val="auto"/>
        </w:rPr>
      </w:pPr>
    </w:p>
    <w:p>
      <w:pPr>
        <w:ind w:left="340" w:right="1700"/>
        <w:spacing w:after="0" w:line="247" w:lineRule="auto"/>
        <w:rPr>
          <w:sz w:val="20"/>
          <w:szCs w:val="20"/>
          <w:color w:val="auto"/>
        </w:rPr>
      </w:pPr>
      <w:r>
        <w:rPr>
          <w:rFonts w:ascii="Arial" w:cs="Arial" w:eastAsia="Arial" w:hAnsi="Arial"/>
          <w:sz w:val="14"/>
          <w:szCs w:val="14"/>
          <w:color w:val="auto"/>
        </w:rPr>
        <w:t>Subsidiaries, in the normal course of their business, use financial instruments of various kinds for the purposes of managing exposure to interest rate, currency and commodity price movements.</w:t>
      </w:r>
    </w:p>
    <w:p>
      <w:pPr>
        <w:spacing w:after="0" w:line="68" w:lineRule="exact"/>
        <w:rPr>
          <w:sz w:val="20"/>
          <w:szCs w:val="20"/>
          <w:color w:val="auto"/>
        </w:rPr>
      </w:pPr>
    </w:p>
    <w:p>
      <w:pPr>
        <w:ind w:left="340" w:right="1460"/>
        <w:spacing w:after="0" w:line="251" w:lineRule="auto"/>
        <w:rPr>
          <w:sz w:val="20"/>
          <w:szCs w:val="20"/>
          <w:color w:val="auto"/>
        </w:rPr>
      </w:pPr>
      <w:r>
        <w:rPr>
          <w:rFonts w:ascii="Arial" w:cs="Arial" w:eastAsia="Arial" w:hAnsi="Arial"/>
          <w:sz w:val="13"/>
          <w:szCs w:val="13"/>
          <w:color w:val="auto"/>
        </w:rPr>
        <w:t>Shell has treasury standards applicable to all subsidiaries and each subsidiary is required to adopt a treasury policy consistent with these standards. These policies cover financing structure, interest rate and foreign exchange risk management, insurance, counterparty risk management and derivative instruments, as well as the treasury control framework. Wherever possible, treasury operations are operated through specialist Shell group regional organisations without removing from each subsidiary the responsibility to formulate and implement appropriate treasury policies.</w:t>
      </w:r>
    </w:p>
    <w:p>
      <w:pPr>
        <w:spacing w:after="0" w:line="67" w:lineRule="exact"/>
        <w:rPr>
          <w:sz w:val="20"/>
          <w:szCs w:val="20"/>
          <w:color w:val="auto"/>
        </w:rPr>
      </w:pPr>
    </w:p>
    <w:p>
      <w:pPr>
        <w:ind w:left="340" w:right="1580"/>
        <w:spacing w:after="0" w:line="247" w:lineRule="auto"/>
        <w:rPr>
          <w:sz w:val="20"/>
          <w:szCs w:val="20"/>
          <w:color w:val="auto"/>
        </w:rPr>
      </w:pPr>
      <w:r>
        <w:rPr>
          <w:rFonts w:ascii="Arial" w:cs="Arial" w:eastAsia="Arial" w:hAnsi="Arial"/>
          <w:sz w:val="14"/>
          <w:szCs w:val="14"/>
          <w:color w:val="auto"/>
        </w:rPr>
        <w:t>Other than in exceptional cases, the use of external derivative instruments is confined to specialist oil and gas trading and central treasury organisations which have appropriate skills, experience, supervision, control and reporting systems.</w:t>
      </w:r>
    </w:p>
    <w:p>
      <w:pPr>
        <w:spacing w:after="0" w:line="68" w:lineRule="exact"/>
        <w:rPr>
          <w:sz w:val="20"/>
          <w:szCs w:val="20"/>
          <w:color w:val="auto"/>
        </w:rPr>
      </w:pPr>
    </w:p>
    <w:p>
      <w:pPr>
        <w:ind w:left="340" w:right="1800"/>
        <w:spacing w:after="0" w:line="247" w:lineRule="auto"/>
        <w:rPr>
          <w:sz w:val="20"/>
          <w:szCs w:val="20"/>
          <w:color w:val="auto"/>
        </w:rPr>
      </w:pPr>
      <w:r>
        <w:rPr>
          <w:rFonts w:ascii="Arial" w:cs="Arial" w:eastAsia="Arial" w:hAnsi="Arial"/>
          <w:sz w:val="14"/>
          <w:szCs w:val="14"/>
          <w:color w:val="auto"/>
        </w:rPr>
        <w:t>Apart from forward foreign exchange contracts to meet known commitments, the use of derivative financial instruments by most subsidiaries is not permitted by their treasury policy.</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Shell’s operations expose it to market, credit and liquidity risk: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Market risk</w:t>
      </w:r>
    </w:p>
    <w:p>
      <w:pPr>
        <w:spacing w:after="0" w:line="7" w:lineRule="exact"/>
        <w:rPr>
          <w:sz w:val="20"/>
          <w:szCs w:val="20"/>
          <w:color w:val="auto"/>
        </w:rPr>
      </w:pPr>
    </w:p>
    <w:p>
      <w:pPr>
        <w:ind w:left="340" w:right="1820"/>
        <w:spacing w:after="0" w:line="307" w:lineRule="auto"/>
        <w:rPr>
          <w:sz w:val="20"/>
          <w:szCs w:val="20"/>
          <w:color w:val="auto"/>
        </w:rPr>
      </w:pPr>
      <w:r>
        <w:rPr>
          <w:rFonts w:ascii="Arial" w:cs="Arial" w:eastAsia="Arial" w:hAnsi="Arial"/>
          <w:sz w:val="12"/>
          <w:szCs w:val="12"/>
          <w:color w:val="auto"/>
        </w:rPr>
        <w:t>Market risk is the possibility that changes in interest rates, currency exchange rates or the prices of natural gas, electrical power, crude oil, refined products, chemical feedstocks and environmental products will adversely affect the value of Shell’s assets, liabilities or expected future cash flows.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Interest rate risk</w:t>
      </w:r>
    </w:p>
    <w:p>
      <w:pPr>
        <w:ind w:left="340" w:right="1580"/>
        <w:spacing w:after="0" w:line="223" w:lineRule="auto"/>
        <w:rPr>
          <w:sz w:val="20"/>
          <w:szCs w:val="20"/>
          <w:color w:val="auto"/>
        </w:rPr>
      </w:pPr>
      <w:r>
        <w:rPr>
          <w:rFonts w:ascii="Arial" w:cs="Arial" w:eastAsia="Arial" w:hAnsi="Arial"/>
          <w:sz w:val="14"/>
          <w:szCs w:val="14"/>
          <w:color w:val="auto"/>
        </w:rPr>
        <w:t>Most of Shell’s debt is raised from central borrowing programmes. Shell has entered into interest rate swaps and currency swaps to effectively convert most centrally-issued debt to floating rate US dollar LIBOR (London Inter-Bank Offer Rate), reflecting its policy to have debt mainly denominated in US dollars and to have largely floating interest rate exposure profile. Consequently Shell is exposed predominantly to US dollar LIBOR interest rate movements. The financing of most subsidiaries is also structured on a floating-rate basis and, except in special cases, further interest rate risk management is discouraged. Based on the Consolidated Balance Sheet at December 31, 2007, the impact on net interest income/expense of a change in interest rates of 1% would not be significant.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Foreign exchange risk</w:t>
      </w:r>
    </w:p>
    <w:p>
      <w:pPr>
        <w:ind w:left="340" w:right="1700"/>
        <w:spacing w:after="0" w:line="250" w:lineRule="auto"/>
        <w:rPr>
          <w:sz w:val="20"/>
          <w:szCs w:val="20"/>
          <w:color w:val="auto"/>
        </w:rPr>
      </w:pPr>
      <w:r>
        <w:rPr>
          <w:rFonts w:ascii="Arial" w:cs="Arial" w:eastAsia="Arial" w:hAnsi="Arial"/>
          <w:sz w:val="13"/>
          <w:szCs w:val="13"/>
          <w:color w:val="auto"/>
        </w:rPr>
        <w:t>The functional currency for most upstream companies and for other companies with significant international business is the US dollar, but other companies usually have their local currency as their functional currency. Foreign exchange risk arises when certain transactions are denominated in a currency that is not the entity’s functional currency. Typically these transactions are income/expense or non-monetary item related.</w:t>
      </w:r>
    </w:p>
    <w:p>
      <w:pPr>
        <w:spacing w:after="0" w:line="67" w:lineRule="exact"/>
        <w:rPr>
          <w:sz w:val="20"/>
          <w:szCs w:val="20"/>
          <w:color w:val="auto"/>
        </w:rPr>
      </w:pPr>
    </w:p>
    <w:p>
      <w:pPr>
        <w:ind w:left="340" w:right="1560"/>
        <w:spacing w:after="0" w:line="226" w:lineRule="auto"/>
        <w:rPr>
          <w:sz w:val="20"/>
          <w:szCs w:val="20"/>
          <w:color w:val="auto"/>
        </w:rPr>
      </w:pPr>
      <w:r>
        <w:rPr>
          <w:rFonts w:ascii="Arial" w:cs="Arial" w:eastAsia="Arial" w:hAnsi="Arial"/>
          <w:sz w:val="14"/>
          <w:szCs w:val="14"/>
          <w:color w:val="auto"/>
        </w:rPr>
        <w:t>Each subsidiary has treasury policies in place which are designed to measure and manage its foreign currency exposures by reference to its functional currency and to report foreign exchange gains and losses. Shell co-ordinates the management of these currency risks by providing regional treasury centres to transact with subsidiaries and facilitate the netting of foreign exchange positions. These net positions are then managed and transactions undertaken with the external market. A range of derivatives are used, the most common being forward foreign exchange contracts. Most of Shell’s debt is either denominated in US dollars or is hedged back into US dollars using currency swaps. Foreign exchange gains and losses arising from foreign currency transactions included in income are not significant.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Price risk</w:t>
      </w:r>
    </w:p>
    <w:p>
      <w:pPr>
        <w:ind w:left="340" w:right="1480"/>
        <w:spacing w:after="0" w:line="226" w:lineRule="auto"/>
        <w:rPr>
          <w:sz w:val="20"/>
          <w:szCs w:val="20"/>
          <w:color w:val="auto"/>
        </w:rPr>
      </w:pPr>
      <w:r>
        <w:rPr>
          <w:rFonts w:ascii="Arial" w:cs="Arial" w:eastAsia="Arial" w:hAnsi="Arial"/>
          <w:sz w:val="14"/>
          <w:szCs w:val="14"/>
          <w:color w:val="auto"/>
        </w:rPr>
        <w:t>Certain subsidiaries have a mandate to trade natural gas, electrical power, crude oil, refined products, chemical feedstocks and environmental products, and to use commodity swaps, options and futures as a means of managing price and timing risks arising from this trading. In effecting these transactions, the companies concerned operate within procedures and policies designed to ensure that risks, including those relating to the default of counterparties, are minimised.</w:t>
      </w:r>
    </w:p>
    <w:p>
      <w:pPr>
        <w:spacing w:after="0" w:line="74" w:lineRule="exact"/>
        <w:rPr>
          <w:sz w:val="20"/>
          <w:szCs w:val="20"/>
          <w:color w:val="auto"/>
        </w:rPr>
      </w:pPr>
    </w:p>
    <w:p>
      <w:pPr>
        <w:ind w:left="340" w:right="1640"/>
        <w:spacing w:after="0" w:line="231" w:lineRule="auto"/>
        <w:rPr>
          <w:sz w:val="20"/>
          <w:szCs w:val="20"/>
          <w:color w:val="auto"/>
        </w:rPr>
      </w:pPr>
      <w:r>
        <w:rPr>
          <w:rFonts w:ascii="Arial" w:cs="Arial" w:eastAsia="Arial" w:hAnsi="Arial"/>
          <w:sz w:val="14"/>
          <w:szCs w:val="14"/>
          <w:color w:val="auto"/>
        </w:rPr>
        <w:t>Shell uses risk management systems for recording and valuing instruments. There is regular review of mandated trading limits by senior management, daily monitoring of market risk exposure using value-at-risk (VAR) techniques (see below), daily monitoring of trading positions against limits and marking-to-market of trading exposures with a department independent of traders reviewing the market values applied to trading exposures. Shell’s exposure to substantial trading losses is therefore considered limited.</w:t>
      </w:r>
    </w:p>
    <w:p>
      <w:pPr>
        <w:spacing w:after="0" w:line="73" w:lineRule="exact"/>
        <w:rPr>
          <w:sz w:val="20"/>
          <w:szCs w:val="20"/>
          <w:color w:val="auto"/>
        </w:rPr>
      </w:pPr>
    </w:p>
    <w:p>
      <w:pPr>
        <w:ind w:left="340" w:right="1500"/>
        <w:spacing w:after="0" w:line="231" w:lineRule="auto"/>
        <w:rPr>
          <w:sz w:val="20"/>
          <w:szCs w:val="20"/>
          <w:color w:val="auto"/>
        </w:rPr>
      </w:pPr>
      <w:r>
        <w:rPr>
          <w:rFonts w:ascii="Arial" w:cs="Arial" w:eastAsia="Arial" w:hAnsi="Arial"/>
          <w:sz w:val="14"/>
          <w:szCs w:val="14"/>
          <w:color w:val="auto"/>
        </w:rPr>
        <w:t>Shell utilises VAR techniques based on variance/covariance or Monte Carlo simulation models and make a statistical assessment of the market risk arising from possible future changes in market values over a 24-hour period and within a 95% confidence level. The calculation of the range of potential changes in fair value takes into account positions, the history of price movements and the correlation of these price movements. Each of the models is regularly back tested against actual fair value movements to ensure model integrity is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987425</wp:posOffset>
            </wp:positionV>
            <wp:extent cx="7252970"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40" w:type="dxa"/>
            <w:vAlign w:val="bottom"/>
            <w:gridSpan w:val="3"/>
          </w:tcPr>
          <w:p>
            <w:pPr>
              <w:spacing w:after="0"/>
              <w:rPr>
                <w:sz w:val="20"/>
                <w:szCs w:val="20"/>
                <w:color w:val="auto"/>
              </w:rPr>
            </w:pPr>
            <w:r>
              <w:rPr>
                <w:rFonts w:ascii="Arial" w:cs="Arial" w:eastAsia="Arial" w:hAnsi="Arial"/>
                <w:sz w:val="12"/>
                <w:szCs w:val="12"/>
                <w:color w:val="auto"/>
              </w:rPr>
              <w:t>NOTES TO THE CONSOLIDATED FINANCIAL STATEMENTS</w:t>
            </w:r>
          </w:p>
        </w:tc>
        <w:tc>
          <w:tcPr>
            <w:tcW w:w="1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520" w:type="dxa"/>
            <w:vAlign w:val="bottom"/>
            <w:vMerge w:val="restart"/>
          </w:tcPr>
          <w:p>
            <w:pPr>
              <w:spacing w:after="0"/>
              <w:rPr>
                <w:sz w:val="20"/>
                <w:szCs w:val="20"/>
                <w:color w:val="auto"/>
              </w:rPr>
            </w:pPr>
            <w:r>
              <w:rPr>
                <w:rFonts w:ascii="Arial" w:cs="Arial" w:eastAsia="Arial" w:hAnsi="Arial"/>
                <w:sz w:val="12"/>
                <w:szCs w:val="12"/>
                <w:b w:val="1"/>
                <w:bCs w:val="1"/>
                <w:i w:val="1"/>
                <w:iCs w:val="1"/>
                <w:color w:val="7DD0E0"/>
              </w:rPr>
              <w:t>Note 26 continued</w:t>
            </w:r>
          </w:p>
        </w:tc>
        <w:tc>
          <w:tcPr>
            <w:tcW w:w="440" w:type="dxa"/>
            <w:vAlign w:val="bottom"/>
            <w:vMerge w:val="restart"/>
          </w:tcPr>
          <w:p>
            <w:pPr>
              <w:spacing w:after="0"/>
              <w:rPr>
                <w:sz w:val="21"/>
                <w:szCs w:val="21"/>
                <w:color w:val="auto"/>
              </w:rPr>
            </w:pPr>
          </w:p>
        </w:tc>
        <w:tc>
          <w:tcPr>
            <w:tcW w:w="1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5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198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VALUE-AT-RISK (pre-tax)</w:t>
            </w:r>
          </w:p>
        </w:tc>
        <w:tc>
          <w:tcPr>
            <w:tcW w:w="126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920" w:type="dxa"/>
            <w:vAlign w:val="bottom"/>
            <w:shd w:val="clear" w:color="auto" w:fill="7DD0E0"/>
          </w:tcPr>
          <w:p>
            <w:pPr>
              <w:spacing w:after="0"/>
              <w:rPr>
                <w:sz w:val="11"/>
                <w:szCs w:val="11"/>
                <w:color w:val="auto"/>
              </w:rPr>
            </w:pPr>
          </w:p>
        </w:tc>
        <w:tc>
          <w:tcPr>
            <w:tcW w:w="440" w:type="dxa"/>
            <w:vAlign w:val="bottom"/>
            <w:shd w:val="clear" w:color="auto" w:fill="7DD0E0"/>
          </w:tcPr>
          <w:p>
            <w:pPr>
              <w:spacing w:after="0"/>
              <w:rPr>
                <w:sz w:val="11"/>
                <w:szCs w:val="11"/>
                <w:color w:val="auto"/>
              </w:rPr>
            </w:pPr>
          </w:p>
        </w:tc>
        <w:tc>
          <w:tcPr>
            <w:tcW w:w="360" w:type="dxa"/>
            <w:vAlign w:val="bottom"/>
            <w:shd w:val="clear" w:color="auto" w:fill="7DD0E0"/>
          </w:tcPr>
          <w:p>
            <w:pPr>
              <w:spacing w:after="0"/>
              <w:rPr>
                <w:sz w:val="11"/>
                <w:szCs w:val="11"/>
                <w:color w:val="auto"/>
              </w:rPr>
            </w:pPr>
          </w:p>
        </w:tc>
        <w:tc>
          <w:tcPr>
            <w:tcW w:w="1100" w:type="dxa"/>
            <w:vAlign w:val="bottom"/>
            <w:shd w:val="clear" w:color="auto" w:fill="7DD0E0"/>
          </w:tcPr>
          <w:p>
            <w:pPr>
              <w:spacing w:after="0"/>
              <w:rPr>
                <w:sz w:val="11"/>
                <w:szCs w:val="11"/>
                <w:color w:val="auto"/>
              </w:rPr>
            </w:pPr>
          </w:p>
        </w:tc>
        <w:tc>
          <w:tcPr>
            <w:tcW w:w="820" w:type="dxa"/>
            <w:vAlign w:val="bottom"/>
            <w:shd w:val="clear" w:color="auto" w:fill="7DD0E0"/>
          </w:tcPr>
          <w:p>
            <w:pPr>
              <w:spacing w:after="0"/>
              <w:rPr>
                <w:sz w:val="11"/>
                <w:szCs w:val="11"/>
                <w:color w:val="auto"/>
              </w:rPr>
            </w:pPr>
          </w:p>
        </w:tc>
        <w:tc>
          <w:tcPr>
            <w:tcW w:w="900" w:type="dxa"/>
            <w:vAlign w:val="bottom"/>
            <w:shd w:val="clear" w:color="auto" w:fill="7DD0E0"/>
          </w:tcPr>
          <w:p>
            <w:pPr>
              <w:spacing w:after="0"/>
              <w:rPr>
                <w:sz w:val="11"/>
                <w:szCs w:val="11"/>
                <w:color w:val="auto"/>
              </w:rPr>
            </w:pPr>
          </w:p>
        </w:tc>
        <w:tc>
          <w:tcPr>
            <w:tcW w:w="82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shd w:val="clear" w:color="auto" w:fill="CECAC6"/>
          </w:tcPr>
          <w:p>
            <w:pPr>
              <w:spacing w:after="0"/>
              <w:rPr>
                <w:sz w:val="11"/>
                <w:szCs w:val="11"/>
                <w:color w:val="auto"/>
              </w:rPr>
            </w:pPr>
          </w:p>
        </w:tc>
        <w:tc>
          <w:tcPr>
            <w:tcW w:w="1260" w:type="dxa"/>
            <w:vAlign w:val="bottom"/>
            <w:shd w:val="clear" w:color="auto" w:fill="CECAC6"/>
          </w:tcPr>
          <w:p>
            <w:pPr>
              <w:spacing w:after="0"/>
              <w:rPr>
                <w:sz w:val="11"/>
                <w:szCs w:val="11"/>
                <w:color w:val="auto"/>
              </w:rPr>
            </w:pPr>
          </w:p>
        </w:tc>
        <w:tc>
          <w:tcPr>
            <w:tcW w:w="860" w:type="dxa"/>
            <w:vAlign w:val="bottom"/>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800" w:type="dxa"/>
            <w:vAlign w:val="bottom"/>
            <w:gridSpan w:val="2"/>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2007</w:t>
            </w:r>
          </w:p>
        </w:tc>
        <w:tc>
          <w:tcPr>
            <w:tcW w:w="110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shd w:val="clear" w:color="auto" w:fill="CECAC6"/>
          </w:tcPr>
          <w:p>
            <w:pPr>
              <w:spacing w:after="0"/>
              <w:rPr>
                <w:sz w:val="12"/>
                <w:szCs w:val="12"/>
                <w:color w:val="auto"/>
              </w:rPr>
            </w:pPr>
          </w:p>
        </w:tc>
        <w:tc>
          <w:tcPr>
            <w:tcW w:w="126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High</w:t>
            </w:r>
          </w:p>
        </w:tc>
        <w:tc>
          <w:tcPr>
            <w:tcW w:w="8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Low</w:t>
            </w:r>
          </w:p>
        </w:tc>
        <w:tc>
          <w:tcPr>
            <w:tcW w:w="9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Average</w:t>
            </w:r>
          </w:p>
        </w:tc>
        <w:tc>
          <w:tcPr>
            <w:tcW w:w="800" w:type="dxa"/>
            <w:vAlign w:val="bottom"/>
            <w:gridSpan w:val="2"/>
            <w:shd w:val="clear" w:color="auto" w:fill="CECAC6"/>
          </w:tcPr>
          <w:p>
            <w:pPr>
              <w:jc w:val="right"/>
              <w:ind w:right="18"/>
              <w:spacing w:after="0"/>
              <w:rPr>
                <w:sz w:val="20"/>
                <w:szCs w:val="20"/>
                <w:color w:val="auto"/>
              </w:rPr>
            </w:pPr>
            <w:r>
              <w:rPr>
                <w:rFonts w:ascii="Arial" w:cs="Arial" w:eastAsia="Arial" w:hAnsi="Arial"/>
                <w:sz w:val="12"/>
                <w:szCs w:val="12"/>
                <w:color w:val="auto"/>
              </w:rPr>
              <w:t>Year end</w:t>
            </w:r>
          </w:p>
        </w:tc>
        <w:tc>
          <w:tcPr>
            <w:tcW w:w="1100" w:type="dxa"/>
            <w:vAlign w:val="bottom"/>
            <w:shd w:val="clear" w:color="auto" w:fill="CECAC6"/>
          </w:tcPr>
          <w:p>
            <w:pPr>
              <w:jc w:val="right"/>
              <w:ind w:right="298"/>
              <w:spacing w:after="0"/>
              <w:rPr>
                <w:sz w:val="20"/>
                <w:szCs w:val="20"/>
                <w:color w:val="auto"/>
              </w:rPr>
            </w:pPr>
            <w:r>
              <w:rPr>
                <w:rFonts w:ascii="Arial" w:cs="Arial" w:eastAsia="Arial" w:hAnsi="Arial"/>
                <w:sz w:val="12"/>
                <w:szCs w:val="12"/>
                <w:color w:val="auto"/>
              </w:rPr>
              <w:t>High</w:t>
            </w:r>
          </w:p>
        </w:tc>
        <w:tc>
          <w:tcPr>
            <w:tcW w:w="82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Low</w:t>
            </w:r>
          </w:p>
        </w:tc>
        <w:tc>
          <w:tcPr>
            <w:tcW w:w="9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Average</w:t>
            </w:r>
          </w:p>
        </w:tc>
        <w:tc>
          <w:tcPr>
            <w:tcW w:w="8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Year end</w:t>
            </w:r>
          </w:p>
        </w:tc>
        <w:tc>
          <w:tcPr>
            <w:tcW w:w="0" w:type="dxa"/>
            <w:vAlign w:val="bottom"/>
          </w:tcPr>
          <w:p>
            <w:pPr>
              <w:spacing w:after="0"/>
              <w:rPr>
                <w:sz w:val="1"/>
                <w:szCs w:val="1"/>
                <w:color w:val="auto"/>
              </w:rPr>
            </w:pPr>
          </w:p>
        </w:tc>
      </w:tr>
      <w:tr>
        <w:trPr>
          <w:trHeight w:val="127"/>
        </w:trPr>
        <w:tc>
          <w:tcPr>
            <w:tcW w:w="1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tcPr>
          <w:p>
            <w:pPr>
              <w:spacing w:after="0" w:line="128" w:lineRule="exact"/>
              <w:rPr>
                <w:sz w:val="20"/>
                <w:szCs w:val="20"/>
                <w:color w:val="auto"/>
              </w:rPr>
            </w:pPr>
            <w:r>
              <w:rPr>
                <w:rFonts w:ascii="Arial" w:cs="Arial" w:eastAsia="Arial" w:hAnsi="Arial"/>
                <w:sz w:val="12"/>
                <w:szCs w:val="12"/>
                <w:color w:val="auto"/>
              </w:rPr>
              <w:t>Oil Products and Chemicals</w:t>
            </w:r>
          </w:p>
        </w:tc>
        <w:tc>
          <w:tcPr>
            <w:tcW w:w="1260" w:type="dxa"/>
            <w:vAlign w:val="bottom"/>
          </w:tcPr>
          <w:p>
            <w:pPr>
              <w:jc w:val="right"/>
              <w:ind w:right="318"/>
              <w:spacing w:after="0" w:line="128" w:lineRule="exact"/>
              <w:rPr>
                <w:sz w:val="20"/>
                <w:szCs w:val="20"/>
                <w:color w:val="auto"/>
              </w:rPr>
            </w:pPr>
            <w:r>
              <w:rPr>
                <w:rFonts w:ascii="Arial" w:cs="Arial" w:eastAsia="Arial" w:hAnsi="Arial"/>
                <w:sz w:val="12"/>
                <w:szCs w:val="12"/>
                <w:color w:val="auto"/>
              </w:rPr>
              <w:t>23</w:t>
            </w:r>
          </w:p>
        </w:tc>
        <w:tc>
          <w:tcPr>
            <w:tcW w:w="8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w:t>
            </w:r>
          </w:p>
        </w:tc>
        <w:tc>
          <w:tcPr>
            <w:tcW w:w="92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13</w:t>
            </w:r>
          </w:p>
        </w:tc>
        <w:tc>
          <w:tcPr>
            <w:tcW w:w="440" w:type="dxa"/>
            <w:vAlign w:val="bottom"/>
          </w:tcPr>
          <w:p>
            <w:pPr>
              <w:spacing w:after="0"/>
              <w:rPr>
                <w:sz w:val="11"/>
                <w:szCs w:val="11"/>
                <w:color w:val="auto"/>
              </w:rPr>
            </w:pPr>
          </w:p>
        </w:tc>
        <w:tc>
          <w:tcPr>
            <w:tcW w:w="3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19</w:t>
            </w:r>
          </w:p>
        </w:tc>
        <w:tc>
          <w:tcPr>
            <w:tcW w:w="110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21</w:t>
            </w:r>
          </w:p>
        </w:tc>
        <w:tc>
          <w:tcPr>
            <w:tcW w:w="82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6</w:t>
            </w:r>
          </w:p>
        </w:tc>
        <w:tc>
          <w:tcPr>
            <w:tcW w:w="90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13</w:t>
            </w:r>
          </w:p>
        </w:tc>
        <w:tc>
          <w:tcPr>
            <w:tcW w:w="8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9"/>
        </w:trPr>
        <w:tc>
          <w:tcPr>
            <w:tcW w:w="1520" w:type="dxa"/>
            <w:vAlign w:val="bottom"/>
          </w:tcPr>
          <w:p>
            <w:pPr>
              <w:spacing w:after="0"/>
              <w:rPr>
                <w:sz w:val="12"/>
                <w:szCs w:val="12"/>
                <w:color w:val="auto"/>
              </w:rPr>
            </w:pPr>
          </w:p>
        </w:tc>
        <w:tc>
          <w:tcPr>
            <w:tcW w:w="2420" w:type="dxa"/>
            <w:vAlign w:val="bottom"/>
            <w:gridSpan w:val="2"/>
          </w:tcPr>
          <w:p>
            <w:pPr>
              <w:ind w:left="420"/>
              <w:spacing w:after="0"/>
              <w:rPr>
                <w:sz w:val="20"/>
                <w:szCs w:val="20"/>
                <w:color w:val="auto"/>
              </w:rPr>
            </w:pPr>
            <w:r>
              <w:rPr>
                <w:rFonts w:ascii="Arial" w:cs="Arial" w:eastAsia="Arial" w:hAnsi="Arial"/>
                <w:sz w:val="12"/>
                <w:szCs w:val="12"/>
                <w:color w:val="auto"/>
              </w:rPr>
              <w:t>Gas &amp; Power</w:t>
            </w:r>
          </w:p>
        </w:tc>
        <w:tc>
          <w:tcPr>
            <w:tcW w:w="1260" w:type="dxa"/>
            <w:vAlign w:val="bottom"/>
          </w:tcPr>
          <w:p>
            <w:pPr>
              <w:jc w:val="right"/>
              <w:ind w:right="318"/>
              <w:spacing w:after="0"/>
              <w:rPr>
                <w:sz w:val="20"/>
                <w:szCs w:val="20"/>
                <w:color w:val="auto"/>
              </w:rPr>
            </w:pPr>
            <w:r>
              <w:rPr>
                <w:rFonts w:ascii="Arial" w:cs="Arial" w:eastAsia="Arial" w:hAnsi="Arial"/>
                <w:sz w:val="12"/>
                <w:szCs w:val="12"/>
                <w:color w:val="auto"/>
              </w:rPr>
              <w:t>20</w:t>
            </w:r>
          </w:p>
        </w:tc>
        <w:tc>
          <w:tcPr>
            <w:tcW w:w="860" w:type="dxa"/>
            <w:vAlign w:val="bottom"/>
          </w:tcPr>
          <w:p>
            <w:pPr>
              <w:jc w:val="right"/>
              <w:ind w:right="178"/>
              <w:spacing w:after="0"/>
              <w:rPr>
                <w:sz w:val="20"/>
                <w:szCs w:val="20"/>
                <w:color w:val="auto"/>
              </w:rPr>
            </w:pPr>
            <w:r>
              <w:rPr>
                <w:rFonts w:ascii="Arial" w:cs="Arial" w:eastAsia="Arial" w:hAnsi="Arial"/>
                <w:sz w:val="12"/>
                <w:szCs w:val="12"/>
                <w:color w:val="auto"/>
              </w:rPr>
              <w:t>6</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11</w:t>
            </w:r>
          </w:p>
        </w:tc>
        <w:tc>
          <w:tcPr>
            <w:tcW w:w="440" w:type="dxa"/>
            <w:vAlign w:val="bottom"/>
          </w:tcPr>
          <w:p>
            <w:pPr>
              <w:spacing w:after="0"/>
              <w:rPr>
                <w:sz w:val="12"/>
                <w:szCs w:val="12"/>
                <w:color w:val="auto"/>
              </w:rPr>
            </w:pPr>
          </w:p>
        </w:tc>
        <w:tc>
          <w:tcPr>
            <w:tcW w:w="3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7</w:t>
            </w:r>
          </w:p>
        </w:tc>
        <w:tc>
          <w:tcPr>
            <w:tcW w:w="1100" w:type="dxa"/>
            <w:vAlign w:val="bottom"/>
          </w:tcPr>
          <w:p>
            <w:pPr>
              <w:jc w:val="right"/>
              <w:ind w:right="298"/>
              <w:spacing w:after="0"/>
              <w:rPr>
                <w:sz w:val="20"/>
                <w:szCs w:val="20"/>
                <w:color w:val="auto"/>
              </w:rPr>
            </w:pPr>
            <w:r>
              <w:rPr>
                <w:rFonts w:ascii="Arial" w:cs="Arial" w:eastAsia="Arial" w:hAnsi="Arial"/>
                <w:sz w:val="12"/>
                <w:szCs w:val="12"/>
                <w:color w:val="auto"/>
              </w:rPr>
              <w:t>16</w:t>
            </w:r>
          </w:p>
        </w:tc>
        <w:tc>
          <w:tcPr>
            <w:tcW w:w="820" w:type="dxa"/>
            <w:vAlign w:val="bottom"/>
          </w:tcPr>
          <w:p>
            <w:pPr>
              <w:jc w:val="right"/>
              <w:ind w:right="178"/>
              <w:spacing w:after="0"/>
              <w:rPr>
                <w:sz w:val="20"/>
                <w:szCs w:val="20"/>
                <w:color w:val="auto"/>
              </w:rPr>
            </w:pPr>
            <w:r>
              <w:rPr>
                <w:rFonts w:ascii="Arial" w:cs="Arial" w:eastAsia="Arial" w:hAnsi="Arial"/>
                <w:sz w:val="12"/>
                <w:szCs w:val="12"/>
                <w:color w:val="auto"/>
              </w:rPr>
              <w:t>4</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9</w:t>
            </w:r>
          </w:p>
        </w:tc>
        <w:tc>
          <w:tcPr>
            <w:tcW w:w="820" w:type="dxa"/>
            <w:vAlign w:val="bottom"/>
          </w:tcPr>
          <w:p>
            <w:pPr>
              <w:jc w:val="right"/>
              <w:ind w:right="38"/>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-464820</wp:posOffset>
            </wp:positionV>
            <wp:extent cx="8255" cy="53117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531177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-354330</wp:posOffset>
            </wp:positionV>
            <wp:extent cx="8255" cy="1689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168910"/>
                    </a:xfrm>
                    <a:prstGeom prst="rect">
                      <a:avLst/>
                    </a:prstGeom>
                    <a:noFill/>
                  </pic:spPr>
                </pic:pic>
              </a:graphicData>
            </a:graphic>
          </wp:anchor>
        </w:drawing>
      </w:r>
    </w:p>
    <w:p>
      <w:pPr>
        <w:spacing w:after="0" w:line="188"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Credit risk</w:t>
      </w:r>
    </w:p>
    <w:p>
      <w:pPr>
        <w:spacing w:after="0" w:line="7" w:lineRule="exact"/>
        <w:rPr>
          <w:sz w:val="20"/>
          <w:szCs w:val="20"/>
          <w:color w:val="auto"/>
        </w:rPr>
      </w:pPr>
    </w:p>
    <w:p>
      <w:pPr>
        <w:ind w:left="1940" w:right="180"/>
        <w:spacing w:after="0" w:line="234" w:lineRule="auto"/>
        <w:rPr>
          <w:sz w:val="20"/>
          <w:szCs w:val="20"/>
          <w:color w:val="auto"/>
        </w:rPr>
      </w:pPr>
      <w:r>
        <w:rPr>
          <w:rFonts w:ascii="Arial" w:cs="Arial" w:eastAsia="Arial" w:hAnsi="Arial"/>
          <w:sz w:val="14"/>
          <w:szCs w:val="14"/>
          <w:color w:val="auto"/>
        </w:rPr>
        <w:t>Shell has policies in place to ensure that wholesale sales of products are made to customers with an appropriate creditworthiness. In addition, Shell has policies that limit the amount of credit exposure to any financial institution. There has been no significant level of counterparty default.</w:t>
      </w:r>
    </w:p>
    <w:p>
      <w:pPr>
        <w:spacing w:after="0" w:line="74" w:lineRule="exact"/>
        <w:rPr>
          <w:sz w:val="20"/>
          <w:szCs w:val="20"/>
          <w:color w:val="auto"/>
        </w:rPr>
      </w:pPr>
    </w:p>
    <w:p>
      <w:pPr>
        <w:ind w:left="1940" w:right="120"/>
        <w:spacing w:after="0" w:line="235" w:lineRule="auto"/>
        <w:rPr>
          <w:sz w:val="20"/>
          <w:szCs w:val="20"/>
          <w:color w:val="auto"/>
        </w:rPr>
      </w:pPr>
      <w:r>
        <w:rPr>
          <w:rFonts w:ascii="Arial" w:cs="Arial" w:eastAsia="Arial" w:hAnsi="Arial"/>
          <w:sz w:val="14"/>
          <w:szCs w:val="14"/>
          <w:color w:val="auto"/>
        </w:rPr>
        <w:t>In commodity trading, counterparty credit risk is managed within a framework of individual credit limits with utilisation being regularly reviewed. Credit checks are performed by a department independent of traders, and are undertaken before contractual commitment. Where appropriate, the use of netting arrangements, credit derivatives, prepayments and/or margining are used to manage specific risks.</w:t>
      </w:r>
    </w:p>
    <w:p>
      <w:pPr>
        <w:spacing w:after="0" w:line="180"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Liquidity risk</w:t>
      </w:r>
    </w:p>
    <w:p>
      <w:pPr>
        <w:spacing w:after="0" w:line="7" w:lineRule="exact"/>
        <w:rPr>
          <w:sz w:val="20"/>
          <w:szCs w:val="20"/>
          <w:color w:val="auto"/>
        </w:rPr>
      </w:pPr>
    </w:p>
    <w:p>
      <w:pPr>
        <w:ind w:left="1940" w:right="60"/>
        <w:spacing w:after="0" w:line="234" w:lineRule="auto"/>
        <w:rPr>
          <w:sz w:val="20"/>
          <w:szCs w:val="20"/>
          <w:color w:val="auto"/>
        </w:rPr>
      </w:pPr>
      <w:r>
        <w:rPr>
          <w:rFonts w:ascii="Arial" w:cs="Arial" w:eastAsia="Arial" w:hAnsi="Arial"/>
          <w:sz w:val="14"/>
          <w:szCs w:val="14"/>
          <w:color w:val="auto"/>
        </w:rPr>
        <w:t>Liquidity risk is the risk that suitable sources of funding for Shell’s business activities may not be available. Shell believes that it has access to sufficient debt funding sources (capital markets), and to undrawn committed borrowing facilities to meet currently foreseeable borrowing requirements.</w:t>
      </w:r>
    </w:p>
    <w:p>
      <w:pPr>
        <w:spacing w:after="0" w:line="74" w:lineRule="exact"/>
        <w:rPr>
          <w:sz w:val="20"/>
          <w:szCs w:val="20"/>
          <w:color w:val="auto"/>
        </w:rPr>
      </w:pPr>
    </w:p>
    <w:p>
      <w:pPr>
        <w:ind w:left="1940" w:right="80"/>
        <w:spacing w:after="0" w:line="235" w:lineRule="auto"/>
        <w:rPr>
          <w:sz w:val="20"/>
          <w:szCs w:val="20"/>
          <w:color w:val="auto"/>
        </w:rPr>
      </w:pPr>
      <w:r>
        <w:rPr>
          <w:rFonts w:ascii="Arial" w:cs="Arial" w:eastAsia="Arial" w:hAnsi="Arial"/>
          <w:sz w:val="14"/>
          <w:szCs w:val="14"/>
          <w:color w:val="auto"/>
        </w:rPr>
        <w:t>Shell has long-term debt ratings of Aa1 and AA, assigned respectively by Moody’s and Standard &amp; Poor’s. Shell has access to a wide range of funding alternatives at competitive rates through the capital markets and banks. It centrally co-ordinates relationships with banks, borrowing and foreign exchange requirements and cash management activities.</w:t>
      </w:r>
    </w:p>
    <w:p>
      <w:pPr>
        <w:spacing w:after="0" w:line="73" w:lineRule="exact"/>
        <w:rPr>
          <w:sz w:val="20"/>
          <w:szCs w:val="20"/>
          <w:color w:val="auto"/>
        </w:rPr>
      </w:pPr>
    </w:p>
    <w:p>
      <w:pPr>
        <w:ind w:left="1940" w:right="120"/>
        <w:spacing w:after="0" w:line="231" w:lineRule="auto"/>
        <w:rPr>
          <w:sz w:val="20"/>
          <w:szCs w:val="20"/>
          <w:color w:val="auto"/>
        </w:rPr>
      </w:pPr>
      <w:r>
        <w:rPr>
          <w:rFonts w:ascii="Arial" w:cs="Arial" w:eastAsia="Arial" w:hAnsi="Arial"/>
          <w:sz w:val="14"/>
          <w:szCs w:val="14"/>
          <w:color w:val="auto"/>
        </w:rPr>
        <w:t>Unused lines of short-term credit at December 31, 2007 of $3.2 billion exclude committed facilities of $2.5 billion with a core group of highly-rated international banks, primarily used to provide support for commercial paper maturing within 30 days. They are available on same-day terms, incorporate pre-agreed pricing, and will expire in 2012. The terms and availability of these lines of credit are not conditional in any way on Shell’s financial ratios, its financial ratings or on the absence of events that could have a material adverse impact on its financial situation.</w:t>
      </w:r>
    </w:p>
    <w:p>
      <w:pPr>
        <w:spacing w:after="0" w:line="73"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Shell expects to be able to renew or increase these facilities as and when required on commercially acceptable terms.</w:t>
      </w:r>
    </w:p>
    <w:p>
      <w:pPr>
        <w:spacing w:after="0" w:line="92" w:lineRule="exact"/>
        <w:rPr>
          <w:sz w:val="20"/>
          <w:szCs w:val="20"/>
          <w:color w:val="auto"/>
        </w:rPr>
      </w:pPr>
    </w:p>
    <w:p>
      <w:pPr>
        <w:jc w:val="both"/>
        <w:ind w:left="1940" w:right="100"/>
        <w:spacing w:after="0" w:line="260" w:lineRule="auto"/>
        <w:rPr>
          <w:sz w:val="20"/>
          <w:szCs w:val="20"/>
          <w:color w:val="auto"/>
        </w:rPr>
      </w:pPr>
      <w:r>
        <w:rPr>
          <w:rFonts w:ascii="Arial" w:cs="Arial" w:eastAsia="Arial" w:hAnsi="Arial"/>
          <w:sz w:val="13"/>
          <w:szCs w:val="13"/>
          <w:color w:val="auto"/>
        </w:rPr>
        <w:t>Surplus cash is invested into a range of short-dated money market instruments including commercial paper, time deposits and money funds, which seek to ensure the security and liquidity of investments while optimising yield. This cash management also involves the use of foreign exchange contracts. In all cases investments are only permitted in high credit quality institutions/funds, with diversification of investment supported by maintaining counterparty credit limits.</w:t>
      </w:r>
    </w:p>
    <w:p>
      <w:pPr>
        <w:spacing w:after="0" w:line="167"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Derivative contracts</w:t>
      </w:r>
    </w:p>
    <w:p>
      <w:pPr>
        <w:spacing w:after="0" w:line="7"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The remainder of this Note relates to the use by subsidiaries of derivative contracts recognised at fair value in the Consolidated Balance Sheet.</w:t>
      </w:r>
    </w:p>
    <w:p>
      <w:pPr>
        <w:spacing w:after="0" w:line="80" w:lineRule="exact"/>
        <w:rPr>
          <w:sz w:val="20"/>
          <w:szCs w:val="20"/>
          <w:color w:val="auto"/>
        </w:rPr>
      </w:pPr>
    </w:p>
    <w:p>
      <w:pPr>
        <w:ind w:left="1940" w:right="40"/>
        <w:spacing w:after="0" w:line="247" w:lineRule="auto"/>
        <w:rPr>
          <w:sz w:val="20"/>
          <w:szCs w:val="20"/>
          <w:color w:val="auto"/>
        </w:rPr>
      </w:pPr>
      <w:r>
        <w:rPr>
          <w:rFonts w:ascii="Arial" w:cs="Arial" w:eastAsia="Arial" w:hAnsi="Arial"/>
          <w:sz w:val="14"/>
          <w:szCs w:val="14"/>
          <w:color w:val="auto"/>
        </w:rPr>
        <w:t>The following tables provide a summary of the estimated fair values of derivative contracts held at December 31, and a reconciliation to Shell’s Consolidated Balance Sheet.</w:t>
      </w:r>
    </w:p>
    <w:p>
      <w:pPr>
        <w:spacing w:after="0" w:line="321" w:lineRule="exact"/>
        <w:rPr>
          <w:sz w:val="20"/>
          <w:szCs w:val="20"/>
          <w:color w:val="auto"/>
        </w:rPr>
      </w:pPr>
    </w:p>
    <w:tbl>
      <w:tblPr>
        <w:tblLayout w:type="fixed"/>
        <w:tblInd w:w="19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40" w:type="dxa"/>
            <w:vAlign w:val="bottom"/>
            <w:shd w:val="clear" w:color="auto" w:fill="7DD0E0"/>
          </w:tcPr>
          <w:p>
            <w:pPr>
              <w:spacing w:after="0"/>
              <w:rPr>
                <w:sz w:val="12"/>
                <w:szCs w:val="12"/>
                <w:color w:val="auto"/>
              </w:rPr>
            </w:pPr>
          </w:p>
        </w:tc>
        <w:tc>
          <w:tcPr>
            <w:tcW w:w="1120" w:type="dxa"/>
            <w:vAlign w:val="bottom"/>
            <w:shd w:val="clear" w:color="auto" w:fill="7DD0E0"/>
          </w:tcPr>
          <w:p>
            <w:pPr>
              <w:spacing w:after="0"/>
              <w:rPr>
                <w:sz w:val="12"/>
                <w:szCs w:val="12"/>
                <w:color w:val="auto"/>
              </w:rPr>
            </w:pPr>
          </w:p>
        </w:tc>
        <w:tc>
          <w:tcPr>
            <w:tcW w:w="820" w:type="dxa"/>
            <w:vAlign w:val="bottom"/>
            <w:shd w:val="clear" w:color="auto" w:fill="7DD0E0"/>
          </w:tcPr>
          <w:p>
            <w:pPr>
              <w:spacing w:after="0"/>
              <w:rPr>
                <w:sz w:val="12"/>
                <w:szCs w:val="12"/>
                <w:color w:val="auto"/>
              </w:rPr>
            </w:pPr>
          </w:p>
        </w:tc>
        <w:tc>
          <w:tcPr>
            <w:tcW w:w="1120" w:type="dxa"/>
            <w:vAlign w:val="bottom"/>
            <w:shd w:val="clear" w:color="auto" w:fill="7DD0E0"/>
          </w:tcPr>
          <w:p>
            <w:pPr>
              <w:spacing w:after="0"/>
              <w:rPr>
                <w:sz w:val="12"/>
                <w:szCs w:val="12"/>
                <w:color w:val="auto"/>
              </w:rPr>
            </w:pPr>
          </w:p>
        </w:tc>
        <w:tc>
          <w:tcPr>
            <w:tcW w:w="940" w:type="dxa"/>
            <w:vAlign w:val="bottom"/>
            <w:shd w:val="clear" w:color="auto" w:fill="7DD0E0"/>
          </w:tcPr>
          <w:p>
            <w:pPr>
              <w:spacing w:after="0"/>
              <w:rPr>
                <w:sz w:val="12"/>
                <w:szCs w:val="12"/>
                <w:color w:val="auto"/>
              </w:rPr>
            </w:pPr>
          </w:p>
        </w:tc>
        <w:tc>
          <w:tcPr>
            <w:tcW w:w="820" w:type="dxa"/>
            <w:vAlign w:val="bottom"/>
            <w:shd w:val="clear" w:color="auto" w:fill="7DD0E0"/>
          </w:tcPr>
          <w:p>
            <w:pPr>
              <w:spacing w:after="0"/>
              <w:rPr>
                <w:sz w:val="12"/>
                <w:szCs w:val="12"/>
                <w:color w:val="auto"/>
              </w:rPr>
            </w:pPr>
          </w:p>
        </w:tc>
        <w:tc>
          <w:tcPr>
            <w:tcW w:w="90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3740" w:type="dxa"/>
            <w:vAlign w:val="bottom"/>
            <w:shd w:val="clear" w:color="auto" w:fill="CECAC6"/>
          </w:tcPr>
          <w:p>
            <w:pPr>
              <w:spacing w:after="0"/>
              <w:rPr>
                <w:sz w:val="11"/>
                <w:szCs w:val="11"/>
                <w:color w:val="auto"/>
              </w:rPr>
            </w:pPr>
          </w:p>
        </w:tc>
        <w:tc>
          <w:tcPr>
            <w:tcW w:w="112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1120" w:type="dxa"/>
            <w:vAlign w:val="bottom"/>
            <w:shd w:val="clear" w:color="auto" w:fill="CECAC6"/>
          </w:tcPr>
          <w:p>
            <w:pPr>
              <w:jc w:val="right"/>
              <w:ind w:right="238"/>
              <w:spacing w:after="0" w:line="128" w:lineRule="exact"/>
              <w:rPr>
                <w:sz w:val="20"/>
                <w:szCs w:val="20"/>
                <w:color w:val="auto"/>
              </w:rPr>
            </w:pPr>
            <w:r>
              <w:rPr>
                <w:rFonts w:ascii="Arial" w:cs="Arial" w:eastAsia="Arial" w:hAnsi="Arial"/>
                <w:sz w:val="12"/>
                <w:szCs w:val="12"/>
                <w:color w:val="auto"/>
              </w:rPr>
              <w:t>Dec 31, 2007</w:t>
            </w:r>
          </w:p>
        </w:tc>
        <w:tc>
          <w:tcPr>
            <w:tcW w:w="94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90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Dec 31, 2006</w:t>
            </w:r>
          </w:p>
        </w:tc>
      </w:tr>
      <w:tr>
        <w:trPr>
          <w:trHeight w:val="147"/>
        </w:trPr>
        <w:tc>
          <w:tcPr>
            <w:tcW w:w="20" w:type="dxa"/>
            <w:vAlign w:val="bottom"/>
          </w:tcPr>
          <w:p>
            <w:pPr>
              <w:spacing w:after="0"/>
              <w:rPr>
                <w:sz w:val="12"/>
                <w:szCs w:val="12"/>
                <w:color w:val="auto"/>
              </w:rPr>
            </w:pPr>
          </w:p>
        </w:tc>
        <w:tc>
          <w:tcPr>
            <w:tcW w:w="3740" w:type="dxa"/>
            <w:vAlign w:val="bottom"/>
            <w:shd w:val="clear" w:color="auto" w:fill="CECAC6"/>
          </w:tcPr>
          <w:p>
            <w:pPr>
              <w:spacing w:after="0"/>
              <w:rPr>
                <w:sz w:val="12"/>
                <w:szCs w:val="12"/>
                <w:color w:val="auto"/>
              </w:rPr>
            </w:pPr>
          </w:p>
        </w:tc>
        <w:tc>
          <w:tcPr>
            <w:tcW w:w="1120" w:type="dxa"/>
            <w:vAlign w:val="bottom"/>
            <w:shd w:val="clear" w:color="auto" w:fill="CECAC6"/>
          </w:tcPr>
          <w:p>
            <w:pPr>
              <w:spacing w:after="0"/>
              <w:rPr>
                <w:sz w:val="12"/>
                <w:szCs w:val="12"/>
                <w:color w:val="auto"/>
              </w:rPr>
            </w:pPr>
          </w:p>
        </w:tc>
        <w:tc>
          <w:tcPr>
            <w:tcW w:w="1940" w:type="dxa"/>
            <w:vAlign w:val="bottom"/>
            <w:gridSpan w:val="2"/>
            <w:shd w:val="clear" w:color="auto" w:fill="CECAC6"/>
          </w:tcPr>
          <w:p>
            <w:pPr>
              <w:jc w:val="right"/>
              <w:ind w:right="238"/>
              <w:spacing w:after="0"/>
              <w:rPr>
                <w:sz w:val="20"/>
                <w:szCs w:val="20"/>
                <w:color w:val="auto"/>
              </w:rPr>
            </w:pPr>
            <w:r>
              <w:rPr>
                <w:rFonts w:ascii="Arial" w:cs="Arial" w:eastAsia="Arial" w:hAnsi="Arial"/>
                <w:sz w:val="12"/>
                <w:szCs w:val="12"/>
                <w:color w:val="auto"/>
              </w:rPr>
              <w:t>Estimated fair value</w:t>
            </w:r>
          </w:p>
        </w:tc>
        <w:tc>
          <w:tcPr>
            <w:tcW w:w="940" w:type="dxa"/>
            <w:vAlign w:val="bottom"/>
            <w:shd w:val="clear" w:color="auto" w:fill="CECAC6"/>
          </w:tcPr>
          <w:p>
            <w:pPr>
              <w:spacing w:after="0"/>
              <w:rPr>
                <w:sz w:val="12"/>
                <w:szCs w:val="12"/>
                <w:color w:val="auto"/>
              </w:rPr>
            </w:pPr>
          </w:p>
        </w:tc>
        <w:tc>
          <w:tcPr>
            <w:tcW w:w="172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Estimated fair value</w:t>
            </w:r>
          </w:p>
        </w:tc>
      </w:tr>
      <w:tr>
        <w:trPr>
          <w:trHeight w:val="139"/>
        </w:trPr>
        <w:tc>
          <w:tcPr>
            <w:tcW w:w="20" w:type="dxa"/>
            <w:vAlign w:val="bottom"/>
          </w:tcPr>
          <w:p>
            <w:pPr>
              <w:spacing w:after="0"/>
              <w:rPr>
                <w:sz w:val="12"/>
                <w:szCs w:val="12"/>
                <w:color w:val="auto"/>
              </w:rPr>
            </w:pPr>
          </w:p>
        </w:tc>
        <w:tc>
          <w:tcPr>
            <w:tcW w:w="3740" w:type="dxa"/>
            <w:vAlign w:val="bottom"/>
            <w:shd w:val="clear" w:color="auto" w:fill="CECAC6"/>
          </w:tcPr>
          <w:p>
            <w:pPr>
              <w:spacing w:after="0"/>
              <w:rPr>
                <w:sz w:val="12"/>
                <w:szCs w:val="12"/>
                <w:color w:val="auto"/>
              </w:rPr>
            </w:pPr>
          </w:p>
        </w:tc>
        <w:tc>
          <w:tcPr>
            <w:tcW w:w="11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Asset</w:t>
            </w:r>
          </w:p>
        </w:tc>
        <w:tc>
          <w:tcPr>
            <w:tcW w:w="8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Liability</w:t>
            </w:r>
          </w:p>
        </w:tc>
        <w:tc>
          <w:tcPr>
            <w:tcW w:w="112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Net</w:t>
            </w:r>
          </w:p>
        </w:tc>
        <w:tc>
          <w:tcPr>
            <w:tcW w:w="94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Asset</w:t>
            </w:r>
          </w:p>
        </w:tc>
        <w:tc>
          <w:tcPr>
            <w:tcW w:w="8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Liability</w:t>
            </w:r>
          </w:p>
        </w:tc>
        <w:tc>
          <w:tcPr>
            <w:tcW w:w="9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Net</w:t>
            </w:r>
          </w:p>
        </w:tc>
      </w:tr>
      <w:tr>
        <w:trPr>
          <w:trHeight w:val="127"/>
        </w:trPr>
        <w:tc>
          <w:tcPr>
            <w:tcW w:w="20" w:type="dxa"/>
            <w:vAlign w:val="bottom"/>
          </w:tcPr>
          <w:p>
            <w:pPr>
              <w:spacing w:after="0"/>
              <w:rPr>
                <w:sz w:val="11"/>
                <w:szCs w:val="11"/>
                <w:color w:val="auto"/>
              </w:rPr>
            </w:pPr>
          </w:p>
        </w:tc>
        <w:tc>
          <w:tcPr>
            <w:tcW w:w="3740" w:type="dxa"/>
            <w:vAlign w:val="bottom"/>
          </w:tcPr>
          <w:p>
            <w:pPr>
              <w:spacing w:after="0" w:line="128" w:lineRule="exact"/>
              <w:rPr>
                <w:sz w:val="20"/>
                <w:szCs w:val="20"/>
                <w:color w:val="auto"/>
              </w:rPr>
            </w:pPr>
            <w:r>
              <w:rPr>
                <w:rFonts w:ascii="Arial" w:cs="Arial" w:eastAsia="Arial" w:hAnsi="Arial"/>
                <w:sz w:val="12"/>
                <w:szCs w:val="12"/>
                <w:color w:val="auto"/>
              </w:rPr>
              <w:t>Interest rate swaps</w:t>
            </w:r>
          </w:p>
        </w:tc>
        <w:tc>
          <w:tcPr>
            <w:tcW w:w="112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117</w:t>
            </w:r>
          </w:p>
        </w:tc>
        <w:tc>
          <w:tcPr>
            <w:tcW w:w="820" w:type="dxa"/>
            <w:vAlign w:val="bottom"/>
          </w:tcPr>
          <w:p>
            <w:pPr>
              <w:jc w:val="right"/>
              <w:spacing w:after="0" w:line="128" w:lineRule="exact"/>
              <w:rPr>
                <w:sz w:val="20"/>
                <w:szCs w:val="20"/>
                <w:color w:val="auto"/>
              </w:rPr>
            </w:pPr>
            <w:r>
              <w:rPr>
                <w:rFonts w:ascii="Arial" w:cs="Arial" w:eastAsia="Arial" w:hAnsi="Arial"/>
                <w:sz w:val="12"/>
                <w:szCs w:val="12"/>
                <w:color w:val="auto"/>
              </w:rPr>
              <w:t>(1)</w:t>
            </w:r>
          </w:p>
        </w:tc>
        <w:tc>
          <w:tcPr>
            <w:tcW w:w="11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116</w:t>
            </w:r>
          </w:p>
        </w:tc>
        <w:tc>
          <w:tcPr>
            <w:tcW w:w="94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45</w:t>
            </w:r>
          </w:p>
        </w:tc>
        <w:tc>
          <w:tcPr>
            <w:tcW w:w="8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(6)</w:t>
            </w:r>
          </w:p>
        </w:tc>
        <w:tc>
          <w:tcPr>
            <w:tcW w:w="9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39</w:t>
            </w: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Forward foreign exchange contracts</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234</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(252)</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(18)</w:t>
            </w:r>
          </w:p>
        </w:tc>
        <w:tc>
          <w:tcPr>
            <w:tcW w:w="9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71</w:t>
            </w:r>
          </w:p>
        </w:tc>
        <w:tc>
          <w:tcPr>
            <w:tcW w:w="8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(31)</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40</w:t>
            </w: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Currency swaps</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927</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(684)</w:t>
            </w:r>
          </w:p>
        </w:tc>
        <w:tc>
          <w:tcPr>
            <w:tcW w:w="11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243</w:t>
            </w:r>
          </w:p>
        </w:tc>
        <w:tc>
          <w:tcPr>
            <w:tcW w:w="9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348</w:t>
            </w:r>
          </w:p>
        </w:tc>
        <w:tc>
          <w:tcPr>
            <w:tcW w:w="8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(328)</w:t>
            </w:r>
          </w:p>
        </w:tc>
        <w:tc>
          <w:tcPr>
            <w:tcW w:w="9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w:t>
            </w: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Commodity swaps, options, futures and forwards</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17,931</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(19,090)</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(1,159)</w:t>
            </w:r>
          </w:p>
        </w:tc>
        <w:tc>
          <w:tcPr>
            <w:tcW w:w="9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19,642</w:t>
            </w:r>
          </w:p>
        </w:tc>
        <w:tc>
          <w:tcPr>
            <w:tcW w:w="8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(19,790)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(148)</w:t>
            </w:r>
          </w:p>
        </w:tc>
      </w:tr>
      <w:tr>
        <w:trPr>
          <w:trHeight w:val="139"/>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contracts</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796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w:t>
            </w:r>
          </w:p>
        </w:tc>
        <w:tc>
          <w:tcPr>
            <w:tcW w:w="11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186</w:t>
            </w: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158</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w:t>
            </w:r>
          </w:p>
        </w:tc>
      </w:tr>
      <w:tr>
        <w:trPr>
          <w:trHeight w:val="140"/>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20,005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(20,637)</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(632)</w:t>
            </w: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20,264</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(20,381)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w:t>
            </w:r>
          </w:p>
        </w:tc>
      </w:tr>
      <w:tr>
        <w:trPr>
          <w:trHeight w:val="134"/>
        </w:trPr>
        <w:tc>
          <w:tcPr>
            <w:tcW w:w="3760" w:type="dxa"/>
            <w:vAlign w:val="bottom"/>
            <w:gridSpan w:val="2"/>
          </w:tcPr>
          <w:p>
            <w:pPr>
              <w:spacing w:after="0" w:line="134" w:lineRule="exact"/>
              <w:rPr>
                <w:sz w:val="20"/>
                <w:szCs w:val="20"/>
                <w:color w:val="auto"/>
              </w:rPr>
            </w:pPr>
            <w:r>
              <w:rPr>
                <w:rFonts w:ascii="Arial" w:cs="Arial" w:eastAsia="Arial" w:hAnsi="Arial"/>
                <w:sz w:val="12"/>
                <w:szCs w:val="12"/>
                <w:color w:val="auto"/>
              </w:rPr>
              <w:t>Included within:</w:t>
            </w: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Accounts receivable (Note 17)</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19,276</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20,011</w:t>
            </w: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Accounts payable and accrued liabilities (Note 24)</w:t>
            </w:r>
          </w:p>
        </w:tc>
        <w:tc>
          <w:tcPr>
            <w:tcW w:w="112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(19,849)</w:t>
            </w: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(19,735)</w:t>
            </w:r>
          </w:p>
        </w:tc>
        <w:tc>
          <w:tcPr>
            <w:tcW w:w="900" w:type="dxa"/>
            <w:vAlign w:val="bottom"/>
          </w:tcPr>
          <w:p>
            <w:pPr>
              <w:spacing w:after="0"/>
              <w:rPr>
                <w:sz w:val="11"/>
                <w:szCs w:val="11"/>
                <w:color w:val="auto"/>
              </w:rPr>
            </w:pPr>
          </w:p>
        </w:tc>
      </w:tr>
      <w:tr>
        <w:trPr>
          <w:trHeight w:val="133"/>
        </w:trPr>
        <w:tc>
          <w:tcPr>
            <w:tcW w:w="3760" w:type="dxa"/>
            <w:vAlign w:val="bottom"/>
            <w:gridSpan w:val="2"/>
          </w:tcPr>
          <w:p>
            <w:pPr>
              <w:spacing w:after="0" w:line="133" w:lineRule="exact"/>
              <w:rPr>
                <w:sz w:val="20"/>
                <w:szCs w:val="20"/>
                <w:color w:val="auto"/>
              </w:rPr>
            </w:pPr>
            <w:r>
              <w:rPr>
                <w:rFonts w:ascii="Arial" w:cs="Arial" w:eastAsia="Arial" w:hAnsi="Arial"/>
                <w:sz w:val="12"/>
                <w:szCs w:val="12"/>
                <w:color w:val="auto"/>
              </w:rPr>
              <w:t>Other non-current assets (Note 15)</w:t>
            </w:r>
          </w:p>
        </w:tc>
        <w:tc>
          <w:tcPr>
            <w:tcW w:w="11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729</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253</w:t>
            </w: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9"/>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non-current liabilities (Note 23)</w:t>
            </w:r>
          </w:p>
        </w:tc>
        <w:tc>
          <w:tcPr>
            <w:tcW w:w="1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(788)</w:t>
            </w: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(646)</w:t>
            </w:r>
          </w:p>
        </w:tc>
        <w:tc>
          <w:tcPr>
            <w:tcW w:w="900" w:type="dxa"/>
            <w:vAlign w:val="bottom"/>
            <w:tcBorders>
              <w:bottom w:val="single" w:sz="8" w:color="auto"/>
            </w:tcBorders>
          </w:tcPr>
          <w:p>
            <w:pPr>
              <w:spacing w:after="0"/>
              <w:rPr>
                <w:sz w:val="12"/>
                <w:szCs w:val="12"/>
                <w:color w:val="auto"/>
              </w:rPr>
            </w:pPr>
          </w:p>
        </w:tc>
      </w:tr>
      <w:tr>
        <w:trPr>
          <w:trHeight w:val="146"/>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20,005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(20,637)</w:t>
            </w: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20,264</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(20,381)</w:t>
            </w:r>
          </w:p>
        </w:tc>
        <w:tc>
          <w:tcPr>
            <w:tcW w:w="900" w:type="dxa"/>
            <w:vAlign w:val="bottom"/>
            <w:tcBorders>
              <w:bottom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-1344295</wp:posOffset>
            </wp:positionV>
            <wp:extent cx="3526790" cy="262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526790" cy="262255"/>
                    </a:xfrm>
                    <a:prstGeom prst="rect">
                      <a:avLst/>
                    </a:prstGeom>
                    <a:noFill/>
                  </pic:spPr>
                </pic:pic>
              </a:graphicData>
            </a:graphic>
          </wp:anchor>
        </w:drawing>
      </w:r>
    </w:p>
    <w:p>
      <w:pPr>
        <w:spacing w:after="0" w:line="81"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The maximum exposure to credit risk is the fair value of the derivative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146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76034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82575" cy="760349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26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9525</wp:posOffset>
            </wp:positionV>
            <wp:extent cx="8255" cy="55740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5574030"/>
                    </a:xfrm>
                    <a:prstGeom prst="rect">
                      <a:avLst/>
                    </a:prstGeom>
                    <a:noFill/>
                  </pic:spPr>
                </pic:pic>
              </a:graphicData>
            </a:graphic>
          </wp:anchor>
        </w:drawing>
      </w:r>
    </w:p>
    <w:p>
      <w:pPr>
        <w:spacing w:after="0" w:line="2" w:lineRule="exact"/>
        <w:rPr>
          <w:sz w:val="20"/>
          <w:szCs w:val="20"/>
          <w:color w:val="auto"/>
        </w:rPr>
      </w:pPr>
    </w:p>
    <w:p>
      <w:pPr>
        <w:ind w:left="340" w:right="1640"/>
        <w:spacing w:after="0" w:line="235" w:lineRule="auto"/>
        <w:rPr>
          <w:sz w:val="20"/>
          <w:szCs w:val="20"/>
          <w:color w:val="auto"/>
        </w:rPr>
      </w:pPr>
      <w:r>
        <w:rPr>
          <w:rFonts w:ascii="Arial" w:cs="Arial" w:eastAsia="Arial" w:hAnsi="Arial"/>
          <w:sz w:val="13"/>
          <w:szCs w:val="13"/>
          <w:color w:val="auto"/>
        </w:rPr>
        <w:t>Net gains/(losses) before tax on these contracts, together with certain other commodity-related contracts and sales of inventory which are not derivatives but are included in the determination of margins used as the basis for managing Shell’s commodity trading activities, were $1.4 billion in 2007 (2006:</w:t>
      </w:r>
    </w:p>
    <w:p>
      <w:pPr>
        <w:ind w:left="340" w:right="1740"/>
        <w:spacing w:after="0" w:line="234" w:lineRule="auto"/>
        <w:rPr>
          <w:sz w:val="20"/>
          <w:szCs w:val="20"/>
          <w:color w:val="auto"/>
        </w:rPr>
      </w:pPr>
      <w:r>
        <w:rPr>
          <w:rFonts w:ascii="Arial" w:cs="Arial" w:eastAsia="Arial" w:hAnsi="Arial"/>
          <w:sz w:val="14"/>
          <w:szCs w:val="14"/>
          <w:color w:val="auto"/>
        </w:rPr>
        <w:t>$4.1 billion). The amount relating to contracts accounted for as hedges is not significant other than losses before tax of $201 million in 2007 (2006: nil) on certain contracts where the related forecast transactions are no longer highly probable.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[A] INTEREST RATE SWAPS/FORWARD RATE AGREEMENTS</w:t>
      </w:r>
    </w:p>
    <w:p>
      <w:pPr>
        <w:spacing w:after="0" w:line="6" w:lineRule="exact"/>
        <w:rPr>
          <w:sz w:val="20"/>
          <w:szCs w:val="20"/>
          <w:color w:val="auto"/>
        </w:rPr>
      </w:pPr>
    </w:p>
    <w:p>
      <w:pPr>
        <w:jc w:val="both"/>
        <w:ind w:left="340" w:right="1540"/>
        <w:spacing w:after="0" w:line="229" w:lineRule="auto"/>
        <w:rPr>
          <w:sz w:val="20"/>
          <w:szCs w:val="20"/>
          <w:color w:val="auto"/>
        </w:rPr>
      </w:pPr>
      <w:r>
        <w:rPr>
          <w:rFonts w:ascii="Arial" w:cs="Arial" w:eastAsia="Arial" w:hAnsi="Arial"/>
          <w:sz w:val="14"/>
          <w:szCs w:val="14"/>
          <w:color w:val="auto"/>
        </w:rPr>
        <w:t>Interest rate swaps held by subsidiaries at December 31 by expected year of maturity are as follows. The majority are designated as fair value hedges of debt. The variable interest rate component of contracts is generally linked to inter-bank offer rates. The effective interest rate on certain debt balances (see Note 19) is affected by such contracts.</w:t>
      </w:r>
    </w:p>
    <w:p>
      <w:pPr>
        <w:spacing w:after="0" w:line="113" w:lineRule="exact"/>
        <w:rPr>
          <w:sz w:val="20"/>
          <w:szCs w:val="20"/>
          <w:color w:val="auto"/>
        </w:rPr>
      </w:pPr>
    </w:p>
    <w:tbl>
      <w:tblPr>
        <w:tblLayout w:type="fixed"/>
        <w:tblInd w:w="3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2007</w:t>
            </w:r>
          </w:p>
        </w:tc>
        <w:tc>
          <w:tcPr>
            <w:tcW w:w="1880" w:type="dxa"/>
            <w:vAlign w:val="bottom"/>
            <w:shd w:val="clear" w:color="auto" w:fill="7DD0E0"/>
          </w:tcPr>
          <w:p>
            <w:pPr>
              <w:spacing w:after="0"/>
              <w:rPr>
                <w:sz w:val="12"/>
                <w:szCs w:val="12"/>
                <w:color w:val="auto"/>
              </w:rPr>
            </w:pPr>
          </w:p>
        </w:tc>
        <w:tc>
          <w:tcPr>
            <w:tcW w:w="84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40" w:type="dxa"/>
            <w:vAlign w:val="bottom"/>
            <w:shd w:val="clear" w:color="auto" w:fill="7DD0E0"/>
          </w:tcPr>
          <w:p>
            <w:pPr>
              <w:spacing w:after="0"/>
              <w:rPr>
                <w:sz w:val="12"/>
                <w:szCs w:val="12"/>
                <w:color w:val="auto"/>
              </w:rPr>
            </w:pPr>
          </w:p>
        </w:tc>
        <w:tc>
          <w:tcPr>
            <w:tcW w:w="780" w:type="dxa"/>
            <w:vAlign w:val="bottom"/>
            <w:shd w:val="clear" w:color="auto" w:fill="7DD0E0"/>
          </w:tcPr>
          <w:p>
            <w:pPr>
              <w:spacing w:after="0"/>
              <w:rPr>
                <w:sz w:val="12"/>
                <w:szCs w:val="12"/>
                <w:color w:val="auto"/>
              </w:rPr>
            </w:pPr>
          </w:p>
        </w:tc>
        <w:tc>
          <w:tcPr>
            <w:tcW w:w="680" w:type="dxa"/>
            <w:vAlign w:val="bottom"/>
            <w:shd w:val="clear" w:color="auto" w:fill="7DD0E0"/>
          </w:tcPr>
          <w:p>
            <w:pPr>
              <w:spacing w:after="0"/>
              <w:rPr>
                <w:sz w:val="12"/>
                <w:szCs w:val="12"/>
                <w:color w:val="auto"/>
              </w:rPr>
            </w:pPr>
          </w:p>
        </w:tc>
        <w:tc>
          <w:tcPr>
            <w:tcW w:w="820" w:type="dxa"/>
            <w:vAlign w:val="bottom"/>
            <w:shd w:val="clear" w:color="auto" w:fill="7DD0E0"/>
          </w:tcPr>
          <w:p>
            <w:pPr>
              <w:spacing w:after="0"/>
              <w:rPr>
                <w:sz w:val="12"/>
                <w:szCs w:val="12"/>
                <w:color w:val="auto"/>
              </w:rPr>
            </w:pPr>
          </w:p>
        </w:tc>
        <w:tc>
          <w:tcPr>
            <w:tcW w:w="1220" w:type="dxa"/>
            <w:vAlign w:val="bottom"/>
            <w:shd w:val="clear" w:color="auto" w:fill="7DD0E0"/>
          </w:tcPr>
          <w:p>
            <w:pPr>
              <w:spacing w:after="0"/>
              <w:rPr>
                <w:sz w:val="12"/>
                <w:szCs w:val="12"/>
                <w:color w:val="auto"/>
              </w:rPr>
            </w:pPr>
          </w:p>
        </w:tc>
        <w:tc>
          <w:tcPr>
            <w:tcW w:w="78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460" w:type="dxa"/>
            <w:vAlign w:val="bottom"/>
            <w:shd w:val="clear" w:color="auto" w:fill="CECAC6"/>
          </w:tcPr>
          <w:p>
            <w:pPr>
              <w:spacing w:after="0"/>
              <w:rPr>
                <w:sz w:val="11"/>
                <w:szCs w:val="11"/>
                <w:color w:val="auto"/>
              </w:rPr>
            </w:pPr>
          </w:p>
        </w:tc>
        <w:tc>
          <w:tcPr>
            <w:tcW w:w="188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2013</w:t>
            </w:r>
          </w:p>
        </w:tc>
        <w:tc>
          <w:tcPr>
            <w:tcW w:w="122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Total contract/</w:t>
            </w:r>
          </w:p>
        </w:tc>
        <w:tc>
          <w:tcPr>
            <w:tcW w:w="780" w:type="dxa"/>
            <w:vAlign w:val="bottom"/>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Estimated</w:t>
            </w:r>
          </w:p>
        </w:tc>
      </w:tr>
      <w:tr>
        <w:trPr>
          <w:trHeight w:val="139"/>
        </w:trPr>
        <w:tc>
          <w:tcPr>
            <w:tcW w:w="20" w:type="dxa"/>
            <w:vAlign w:val="bottom"/>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1880" w:type="dxa"/>
            <w:vAlign w:val="bottom"/>
            <w:shd w:val="clear" w:color="auto" w:fill="CECAC6"/>
          </w:tcPr>
          <w:p>
            <w:pPr>
              <w:spacing w:after="0"/>
              <w:rPr>
                <w:sz w:val="12"/>
                <w:szCs w:val="12"/>
                <w:color w:val="auto"/>
              </w:rPr>
            </w:pPr>
          </w:p>
        </w:tc>
        <w:tc>
          <w:tcPr>
            <w:tcW w:w="8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2008</w:t>
            </w:r>
          </w:p>
        </w:tc>
        <w:tc>
          <w:tcPr>
            <w:tcW w:w="7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2009</w:t>
            </w:r>
          </w:p>
        </w:tc>
        <w:tc>
          <w:tcPr>
            <w:tcW w:w="74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2010</w:t>
            </w:r>
          </w:p>
        </w:tc>
        <w:tc>
          <w:tcPr>
            <w:tcW w:w="7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2011</w:t>
            </w:r>
          </w:p>
        </w:tc>
        <w:tc>
          <w:tcPr>
            <w:tcW w:w="6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2012</w:t>
            </w:r>
          </w:p>
        </w:tc>
        <w:tc>
          <w:tcPr>
            <w:tcW w:w="8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and after</w:t>
            </w:r>
          </w:p>
        </w:tc>
        <w:tc>
          <w:tcPr>
            <w:tcW w:w="12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notional amount</w:t>
            </w:r>
          </w:p>
        </w:tc>
        <w:tc>
          <w:tcPr>
            <w:tcW w:w="7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fair value</w:t>
            </w:r>
          </w:p>
        </w:tc>
      </w:tr>
      <w:tr>
        <w:trPr>
          <w:trHeight w:val="127"/>
        </w:trPr>
        <w:tc>
          <w:tcPr>
            <w:tcW w:w="2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color w:val="auto"/>
              </w:rPr>
              <w:t>Dollar</w:t>
            </w:r>
          </w:p>
        </w:tc>
        <w:tc>
          <w:tcPr>
            <w:tcW w:w="1880" w:type="dxa"/>
            <w:vAlign w:val="bottom"/>
          </w:tcPr>
          <w:p>
            <w:pPr>
              <w:ind w:left="220"/>
              <w:spacing w:after="0" w:line="128" w:lineRule="exact"/>
              <w:rPr>
                <w:sz w:val="20"/>
                <w:szCs w:val="20"/>
                <w:color w:val="auto"/>
              </w:rPr>
            </w:pPr>
            <w:r>
              <w:rPr>
                <w:rFonts w:ascii="Arial" w:cs="Arial" w:eastAsia="Arial" w:hAnsi="Arial"/>
                <w:sz w:val="12"/>
                <w:szCs w:val="12"/>
                <w:color w:val="auto"/>
              </w:rPr>
              <w:t>contract/notional amount</w:t>
            </w:r>
          </w:p>
        </w:tc>
        <w:tc>
          <w:tcPr>
            <w:tcW w:w="8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308</w:t>
            </w:r>
          </w:p>
        </w:tc>
        <w:tc>
          <w:tcPr>
            <w:tcW w:w="7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500</w:t>
            </w:r>
          </w:p>
        </w:tc>
        <w:tc>
          <w:tcPr>
            <w:tcW w:w="74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500</w:t>
            </w:r>
          </w:p>
        </w:tc>
        <w:tc>
          <w:tcPr>
            <w:tcW w:w="7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1,000</w:t>
            </w:r>
          </w:p>
        </w:tc>
        <w:tc>
          <w:tcPr>
            <w:tcW w:w="680" w:type="dxa"/>
            <w:vAlign w:val="bottom"/>
          </w:tcPr>
          <w:p>
            <w:pPr>
              <w:jc w:val="right"/>
              <w:ind w:right="98"/>
              <w:spacing w:after="0" w:line="128" w:lineRule="exact"/>
              <w:rPr>
                <w:sz w:val="20"/>
                <w:szCs w:val="20"/>
                <w:color w:val="auto"/>
              </w:rPr>
            </w:pPr>
            <w:r>
              <w:rPr>
                <w:rFonts w:ascii="Arial" w:cs="Arial" w:eastAsia="Arial" w:hAnsi="Arial"/>
                <w:sz w:val="12"/>
                <w:szCs w:val="12"/>
                <w:color w:val="auto"/>
              </w:rPr>
              <w:t>500</w:t>
            </w:r>
          </w:p>
        </w:tc>
        <w:tc>
          <w:tcPr>
            <w:tcW w:w="8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750</w:t>
            </w:r>
          </w:p>
        </w:tc>
        <w:tc>
          <w:tcPr>
            <w:tcW w:w="12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3,558</w:t>
            </w:r>
          </w:p>
        </w:tc>
        <w:tc>
          <w:tcPr>
            <w:tcW w:w="7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122</w:t>
            </w: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average pay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5.2%</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5.1%</w:t>
            </w:r>
          </w:p>
        </w:tc>
        <w:tc>
          <w:tcPr>
            <w:tcW w:w="7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4.9%</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4.9%</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5.1%</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average receive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4.8%</w:t>
            </w:r>
          </w:p>
        </w:tc>
        <w:tc>
          <w:tcPr>
            <w:tcW w:w="7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5.1%</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5.6%</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5.0%</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5.2%</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480" w:type="dxa"/>
            <w:vAlign w:val="bottom"/>
            <w:gridSpan w:val="2"/>
          </w:tcPr>
          <w:p>
            <w:pPr>
              <w:spacing w:after="0" w:line="133" w:lineRule="exact"/>
              <w:rPr>
                <w:sz w:val="20"/>
                <w:szCs w:val="20"/>
                <w:color w:val="auto"/>
              </w:rPr>
            </w:pPr>
            <w:r>
              <w:rPr>
                <w:rFonts w:ascii="Arial" w:cs="Arial" w:eastAsia="Arial" w:hAnsi="Arial"/>
                <w:sz w:val="12"/>
                <w:szCs w:val="12"/>
                <w:color w:val="auto"/>
              </w:rPr>
              <w:t>Euro</w:t>
            </w: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contract/notional amount</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441</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441</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80" w:type="dxa"/>
            <w:vAlign w:val="bottom"/>
          </w:tcPr>
          <w:p>
            <w:pPr>
              <w:ind w:left="220"/>
              <w:spacing w:after="0" w:line="133" w:lineRule="exact"/>
              <w:rPr>
                <w:sz w:val="20"/>
                <w:szCs w:val="20"/>
                <w:color w:val="auto"/>
              </w:rPr>
            </w:pPr>
            <w:r>
              <w:rPr>
                <w:rFonts w:ascii="Arial" w:cs="Arial" w:eastAsia="Arial" w:hAnsi="Arial"/>
                <w:sz w:val="12"/>
                <w:szCs w:val="12"/>
                <w:color w:val="auto"/>
              </w:rPr>
              <w:t>average pay rate</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4.8%</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average receive rate</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3.3%</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749</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500</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500</w:t>
            </w:r>
          </w:p>
        </w:tc>
        <w:tc>
          <w:tcPr>
            <w:tcW w:w="7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1,000</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500</w:t>
            </w:r>
          </w:p>
        </w:tc>
        <w:tc>
          <w:tcPr>
            <w:tcW w:w="8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750</w:t>
            </w: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3,999</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116</w:t>
            </w:r>
          </w:p>
        </w:tc>
      </w:tr>
    </w:tbl>
    <w:p>
      <w:pPr>
        <w:spacing w:after="0" w:line="354" w:lineRule="exact"/>
        <w:rPr>
          <w:sz w:val="20"/>
          <w:szCs w:val="20"/>
          <w:color w:val="auto"/>
        </w:rPr>
      </w:pPr>
    </w:p>
    <w:tbl>
      <w:tblPr>
        <w:tblLayout w:type="fixed"/>
        <w:tblInd w:w="3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6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2006</w:t>
            </w:r>
          </w:p>
        </w:tc>
        <w:tc>
          <w:tcPr>
            <w:tcW w:w="2260" w:type="dxa"/>
            <w:vAlign w:val="bottom"/>
            <w:shd w:val="clear" w:color="auto" w:fill="7DD0E0"/>
          </w:tcPr>
          <w:p>
            <w:pPr>
              <w:spacing w:after="0"/>
              <w:rPr>
                <w:sz w:val="12"/>
                <w:szCs w:val="12"/>
                <w:color w:val="auto"/>
              </w:rPr>
            </w:pPr>
          </w:p>
        </w:tc>
        <w:tc>
          <w:tcPr>
            <w:tcW w:w="124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60" w:type="dxa"/>
            <w:vAlign w:val="bottom"/>
            <w:shd w:val="clear" w:color="auto" w:fill="7DD0E0"/>
          </w:tcPr>
          <w:p>
            <w:pPr>
              <w:spacing w:after="0"/>
              <w:rPr>
                <w:sz w:val="12"/>
                <w:szCs w:val="12"/>
                <w:color w:val="auto"/>
              </w:rPr>
            </w:pPr>
          </w:p>
        </w:tc>
        <w:tc>
          <w:tcPr>
            <w:tcW w:w="720" w:type="dxa"/>
            <w:vAlign w:val="bottom"/>
            <w:shd w:val="clear" w:color="auto" w:fill="7DD0E0"/>
          </w:tcPr>
          <w:p>
            <w:pPr>
              <w:spacing w:after="0"/>
              <w:rPr>
                <w:sz w:val="12"/>
                <w:szCs w:val="12"/>
                <w:color w:val="auto"/>
              </w:rPr>
            </w:pPr>
          </w:p>
        </w:tc>
        <w:tc>
          <w:tcPr>
            <w:tcW w:w="1220" w:type="dxa"/>
            <w:vAlign w:val="bottom"/>
            <w:shd w:val="clear" w:color="auto" w:fill="7DD0E0"/>
          </w:tcPr>
          <w:p>
            <w:pPr>
              <w:spacing w:after="0"/>
              <w:rPr>
                <w:sz w:val="12"/>
                <w:szCs w:val="12"/>
                <w:color w:val="auto"/>
              </w:rPr>
            </w:pPr>
          </w:p>
        </w:tc>
        <w:tc>
          <w:tcPr>
            <w:tcW w:w="78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460" w:type="dxa"/>
            <w:vAlign w:val="bottom"/>
            <w:shd w:val="clear" w:color="auto" w:fill="CECAC6"/>
          </w:tcPr>
          <w:p>
            <w:pPr>
              <w:spacing w:after="0"/>
              <w:rPr>
                <w:sz w:val="11"/>
                <w:szCs w:val="11"/>
                <w:color w:val="auto"/>
              </w:rPr>
            </w:pPr>
          </w:p>
        </w:tc>
        <w:tc>
          <w:tcPr>
            <w:tcW w:w="2260" w:type="dxa"/>
            <w:vAlign w:val="bottom"/>
            <w:shd w:val="clear" w:color="auto" w:fill="CECAC6"/>
          </w:tcPr>
          <w:p>
            <w:pPr>
              <w:spacing w:after="0"/>
              <w:rPr>
                <w:sz w:val="11"/>
                <w:szCs w:val="11"/>
                <w:color w:val="auto"/>
              </w:rPr>
            </w:pPr>
          </w:p>
        </w:tc>
        <w:tc>
          <w:tcPr>
            <w:tcW w:w="124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720" w:type="dxa"/>
            <w:vAlign w:val="bottom"/>
            <w:shd w:val="clear" w:color="auto" w:fill="CECAC6"/>
          </w:tcPr>
          <w:p>
            <w:pPr>
              <w:spacing w:after="0"/>
              <w:rPr>
                <w:sz w:val="11"/>
                <w:szCs w:val="11"/>
                <w:color w:val="auto"/>
              </w:rPr>
            </w:pPr>
          </w:p>
        </w:tc>
        <w:tc>
          <w:tcPr>
            <w:tcW w:w="122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Total contract/</w:t>
            </w:r>
          </w:p>
        </w:tc>
        <w:tc>
          <w:tcPr>
            <w:tcW w:w="780" w:type="dxa"/>
            <w:vAlign w:val="bottom"/>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Estimated</w:t>
            </w:r>
          </w:p>
        </w:tc>
      </w:tr>
      <w:tr>
        <w:trPr>
          <w:trHeight w:val="139"/>
        </w:trPr>
        <w:tc>
          <w:tcPr>
            <w:tcW w:w="20" w:type="dxa"/>
            <w:vAlign w:val="bottom"/>
          </w:tcPr>
          <w:p>
            <w:pPr>
              <w:spacing w:after="0"/>
              <w:rPr>
                <w:sz w:val="12"/>
                <w:szCs w:val="12"/>
                <w:color w:val="auto"/>
              </w:rPr>
            </w:pPr>
          </w:p>
        </w:tc>
        <w:tc>
          <w:tcPr>
            <w:tcW w:w="460" w:type="dxa"/>
            <w:vAlign w:val="bottom"/>
            <w:shd w:val="clear" w:color="auto" w:fill="CECAC6"/>
          </w:tcPr>
          <w:p>
            <w:pPr>
              <w:spacing w:after="0"/>
              <w:rPr>
                <w:sz w:val="12"/>
                <w:szCs w:val="12"/>
                <w:color w:val="auto"/>
              </w:rPr>
            </w:pPr>
          </w:p>
        </w:tc>
        <w:tc>
          <w:tcPr>
            <w:tcW w:w="2260" w:type="dxa"/>
            <w:vAlign w:val="bottom"/>
            <w:shd w:val="clear" w:color="auto" w:fill="CECAC6"/>
          </w:tcPr>
          <w:p>
            <w:pPr>
              <w:spacing w:after="0"/>
              <w:rPr>
                <w:sz w:val="12"/>
                <w:szCs w:val="12"/>
                <w:color w:val="auto"/>
              </w:rPr>
            </w:pPr>
          </w:p>
        </w:tc>
        <w:tc>
          <w:tcPr>
            <w:tcW w:w="12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2007</w:t>
            </w:r>
          </w:p>
        </w:tc>
        <w:tc>
          <w:tcPr>
            <w:tcW w:w="7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2008</w:t>
            </w:r>
          </w:p>
        </w:tc>
        <w:tc>
          <w:tcPr>
            <w:tcW w:w="7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2009</w:t>
            </w:r>
          </w:p>
        </w:tc>
        <w:tc>
          <w:tcPr>
            <w:tcW w:w="7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2010</w:t>
            </w:r>
          </w:p>
        </w:tc>
        <w:tc>
          <w:tcPr>
            <w:tcW w:w="7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2011</w:t>
            </w:r>
          </w:p>
        </w:tc>
        <w:tc>
          <w:tcPr>
            <w:tcW w:w="12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notional amount</w:t>
            </w:r>
          </w:p>
        </w:tc>
        <w:tc>
          <w:tcPr>
            <w:tcW w:w="7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fair value</w:t>
            </w:r>
          </w:p>
        </w:tc>
      </w:tr>
      <w:tr>
        <w:trPr>
          <w:trHeight w:val="127"/>
        </w:trPr>
        <w:tc>
          <w:tcPr>
            <w:tcW w:w="2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color w:val="auto"/>
              </w:rPr>
              <w:t>Dollar</w:t>
            </w:r>
          </w:p>
        </w:tc>
        <w:tc>
          <w:tcPr>
            <w:tcW w:w="2260" w:type="dxa"/>
            <w:vAlign w:val="bottom"/>
          </w:tcPr>
          <w:p>
            <w:pPr>
              <w:ind w:left="220"/>
              <w:spacing w:after="0" w:line="128" w:lineRule="exact"/>
              <w:rPr>
                <w:sz w:val="20"/>
                <w:szCs w:val="20"/>
                <w:color w:val="auto"/>
              </w:rPr>
            </w:pPr>
            <w:r>
              <w:rPr>
                <w:rFonts w:ascii="Arial" w:cs="Arial" w:eastAsia="Arial" w:hAnsi="Arial"/>
                <w:sz w:val="12"/>
                <w:szCs w:val="12"/>
                <w:color w:val="auto"/>
              </w:rPr>
              <w:t>contract/notional amount</w:t>
            </w:r>
          </w:p>
        </w:tc>
        <w:tc>
          <w:tcPr>
            <w:tcW w:w="12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1,080</w:t>
            </w:r>
          </w:p>
        </w:tc>
        <w:tc>
          <w:tcPr>
            <w:tcW w:w="7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300</w:t>
            </w:r>
          </w:p>
        </w:tc>
        <w:tc>
          <w:tcPr>
            <w:tcW w:w="7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500</w:t>
            </w:r>
          </w:p>
        </w:tc>
        <w:tc>
          <w:tcPr>
            <w:tcW w:w="7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300</w:t>
            </w:r>
          </w:p>
        </w:tc>
        <w:tc>
          <w:tcPr>
            <w:tcW w:w="7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1,000</w:t>
            </w:r>
          </w:p>
        </w:tc>
        <w:tc>
          <w:tcPr>
            <w:tcW w:w="12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3,180</w:t>
            </w:r>
          </w:p>
        </w:tc>
        <w:tc>
          <w:tcPr>
            <w:tcW w:w="7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45</w:t>
            </w: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60" w:type="dxa"/>
            <w:vAlign w:val="bottom"/>
          </w:tcPr>
          <w:p>
            <w:pPr>
              <w:ind w:left="220"/>
              <w:spacing w:after="0" w:line="133" w:lineRule="exact"/>
              <w:rPr>
                <w:sz w:val="20"/>
                <w:szCs w:val="20"/>
                <w:color w:val="auto"/>
              </w:rPr>
            </w:pPr>
            <w:r>
              <w:rPr>
                <w:rFonts w:ascii="Arial" w:cs="Arial" w:eastAsia="Arial" w:hAnsi="Arial"/>
                <w:sz w:val="12"/>
                <w:szCs w:val="12"/>
                <w:color w:val="auto"/>
              </w:rPr>
              <w:t>average pay rate</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5.2%</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5.0%</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5.3%</w:t>
            </w: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5.4%</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60" w:type="dxa"/>
            <w:vAlign w:val="bottom"/>
          </w:tcPr>
          <w:p>
            <w:pPr>
              <w:ind w:left="220"/>
              <w:spacing w:after="0" w:line="133" w:lineRule="exact"/>
              <w:rPr>
                <w:sz w:val="20"/>
                <w:szCs w:val="20"/>
                <w:color w:val="auto"/>
              </w:rPr>
            </w:pPr>
            <w:r>
              <w:rPr>
                <w:rFonts w:ascii="Arial" w:cs="Arial" w:eastAsia="Arial" w:hAnsi="Arial"/>
                <w:sz w:val="12"/>
                <w:szCs w:val="12"/>
                <w:color w:val="auto"/>
              </w:rPr>
              <w:t>average receive rate</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5.2%</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3.3%</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4.8%</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5.1%</w:t>
            </w: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5.6%</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480" w:type="dxa"/>
            <w:vAlign w:val="bottom"/>
            <w:gridSpan w:val="2"/>
          </w:tcPr>
          <w:p>
            <w:pPr>
              <w:spacing w:after="0" w:line="133" w:lineRule="exact"/>
              <w:rPr>
                <w:sz w:val="20"/>
                <w:szCs w:val="20"/>
                <w:color w:val="auto"/>
              </w:rPr>
            </w:pPr>
            <w:r>
              <w:rPr>
                <w:rFonts w:ascii="Arial" w:cs="Arial" w:eastAsia="Arial" w:hAnsi="Arial"/>
                <w:sz w:val="12"/>
                <w:szCs w:val="12"/>
                <w:color w:val="auto"/>
              </w:rPr>
              <w:t>Euro</w:t>
            </w:r>
          </w:p>
        </w:tc>
        <w:tc>
          <w:tcPr>
            <w:tcW w:w="2260" w:type="dxa"/>
            <w:vAlign w:val="bottom"/>
          </w:tcPr>
          <w:p>
            <w:pPr>
              <w:ind w:left="220"/>
              <w:spacing w:after="0" w:line="133" w:lineRule="exact"/>
              <w:rPr>
                <w:sz w:val="20"/>
                <w:szCs w:val="20"/>
                <w:color w:val="auto"/>
              </w:rPr>
            </w:pPr>
            <w:r>
              <w:rPr>
                <w:rFonts w:ascii="Arial" w:cs="Arial" w:eastAsia="Arial" w:hAnsi="Arial"/>
                <w:sz w:val="12"/>
                <w:szCs w:val="12"/>
                <w:color w:val="auto"/>
              </w:rPr>
              <w:t>contract/notional amount</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395</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395</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r>
      <w:tr>
        <w:trPr>
          <w:trHeight w:val="133"/>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60" w:type="dxa"/>
            <w:vAlign w:val="bottom"/>
          </w:tcPr>
          <w:p>
            <w:pPr>
              <w:ind w:left="220"/>
              <w:spacing w:after="0" w:line="133" w:lineRule="exact"/>
              <w:rPr>
                <w:sz w:val="20"/>
                <w:szCs w:val="20"/>
                <w:color w:val="auto"/>
              </w:rPr>
            </w:pPr>
            <w:r>
              <w:rPr>
                <w:rFonts w:ascii="Arial" w:cs="Arial" w:eastAsia="Arial" w:hAnsi="Arial"/>
                <w:sz w:val="12"/>
                <w:szCs w:val="12"/>
                <w:color w:val="auto"/>
              </w:rPr>
              <w:t>average pay rate</w:t>
            </w:r>
          </w:p>
        </w:tc>
        <w:tc>
          <w:tcPr>
            <w:tcW w:w="12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3.5%</w:t>
            </w:r>
          </w:p>
        </w:tc>
        <w:tc>
          <w:tcPr>
            <w:tcW w:w="7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9"/>
        </w:trPr>
        <w:tc>
          <w:tcPr>
            <w:tcW w:w="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average receive rate</w:t>
            </w: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3.3%</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r>
      <w:tr>
        <w:trPr>
          <w:trHeight w:val="146"/>
        </w:trPr>
        <w:tc>
          <w:tcPr>
            <w:tcW w:w="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2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1,080</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695</w:t>
            </w:r>
          </w:p>
        </w:tc>
        <w:tc>
          <w:tcPr>
            <w:tcW w:w="7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500</w:t>
            </w:r>
          </w:p>
        </w:tc>
        <w:tc>
          <w:tcPr>
            <w:tcW w:w="7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300</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1,000</w:t>
            </w:r>
          </w:p>
        </w:tc>
        <w:tc>
          <w:tcPr>
            <w:tcW w:w="12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3,575</w:t>
            </w:r>
          </w:p>
        </w:tc>
        <w:tc>
          <w:tcPr>
            <w:tcW w:w="7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39</w:t>
            </w:r>
          </w:p>
        </w:tc>
      </w:tr>
    </w:tbl>
    <w:p>
      <w:pPr>
        <w:spacing w:after="0" w:line="21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[B] FORWARD FOREIGN EXCHANGE CONTRACTS AND CURRENCY SWAPS</w:t>
      </w:r>
    </w:p>
    <w:p>
      <w:pPr>
        <w:spacing w:after="0" w:line="6" w:lineRule="exact"/>
        <w:rPr>
          <w:sz w:val="20"/>
          <w:szCs w:val="20"/>
          <w:color w:val="auto"/>
        </w:rPr>
      </w:pPr>
    </w:p>
    <w:p>
      <w:pPr>
        <w:jc w:val="both"/>
        <w:ind w:left="340" w:right="1680"/>
        <w:spacing w:after="0" w:line="229" w:lineRule="auto"/>
        <w:rPr>
          <w:sz w:val="20"/>
          <w:szCs w:val="20"/>
          <w:color w:val="auto"/>
        </w:rPr>
      </w:pPr>
      <w:r>
        <w:rPr>
          <w:rFonts w:ascii="Arial" w:cs="Arial" w:eastAsia="Arial" w:hAnsi="Arial"/>
          <w:sz w:val="14"/>
          <w:szCs w:val="14"/>
          <w:color w:val="auto"/>
        </w:rPr>
        <w:t>Forward foreign exchange contracts and currency swaps held by subsidiaries at December 31, by expected year of maturity, are as follows. In general Shell has not considered it necessary to apply hedge accounting to forward foreign exchange contracts. Certain of the currency swaps are designated as fair value hedges, mainly of debt. The effective interest rate on certain debt balances is affected by currency swaps.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FORWARD FOREIGN EXCHANGE CONTRACTS</w:t>
      </w:r>
    </w:p>
    <w:p>
      <w:pPr>
        <w:spacing w:after="0" w:line="46" w:lineRule="exact"/>
        <w:rPr>
          <w:sz w:val="20"/>
          <w:szCs w:val="20"/>
          <w:color w:val="auto"/>
        </w:rPr>
      </w:pPr>
    </w:p>
    <w:tbl>
      <w:tblPr>
        <w:tblLayout w:type="fixed"/>
        <w:tblInd w:w="360" w:type="dxa"/>
        <w:tblCellMar>
          <w:top w:w="0" w:type="dxa"/>
          <w:left w:w="0" w:type="dxa"/>
          <w:bottom w:w="0" w:type="dxa"/>
          <w:right w:w="0" w:type="dxa"/>
        </w:tblCellMar>
      </w:tblPr>
      <w:tr>
        <w:trPr>
          <w:trHeight w:val="139"/>
        </w:trPr>
        <w:tc>
          <w:tcPr>
            <w:tcW w:w="574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2007 (contracts mainly mature in 2008)</w:t>
            </w:r>
          </w:p>
        </w:tc>
        <w:tc>
          <w:tcPr>
            <w:tcW w:w="1320" w:type="dxa"/>
            <w:vAlign w:val="bottom"/>
            <w:shd w:val="clear" w:color="auto" w:fill="7DD0E0"/>
          </w:tcPr>
          <w:p>
            <w:pPr>
              <w:spacing w:after="0"/>
              <w:rPr>
                <w:sz w:val="12"/>
                <w:szCs w:val="12"/>
                <w:color w:val="auto"/>
              </w:rPr>
            </w:pPr>
          </w:p>
        </w:tc>
        <w:tc>
          <w:tcPr>
            <w:tcW w:w="1020" w:type="dxa"/>
            <w:vAlign w:val="bottom"/>
            <w:shd w:val="clear" w:color="auto" w:fill="7DD0E0"/>
          </w:tcPr>
          <w:p>
            <w:pPr>
              <w:spacing w:after="0"/>
              <w:rPr>
                <w:sz w:val="12"/>
                <w:szCs w:val="12"/>
                <w:color w:val="auto"/>
              </w:rPr>
            </w:pPr>
          </w:p>
        </w:tc>
        <w:tc>
          <w:tcPr>
            <w:tcW w:w="90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5740" w:type="dxa"/>
            <w:vAlign w:val="bottom"/>
            <w:shd w:val="clear" w:color="auto" w:fill="CECAC6"/>
          </w:tcPr>
          <w:p>
            <w:pPr>
              <w:spacing w:after="0"/>
              <w:rPr>
                <w:sz w:val="11"/>
                <w:szCs w:val="11"/>
                <w:color w:val="auto"/>
              </w:rPr>
            </w:pPr>
          </w:p>
        </w:tc>
        <w:tc>
          <w:tcPr>
            <w:tcW w:w="1320" w:type="dxa"/>
            <w:vAlign w:val="bottom"/>
            <w:shd w:val="clear" w:color="auto" w:fill="CECAC6"/>
          </w:tcPr>
          <w:p>
            <w:pPr>
              <w:jc w:val="right"/>
              <w:ind w:right="218"/>
              <w:spacing w:after="0" w:line="128" w:lineRule="exact"/>
              <w:rPr>
                <w:sz w:val="20"/>
                <w:szCs w:val="20"/>
                <w:color w:val="auto"/>
              </w:rPr>
            </w:pPr>
            <w:r>
              <w:rPr>
                <w:rFonts w:ascii="Arial" w:cs="Arial" w:eastAsia="Arial" w:hAnsi="Arial"/>
                <w:sz w:val="12"/>
                <w:szCs w:val="12"/>
                <w:color w:val="auto"/>
              </w:rPr>
              <w:t>Average</w:t>
            </w:r>
          </w:p>
        </w:tc>
        <w:tc>
          <w:tcPr>
            <w:tcW w:w="102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Total</w:t>
            </w:r>
          </w:p>
        </w:tc>
        <w:tc>
          <w:tcPr>
            <w:tcW w:w="900" w:type="dxa"/>
            <w:vAlign w:val="bottom"/>
            <w:shd w:val="clear" w:color="auto" w:fill="CECAC6"/>
          </w:tcPr>
          <w:p>
            <w:pPr>
              <w:spacing w:after="0"/>
              <w:rPr>
                <w:sz w:val="11"/>
                <w:szCs w:val="11"/>
                <w:color w:val="auto"/>
              </w:rPr>
            </w:pPr>
          </w:p>
        </w:tc>
      </w:tr>
      <w:tr>
        <w:trPr>
          <w:trHeight w:val="133"/>
        </w:trPr>
        <w:tc>
          <w:tcPr>
            <w:tcW w:w="5740" w:type="dxa"/>
            <w:vAlign w:val="bottom"/>
            <w:shd w:val="clear" w:color="auto" w:fill="CECAC6"/>
          </w:tcPr>
          <w:p>
            <w:pPr>
              <w:spacing w:after="0"/>
              <w:rPr>
                <w:sz w:val="11"/>
                <w:szCs w:val="11"/>
                <w:color w:val="auto"/>
              </w:rPr>
            </w:pPr>
          </w:p>
        </w:tc>
        <w:tc>
          <w:tcPr>
            <w:tcW w:w="13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contractual</w:t>
            </w:r>
          </w:p>
        </w:tc>
        <w:tc>
          <w:tcPr>
            <w:tcW w:w="10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contract/</w:t>
            </w:r>
          </w:p>
        </w:tc>
        <w:tc>
          <w:tcPr>
            <w:tcW w:w="900" w:type="dxa"/>
            <w:vAlign w:val="bottom"/>
            <w:shd w:val="clear" w:color="auto" w:fill="CECAC6"/>
          </w:tcPr>
          <w:p>
            <w:pPr>
              <w:spacing w:after="0"/>
              <w:rPr>
                <w:sz w:val="11"/>
                <w:szCs w:val="11"/>
                <w:color w:val="auto"/>
              </w:rPr>
            </w:pPr>
          </w:p>
        </w:tc>
      </w:tr>
      <w:tr>
        <w:trPr>
          <w:trHeight w:val="133"/>
        </w:trPr>
        <w:tc>
          <w:tcPr>
            <w:tcW w:w="5740" w:type="dxa"/>
            <w:vAlign w:val="bottom"/>
            <w:shd w:val="clear" w:color="auto" w:fill="CECAC6"/>
          </w:tcPr>
          <w:p>
            <w:pPr>
              <w:spacing w:after="0"/>
              <w:rPr>
                <w:sz w:val="11"/>
                <w:szCs w:val="11"/>
                <w:color w:val="auto"/>
              </w:rPr>
            </w:pPr>
          </w:p>
        </w:tc>
        <w:tc>
          <w:tcPr>
            <w:tcW w:w="132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exchange</w:t>
            </w:r>
          </w:p>
        </w:tc>
        <w:tc>
          <w:tcPr>
            <w:tcW w:w="10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notional</w:t>
            </w:r>
          </w:p>
        </w:tc>
        <w:tc>
          <w:tcPr>
            <w:tcW w:w="9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Estimated</w:t>
            </w:r>
          </w:p>
        </w:tc>
      </w:tr>
      <w:tr>
        <w:trPr>
          <w:trHeight w:val="139"/>
        </w:trPr>
        <w:tc>
          <w:tcPr>
            <w:tcW w:w="5740" w:type="dxa"/>
            <w:vAlign w:val="bottom"/>
            <w:shd w:val="clear" w:color="auto" w:fill="CECAC6"/>
          </w:tcPr>
          <w:p>
            <w:pPr>
              <w:spacing w:after="0"/>
              <w:rPr>
                <w:sz w:val="12"/>
                <w:szCs w:val="12"/>
                <w:color w:val="auto"/>
              </w:rPr>
            </w:pPr>
          </w:p>
        </w:tc>
        <w:tc>
          <w:tcPr>
            <w:tcW w:w="13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rate</w:t>
            </w:r>
          </w:p>
        </w:tc>
        <w:tc>
          <w:tcPr>
            <w:tcW w:w="102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amount</w:t>
            </w:r>
          </w:p>
        </w:tc>
        <w:tc>
          <w:tcPr>
            <w:tcW w:w="9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fair value</w:t>
            </w:r>
          </w:p>
        </w:tc>
      </w:tr>
      <w:tr>
        <w:trPr>
          <w:trHeight w:val="127"/>
        </w:trPr>
        <w:tc>
          <w:tcPr>
            <w:tcW w:w="5740" w:type="dxa"/>
            <w:vAlign w:val="bottom"/>
          </w:tcPr>
          <w:p>
            <w:pPr>
              <w:spacing w:after="0" w:line="128" w:lineRule="exact"/>
              <w:rPr>
                <w:sz w:val="20"/>
                <w:szCs w:val="20"/>
                <w:color w:val="auto"/>
              </w:rPr>
            </w:pPr>
            <w:r>
              <w:rPr>
                <w:rFonts w:ascii="Arial" w:cs="Arial" w:eastAsia="Arial" w:hAnsi="Arial"/>
                <w:sz w:val="12"/>
                <w:szCs w:val="12"/>
                <w:color w:val="auto"/>
              </w:rPr>
              <w:t>Buy euro/sell dollar</w:t>
            </w:r>
          </w:p>
        </w:tc>
        <w:tc>
          <w:tcPr>
            <w:tcW w:w="132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1.44</w:t>
            </w:r>
          </w:p>
        </w:tc>
        <w:tc>
          <w:tcPr>
            <w:tcW w:w="10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10,368</w:t>
            </w:r>
          </w:p>
        </w:tc>
        <w:tc>
          <w:tcPr>
            <w:tcW w:w="9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125</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UK pound/sell dollar</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2.01</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6,142</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(57)</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Canadian dollar</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1.00</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3,201</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(46)</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Norwegian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5.49</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2,250</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Singapore dollar</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1.44</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1,508</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Danish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5.14</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1,435</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(10)</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Australian dollar/sell dollar</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0.87</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1,032</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(7)</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Japanese yen</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113.23</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538</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New Zealand dollar/sell dollar</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0.77</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469</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Swedish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6.41</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384</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UK pound/sell Swedish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13.01</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181</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euro/sell Norwegian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8.04</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128</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dollar/sell Hungarian forint</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174.65</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112</w:t>
            </w:r>
          </w:p>
        </w:tc>
        <w:tc>
          <w:tcPr>
            <w:tcW w:w="90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r>
      <w:tr>
        <w:trPr>
          <w:trHeight w:val="133"/>
        </w:trPr>
        <w:tc>
          <w:tcPr>
            <w:tcW w:w="5740" w:type="dxa"/>
            <w:vAlign w:val="bottom"/>
          </w:tcPr>
          <w:p>
            <w:pPr>
              <w:spacing w:after="0" w:line="133" w:lineRule="exact"/>
              <w:rPr>
                <w:sz w:val="20"/>
                <w:szCs w:val="20"/>
                <w:color w:val="auto"/>
              </w:rPr>
            </w:pPr>
            <w:r>
              <w:rPr>
                <w:rFonts w:ascii="Arial" w:cs="Arial" w:eastAsia="Arial" w:hAnsi="Arial"/>
                <w:sz w:val="12"/>
                <w:szCs w:val="12"/>
                <w:color w:val="auto"/>
              </w:rPr>
              <w:t>Buy UK pound/sell Norwegian krone</w:t>
            </w:r>
          </w:p>
        </w:tc>
        <w:tc>
          <w:tcPr>
            <w:tcW w:w="13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10.86</w:t>
            </w:r>
          </w:p>
        </w:tc>
        <w:tc>
          <w:tcPr>
            <w:tcW w:w="10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110</w:t>
            </w:r>
          </w:p>
        </w:tc>
        <w:tc>
          <w:tcPr>
            <w:tcW w:w="9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9"/>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contracts</w:t>
            </w:r>
          </w:p>
        </w:tc>
        <w:tc>
          <w:tcPr>
            <w:tcW w:w="1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597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w:t>
            </w:r>
          </w:p>
        </w:tc>
      </w:tr>
      <w:tr>
        <w:trPr>
          <w:trHeight w:val="146"/>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28,455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1325880</wp:posOffset>
            </wp:positionV>
            <wp:extent cx="7252970"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60" w:type="dxa"/>
            <w:vAlign w:val="bottom"/>
            <w:gridSpan w:val="4"/>
          </w:tcPr>
          <w:p>
            <w:pPr>
              <w:spacing w:after="0"/>
              <w:rPr>
                <w:sz w:val="20"/>
                <w:szCs w:val="20"/>
                <w:color w:val="auto"/>
              </w:rPr>
            </w:pPr>
            <w:r>
              <w:rPr>
                <w:rFonts w:ascii="Arial" w:cs="Arial" w:eastAsia="Arial" w:hAnsi="Arial"/>
                <w:sz w:val="12"/>
                <w:szCs w:val="12"/>
                <w:color w:val="auto"/>
              </w:rPr>
              <w:t>NOTES TO THE CONSOLIDATED FINANCIAL STATEMENTS</w:t>
            </w: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spacing w:after="0"/>
              <w:rPr>
                <w:sz w:val="20"/>
                <w:szCs w:val="20"/>
                <w:color w:val="auto"/>
              </w:rPr>
            </w:pPr>
            <w:r>
              <w:rPr>
                <w:rFonts w:ascii="Arial" w:cs="Arial" w:eastAsia="Arial" w:hAnsi="Arial"/>
                <w:sz w:val="12"/>
                <w:szCs w:val="12"/>
                <w:b w:val="1"/>
                <w:bCs w:val="1"/>
                <w:i w:val="1"/>
                <w:iCs w:val="1"/>
                <w:color w:val="7DD0E0"/>
              </w:rPr>
              <w:t>Note 26 continued</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820" w:type="dxa"/>
            <w:vAlign w:val="bottom"/>
            <w:vMerge w:val="continue"/>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3020" w:type="dxa"/>
            <w:vAlign w:val="bottom"/>
            <w:gridSpan w:val="2"/>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2006 (contracts mainly mature in 2007)</w:t>
            </w:r>
          </w:p>
        </w:tc>
        <w:tc>
          <w:tcPr>
            <w:tcW w:w="80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840" w:type="dxa"/>
            <w:vAlign w:val="bottom"/>
            <w:shd w:val="clear" w:color="auto" w:fill="7DD0E0"/>
          </w:tcPr>
          <w:p>
            <w:pPr>
              <w:spacing w:after="0"/>
              <w:rPr>
                <w:sz w:val="11"/>
                <w:szCs w:val="11"/>
                <w:color w:val="auto"/>
              </w:rPr>
            </w:pPr>
          </w:p>
        </w:tc>
        <w:tc>
          <w:tcPr>
            <w:tcW w:w="600" w:type="dxa"/>
            <w:vAlign w:val="bottom"/>
            <w:shd w:val="clear" w:color="auto" w:fill="7DD0E0"/>
          </w:tcPr>
          <w:p>
            <w:pPr>
              <w:spacing w:after="0"/>
              <w:rPr>
                <w:sz w:val="11"/>
                <w:szCs w:val="11"/>
                <w:color w:val="auto"/>
              </w:rPr>
            </w:pPr>
          </w:p>
        </w:tc>
        <w:tc>
          <w:tcPr>
            <w:tcW w:w="1080" w:type="dxa"/>
            <w:vAlign w:val="bottom"/>
            <w:shd w:val="clear" w:color="auto" w:fill="7DD0E0"/>
          </w:tcPr>
          <w:p>
            <w:pPr>
              <w:spacing w:after="0"/>
              <w:rPr>
                <w:sz w:val="11"/>
                <w:szCs w:val="11"/>
                <w:color w:val="auto"/>
              </w:rPr>
            </w:pPr>
          </w:p>
        </w:tc>
        <w:tc>
          <w:tcPr>
            <w:tcW w:w="580" w:type="dxa"/>
            <w:vAlign w:val="bottom"/>
            <w:shd w:val="clear" w:color="auto" w:fill="7DD0E0"/>
          </w:tcPr>
          <w:p>
            <w:pPr>
              <w:spacing w:after="0"/>
              <w:rPr>
                <w:sz w:val="11"/>
                <w:szCs w:val="11"/>
                <w:color w:val="auto"/>
              </w:rPr>
            </w:pPr>
          </w:p>
        </w:tc>
        <w:tc>
          <w:tcPr>
            <w:tcW w:w="940" w:type="dxa"/>
            <w:vAlign w:val="bottom"/>
            <w:shd w:val="clear" w:color="auto" w:fill="7DD0E0"/>
          </w:tcPr>
          <w:p>
            <w:pPr>
              <w:spacing w:after="0"/>
              <w:rPr>
                <w:sz w:val="11"/>
                <w:szCs w:val="11"/>
                <w:color w:val="auto"/>
              </w:rPr>
            </w:pPr>
          </w:p>
        </w:tc>
        <w:tc>
          <w:tcPr>
            <w:tcW w:w="80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Average</w:t>
            </w: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358"/>
              <w:spacing w:after="0" w:line="128" w:lineRule="exact"/>
              <w:rPr>
                <w:sz w:val="20"/>
                <w:szCs w:val="20"/>
                <w:color w:val="auto"/>
              </w:rPr>
            </w:pPr>
            <w:r>
              <w:rPr>
                <w:rFonts w:ascii="Arial" w:cs="Arial" w:eastAsia="Arial" w:hAnsi="Arial"/>
                <w:sz w:val="12"/>
                <w:szCs w:val="12"/>
                <w:color w:val="auto"/>
              </w:rPr>
              <w:t>Total</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contractual</w:t>
            </w: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contract/</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exchange</w:t>
            </w: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notional</w:t>
            </w:r>
          </w:p>
        </w:tc>
        <w:tc>
          <w:tcPr>
            <w:tcW w:w="8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Estimated</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shd w:val="clear" w:color="auto" w:fill="CECAC6"/>
          </w:tcPr>
          <w:p>
            <w:pPr>
              <w:spacing w:after="0"/>
              <w:rPr>
                <w:sz w:val="12"/>
                <w:szCs w:val="12"/>
                <w:color w:val="auto"/>
              </w:rPr>
            </w:pPr>
          </w:p>
        </w:tc>
        <w:tc>
          <w:tcPr>
            <w:tcW w:w="102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840" w:type="dxa"/>
            <w:vAlign w:val="bottom"/>
            <w:shd w:val="clear" w:color="auto" w:fill="CECAC6"/>
          </w:tcPr>
          <w:p>
            <w:pPr>
              <w:spacing w:after="0"/>
              <w:rPr>
                <w:sz w:val="12"/>
                <w:szCs w:val="12"/>
                <w:color w:val="auto"/>
              </w:rPr>
            </w:pPr>
          </w:p>
        </w:tc>
        <w:tc>
          <w:tcPr>
            <w:tcW w:w="600" w:type="dxa"/>
            <w:vAlign w:val="bottom"/>
            <w:shd w:val="clear" w:color="auto" w:fill="CECAC6"/>
          </w:tcPr>
          <w:p>
            <w:pPr>
              <w:spacing w:after="0"/>
              <w:rPr>
                <w:sz w:val="12"/>
                <w:szCs w:val="12"/>
                <w:color w:val="auto"/>
              </w:rPr>
            </w:pPr>
          </w:p>
        </w:tc>
        <w:tc>
          <w:tcPr>
            <w:tcW w:w="10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rate</w:t>
            </w:r>
          </w:p>
        </w:tc>
        <w:tc>
          <w:tcPr>
            <w:tcW w:w="580" w:type="dxa"/>
            <w:vAlign w:val="bottom"/>
            <w:shd w:val="clear" w:color="auto" w:fill="CECAC6"/>
          </w:tcPr>
          <w:p>
            <w:pPr>
              <w:spacing w:after="0"/>
              <w:rPr>
                <w:sz w:val="12"/>
                <w:szCs w:val="12"/>
                <w:color w:val="auto"/>
              </w:rPr>
            </w:pPr>
          </w:p>
        </w:tc>
        <w:tc>
          <w:tcPr>
            <w:tcW w:w="94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amount</w:t>
            </w:r>
          </w:p>
        </w:tc>
        <w:tc>
          <w:tcPr>
            <w:tcW w:w="8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Arial" w:cs="Arial" w:eastAsia="Arial" w:hAnsi="Arial"/>
                <w:sz w:val="12"/>
                <w:szCs w:val="12"/>
                <w:color w:val="auto"/>
              </w:rPr>
              <w:t>Buy UK pound/sell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1.96</w:t>
            </w:r>
          </w:p>
        </w:tc>
        <w:tc>
          <w:tcPr>
            <w:tcW w:w="580" w:type="dxa"/>
            <w:vAlign w:val="bottom"/>
          </w:tcPr>
          <w:p>
            <w:pPr>
              <w:spacing w:after="0"/>
              <w:rPr>
                <w:sz w:val="11"/>
                <w:szCs w:val="11"/>
                <w:color w:val="auto"/>
              </w:rPr>
            </w:pPr>
          </w:p>
        </w:tc>
        <w:tc>
          <w:tcPr>
            <w:tcW w:w="94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3,899</w:t>
            </w:r>
          </w:p>
        </w:tc>
        <w:tc>
          <w:tcPr>
            <w:tcW w:w="8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euro/sell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1.31</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3,744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dollar/sell euro</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1.32</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722</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dollar/sell Danish krone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5.63</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621</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dollar/sell Australian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0.78</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525</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Singapore dollar/sell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1.54</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404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New Zealand dollar/sell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0.69</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379</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dollar/sell Norwegian krone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6.22</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279</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dollar/sell Swedish krone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6.99</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189</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Danish krone/sell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5.56</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184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euro/sell Swedish krone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9.00</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154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Canadian dollar/sell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0.87</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130</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Russian ruble/sell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0.04</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130</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Buy Australian dollar/sell dollar</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2"/>
                <w:szCs w:val="12"/>
                <w:color w:val="auto"/>
              </w:rPr>
              <w:t>0.79</w:t>
            </w:r>
          </w:p>
        </w:tc>
        <w:tc>
          <w:tcPr>
            <w:tcW w:w="580" w:type="dxa"/>
            <w:vAlign w:val="bottom"/>
          </w:tcPr>
          <w:p>
            <w:pPr>
              <w:spacing w:after="0"/>
              <w:rPr>
                <w:sz w:val="11"/>
                <w:szCs w:val="11"/>
                <w:color w:val="auto"/>
              </w:rPr>
            </w:pPr>
          </w:p>
        </w:tc>
        <w:tc>
          <w:tcPr>
            <w:tcW w:w="9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109</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contracts</w:t>
            </w:r>
          </w:p>
        </w:tc>
        <w:tc>
          <w:tcPr>
            <w:tcW w:w="1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656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12,125</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40</w:t>
            </w:r>
          </w:p>
        </w:tc>
        <w:tc>
          <w:tcPr>
            <w:tcW w:w="0" w:type="dxa"/>
            <w:vAlign w:val="bottom"/>
          </w:tcPr>
          <w:p>
            <w:pPr>
              <w:spacing w:after="0"/>
              <w:rPr>
                <w:sz w:val="1"/>
                <w:szCs w:val="1"/>
                <w:color w:val="auto"/>
              </w:rPr>
            </w:pPr>
          </w:p>
        </w:tc>
      </w:tr>
      <w:tr>
        <w:trPr>
          <w:trHeight w:val="248"/>
        </w:trPr>
        <w:tc>
          <w:tcPr>
            <w:tcW w:w="1820" w:type="dxa"/>
            <w:vAlign w:val="bottom"/>
          </w:tcPr>
          <w:p>
            <w:pPr>
              <w:spacing w:after="0"/>
              <w:rPr>
                <w:sz w:val="21"/>
                <w:szCs w:val="21"/>
                <w:color w:val="auto"/>
              </w:rPr>
            </w:pPr>
          </w:p>
        </w:tc>
        <w:tc>
          <w:tcPr>
            <w:tcW w:w="9600" w:type="dxa"/>
            <w:vAlign w:val="bottom"/>
            <w:tcBorders>
              <w:left w:val="single" w:sz="8" w:color="7DD1E1"/>
            </w:tcBorders>
            <w:gridSpan w:val="12"/>
          </w:tcPr>
          <w:p>
            <w:pPr>
              <w:ind w:left="120"/>
              <w:spacing w:after="0"/>
              <w:rPr>
                <w:sz w:val="20"/>
                <w:szCs w:val="20"/>
                <w:color w:val="auto"/>
              </w:rPr>
            </w:pPr>
            <w:r>
              <w:rPr>
                <w:rFonts w:ascii="Arial" w:cs="Arial" w:eastAsia="Arial" w:hAnsi="Arial"/>
                <w:sz w:val="14"/>
                <w:szCs w:val="14"/>
                <w:color w:val="auto"/>
                <w:w w:val="94"/>
              </w:rPr>
              <w:t>Of the total contract/notional amount at December 31, 2007, $22.3 billion (2006: $9.7 billion) relates to the outstanding forward leg of contracts in place to manage</w:t>
            </w:r>
          </w:p>
        </w:tc>
        <w:tc>
          <w:tcPr>
            <w:tcW w:w="0" w:type="dxa"/>
            <w:vAlign w:val="bottom"/>
          </w:tcPr>
          <w:p>
            <w:pPr>
              <w:spacing w:after="0"/>
              <w:rPr>
                <w:sz w:val="1"/>
                <w:szCs w:val="1"/>
                <w:color w:val="auto"/>
              </w:rPr>
            </w:pPr>
          </w:p>
        </w:tc>
      </w:tr>
      <w:tr>
        <w:trPr>
          <w:trHeight w:val="181"/>
        </w:trPr>
        <w:tc>
          <w:tcPr>
            <w:tcW w:w="1820" w:type="dxa"/>
            <w:vAlign w:val="bottom"/>
          </w:tcPr>
          <w:p>
            <w:pPr>
              <w:spacing w:after="0"/>
              <w:rPr>
                <w:sz w:val="15"/>
                <w:szCs w:val="15"/>
                <w:color w:val="auto"/>
              </w:rPr>
            </w:pPr>
          </w:p>
        </w:tc>
        <w:tc>
          <w:tcPr>
            <w:tcW w:w="2140" w:type="dxa"/>
            <w:vAlign w:val="bottom"/>
            <w:tcBorders>
              <w:left w:val="single" w:sz="8" w:color="7DD1E1"/>
            </w:tcBorders>
            <w:gridSpan w:val="3"/>
          </w:tcPr>
          <w:p>
            <w:pPr>
              <w:ind w:left="120"/>
              <w:spacing w:after="0"/>
              <w:rPr>
                <w:sz w:val="20"/>
                <w:szCs w:val="20"/>
                <w:color w:val="auto"/>
              </w:rPr>
            </w:pPr>
            <w:r>
              <w:rPr>
                <w:rFonts w:ascii="Arial" w:cs="Arial" w:eastAsia="Arial" w:hAnsi="Arial"/>
                <w:sz w:val="14"/>
                <w:szCs w:val="14"/>
                <w:color w:val="auto"/>
              </w:rPr>
              <w:t>foreign currency cash balances.</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1820" w:type="dxa"/>
            <w:vAlign w:val="bottom"/>
          </w:tcPr>
          <w:p>
            <w:pPr>
              <w:spacing w:after="0"/>
              <w:rPr>
                <w:sz w:val="24"/>
                <w:szCs w:val="24"/>
                <w:color w:val="auto"/>
              </w:rPr>
            </w:pPr>
          </w:p>
        </w:tc>
        <w:tc>
          <w:tcPr>
            <w:tcW w:w="2140" w:type="dxa"/>
            <w:vAlign w:val="bottom"/>
            <w:tcBorders>
              <w:left w:val="single" w:sz="8" w:color="7DD1E1"/>
            </w:tcBorders>
            <w:gridSpan w:val="3"/>
          </w:tcPr>
          <w:p>
            <w:pPr>
              <w:ind w:left="120"/>
              <w:spacing w:after="0"/>
              <w:rPr>
                <w:sz w:val="20"/>
                <w:szCs w:val="20"/>
                <w:color w:val="auto"/>
              </w:rPr>
            </w:pPr>
            <w:r>
              <w:rPr>
                <w:rFonts w:ascii="Arial" w:cs="Arial" w:eastAsia="Arial" w:hAnsi="Arial"/>
                <w:sz w:val="14"/>
                <w:szCs w:val="14"/>
                <w:b w:val="1"/>
                <w:bCs w:val="1"/>
                <w:color w:val="auto"/>
              </w:rPr>
              <w:t>CURRENCY SWAPS</w:t>
            </w: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20" w:type="dxa"/>
            <w:vAlign w:val="bottom"/>
          </w:tcPr>
          <w:p>
            <w:pPr>
              <w:spacing w:after="0"/>
              <w:rPr>
                <w:sz w:val="10"/>
                <w:szCs w:val="10"/>
                <w:color w:val="auto"/>
              </w:rPr>
            </w:pPr>
          </w:p>
        </w:tc>
        <w:tc>
          <w:tcPr>
            <w:tcW w:w="140" w:type="dxa"/>
            <w:vAlign w:val="bottom"/>
            <w:tcBorders>
              <w:left w:val="single" w:sz="8" w:color="7DD1E1"/>
            </w:tcBorders>
            <w:gridSpan w:val="2"/>
            <w:vMerge w:val="restart"/>
          </w:tcPr>
          <w:p>
            <w:pPr>
              <w:spacing w:after="0"/>
              <w:rPr>
                <w:sz w:val="10"/>
                <w:szCs w:val="10"/>
                <w:color w:val="auto"/>
              </w:rPr>
            </w:pPr>
          </w:p>
        </w:tc>
        <w:tc>
          <w:tcPr>
            <w:tcW w:w="20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40" w:type="dxa"/>
            <w:vAlign w:val="bottom"/>
            <w:tcBorders>
              <w:left w:val="single" w:sz="8" w:color="7DD1E1"/>
            </w:tcBorders>
            <w:gridSpan w:val="2"/>
            <w:vMerge w:val="continue"/>
          </w:tcPr>
          <w:p>
            <w:pPr>
              <w:spacing w:after="0"/>
              <w:rPr>
                <w:sz w:val="11"/>
                <w:szCs w:val="11"/>
                <w:color w:val="auto"/>
              </w:rPr>
            </w:pPr>
          </w:p>
        </w:tc>
        <w:tc>
          <w:tcPr>
            <w:tcW w:w="200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2007</w:t>
            </w:r>
          </w:p>
        </w:tc>
        <w:tc>
          <w:tcPr>
            <w:tcW w:w="102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840" w:type="dxa"/>
            <w:vAlign w:val="bottom"/>
            <w:shd w:val="clear" w:color="auto" w:fill="7DD0E0"/>
          </w:tcPr>
          <w:p>
            <w:pPr>
              <w:spacing w:after="0"/>
              <w:rPr>
                <w:sz w:val="11"/>
                <w:szCs w:val="11"/>
                <w:color w:val="auto"/>
              </w:rPr>
            </w:pPr>
          </w:p>
        </w:tc>
        <w:tc>
          <w:tcPr>
            <w:tcW w:w="600" w:type="dxa"/>
            <w:vAlign w:val="bottom"/>
            <w:shd w:val="clear" w:color="auto" w:fill="7DD0E0"/>
          </w:tcPr>
          <w:p>
            <w:pPr>
              <w:spacing w:after="0"/>
              <w:rPr>
                <w:sz w:val="11"/>
                <w:szCs w:val="11"/>
                <w:color w:val="auto"/>
              </w:rPr>
            </w:pPr>
          </w:p>
        </w:tc>
        <w:tc>
          <w:tcPr>
            <w:tcW w:w="1080" w:type="dxa"/>
            <w:vAlign w:val="bottom"/>
            <w:shd w:val="clear" w:color="auto" w:fill="7DD0E0"/>
          </w:tcPr>
          <w:p>
            <w:pPr>
              <w:spacing w:after="0"/>
              <w:rPr>
                <w:sz w:val="11"/>
                <w:szCs w:val="11"/>
                <w:color w:val="auto"/>
              </w:rPr>
            </w:pPr>
          </w:p>
        </w:tc>
        <w:tc>
          <w:tcPr>
            <w:tcW w:w="580" w:type="dxa"/>
            <w:vAlign w:val="bottom"/>
            <w:shd w:val="clear" w:color="auto" w:fill="7DD0E0"/>
          </w:tcPr>
          <w:p>
            <w:pPr>
              <w:spacing w:after="0"/>
              <w:rPr>
                <w:sz w:val="11"/>
                <w:szCs w:val="11"/>
                <w:color w:val="auto"/>
              </w:rPr>
            </w:pPr>
          </w:p>
        </w:tc>
        <w:tc>
          <w:tcPr>
            <w:tcW w:w="940" w:type="dxa"/>
            <w:vAlign w:val="bottom"/>
            <w:shd w:val="clear" w:color="auto" w:fill="7DD0E0"/>
          </w:tcPr>
          <w:p>
            <w:pPr>
              <w:spacing w:after="0"/>
              <w:rPr>
                <w:sz w:val="11"/>
                <w:szCs w:val="11"/>
                <w:color w:val="auto"/>
              </w:rPr>
            </w:pPr>
          </w:p>
        </w:tc>
        <w:tc>
          <w:tcPr>
            <w:tcW w:w="800" w:type="dxa"/>
            <w:vAlign w:val="bottom"/>
            <w:shd w:val="clear" w:color="auto" w:fill="7DD0E0"/>
          </w:tcPr>
          <w:p>
            <w:pPr>
              <w:jc w:val="right"/>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138"/>
              <w:spacing w:after="0" w:line="128" w:lineRule="exact"/>
              <w:rPr>
                <w:sz w:val="20"/>
                <w:szCs w:val="20"/>
                <w:color w:val="auto"/>
              </w:rPr>
            </w:pPr>
            <w:r>
              <w:rPr>
                <w:rFonts w:ascii="Arial" w:cs="Arial" w:eastAsia="Arial" w:hAnsi="Arial"/>
                <w:sz w:val="12"/>
                <w:szCs w:val="12"/>
                <w:color w:val="auto"/>
              </w:rPr>
              <w:t>Average</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98"/>
              <w:spacing w:after="0" w:line="128" w:lineRule="exact"/>
              <w:rPr>
                <w:sz w:val="20"/>
                <w:szCs w:val="20"/>
                <w:color w:val="auto"/>
              </w:rPr>
            </w:pPr>
            <w:r>
              <w:rPr>
                <w:rFonts w:ascii="Arial" w:cs="Arial" w:eastAsia="Arial" w:hAnsi="Arial"/>
                <w:sz w:val="12"/>
                <w:szCs w:val="12"/>
                <w:color w:val="auto"/>
              </w:rPr>
              <w:t>Total</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contractual</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contract/</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exchange</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2013</w:t>
            </w:r>
          </w:p>
        </w:tc>
        <w:tc>
          <w:tcPr>
            <w:tcW w:w="9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notional</w:t>
            </w:r>
          </w:p>
        </w:tc>
        <w:tc>
          <w:tcPr>
            <w:tcW w:w="80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Estimated</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shd w:val="clear" w:color="auto" w:fill="CECAC6"/>
          </w:tcPr>
          <w:p>
            <w:pPr>
              <w:spacing w:after="0"/>
              <w:rPr>
                <w:sz w:val="12"/>
                <w:szCs w:val="12"/>
                <w:color w:val="auto"/>
              </w:rPr>
            </w:pPr>
          </w:p>
        </w:tc>
        <w:tc>
          <w:tcPr>
            <w:tcW w:w="102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rate</w:t>
            </w:r>
          </w:p>
        </w:tc>
        <w:tc>
          <w:tcPr>
            <w:tcW w:w="8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2008</w:t>
            </w:r>
          </w:p>
        </w:tc>
        <w:tc>
          <w:tcPr>
            <w:tcW w:w="8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2009</w:t>
            </w:r>
          </w:p>
        </w:tc>
        <w:tc>
          <w:tcPr>
            <w:tcW w:w="84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2010</w:t>
            </w:r>
          </w:p>
        </w:tc>
        <w:tc>
          <w:tcPr>
            <w:tcW w:w="6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2011</w:t>
            </w:r>
          </w:p>
        </w:tc>
        <w:tc>
          <w:tcPr>
            <w:tcW w:w="108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2012</w:t>
            </w:r>
          </w:p>
        </w:tc>
        <w:tc>
          <w:tcPr>
            <w:tcW w:w="5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and after</w:t>
            </w:r>
          </w:p>
        </w:tc>
        <w:tc>
          <w:tcPr>
            <w:tcW w:w="9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amount</w:t>
            </w:r>
          </w:p>
        </w:tc>
        <w:tc>
          <w:tcPr>
            <w:tcW w:w="8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Arial" w:cs="Arial" w:eastAsia="Arial" w:hAnsi="Arial"/>
                <w:sz w:val="12"/>
                <w:szCs w:val="12"/>
                <w:color w:val="auto"/>
              </w:rPr>
              <w:t>Fixed to floating interest rates:</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euro</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1.32</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515</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441</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2,207</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3,163</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Canadian dollar/sell dollar</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1.21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476</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523</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272</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201</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20</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1,492</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(229)</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UK pound</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1.91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998</w:t>
            </w:r>
          </w:p>
        </w:tc>
        <w:tc>
          <w:tcPr>
            <w:tcW w:w="600" w:type="dxa"/>
            <w:vAlign w:val="bottom"/>
          </w:tcPr>
          <w:p>
            <w:pPr>
              <w:spacing w:after="0"/>
              <w:rPr>
                <w:sz w:val="11"/>
                <w:szCs w:val="11"/>
                <w:color w:val="auto"/>
              </w:rPr>
            </w:pP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998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83</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Canadian dollar</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1.15</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257</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42</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40</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339</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UK pound/sell dollar</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2.00</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237</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237</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Other contracts</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140</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266</w:t>
            </w: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406</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Floating to floating interest rates:</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UK pound</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1.91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969</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969</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Sell dollar/buy euro</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1.44</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700</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700</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euro</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1.31</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588</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588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67</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Australian dollar/sell dollar</w:t>
            </w:r>
          </w:p>
        </w:tc>
        <w:tc>
          <w:tcPr>
            <w:tcW w:w="102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0.78</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391</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391</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Other contracts</w:t>
            </w:r>
          </w:p>
        </w:tc>
        <w:tc>
          <w:tcPr>
            <w:tcW w:w="1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583</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155</w:t>
            </w: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w:t>
            </w: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1,113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w:t>
            </w:r>
          </w:p>
        </w:tc>
        <w:tc>
          <w:tcPr>
            <w:tcW w:w="0" w:type="dxa"/>
            <w:vAlign w:val="bottom"/>
          </w:tcPr>
          <w:p>
            <w:pPr>
              <w:spacing w:after="0"/>
              <w:rPr>
                <w:sz w:val="1"/>
                <w:szCs w:val="1"/>
                <w:color w:val="auto"/>
              </w:rPr>
            </w:pPr>
          </w:p>
        </w:tc>
      </w:tr>
      <w:tr>
        <w:trPr>
          <w:trHeight w:val="146"/>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3,573</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1,235</w:t>
            </w:r>
          </w:p>
        </w:tc>
        <w:tc>
          <w:tcPr>
            <w:tcW w:w="8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1,863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898</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237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2,590</w:t>
            </w:r>
          </w:p>
        </w:tc>
        <w:tc>
          <w:tcPr>
            <w:tcW w:w="9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10,396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243</w:t>
            </w:r>
          </w:p>
        </w:tc>
        <w:tc>
          <w:tcPr>
            <w:tcW w:w="0" w:type="dxa"/>
            <w:vAlign w:val="bottom"/>
          </w:tcPr>
          <w:p>
            <w:pPr>
              <w:spacing w:after="0"/>
              <w:rPr>
                <w:sz w:val="1"/>
                <w:szCs w:val="1"/>
                <w:color w:val="auto"/>
              </w:rPr>
            </w:pPr>
          </w:p>
        </w:tc>
      </w:tr>
      <w:tr>
        <w:trPr>
          <w:trHeight w:val="360"/>
        </w:trPr>
        <w:tc>
          <w:tcPr>
            <w:tcW w:w="1820" w:type="dxa"/>
            <w:vAlign w:val="bottom"/>
          </w:tcPr>
          <w:p>
            <w:pPr>
              <w:spacing w:after="0"/>
              <w:rPr>
                <w:sz w:val="24"/>
                <w:szCs w:val="24"/>
                <w:color w:val="auto"/>
              </w:rPr>
            </w:pPr>
          </w:p>
        </w:tc>
        <w:tc>
          <w:tcPr>
            <w:tcW w:w="140" w:type="dxa"/>
            <w:vAlign w:val="bottom"/>
            <w:tcBorders>
              <w:left w:val="single" w:sz="8" w:color="7DD1E1"/>
            </w:tcBorders>
            <w:gridSpan w:val="2"/>
            <w:vMerge w:val="restart"/>
          </w:tcPr>
          <w:p>
            <w:pPr>
              <w:spacing w:after="0"/>
              <w:rPr>
                <w:sz w:val="24"/>
                <w:szCs w:val="24"/>
                <w:color w:val="auto"/>
              </w:rPr>
            </w:pPr>
          </w:p>
        </w:tc>
        <w:tc>
          <w:tcPr>
            <w:tcW w:w="2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40" w:type="dxa"/>
            <w:vAlign w:val="bottom"/>
            <w:tcBorders>
              <w:left w:val="single" w:sz="8" w:color="7DD1E1"/>
            </w:tcBorders>
            <w:gridSpan w:val="2"/>
            <w:vMerge w:val="continue"/>
          </w:tcPr>
          <w:p>
            <w:pPr>
              <w:spacing w:after="0"/>
              <w:rPr>
                <w:sz w:val="11"/>
                <w:szCs w:val="11"/>
                <w:color w:val="auto"/>
              </w:rPr>
            </w:pPr>
          </w:p>
        </w:tc>
        <w:tc>
          <w:tcPr>
            <w:tcW w:w="200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2006</w:t>
            </w:r>
          </w:p>
        </w:tc>
        <w:tc>
          <w:tcPr>
            <w:tcW w:w="102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800" w:type="dxa"/>
            <w:vAlign w:val="bottom"/>
            <w:shd w:val="clear" w:color="auto" w:fill="7DD0E0"/>
          </w:tcPr>
          <w:p>
            <w:pPr>
              <w:spacing w:after="0"/>
              <w:rPr>
                <w:sz w:val="11"/>
                <w:szCs w:val="11"/>
                <w:color w:val="auto"/>
              </w:rPr>
            </w:pPr>
          </w:p>
        </w:tc>
        <w:tc>
          <w:tcPr>
            <w:tcW w:w="840" w:type="dxa"/>
            <w:vAlign w:val="bottom"/>
            <w:shd w:val="clear" w:color="auto" w:fill="7DD0E0"/>
          </w:tcPr>
          <w:p>
            <w:pPr>
              <w:spacing w:after="0"/>
              <w:rPr>
                <w:sz w:val="11"/>
                <w:szCs w:val="11"/>
                <w:color w:val="auto"/>
              </w:rPr>
            </w:pPr>
          </w:p>
        </w:tc>
        <w:tc>
          <w:tcPr>
            <w:tcW w:w="600" w:type="dxa"/>
            <w:vAlign w:val="bottom"/>
            <w:shd w:val="clear" w:color="auto" w:fill="7DD0E0"/>
          </w:tcPr>
          <w:p>
            <w:pPr>
              <w:spacing w:after="0"/>
              <w:rPr>
                <w:sz w:val="11"/>
                <w:szCs w:val="11"/>
                <w:color w:val="auto"/>
              </w:rPr>
            </w:pPr>
          </w:p>
        </w:tc>
        <w:tc>
          <w:tcPr>
            <w:tcW w:w="1080" w:type="dxa"/>
            <w:vAlign w:val="bottom"/>
            <w:shd w:val="clear" w:color="auto" w:fill="7DD0E0"/>
          </w:tcPr>
          <w:p>
            <w:pPr>
              <w:spacing w:after="0"/>
              <w:rPr>
                <w:sz w:val="11"/>
                <w:szCs w:val="11"/>
                <w:color w:val="auto"/>
              </w:rPr>
            </w:pPr>
          </w:p>
        </w:tc>
        <w:tc>
          <w:tcPr>
            <w:tcW w:w="580" w:type="dxa"/>
            <w:vAlign w:val="bottom"/>
            <w:shd w:val="clear" w:color="auto" w:fill="7DD0E0"/>
          </w:tcPr>
          <w:p>
            <w:pPr>
              <w:spacing w:after="0"/>
              <w:rPr>
                <w:sz w:val="11"/>
                <w:szCs w:val="11"/>
                <w:color w:val="auto"/>
              </w:rPr>
            </w:pPr>
          </w:p>
        </w:tc>
        <w:tc>
          <w:tcPr>
            <w:tcW w:w="940" w:type="dxa"/>
            <w:vAlign w:val="bottom"/>
            <w:shd w:val="clear" w:color="auto" w:fill="7DD0E0"/>
          </w:tcPr>
          <w:p>
            <w:pPr>
              <w:spacing w:after="0"/>
              <w:rPr>
                <w:sz w:val="11"/>
                <w:szCs w:val="11"/>
                <w:color w:val="auto"/>
              </w:rPr>
            </w:pPr>
          </w:p>
        </w:tc>
        <w:tc>
          <w:tcPr>
            <w:tcW w:w="80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258"/>
              <w:spacing w:after="0" w:line="128" w:lineRule="exact"/>
              <w:rPr>
                <w:sz w:val="20"/>
                <w:szCs w:val="20"/>
                <w:color w:val="auto"/>
              </w:rPr>
            </w:pPr>
            <w:r>
              <w:rPr>
                <w:rFonts w:ascii="Arial" w:cs="Arial" w:eastAsia="Arial" w:hAnsi="Arial"/>
                <w:sz w:val="12"/>
                <w:szCs w:val="12"/>
                <w:color w:val="auto"/>
              </w:rPr>
              <w:t>Average</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138"/>
              <w:spacing w:after="0" w:line="128" w:lineRule="exact"/>
              <w:rPr>
                <w:sz w:val="20"/>
                <w:szCs w:val="20"/>
                <w:color w:val="auto"/>
              </w:rPr>
            </w:pPr>
            <w:r>
              <w:rPr>
                <w:rFonts w:ascii="Arial" w:cs="Arial" w:eastAsia="Arial" w:hAnsi="Arial"/>
                <w:sz w:val="12"/>
                <w:szCs w:val="12"/>
                <w:color w:val="auto"/>
              </w:rPr>
              <w:t>Total</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contractual</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94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contract/</w:t>
            </w: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exchange</w:t>
            </w:r>
          </w:p>
        </w:tc>
        <w:tc>
          <w:tcPr>
            <w:tcW w:w="80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5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2013</w:t>
            </w:r>
          </w:p>
        </w:tc>
        <w:tc>
          <w:tcPr>
            <w:tcW w:w="94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notional</w:t>
            </w:r>
          </w:p>
        </w:tc>
        <w:tc>
          <w:tcPr>
            <w:tcW w:w="8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Estimated</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shd w:val="clear" w:color="auto" w:fill="CECAC6"/>
          </w:tcPr>
          <w:p>
            <w:pPr>
              <w:spacing w:after="0"/>
              <w:rPr>
                <w:sz w:val="12"/>
                <w:szCs w:val="12"/>
                <w:color w:val="auto"/>
              </w:rPr>
            </w:pPr>
          </w:p>
        </w:tc>
        <w:tc>
          <w:tcPr>
            <w:tcW w:w="102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rate</w:t>
            </w:r>
          </w:p>
        </w:tc>
        <w:tc>
          <w:tcPr>
            <w:tcW w:w="80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2008</w:t>
            </w:r>
          </w:p>
        </w:tc>
        <w:tc>
          <w:tcPr>
            <w:tcW w:w="80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2009</w:t>
            </w:r>
          </w:p>
        </w:tc>
        <w:tc>
          <w:tcPr>
            <w:tcW w:w="84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2010</w:t>
            </w:r>
          </w:p>
        </w:tc>
        <w:tc>
          <w:tcPr>
            <w:tcW w:w="6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2011</w:t>
            </w:r>
          </w:p>
        </w:tc>
        <w:tc>
          <w:tcPr>
            <w:tcW w:w="10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2012</w:t>
            </w:r>
          </w:p>
        </w:tc>
        <w:tc>
          <w:tcPr>
            <w:tcW w:w="5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and after</w:t>
            </w:r>
          </w:p>
        </w:tc>
        <w:tc>
          <w:tcPr>
            <w:tcW w:w="94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amount</w:t>
            </w:r>
          </w:p>
        </w:tc>
        <w:tc>
          <w:tcPr>
            <w:tcW w:w="8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fair value</w:t>
            </w:r>
          </w:p>
        </w:tc>
        <w:tc>
          <w:tcPr>
            <w:tcW w:w="0" w:type="dxa"/>
            <w:vAlign w:val="bottom"/>
          </w:tcPr>
          <w:p>
            <w:pPr>
              <w:spacing w:after="0"/>
              <w:rPr>
                <w:sz w:val="1"/>
                <w:szCs w:val="1"/>
                <w:color w:val="auto"/>
              </w:rPr>
            </w:pPr>
          </w:p>
        </w:tc>
      </w:tr>
      <w:tr>
        <w:trPr>
          <w:trHeight w:val="127"/>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spacing w:after="0" w:line="128" w:lineRule="exact"/>
              <w:rPr>
                <w:sz w:val="20"/>
                <w:szCs w:val="20"/>
                <w:color w:val="auto"/>
              </w:rPr>
            </w:pPr>
            <w:r>
              <w:rPr>
                <w:rFonts w:ascii="Arial" w:cs="Arial" w:eastAsia="Arial" w:hAnsi="Arial"/>
                <w:sz w:val="12"/>
                <w:szCs w:val="12"/>
                <w:color w:val="auto"/>
              </w:rPr>
              <w:t>Fixed to floating interest rate: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Canadian dollar/sell dollar</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0.83</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476</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416</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565</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232</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172</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1,861</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UK pound/sell dollar</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1.81</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861</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370</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269</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1,500</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137</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euro/sell UK pound</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1.54</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940</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401</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1,341</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UK pound</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1.89</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568</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568</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euro</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1.19</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416</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416</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Canadian dollar</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1.14</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159</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30</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42</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40</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271</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Other contracts</w:t>
            </w:r>
          </w:p>
        </w:tc>
        <w:tc>
          <w:tcPr>
            <w:tcW w:w="1020" w:type="dxa"/>
            <w:vAlign w:val="bottom"/>
          </w:tcPr>
          <w:p>
            <w:pPr>
              <w:spacing w:after="0"/>
              <w:rPr>
                <w:sz w:val="11"/>
                <w:szCs w:val="11"/>
                <w:color w:val="auto"/>
              </w:rPr>
            </w:pP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279</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626</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905</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20" w:type="dxa"/>
            <w:vAlign w:val="bottom"/>
            <w:gridSpan w:val="2"/>
          </w:tcPr>
          <w:p>
            <w:pPr>
              <w:spacing w:after="0" w:line="133" w:lineRule="exact"/>
              <w:rPr>
                <w:sz w:val="20"/>
                <w:szCs w:val="20"/>
                <w:color w:val="auto"/>
              </w:rPr>
            </w:pPr>
            <w:r>
              <w:rPr>
                <w:rFonts w:ascii="Arial" w:cs="Arial" w:eastAsia="Arial" w:hAnsi="Arial"/>
                <w:sz w:val="12"/>
                <w:szCs w:val="12"/>
                <w:color w:val="auto"/>
              </w:rPr>
              <w:t>Floating to floating interest rate: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euro</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1.30</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522</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522</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dollar/sell UK pound</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1.96</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594</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594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rPr>
                <w:sz w:val="11"/>
                <w:szCs w:val="11"/>
                <w:color w:val="auto"/>
              </w:rPr>
            </w:pPr>
          </w:p>
        </w:tc>
        <w:tc>
          <w:tcPr>
            <w:tcW w:w="120" w:type="dxa"/>
            <w:vAlign w:val="bottom"/>
            <w:tcBorders>
              <w:left w:val="single" w:sz="8" w:color="7DD1E1"/>
            </w:tcBorders>
          </w:tcPr>
          <w:p>
            <w:pPr>
              <w:spacing w:after="0"/>
              <w:rPr>
                <w:sz w:val="11"/>
                <w:szCs w:val="11"/>
                <w:color w:val="auto"/>
              </w:rPr>
            </w:pPr>
          </w:p>
        </w:tc>
        <w:tc>
          <w:tcPr>
            <w:tcW w:w="20" w:type="dxa"/>
            <w:vAlign w:val="bottom"/>
          </w:tcPr>
          <w:p>
            <w:pPr>
              <w:spacing w:after="0"/>
              <w:rPr>
                <w:sz w:val="11"/>
                <w:szCs w:val="11"/>
                <w:color w:val="auto"/>
              </w:rPr>
            </w:pPr>
          </w:p>
        </w:tc>
        <w:tc>
          <w:tcPr>
            <w:tcW w:w="2000" w:type="dxa"/>
            <w:vAlign w:val="bottom"/>
          </w:tcPr>
          <w:p>
            <w:pPr>
              <w:ind w:left="180"/>
              <w:spacing w:after="0" w:line="133" w:lineRule="exact"/>
              <w:rPr>
                <w:sz w:val="20"/>
                <w:szCs w:val="20"/>
                <w:color w:val="auto"/>
              </w:rPr>
            </w:pPr>
            <w:r>
              <w:rPr>
                <w:rFonts w:ascii="Arial" w:cs="Arial" w:eastAsia="Arial" w:hAnsi="Arial"/>
                <w:sz w:val="12"/>
                <w:szCs w:val="12"/>
                <w:color w:val="auto"/>
              </w:rPr>
              <w:t>Buy US dollar/Sell Thai baht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36.04</w:t>
            </w:r>
          </w:p>
        </w:tc>
        <w:tc>
          <w:tcPr>
            <w:tcW w:w="80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258</w:t>
            </w:r>
          </w:p>
        </w:tc>
        <w:tc>
          <w:tcPr>
            <w:tcW w:w="8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10</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268</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9"/>
        </w:trPr>
        <w:tc>
          <w:tcPr>
            <w:tcW w:w="1820" w:type="dxa"/>
            <w:vAlign w:val="bottom"/>
          </w:tcPr>
          <w:p>
            <w:pPr>
              <w:spacing w:after="0"/>
              <w:rPr>
                <w:sz w:val="12"/>
                <w:szCs w:val="12"/>
                <w:color w:val="auto"/>
              </w:rPr>
            </w:pPr>
          </w:p>
        </w:tc>
        <w:tc>
          <w:tcPr>
            <w:tcW w:w="120" w:type="dxa"/>
            <w:vAlign w:val="bottom"/>
            <w:tcBorders>
              <w:left w:val="single" w:sz="8" w:color="7DD1E1"/>
            </w:tcBorders>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Borders>
              <w:bottom w:val="single" w:sz="8" w:color="auto"/>
            </w:tcBorders>
          </w:tcPr>
          <w:p>
            <w:pPr>
              <w:ind w:left="180"/>
              <w:spacing w:after="0"/>
              <w:rPr>
                <w:sz w:val="20"/>
                <w:szCs w:val="20"/>
                <w:color w:val="auto"/>
              </w:rPr>
            </w:pPr>
            <w:r>
              <w:rPr>
                <w:rFonts w:ascii="Arial" w:cs="Arial" w:eastAsia="Arial" w:hAnsi="Arial"/>
                <w:sz w:val="12"/>
                <w:szCs w:val="12"/>
                <w:color w:val="auto"/>
              </w:rPr>
              <w:t>Other contracts</w:t>
            </w:r>
          </w:p>
        </w:tc>
        <w:tc>
          <w:tcPr>
            <w:tcW w:w="10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974</w:t>
            </w: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83</w:t>
            </w: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51</w:t>
            </w: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1,108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60"/>
        </w:trPr>
        <w:tc>
          <w:tcPr>
            <w:tcW w:w="1820" w:type="dxa"/>
            <w:vAlign w:val="bottom"/>
          </w:tcPr>
          <w:p>
            <w:pPr>
              <w:spacing w:after="0"/>
              <w:rPr>
                <w:sz w:val="13"/>
                <w:szCs w:val="13"/>
                <w:color w:val="auto"/>
              </w:rPr>
            </w:pPr>
          </w:p>
        </w:tc>
        <w:tc>
          <w:tcPr>
            <w:tcW w:w="120" w:type="dxa"/>
            <w:vAlign w:val="bottom"/>
            <w:tcBorders>
              <w:left w:val="single" w:sz="8" w:color="7DD1E1"/>
            </w:tcBorders>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3,947</w:t>
            </w:r>
          </w:p>
        </w:tc>
        <w:tc>
          <w:tcPr>
            <w:tcW w:w="8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2,426</w:t>
            </w: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1,074</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800</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838</w:t>
            </w:r>
          </w:p>
        </w:tc>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269</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9,354</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148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4" w:name="page155"/>
    <w:bookmarkEnd w:id="15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26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27</w:t>
      </w:r>
    </w:p>
    <w:p>
      <w:pPr>
        <w:spacing w:after="0" w:line="20" w:lineRule="exact"/>
        <w:rPr>
          <w:sz w:val="20"/>
          <w:szCs w:val="20"/>
          <w:color w:val="auto"/>
        </w:rPr>
      </w:pPr>
    </w:p>
    <w:p>
      <w:pPr>
        <w:spacing w:after="0" w:line="242" w:lineRule="auto"/>
        <w:rPr>
          <w:sz w:val="20"/>
          <w:szCs w:val="20"/>
          <w:color w:val="auto"/>
        </w:rPr>
      </w:pPr>
      <w:r>
        <w:rPr>
          <w:rFonts w:ascii="Arial" w:cs="Arial" w:eastAsia="Arial" w:hAnsi="Arial"/>
          <w:sz w:val="14"/>
          <w:szCs w:val="14"/>
          <w:b w:val="1"/>
          <w:bCs w:val="1"/>
          <w:color w:val="auto"/>
        </w:rPr>
        <w:t>SHARE-BASED COMPENSATION PLANS AND TREASURY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COMMODITY SWAPS, OPTIONS, FUTURES AND FORWARDS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-109855</wp:posOffset>
            </wp:positionV>
            <wp:extent cx="8255" cy="14211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142113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-109855</wp:posOffset>
            </wp:positionV>
            <wp:extent cx="282575" cy="84493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82575" cy="844931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4"/>
          <w:szCs w:val="14"/>
          <w:color w:val="auto"/>
        </w:rPr>
        <w:t>Subsidiaries held commodity swaps, options and futures at December 31, 2007, with a total contract/notional amount of $184,312 million (2006:</w:t>
      </w:r>
    </w:p>
    <w:p>
      <w:pPr>
        <w:spacing w:after="0"/>
        <w:rPr>
          <w:sz w:val="20"/>
          <w:szCs w:val="20"/>
          <w:color w:val="auto"/>
        </w:rPr>
      </w:pPr>
      <w:r>
        <w:rPr>
          <w:rFonts w:ascii="Arial" w:cs="Arial" w:eastAsia="Arial" w:hAnsi="Arial"/>
          <w:sz w:val="14"/>
          <w:szCs w:val="14"/>
          <w:color w:val="auto"/>
        </w:rPr>
        <w:t>$139,348 million) and an estimated fair value of $257 million (2006: $816 million). These contracts are generally held for trading.</w:t>
      </w:r>
    </w:p>
    <w:p>
      <w:pPr>
        <w:spacing w:after="0" w:line="80" w:lineRule="exact"/>
        <w:rPr>
          <w:sz w:val="20"/>
          <w:szCs w:val="20"/>
          <w:color w:val="auto"/>
        </w:rPr>
      </w:pPr>
    </w:p>
    <w:p>
      <w:pPr>
        <w:ind w:right="100"/>
        <w:spacing w:after="0" w:line="235" w:lineRule="auto"/>
        <w:rPr>
          <w:sz w:val="20"/>
          <w:szCs w:val="20"/>
          <w:color w:val="auto"/>
        </w:rPr>
      </w:pPr>
      <w:r>
        <w:rPr>
          <w:rFonts w:ascii="Arial" w:cs="Arial" w:eastAsia="Arial" w:hAnsi="Arial"/>
          <w:sz w:val="14"/>
          <w:szCs w:val="14"/>
          <w:color w:val="auto"/>
        </w:rPr>
        <w:t>Subsidiaries enter into forward sale and purchase contracts for commodities in their trading operations which may be settled by the physical delivery or receipt of the commodity and are recognised at fair value. The total contract/notional amount of these contracts at December 31, 2007, was $238,407 million (2006: $159,434 million), with an estimated fair value of $(1,416) million (2006: $(964) million).</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The majority of contractual maturities are within one year, and all contracts held for trading are reported as current assets or current liabilities.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 OTHER CONTRACTS</w:t>
      </w:r>
    </w:p>
    <w:p>
      <w:pPr>
        <w:spacing w:after="0" w:line="6" w:lineRule="exact"/>
        <w:rPr>
          <w:sz w:val="20"/>
          <w:szCs w:val="20"/>
          <w:color w:val="auto"/>
        </w:rPr>
      </w:pPr>
    </w:p>
    <w:p>
      <w:pPr>
        <w:ind w:right="60"/>
        <w:spacing w:after="0" w:line="272" w:lineRule="auto"/>
        <w:rPr>
          <w:sz w:val="20"/>
          <w:szCs w:val="20"/>
          <w:color w:val="auto"/>
        </w:rPr>
      </w:pPr>
      <w:r>
        <w:rPr>
          <w:rFonts w:ascii="Arial" w:cs="Arial" w:eastAsia="Arial" w:hAnsi="Arial"/>
          <w:sz w:val="12"/>
          <w:szCs w:val="12"/>
          <w:color w:val="auto"/>
        </w:rPr>
        <w:t>Subsidiaries held certain contracts to sell or purchase commodities, and other contracts containing embedded derivatives, which are required to be recognised at fair value because of pricing or delivery conditions, even though they are only entered into to meet operational requirements. The total contract/notional amount of these contracts at December 31, 2007, was $6,676 million (2006: $6,544 million), with an estimated fair value of $186 million (2006: $(68) million). These contracts have expected maturity between 2008 and 2025, with certain contracts having early termination rights (for either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266700</wp:posOffset>
            </wp:positionV>
            <wp:extent cx="8255" cy="20212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2021205"/>
                    </a:xfrm>
                    <a:prstGeom prst="rect">
                      <a:avLst/>
                    </a:prstGeom>
                    <a:noFill/>
                  </pic:spPr>
                </pic:pic>
              </a:graphicData>
            </a:graphic>
          </wp:anchor>
        </w:drawing>
      </w:r>
    </w:p>
    <w:p>
      <w:pPr>
        <w:spacing w:after="0" w:line="4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SHARE-BASED COMPENSATION PLANS</w:t>
      </w:r>
    </w:p>
    <w:p>
      <w:pPr>
        <w:spacing w:after="0" w:line="6"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There are a number of share-based compensation plans for employees of Shell. Following the Unification (see Note 1), the underlying shares for all the continuing plans which were previously Royal Dutch or Shell Transport are now shares of Royal Dutch Shell, and awards and rights under plans in existence at the time of the Unification have been converted into awards and rights over Royal Dutch Shell shares; all information in the remainder of this note related to the period prior to the Unification has also been converted.</w:t>
      </w:r>
    </w:p>
    <w:p>
      <w:pPr>
        <w:spacing w:after="0" w:line="74"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All awards and rights over common shares of Shell Canada at the time of the acquisition of the minority interest in Shell Canada (see Note 28) have been converted into awards and rights over Royal Dutch Shell Class A shares. The replacement options were designed to be equivalent to the Shell Canada options. The exercise price and the number of Royal Dutch Shell Class A shares subject to the replacement options were adjusted to reflect the relative values of the Shell Canada shares and the Royal Dutch Shell Class A shares. Shell Canada options, which were subject to a performance condition, were exchanged for replacement options subject to a new Royal Dutch Shell performance condition.</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the principal plans is given below.</w:t>
      </w:r>
    </w:p>
    <w:p>
      <w:pPr>
        <w:spacing w:after="0" w:line="1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Share option plans</w:t>
      </w:r>
    </w:p>
    <w:p>
      <w:pPr>
        <w:spacing w:after="0" w:line="7" w:lineRule="exact"/>
        <w:rPr>
          <w:sz w:val="20"/>
          <w:szCs w:val="20"/>
          <w:color w:val="auto"/>
        </w:rPr>
      </w:pPr>
    </w:p>
    <w:p>
      <w:pPr>
        <w:ind w:right="120"/>
        <w:spacing w:after="0" w:line="250" w:lineRule="auto"/>
        <w:rPr>
          <w:sz w:val="20"/>
          <w:szCs w:val="20"/>
          <w:color w:val="auto"/>
        </w:rPr>
      </w:pPr>
      <w:r>
        <w:rPr>
          <w:rFonts w:ascii="Arial" w:cs="Arial" w:eastAsia="Arial" w:hAnsi="Arial"/>
          <w:sz w:val="13"/>
          <w:szCs w:val="13"/>
          <w:color w:val="auto"/>
        </w:rPr>
        <w:t>Shell’s share option plans offer eligible employees options over shares of Royal Dutch Shell, at a price not less than the fair market value of the shares at the date the options were granted. The options are mainly exercisable three years from grant date. The options lapse 10 years after grant or, if earlier, on resignation from Shell employment (subject to certain exceptions). No further grants will be made under the share option plans.</w:t>
      </w:r>
    </w:p>
    <w:p>
      <w:pPr>
        <w:spacing w:after="0" w:line="67" w:lineRule="exact"/>
        <w:rPr>
          <w:sz w:val="20"/>
          <w:szCs w:val="20"/>
          <w:color w:val="auto"/>
        </w:rPr>
      </w:pPr>
    </w:p>
    <w:p>
      <w:pPr>
        <w:ind w:right="200"/>
        <w:spacing w:after="0" w:line="235" w:lineRule="auto"/>
        <w:rPr>
          <w:sz w:val="20"/>
          <w:szCs w:val="20"/>
          <w:color w:val="auto"/>
        </w:rPr>
      </w:pPr>
      <w:r>
        <w:rPr>
          <w:rFonts w:ascii="Arial" w:cs="Arial" w:eastAsia="Arial" w:hAnsi="Arial"/>
          <w:sz w:val="14"/>
          <w:szCs w:val="14"/>
          <w:color w:val="auto"/>
        </w:rPr>
        <w:t>The following table shows, for 2006 and 2007, in respect of the option plans, the number of shares under option at the beginning of the year, the number of options granted, exercised and expired/forfeited during the year and the number of shares under option at the end of the year, together with the weighted average exercise price translated at the respective year-end exchange rates.</w:t>
      </w:r>
    </w:p>
    <w:p>
      <w:pPr>
        <w:spacing w:after="0" w:line="200" w:lineRule="exact"/>
        <w:rPr>
          <w:sz w:val="20"/>
          <w:szCs w:val="20"/>
          <w:color w:val="auto"/>
        </w:rPr>
      </w:pPr>
    </w:p>
    <w:p>
      <w:pPr>
        <w:sectPr>
          <w:pgSz w:w="11900" w:h="16838" w:orient="portrait"/>
          <w:cols w:equalWidth="0" w:num="2">
            <w:col w:w="1420" w:space="440"/>
            <w:col w:w="9000"/>
          </w:cols>
          <w:pgMar w:left="240" w:top="415" w:right="799" w:bottom="1440" w:gutter="0" w:footer="0" w:header="0"/>
        </w:sect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0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SHARE OPTION PLANS</w:t>
            </w:r>
          </w:p>
        </w:tc>
        <w:tc>
          <w:tcPr>
            <w:tcW w:w="920" w:type="dxa"/>
            <w:vAlign w:val="bottom"/>
            <w:shd w:val="clear" w:color="auto" w:fill="7DD0E3"/>
          </w:tcPr>
          <w:p>
            <w:pPr>
              <w:spacing w:after="0"/>
              <w:rPr>
                <w:sz w:val="12"/>
                <w:szCs w:val="12"/>
                <w:color w:val="auto"/>
              </w:rPr>
            </w:pPr>
          </w:p>
        </w:tc>
        <w:tc>
          <w:tcPr>
            <w:tcW w:w="780" w:type="dxa"/>
            <w:vAlign w:val="bottom"/>
            <w:shd w:val="clear" w:color="auto" w:fill="7DD0E3"/>
          </w:tcPr>
          <w:p>
            <w:pPr>
              <w:spacing w:after="0"/>
              <w:rPr>
                <w:sz w:val="12"/>
                <w:szCs w:val="12"/>
                <w:color w:val="auto"/>
              </w:rPr>
            </w:pPr>
          </w:p>
        </w:tc>
        <w:tc>
          <w:tcPr>
            <w:tcW w:w="940" w:type="dxa"/>
            <w:vAlign w:val="bottom"/>
            <w:shd w:val="clear" w:color="auto" w:fill="7DD0E3"/>
          </w:tcPr>
          <w:p>
            <w:pPr>
              <w:spacing w:after="0"/>
              <w:rPr>
                <w:sz w:val="12"/>
                <w:szCs w:val="12"/>
                <w:color w:val="auto"/>
              </w:rPr>
            </w:pPr>
          </w:p>
        </w:tc>
        <w:tc>
          <w:tcPr>
            <w:tcW w:w="800" w:type="dxa"/>
            <w:vAlign w:val="bottom"/>
            <w:shd w:val="clear" w:color="auto" w:fill="7DD0E3"/>
          </w:tcPr>
          <w:p>
            <w:pPr>
              <w:spacing w:after="0"/>
              <w:rPr>
                <w:sz w:val="12"/>
                <w:szCs w:val="12"/>
                <w:color w:val="auto"/>
              </w:rPr>
            </w:pPr>
          </w:p>
        </w:tc>
        <w:tc>
          <w:tcPr>
            <w:tcW w:w="820" w:type="dxa"/>
            <w:vAlign w:val="bottom"/>
            <w:shd w:val="clear" w:color="auto" w:fill="7DD0E3"/>
          </w:tcPr>
          <w:p>
            <w:pPr>
              <w:spacing w:after="0"/>
              <w:rPr>
                <w:sz w:val="12"/>
                <w:szCs w:val="12"/>
                <w:color w:val="auto"/>
              </w:rPr>
            </w:pPr>
          </w:p>
        </w:tc>
        <w:tc>
          <w:tcPr>
            <w:tcW w:w="920" w:type="dxa"/>
            <w:vAlign w:val="bottom"/>
            <w:shd w:val="clear" w:color="auto" w:fill="7DD0E3"/>
          </w:tcPr>
          <w:p>
            <w:pPr>
              <w:spacing w:after="0"/>
              <w:rPr>
                <w:sz w:val="12"/>
                <w:szCs w:val="12"/>
                <w:color w:val="auto"/>
              </w:rPr>
            </w:pPr>
          </w:p>
        </w:tc>
        <w:tc>
          <w:tcPr>
            <w:tcW w:w="840" w:type="dxa"/>
            <w:vAlign w:val="bottom"/>
            <w:shd w:val="clear" w:color="auto" w:fill="7DD0E3"/>
          </w:tcPr>
          <w:p>
            <w:pPr>
              <w:spacing w:after="0"/>
              <w:rPr>
                <w:sz w:val="12"/>
                <w:szCs w:val="12"/>
                <w:color w:val="auto"/>
              </w:rPr>
            </w:pPr>
          </w:p>
        </w:tc>
        <w:tc>
          <w:tcPr>
            <w:tcW w:w="920" w:type="dxa"/>
            <w:vAlign w:val="bottom"/>
            <w:shd w:val="clear" w:color="auto" w:fill="7DD0E3"/>
          </w:tcPr>
          <w:p>
            <w:pPr>
              <w:spacing w:after="0"/>
              <w:rPr>
                <w:sz w:val="12"/>
                <w:szCs w:val="12"/>
                <w:color w:val="auto"/>
              </w:rPr>
            </w:pPr>
          </w:p>
        </w:tc>
        <w:tc>
          <w:tcPr>
            <w:tcW w:w="840" w:type="dxa"/>
            <w:vAlign w:val="bottom"/>
            <w:shd w:val="clear" w:color="auto" w:fill="7DD0E3"/>
          </w:tcPr>
          <w:p>
            <w:pPr>
              <w:spacing w:after="0"/>
              <w:rPr>
                <w:sz w:val="12"/>
                <w:szCs w:val="12"/>
                <w:color w:val="auto"/>
              </w:rPr>
            </w:pPr>
          </w:p>
        </w:tc>
        <w:tc>
          <w:tcPr>
            <w:tcW w:w="860" w:type="dxa"/>
            <w:vAlign w:val="bottom"/>
            <w:shd w:val="clear" w:color="auto" w:fill="7DD0E3"/>
          </w:tcPr>
          <w:p>
            <w:pPr>
              <w:spacing w:after="0"/>
              <w:rPr>
                <w:sz w:val="12"/>
                <w:szCs w:val="12"/>
                <w:color w:val="auto"/>
              </w:rPr>
            </w:pPr>
          </w:p>
        </w:tc>
      </w:tr>
      <w:tr>
        <w:trPr>
          <w:trHeight w:val="141"/>
        </w:trPr>
        <w:tc>
          <w:tcPr>
            <w:tcW w:w="2200" w:type="dxa"/>
            <w:vAlign w:val="bottom"/>
            <w:shd w:val="clear" w:color="auto" w:fill="CECAC6"/>
          </w:tcPr>
          <w:p>
            <w:pPr>
              <w:spacing w:after="0"/>
              <w:rPr>
                <w:sz w:val="12"/>
                <w:szCs w:val="12"/>
                <w:color w:val="auto"/>
              </w:rPr>
            </w:pPr>
          </w:p>
        </w:tc>
        <w:tc>
          <w:tcPr>
            <w:tcW w:w="92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940" w:type="dxa"/>
            <w:vAlign w:val="bottom"/>
            <w:shd w:val="clear" w:color="auto" w:fill="CECAC6"/>
          </w:tcPr>
          <w:p>
            <w:pPr>
              <w:spacing w:after="0"/>
              <w:rPr>
                <w:sz w:val="12"/>
                <w:szCs w:val="12"/>
                <w:color w:val="auto"/>
              </w:rPr>
            </w:pPr>
          </w:p>
        </w:tc>
        <w:tc>
          <w:tcPr>
            <w:tcW w:w="800" w:type="dxa"/>
            <w:vAlign w:val="bottom"/>
            <w:shd w:val="clear" w:color="auto" w:fill="CECAC6"/>
          </w:tcPr>
          <w:p>
            <w:pPr>
              <w:spacing w:after="0"/>
              <w:rPr>
                <w:sz w:val="12"/>
                <w:szCs w:val="12"/>
                <w:color w:val="auto"/>
              </w:rPr>
            </w:pPr>
          </w:p>
        </w:tc>
        <w:tc>
          <w:tcPr>
            <w:tcW w:w="820" w:type="dxa"/>
            <w:vAlign w:val="bottom"/>
            <w:shd w:val="clear" w:color="auto" w:fill="CECAC6"/>
          </w:tcPr>
          <w:p>
            <w:pPr>
              <w:spacing w:after="0"/>
              <w:rPr>
                <w:sz w:val="12"/>
                <w:szCs w:val="12"/>
                <w:color w:val="auto"/>
              </w:rPr>
            </w:pPr>
          </w:p>
        </w:tc>
        <w:tc>
          <w:tcPr>
            <w:tcW w:w="9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Shell group</w:t>
            </w:r>
          </w:p>
        </w:tc>
        <w:tc>
          <w:tcPr>
            <w:tcW w:w="840" w:type="dxa"/>
            <w:vAlign w:val="bottom"/>
            <w:shd w:val="clear" w:color="auto" w:fill="CECAC6"/>
          </w:tcPr>
          <w:p>
            <w:pPr>
              <w:spacing w:after="0"/>
              <w:rPr>
                <w:sz w:val="12"/>
                <w:szCs w:val="12"/>
                <w:color w:val="auto"/>
              </w:rPr>
            </w:pPr>
          </w:p>
        </w:tc>
        <w:tc>
          <w:tcPr>
            <w:tcW w:w="920" w:type="dxa"/>
            <w:vAlign w:val="bottom"/>
            <w:shd w:val="clear" w:color="auto" w:fill="CECAC6"/>
          </w:tcPr>
          <w:p>
            <w:pPr>
              <w:spacing w:after="0"/>
              <w:rPr>
                <w:sz w:val="12"/>
                <w:szCs w:val="12"/>
                <w:color w:val="auto"/>
              </w:rPr>
            </w:pPr>
          </w:p>
        </w:tc>
        <w:tc>
          <w:tcPr>
            <w:tcW w:w="840" w:type="dxa"/>
            <w:vAlign w:val="bottom"/>
            <w:shd w:val="clear" w:color="auto" w:fill="CECAC6"/>
          </w:tcPr>
          <w:p>
            <w:pPr>
              <w:spacing w:after="0"/>
              <w:rPr>
                <w:sz w:val="12"/>
                <w:szCs w:val="12"/>
                <w:color w:val="auto"/>
              </w:rPr>
            </w:pPr>
          </w:p>
        </w:tc>
        <w:tc>
          <w:tcPr>
            <w:tcW w:w="8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Shell Canada</w:t>
            </w:r>
          </w:p>
        </w:tc>
      </w:tr>
      <w:tr>
        <w:trPr>
          <w:trHeight w:val="133"/>
        </w:trPr>
        <w:tc>
          <w:tcPr>
            <w:tcW w:w="2200" w:type="dxa"/>
            <w:vAlign w:val="bottom"/>
            <w:shd w:val="clear" w:color="auto" w:fill="CECAC6"/>
          </w:tcPr>
          <w:p>
            <w:pPr>
              <w:spacing w:after="0"/>
              <w:rPr>
                <w:sz w:val="11"/>
                <w:szCs w:val="11"/>
                <w:color w:val="auto"/>
              </w:rPr>
            </w:pPr>
          </w:p>
        </w:tc>
        <w:tc>
          <w:tcPr>
            <w:tcW w:w="1700" w:type="dxa"/>
            <w:vAlign w:val="bottom"/>
            <w:gridSpan w:val="2"/>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Royal Dutch Shell</w:t>
            </w:r>
          </w:p>
        </w:tc>
        <w:tc>
          <w:tcPr>
            <w:tcW w:w="1740" w:type="dxa"/>
            <w:vAlign w:val="bottom"/>
            <w:gridSpan w:val="2"/>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Royal Dutch Shell</w:t>
            </w:r>
          </w:p>
        </w:tc>
        <w:tc>
          <w:tcPr>
            <w:tcW w:w="1740" w:type="dxa"/>
            <w:vAlign w:val="bottom"/>
            <w:gridSpan w:val="2"/>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Royal Dutch Shell</w:t>
            </w:r>
          </w:p>
        </w:tc>
        <w:tc>
          <w:tcPr>
            <w:tcW w:w="84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Shell Canada</w:t>
            </w:r>
          </w:p>
        </w:tc>
        <w:tc>
          <w:tcPr>
            <w:tcW w:w="170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Royal Dutch Shell</w:t>
            </w:r>
          </w:p>
        </w:tc>
      </w:tr>
      <w:tr>
        <w:trPr>
          <w:trHeight w:val="147"/>
        </w:trPr>
        <w:tc>
          <w:tcPr>
            <w:tcW w:w="2200" w:type="dxa"/>
            <w:vAlign w:val="bottom"/>
            <w:shd w:val="clear" w:color="auto" w:fill="CECAC6"/>
          </w:tcPr>
          <w:p>
            <w:pPr>
              <w:spacing w:after="0"/>
              <w:rPr>
                <w:sz w:val="12"/>
                <w:szCs w:val="12"/>
                <w:color w:val="auto"/>
              </w:rPr>
            </w:pPr>
          </w:p>
        </w:tc>
        <w:tc>
          <w:tcPr>
            <w:tcW w:w="170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Class A shares</w:t>
            </w:r>
          </w:p>
        </w:tc>
        <w:tc>
          <w:tcPr>
            <w:tcW w:w="174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Class B shares</w:t>
            </w:r>
          </w:p>
        </w:tc>
        <w:tc>
          <w:tcPr>
            <w:tcW w:w="820" w:type="dxa"/>
            <w:vAlign w:val="bottom"/>
            <w:shd w:val="clear" w:color="auto" w:fill="CECAC6"/>
          </w:tcPr>
          <w:p>
            <w:pPr>
              <w:spacing w:after="0"/>
              <w:rPr>
                <w:sz w:val="12"/>
                <w:szCs w:val="12"/>
                <w:color w:val="auto"/>
              </w:rPr>
            </w:pPr>
          </w:p>
        </w:tc>
        <w:tc>
          <w:tcPr>
            <w:tcW w:w="9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Class A ADRs</w:t>
            </w:r>
          </w:p>
        </w:tc>
        <w:tc>
          <w:tcPr>
            <w:tcW w:w="176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common shares</w:t>
            </w:r>
            <w:r>
              <w:rPr>
                <w:rFonts w:ascii="Arial" w:cs="Arial" w:eastAsia="Arial" w:hAnsi="Arial"/>
                <w:sz w:val="10"/>
                <w:szCs w:val="10"/>
                <w:color w:val="auto"/>
              </w:rPr>
              <w:t>[A]</w:t>
            </w:r>
          </w:p>
        </w:tc>
        <w:tc>
          <w:tcPr>
            <w:tcW w:w="1700" w:type="dxa"/>
            <w:vAlign w:val="bottom"/>
            <w:gridSpan w:val="2"/>
            <w:shd w:val="clear" w:color="auto" w:fill="CECAC6"/>
          </w:tcPr>
          <w:p>
            <w:pPr>
              <w:jc w:val="right"/>
              <w:ind w:right="18"/>
              <w:spacing w:after="0"/>
              <w:rPr>
                <w:sz w:val="20"/>
                <w:szCs w:val="20"/>
                <w:color w:val="auto"/>
              </w:rPr>
            </w:pPr>
            <w:r>
              <w:rPr>
                <w:rFonts w:ascii="Arial" w:cs="Arial" w:eastAsia="Arial" w:hAnsi="Arial"/>
                <w:sz w:val="12"/>
                <w:szCs w:val="12"/>
                <w:color w:val="auto"/>
              </w:rPr>
              <w:t>Class A shares</w:t>
            </w:r>
          </w:p>
        </w:tc>
      </w:tr>
      <w:tr>
        <w:trPr>
          <w:trHeight w:val="133"/>
        </w:trPr>
        <w:tc>
          <w:tcPr>
            <w:tcW w:w="2200" w:type="dxa"/>
            <w:vAlign w:val="bottom"/>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Weighted</w:t>
            </w:r>
          </w:p>
        </w:tc>
        <w:tc>
          <w:tcPr>
            <w:tcW w:w="940" w:type="dxa"/>
            <w:vAlign w:val="bottom"/>
            <w:shd w:val="clear" w:color="auto" w:fill="CECAC6"/>
          </w:tcPr>
          <w:p>
            <w:pPr>
              <w:spacing w:after="0"/>
              <w:rPr>
                <w:sz w:val="11"/>
                <w:szCs w:val="11"/>
                <w:color w:val="auto"/>
              </w:rPr>
            </w:pPr>
          </w:p>
        </w:tc>
        <w:tc>
          <w:tcPr>
            <w:tcW w:w="8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Weighted</w:t>
            </w:r>
          </w:p>
        </w:tc>
        <w:tc>
          <w:tcPr>
            <w:tcW w:w="82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Weighted</w:t>
            </w:r>
          </w:p>
        </w:tc>
        <w:tc>
          <w:tcPr>
            <w:tcW w:w="84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Weighted</w:t>
            </w:r>
          </w:p>
        </w:tc>
        <w:tc>
          <w:tcPr>
            <w:tcW w:w="84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Weighted</w:t>
            </w:r>
          </w:p>
        </w:tc>
      </w:tr>
      <w:tr>
        <w:trPr>
          <w:trHeight w:val="133"/>
        </w:trPr>
        <w:tc>
          <w:tcPr>
            <w:tcW w:w="2200" w:type="dxa"/>
            <w:vAlign w:val="bottom"/>
            <w:shd w:val="clear" w:color="auto" w:fill="CECAC6"/>
          </w:tcPr>
          <w:p>
            <w:pPr>
              <w:spacing w:after="0"/>
              <w:rPr>
                <w:sz w:val="11"/>
                <w:szCs w:val="11"/>
                <w:color w:val="auto"/>
              </w:rPr>
            </w:pPr>
          </w:p>
        </w:tc>
        <w:tc>
          <w:tcPr>
            <w:tcW w:w="9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average</w:t>
            </w:r>
          </w:p>
        </w:tc>
        <w:tc>
          <w:tcPr>
            <w:tcW w:w="940" w:type="dxa"/>
            <w:vAlign w:val="bottom"/>
            <w:shd w:val="clear" w:color="auto" w:fill="CECAC6"/>
          </w:tcPr>
          <w:p>
            <w:pPr>
              <w:spacing w:after="0"/>
              <w:rPr>
                <w:sz w:val="11"/>
                <w:szCs w:val="11"/>
                <w:color w:val="auto"/>
              </w:rPr>
            </w:pPr>
          </w:p>
        </w:tc>
        <w:tc>
          <w:tcPr>
            <w:tcW w:w="8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average</w:t>
            </w:r>
          </w:p>
        </w:tc>
        <w:tc>
          <w:tcPr>
            <w:tcW w:w="82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average</w:t>
            </w:r>
          </w:p>
        </w:tc>
        <w:tc>
          <w:tcPr>
            <w:tcW w:w="84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average</w:t>
            </w:r>
          </w:p>
        </w:tc>
        <w:tc>
          <w:tcPr>
            <w:tcW w:w="84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average</w:t>
            </w:r>
          </w:p>
        </w:tc>
      </w:tr>
      <w:tr>
        <w:trPr>
          <w:trHeight w:val="133"/>
        </w:trPr>
        <w:tc>
          <w:tcPr>
            <w:tcW w:w="2200" w:type="dxa"/>
            <w:vAlign w:val="bottom"/>
            <w:shd w:val="clear" w:color="auto" w:fill="CECAC6"/>
          </w:tcPr>
          <w:p>
            <w:pPr>
              <w:spacing w:after="0"/>
              <w:rPr>
                <w:sz w:val="11"/>
                <w:szCs w:val="11"/>
                <w:color w:val="auto"/>
              </w:rPr>
            </w:pPr>
          </w:p>
        </w:tc>
        <w:tc>
          <w:tcPr>
            <w:tcW w:w="92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Number</w:t>
            </w: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exercise</w:t>
            </w:r>
          </w:p>
        </w:tc>
        <w:tc>
          <w:tcPr>
            <w:tcW w:w="94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Number</w:t>
            </w:r>
          </w:p>
        </w:tc>
        <w:tc>
          <w:tcPr>
            <w:tcW w:w="8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exercise</w:t>
            </w:r>
          </w:p>
        </w:tc>
        <w:tc>
          <w:tcPr>
            <w:tcW w:w="8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Number</w:t>
            </w:r>
          </w:p>
        </w:tc>
        <w:tc>
          <w:tcPr>
            <w:tcW w:w="9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exercise</w:t>
            </w:r>
          </w:p>
        </w:tc>
        <w:tc>
          <w:tcPr>
            <w:tcW w:w="8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Number</w:t>
            </w:r>
          </w:p>
        </w:tc>
        <w:tc>
          <w:tcPr>
            <w:tcW w:w="9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exercise</w:t>
            </w:r>
          </w:p>
        </w:tc>
        <w:tc>
          <w:tcPr>
            <w:tcW w:w="8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Number</w:t>
            </w:r>
          </w:p>
        </w:tc>
        <w:tc>
          <w:tcPr>
            <w:tcW w:w="8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exercise</w:t>
            </w:r>
          </w:p>
        </w:tc>
      </w:tr>
      <w:tr>
        <w:trPr>
          <w:trHeight w:val="139"/>
        </w:trPr>
        <w:tc>
          <w:tcPr>
            <w:tcW w:w="2200" w:type="dxa"/>
            <w:vAlign w:val="bottom"/>
            <w:shd w:val="clear" w:color="auto" w:fill="CECAC6"/>
          </w:tcPr>
          <w:p>
            <w:pPr>
              <w:spacing w:after="0"/>
              <w:rPr>
                <w:sz w:val="12"/>
                <w:szCs w:val="12"/>
                <w:color w:val="auto"/>
              </w:rPr>
            </w:pPr>
          </w:p>
        </w:tc>
        <w:tc>
          <w:tcPr>
            <w:tcW w:w="9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(thousands)</w:t>
            </w:r>
          </w:p>
        </w:tc>
        <w:tc>
          <w:tcPr>
            <w:tcW w:w="7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price ($)</w:t>
            </w:r>
          </w:p>
        </w:tc>
        <w:tc>
          <w:tcPr>
            <w:tcW w:w="9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(thousands)</w:t>
            </w:r>
          </w:p>
        </w:tc>
        <w:tc>
          <w:tcPr>
            <w:tcW w:w="80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price ($)</w:t>
            </w:r>
          </w:p>
        </w:tc>
        <w:tc>
          <w:tcPr>
            <w:tcW w:w="8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(thousands)</w:t>
            </w:r>
          </w:p>
        </w:tc>
        <w:tc>
          <w:tcPr>
            <w:tcW w:w="9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price ($)</w:t>
            </w:r>
          </w:p>
        </w:tc>
        <w:tc>
          <w:tcPr>
            <w:tcW w:w="8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(thousands)</w:t>
            </w:r>
          </w:p>
        </w:tc>
        <w:tc>
          <w:tcPr>
            <w:tcW w:w="9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price ($)</w:t>
            </w:r>
          </w:p>
        </w:tc>
        <w:tc>
          <w:tcPr>
            <w:tcW w:w="8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(thousands)</w:t>
            </w:r>
          </w:p>
        </w:tc>
        <w:tc>
          <w:tcPr>
            <w:tcW w:w="8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price ($)</w:t>
            </w:r>
          </w:p>
        </w:tc>
      </w:tr>
      <w:tr>
        <w:trPr>
          <w:trHeight w:val="127"/>
        </w:trPr>
        <w:tc>
          <w:tcPr>
            <w:tcW w:w="2200" w:type="dxa"/>
            <w:vAlign w:val="bottom"/>
          </w:tcPr>
          <w:p>
            <w:pPr>
              <w:spacing w:after="0" w:line="128" w:lineRule="exact"/>
              <w:rPr>
                <w:sz w:val="20"/>
                <w:szCs w:val="20"/>
                <w:color w:val="auto"/>
              </w:rPr>
            </w:pPr>
            <w:r>
              <w:rPr>
                <w:rFonts w:ascii="Arial" w:cs="Arial" w:eastAsia="Arial" w:hAnsi="Arial"/>
                <w:sz w:val="12"/>
                <w:szCs w:val="12"/>
                <w:color w:val="auto"/>
              </w:rPr>
              <w:t>Under option at January 1, 2006</w:t>
            </w:r>
            <w:r>
              <w:rPr>
                <w:rFonts w:ascii="Arial" w:cs="Arial" w:eastAsia="Arial" w:hAnsi="Arial"/>
                <w:sz w:val="10"/>
                <w:szCs w:val="10"/>
                <w:color w:val="auto"/>
              </w:rPr>
              <w:t>[B]</w:t>
            </w:r>
          </w:p>
        </w:tc>
        <w:tc>
          <w:tcPr>
            <w:tcW w:w="9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64,126</w:t>
            </w:r>
          </w:p>
        </w:tc>
        <w:tc>
          <w:tcPr>
            <w:tcW w:w="780" w:type="dxa"/>
            <w:vAlign w:val="bottom"/>
          </w:tcPr>
          <w:p>
            <w:pPr>
              <w:jc w:val="right"/>
              <w:ind w:right="78"/>
              <w:spacing w:after="0" w:line="128" w:lineRule="exact"/>
              <w:rPr>
                <w:sz w:val="20"/>
                <w:szCs w:val="20"/>
                <w:color w:val="auto"/>
              </w:rPr>
            </w:pPr>
            <w:r>
              <w:rPr>
                <w:rFonts w:ascii="Arial" w:cs="Arial" w:eastAsia="Arial" w:hAnsi="Arial"/>
                <w:sz w:val="12"/>
                <w:szCs w:val="12"/>
                <w:color w:val="auto"/>
              </w:rPr>
              <w:t>29.57</w:t>
            </w:r>
          </w:p>
        </w:tc>
        <w:tc>
          <w:tcPr>
            <w:tcW w:w="9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46,565</w:t>
            </w:r>
          </w:p>
        </w:tc>
        <w:tc>
          <w:tcPr>
            <w:tcW w:w="800" w:type="dxa"/>
            <w:vAlign w:val="bottom"/>
          </w:tcPr>
          <w:p>
            <w:pPr>
              <w:jc w:val="right"/>
              <w:ind w:right="78"/>
              <w:spacing w:after="0" w:line="128" w:lineRule="exact"/>
              <w:rPr>
                <w:sz w:val="20"/>
                <w:szCs w:val="20"/>
                <w:color w:val="auto"/>
              </w:rPr>
            </w:pPr>
            <w:r>
              <w:rPr>
                <w:rFonts w:ascii="Arial" w:cs="Arial" w:eastAsia="Arial" w:hAnsi="Arial"/>
                <w:sz w:val="12"/>
                <w:szCs w:val="12"/>
                <w:color w:val="auto"/>
              </w:rPr>
              <w:t>27.20</w:t>
            </w:r>
          </w:p>
        </w:tc>
        <w:tc>
          <w:tcPr>
            <w:tcW w:w="820" w:type="dxa"/>
            <w:vAlign w:val="bottom"/>
          </w:tcPr>
          <w:p>
            <w:pPr>
              <w:jc w:val="right"/>
              <w:spacing w:after="0" w:line="128" w:lineRule="exact"/>
              <w:rPr>
                <w:sz w:val="20"/>
                <w:szCs w:val="20"/>
                <w:color w:val="auto"/>
              </w:rPr>
            </w:pPr>
            <w:r>
              <w:rPr>
                <w:rFonts w:ascii="Arial" w:cs="Arial" w:eastAsia="Arial" w:hAnsi="Arial"/>
                <w:sz w:val="12"/>
                <w:szCs w:val="12"/>
                <w:color w:val="auto"/>
              </w:rPr>
              <w:t>21,948</w:t>
            </w:r>
          </w:p>
        </w:tc>
        <w:tc>
          <w:tcPr>
            <w:tcW w:w="920" w:type="dxa"/>
            <w:vAlign w:val="bottom"/>
          </w:tcPr>
          <w:p>
            <w:pPr>
              <w:jc w:val="right"/>
              <w:ind w:right="58"/>
              <w:spacing w:after="0" w:line="128" w:lineRule="exact"/>
              <w:rPr>
                <w:sz w:val="20"/>
                <w:szCs w:val="20"/>
                <w:color w:val="auto"/>
              </w:rPr>
            </w:pPr>
            <w:r>
              <w:rPr>
                <w:rFonts w:ascii="Arial" w:cs="Arial" w:eastAsia="Arial" w:hAnsi="Arial"/>
                <w:sz w:val="12"/>
                <w:szCs w:val="12"/>
                <w:color w:val="auto"/>
              </w:rPr>
              <w:t>50.52</w:t>
            </w: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20,966</w:t>
            </w:r>
          </w:p>
        </w:tc>
        <w:tc>
          <w:tcPr>
            <w:tcW w:w="9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16.09</w:t>
            </w:r>
          </w:p>
        </w:tc>
        <w:tc>
          <w:tcPr>
            <w:tcW w:w="8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w:t>
            </w: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Granted</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4,383</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37.63</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Exercised</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(4,284)</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25.75</w:t>
            </w:r>
          </w:p>
        </w:tc>
        <w:tc>
          <w:tcPr>
            <w:tcW w:w="9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(5,924)</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28.71</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(4,236)</w:t>
            </w:r>
          </w:p>
        </w:tc>
        <w:tc>
          <w:tcPr>
            <w:tcW w:w="9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48.65</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(3,071)</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13.48</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9"/>
        </w:trPr>
        <w:tc>
          <w:tcPr>
            <w:tcW w:w="2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Expired/forfeited</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(1,221)</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36.40</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(690)</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30.51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48.30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(871)</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16.36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r>
        <w:trPr>
          <w:trHeight w:val="134"/>
        </w:trPr>
        <w:tc>
          <w:tcPr>
            <w:tcW w:w="2200" w:type="dxa"/>
            <w:vAlign w:val="bottom"/>
          </w:tcPr>
          <w:p>
            <w:pPr>
              <w:spacing w:after="0" w:line="134" w:lineRule="exact"/>
              <w:rPr>
                <w:sz w:val="20"/>
                <w:szCs w:val="20"/>
                <w:color w:val="auto"/>
              </w:rPr>
            </w:pPr>
            <w:r>
              <w:rPr>
                <w:rFonts w:ascii="Arial" w:cs="Arial" w:eastAsia="Arial" w:hAnsi="Arial"/>
                <w:sz w:val="12"/>
                <w:szCs w:val="12"/>
                <w:color w:val="auto"/>
              </w:rPr>
              <w:t>Under option at December 31, 2006</w:t>
            </w:r>
            <w:r>
              <w:rPr>
                <w:rFonts w:ascii="Arial" w:cs="Arial" w:eastAsia="Arial" w:hAnsi="Arial"/>
                <w:sz w:val="10"/>
                <w:szCs w:val="10"/>
                <w:color w:val="auto"/>
              </w:rPr>
              <w:t>[B]</w:t>
            </w:r>
          </w:p>
        </w:tc>
        <w:tc>
          <w:tcPr>
            <w:tcW w:w="92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58,621</w:t>
            </w:r>
          </w:p>
        </w:tc>
        <w:tc>
          <w:tcPr>
            <w:tcW w:w="780" w:type="dxa"/>
            <w:vAlign w:val="bottom"/>
          </w:tcPr>
          <w:p>
            <w:pPr>
              <w:jc w:val="right"/>
              <w:ind w:right="78"/>
              <w:spacing w:after="0" w:line="134" w:lineRule="exact"/>
              <w:rPr>
                <w:sz w:val="20"/>
                <w:szCs w:val="20"/>
                <w:color w:val="auto"/>
              </w:rPr>
            </w:pPr>
            <w:r>
              <w:rPr>
                <w:rFonts w:ascii="Arial" w:cs="Arial" w:eastAsia="Arial" w:hAnsi="Arial"/>
                <w:sz w:val="12"/>
                <w:szCs w:val="12"/>
                <w:color w:val="auto"/>
              </w:rPr>
              <w:t>33.28</w:t>
            </w:r>
          </w:p>
        </w:tc>
        <w:tc>
          <w:tcPr>
            <w:tcW w:w="94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39,951</w:t>
            </w:r>
          </w:p>
        </w:tc>
        <w:tc>
          <w:tcPr>
            <w:tcW w:w="800" w:type="dxa"/>
            <w:vAlign w:val="bottom"/>
          </w:tcPr>
          <w:p>
            <w:pPr>
              <w:jc w:val="right"/>
              <w:ind w:right="78"/>
              <w:spacing w:after="0" w:line="134" w:lineRule="exact"/>
              <w:rPr>
                <w:sz w:val="20"/>
                <w:szCs w:val="20"/>
                <w:color w:val="auto"/>
              </w:rPr>
            </w:pPr>
            <w:r>
              <w:rPr>
                <w:rFonts w:ascii="Arial" w:cs="Arial" w:eastAsia="Arial" w:hAnsi="Arial"/>
                <w:sz w:val="12"/>
                <w:szCs w:val="12"/>
                <w:color w:val="auto"/>
              </w:rPr>
              <w:t>31.22</w:t>
            </w:r>
          </w:p>
        </w:tc>
        <w:tc>
          <w:tcPr>
            <w:tcW w:w="820" w:type="dxa"/>
            <w:vAlign w:val="bottom"/>
          </w:tcPr>
          <w:p>
            <w:pPr>
              <w:jc w:val="right"/>
              <w:spacing w:after="0" w:line="134" w:lineRule="exact"/>
              <w:rPr>
                <w:sz w:val="20"/>
                <w:szCs w:val="20"/>
                <w:color w:val="auto"/>
              </w:rPr>
            </w:pPr>
            <w:r>
              <w:rPr>
                <w:rFonts w:ascii="Arial" w:cs="Arial" w:eastAsia="Arial" w:hAnsi="Arial"/>
                <w:sz w:val="12"/>
                <w:szCs w:val="12"/>
                <w:color w:val="auto"/>
              </w:rPr>
              <w:t>17,669</w:t>
            </w:r>
          </w:p>
        </w:tc>
        <w:tc>
          <w:tcPr>
            <w:tcW w:w="920" w:type="dxa"/>
            <w:vAlign w:val="bottom"/>
          </w:tcPr>
          <w:p>
            <w:pPr>
              <w:jc w:val="right"/>
              <w:ind w:right="58"/>
              <w:spacing w:after="0" w:line="134" w:lineRule="exact"/>
              <w:rPr>
                <w:sz w:val="20"/>
                <w:szCs w:val="20"/>
                <w:color w:val="auto"/>
              </w:rPr>
            </w:pPr>
            <w:r>
              <w:rPr>
                <w:rFonts w:ascii="Arial" w:cs="Arial" w:eastAsia="Arial" w:hAnsi="Arial"/>
                <w:sz w:val="12"/>
                <w:szCs w:val="12"/>
                <w:color w:val="auto"/>
              </w:rPr>
              <w:t>50.97</w:t>
            </w: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21,407</w:t>
            </w:r>
          </w:p>
        </w:tc>
        <w:tc>
          <w:tcPr>
            <w:tcW w:w="920" w:type="dxa"/>
            <w:vAlign w:val="bottom"/>
          </w:tcPr>
          <w:p>
            <w:pPr>
              <w:jc w:val="right"/>
              <w:ind w:right="78"/>
              <w:spacing w:after="0" w:line="134" w:lineRule="exact"/>
              <w:rPr>
                <w:sz w:val="20"/>
                <w:szCs w:val="20"/>
                <w:color w:val="auto"/>
              </w:rPr>
            </w:pPr>
            <w:r>
              <w:rPr>
                <w:rFonts w:ascii="Arial" w:cs="Arial" w:eastAsia="Arial" w:hAnsi="Arial"/>
                <w:sz w:val="12"/>
                <w:szCs w:val="12"/>
                <w:color w:val="auto"/>
              </w:rPr>
              <w:t>21.34</w:t>
            </w:r>
          </w:p>
        </w:tc>
        <w:tc>
          <w:tcPr>
            <w:tcW w:w="8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w:t>
            </w: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Granted</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Transferred</w:t>
            </w:r>
            <w:r>
              <w:rPr>
                <w:rFonts w:ascii="Arial" w:cs="Arial" w:eastAsia="Arial" w:hAnsi="Arial"/>
                <w:sz w:val="10"/>
                <w:szCs w:val="10"/>
                <w:color w:val="auto"/>
              </w:rPr>
              <w:t>[C]</w:t>
            </w:r>
          </w:p>
        </w:tc>
        <w:tc>
          <w:tcPr>
            <w:tcW w:w="9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(20,691)</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24.65</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24,687</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19.38</w:t>
            </w:r>
          </w:p>
        </w:tc>
      </w:tr>
      <w:tr>
        <w:trPr>
          <w:trHeight w:val="133"/>
        </w:trPr>
        <w:tc>
          <w:tcPr>
            <w:tcW w:w="2200" w:type="dxa"/>
            <w:vAlign w:val="bottom"/>
          </w:tcPr>
          <w:p>
            <w:pPr>
              <w:spacing w:after="0" w:line="133" w:lineRule="exact"/>
              <w:rPr>
                <w:sz w:val="20"/>
                <w:szCs w:val="20"/>
                <w:color w:val="auto"/>
              </w:rPr>
            </w:pPr>
            <w:r>
              <w:rPr>
                <w:rFonts w:ascii="Arial" w:cs="Arial" w:eastAsia="Arial" w:hAnsi="Arial"/>
                <w:sz w:val="12"/>
                <w:szCs w:val="12"/>
                <w:color w:val="auto"/>
              </w:rPr>
              <w:t>Exercised</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(9,932)</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30.00</w:t>
            </w:r>
          </w:p>
        </w:tc>
        <w:tc>
          <w:tcPr>
            <w:tcW w:w="9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(11,413)</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29.29</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(4,442)</w:t>
            </w:r>
          </w:p>
        </w:tc>
        <w:tc>
          <w:tcPr>
            <w:tcW w:w="92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51.05</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(716)</w:t>
            </w:r>
          </w:p>
        </w:tc>
        <w:tc>
          <w:tcPr>
            <w:tcW w:w="9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17.48</w:t>
            </w:r>
          </w:p>
        </w:tc>
        <w:tc>
          <w:tcPr>
            <w:tcW w:w="840" w:type="dxa"/>
            <w:vAlign w:val="bottom"/>
          </w:tcPr>
          <w:p>
            <w:pPr>
              <w:jc w:val="right"/>
              <w:spacing w:after="0" w:line="133" w:lineRule="exact"/>
              <w:rPr>
                <w:sz w:val="20"/>
                <w:szCs w:val="20"/>
                <w:color w:val="auto"/>
              </w:rPr>
            </w:pPr>
            <w:r>
              <w:rPr>
                <w:rFonts w:ascii="Arial" w:cs="Arial" w:eastAsia="Arial" w:hAnsi="Arial"/>
                <w:sz w:val="12"/>
                <w:szCs w:val="12"/>
                <w:color w:val="auto"/>
              </w:rPr>
              <w:t>(8,069)</w:t>
            </w:r>
          </w:p>
        </w:tc>
        <w:tc>
          <w:tcPr>
            <w:tcW w:w="8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12.99</w:t>
            </w:r>
          </w:p>
        </w:tc>
      </w:tr>
      <w:tr>
        <w:trPr>
          <w:trHeight w:val="139"/>
        </w:trPr>
        <w:tc>
          <w:tcPr>
            <w:tcW w:w="2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Expired/forfeited</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(1,036)</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44.53</w:t>
            </w: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(220)</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38.93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50.73</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23.47</w:t>
            </w:r>
          </w:p>
        </w:tc>
      </w:tr>
      <w:tr>
        <w:trPr>
          <w:trHeight w:val="120"/>
        </w:trPr>
        <w:tc>
          <w:tcPr>
            <w:tcW w:w="2200" w:type="dxa"/>
            <w:vAlign w:val="bottom"/>
          </w:tcPr>
          <w:p>
            <w:pPr>
              <w:spacing w:after="0" w:line="120" w:lineRule="exact"/>
              <w:rPr>
                <w:sz w:val="20"/>
                <w:szCs w:val="20"/>
                <w:color w:val="auto"/>
              </w:rPr>
            </w:pPr>
            <w:r>
              <w:rPr>
                <w:rFonts w:ascii="Arial" w:cs="Arial" w:eastAsia="Arial" w:hAnsi="Arial"/>
                <w:sz w:val="12"/>
                <w:szCs w:val="12"/>
                <w:b w:val="1"/>
                <w:bCs w:val="1"/>
                <w:color w:val="auto"/>
              </w:rPr>
              <w:t>Under option at December 31,</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60"/>
        </w:trPr>
        <w:tc>
          <w:tcPr>
            <w:tcW w:w="220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2007</w:t>
            </w:r>
            <w:r>
              <w:rPr>
                <w:rFonts w:ascii="Arial" w:cs="Arial" w:eastAsia="Arial" w:hAnsi="Arial"/>
                <w:sz w:val="10"/>
                <w:szCs w:val="10"/>
                <w:color w:val="auto"/>
              </w:rPr>
              <w:t>[B]</w:t>
            </w:r>
          </w:p>
        </w:tc>
        <w:tc>
          <w:tcPr>
            <w:tcW w:w="9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47,653</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38.54</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28,318</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32.73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13,221</w:t>
            </w:r>
          </w:p>
        </w:tc>
        <w:tc>
          <w:tcPr>
            <w:tcW w:w="9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50.95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16,518</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1391285</wp:posOffset>
            </wp:positionH>
            <wp:positionV relativeFrom="paragraph">
              <wp:posOffset>-1589405</wp:posOffset>
            </wp:positionV>
            <wp:extent cx="5497830" cy="6089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497830" cy="608965"/>
                    </a:xfrm>
                    <a:prstGeom prst="rect">
                      <a:avLst/>
                    </a:prstGeom>
                    <a:noFill/>
                  </pic:spPr>
                </pic:pic>
              </a:graphicData>
            </a:graphic>
          </wp:anchor>
        </w:drawing>
      </w:r>
    </w:p>
    <w:p>
      <w:pPr>
        <w:spacing w:after="0" w:line="36" w:lineRule="exact"/>
        <w:rPr>
          <w:sz w:val="20"/>
          <w:szCs w:val="20"/>
          <w:color w:val="auto"/>
        </w:rPr>
      </w:pPr>
    </w:p>
    <w:p>
      <w:pPr>
        <w:ind w:left="280" w:hanging="273"/>
        <w:spacing w:after="0"/>
        <w:tabs>
          <w:tab w:leader="none" w:pos="2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Unissued.</w:t>
      </w:r>
    </w:p>
    <w:p>
      <w:pPr>
        <w:ind w:left="280" w:hanging="273"/>
        <w:spacing w:after="0" w:line="231" w:lineRule="auto"/>
        <w:tabs>
          <w:tab w:leader="none" w:pos="2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The underlying weighted average exercise prices for Royal Dutch Shell Class A and B shares under option at December 31, 2007, were €26.20 (2006: €25.36), €15.25 for converted options,</w:t>
      </w:r>
    </w:p>
    <w:p>
      <w:pPr>
        <w:ind w:left="280"/>
        <w:spacing w:after="0" w:line="231" w:lineRule="auto"/>
        <w:rPr>
          <w:rFonts w:ascii="Arial" w:cs="Arial" w:eastAsia="Arial" w:hAnsi="Arial"/>
          <w:sz w:val="12"/>
          <w:szCs w:val="12"/>
          <w:color w:val="auto"/>
        </w:rPr>
      </w:pPr>
      <w:r>
        <w:rPr>
          <w:rFonts w:ascii="Arial" w:cs="Arial" w:eastAsia="Arial" w:hAnsi="Arial"/>
          <w:sz w:val="12"/>
          <w:szCs w:val="12"/>
          <w:color w:val="auto"/>
        </w:rPr>
        <w:t>and £16.39 (2006: £15.92) respectively.</w:t>
      </w:r>
    </w:p>
    <w:p>
      <w:pPr>
        <w:ind w:left="280" w:hanging="273"/>
        <w:spacing w:after="0"/>
        <w:tabs>
          <w:tab w:leader="none" w:pos="28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Shell Canada shares under option outstanding after completion of the acquisition of the minority interest in Shell Canada were converted into Royal Dutch Shell Class A shares under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1833245</wp:posOffset>
            </wp:positionV>
            <wp:extent cx="725297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55" w:name="page156"/>
    <w:bookmarkEnd w:id="15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Borders>
              <w:right w:val="single" w:sz="8" w:color="7DD1E1"/>
            </w:tcBorders>
          </w:tcPr>
          <w:p>
            <w:pPr>
              <w:spacing w:after="0"/>
              <w:rPr>
                <w:sz w:val="20"/>
                <w:szCs w:val="20"/>
                <w:color w:val="auto"/>
              </w:rPr>
            </w:pPr>
            <w:r>
              <w:rPr>
                <w:rFonts w:ascii="Arial" w:cs="Arial" w:eastAsia="Arial" w:hAnsi="Arial"/>
                <w:sz w:val="12"/>
                <w:szCs w:val="12"/>
                <w:b w:val="1"/>
                <w:bCs w:val="1"/>
                <w:i w:val="1"/>
                <w:iCs w:val="1"/>
                <w:color w:val="7DD0E0"/>
              </w:rPr>
              <w:t>Note 27 continued</w:t>
            </w:r>
          </w:p>
        </w:tc>
        <w:tc>
          <w:tcPr>
            <w:tcW w:w="9580" w:type="dxa"/>
            <w:vAlign w:val="bottom"/>
            <w:gridSpan w:val="8"/>
          </w:tcPr>
          <w:p>
            <w:pPr>
              <w:ind w:left="100"/>
              <w:spacing w:after="0"/>
              <w:rPr>
                <w:sz w:val="20"/>
                <w:szCs w:val="20"/>
                <w:color w:val="auto"/>
              </w:rPr>
            </w:pPr>
            <w:r>
              <w:rPr>
                <w:rFonts w:ascii="Arial" w:cs="Arial" w:eastAsia="Arial" w:hAnsi="Arial"/>
                <w:sz w:val="14"/>
                <w:szCs w:val="14"/>
                <w:color w:val="auto"/>
                <w:w w:val="94"/>
              </w:rPr>
              <w:t>The weighted average market price for exercises in 2007 was $41.87 (2006: $35.66) for Royal Dutch Shell Class A shares, $39.65 (2006: $38.08) for Royal Dutch</w:t>
            </w:r>
          </w:p>
        </w:tc>
        <w:tc>
          <w:tcPr>
            <w:tcW w:w="0" w:type="dxa"/>
            <w:vAlign w:val="bottom"/>
          </w:tcPr>
          <w:p>
            <w:pPr>
              <w:spacing w:after="0"/>
              <w:rPr>
                <w:sz w:val="1"/>
                <w:szCs w:val="1"/>
                <w:color w:val="auto"/>
              </w:rPr>
            </w:pPr>
          </w:p>
        </w:tc>
      </w:tr>
      <w:tr>
        <w:trPr>
          <w:trHeight w:val="181"/>
        </w:trPr>
        <w:tc>
          <w:tcPr>
            <w:tcW w:w="1840" w:type="dxa"/>
            <w:vAlign w:val="bottom"/>
            <w:tcBorders>
              <w:right w:val="single" w:sz="8" w:color="7DD1E1"/>
            </w:tcBorders>
          </w:tcPr>
          <w:p>
            <w:pPr>
              <w:spacing w:after="0"/>
              <w:rPr>
                <w:sz w:val="15"/>
                <w:szCs w:val="15"/>
                <w:color w:val="auto"/>
              </w:rPr>
            </w:pPr>
          </w:p>
        </w:tc>
        <w:tc>
          <w:tcPr>
            <w:tcW w:w="5700" w:type="dxa"/>
            <w:vAlign w:val="bottom"/>
            <w:gridSpan w:val="4"/>
          </w:tcPr>
          <w:p>
            <w:pPr>
              <w:ind w:left="100"/>
              <w:spacing w:after="0"/>
              <w:rPr>
                <w:sz w:val="20"/>
                <w:szCs w:val="20"/>
                <w:color w:val="auto"/>
              </w:rPr>
            </w:pPr>
            <w:r>
              <w:rPr>
                <w:rFonts w:ascii="Arial" w:cs="Arial" w:eastAsia="Arial" w:hAnsi="Arial"/>
                <w:sz w:val="14"/>
                <w:szCs w:val="14"/>
                <w:color w:val="auto"/>
              </w:rPr>
              <w:t>Shell Class B shares, and $77.57 (2006: $68.95) for Royal Dutch Shell Class A ADRs.</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840" w:type="dxa"/>
            <w:vAlign w:val="bottom"/>
            <w:tcBorders>
              <w:right w:val="single" w:sz="8" w:color="7DD1E1"/>
            </w:tcBorders>
          </w:tcPr>
          <w:p>
            <w:pPr>
              <w:spacing w:after="0"/>
              <w:rPr>
                <w:sz w:val="19"/>
                <w:szCs w:val="19"/>
                <w:color w:val="auto"/>
              </w:rPr>
            </w:pPr>
          </w:p>
        </w:tc>
        <w:tc>
          <w:tcPr>
            <w:tcW w:w="9580" w:type="dxa"/>
            <w:vAlign w:val="bottom"/>
            <w:gridSpan w:val="8"/>
          </w:tcPr>
          <w:p>
            <w:pPr>
              <w:ind w:left="100"/>
              <w:spacing w:after="0"/>
              <w:rPr>
                <w:sz w:val="20"/>
                <w:szCs w:val="20"/>
                <w:color w:val="auto"/>
              </w:rPr>
            </w:pPr>
            <w:r>
              <w:rPr>
                <w:rFonts w:ascii="Arial" w:cs="Arial" w:eastAsia="Arial" w:hAnsi="Arial"/>
                <w:sz w:val="14"/>
                <w:szCs w:val="14"/>
                <w:color w:val="auto"/>
                <w:w w:val="97"/>
              </w:rPr>
              <w:t>In the period until the acquisition of the Shell Canada minority interest in March 2007 (see Note 28), 379,056 options (2006: 2,511,206) were cash-settled at a</w:t>
            </w:r>
          </w:p>
        </w:tc>
        <w:tc>
          <w:tcPr>
            <w:tcW w:w="0" w:type="dxa"/>
            <w:vAlign w:val="bottom"/>
          </w:tcPr>
          <w:p>
            <w:pPr>
              <w:spacing w:after="0"/>
              <w:rPr>
                <w:sz w:val="1"/>
                <w:szCs w:val="1"/>
                <w:color w:val="auto"/>
              </w:rPr>
            </w:pPr>
          </w:p>
        </w:tc>
      </w:tr>
      <w:tr>
        <w:trPr>
          <w:trHeight w:val="147"/>
        </w:trPr>
        <w:tc>
          <w:tcPr>
            <w:tcW w:w="1840" w:type="dxa"/>
            <w:vAlign w:val="bottom"/>
            <w:tcBorders>
              <w:right w:val="single" w:sz="8" w:color="7DD1E1"/>
            </w:tcBorders>
          </w:tcPr>
          <w:p>
            <w:pPr>
              <w:spacing w:after="0"/>
              <w:rPr>
                <w:sz w:val="12"/>
                <w:szCs w:val="12"/>
                <w:color w:val="auto"/>
              </w:rPr>
            </w:pPr>
          </w:p>
        </w:tc>
        <w:tc>
          <w:tcPr>
            <w:tcW w:w="9580" w:type="dxa"/>
            <w:vAlign w:val="bottom"/>
            <w:gridSpan w:val="8"/>
          </w:tcPr>
          <w:p>
            <w:pPr>
              <w:ind w:left="100"/>
              <w:spacing w:after="0" w:line="147" w:lineRule="exact"/>
              <w:rPr>
                <w:sz w:val="20"/>
                <w:szCs w:val="20"/>
                <w:color w:val="auto"/>
              </w:rPr>
            </w:pPr>
            <w:r>
              <w:rPr>
                <w:rFonts w:ascii="Arial" w:cs="Arial" w:eastAsia="Arial" w:hAnsi="Arial"/>
                <w:sz w:val="14"/>
                <w:szCs w:val="14"/>
                <w:color w:val="auto"/>
                <w:w w:val="95"/>
              </w:rPr>
              <w:t>weighted average market price of $38.26 (2006: $38.26) and 337,311 options (2006: 559,902) options were equity-settled at a weighted average market price of</w:t>
            </w:r>
          </w:p>
        </w:tc>
        <w:tc>
          <w:tcPr>
            <w:tcW w:w="0" w:type="dxa"/>
            <w:vAlign w:val="bottom"/>
          </w:tcPr>
          <w:p>
            <w:pPr>
              <w:spacing w:after="0"/>
              <w:rPr>
                <w:sz w:val="1"/>
                <w:szCs w:val="1"/>
                <w:color w:val="auto"/>
              </w:rPr>
            </w:pPr>
          </w:p>
        </w:tc>
      </w:tr>
      <w:tr>
        <w:trPr>
          <w:trHeight w:val="147"/>
        </w:trPr>
        <w:tc>
          <w:tcPr>
            <w:tcW w:w="1840" w:type="dxa"/>
            <w:vAlign w:val="bottom"/>
            <w:tcBorders>
              <w:right w:val="single" w:sz="8" w:color="7DD1E1"/>
            </w:tcBorders>
          </w:tcPr>
          <w:p>
            <w:pPr>
              <w:spacing w:after="0"/>
              <w:rPr>
                <w:sz w:val="12"/>
                <w:szCs w:val="12"/>
                <w:color w:val="auto"/>
              </w:rPr>
            </w:pPr>
          </w:p>
        </w:tc>
        <w:tc>
          <w:tcPr>
            <w:tcW w:w="9580" w:type="dxa"/>
            <w:vAlign w:val="bottom"/>
            <w:gridSpan w:val="8"/>
          </w:tcPr>
          <w:p>
            <w:pPr>
              <w:ind w:left="100"/>
              <w:spacing w:after="0" w:line="147" w:lineRule="exact"/>
              <w:rPr>
                <w:sz w:val="20"/>
                <w:szCs w:val="20"/>
                <w:color w:val="auto"/>
              </w:rPr>
            </w:pPr>
            <w:r>
              <w:rPr>
                <w:rFonts w:ascii="Arial" w:cs="Arial" w:eastAsia="Arial" w:hAnsi="Arial"/>
                <w:sz w:val="14"/>
                <w:szCs w:val="14"/>
                <w:color w:val="auto"/>
                <w:w w:val="93"/>
              </w:rPr>
              <w:t>$38.11 (2006: $36.66). After the acquisition of the Shell Canada minority interest, 7,967,715 options were cash-settled at a weighted average market price of $35.60</w:t>
            </w:r>
          </w:p>
        </w:tc>
        <w:tc>
          <w:tcPr>
            <w:tcW w:w="0" w:type="dxa"/>
            <w:vAlign w:val="bottom"/>
          </w:tcPr>
          <w:p>
            <w:pPr>
              <w:spacing w:after="0"/>
              <w:rPr>
                <w:sz w:val="1"/>
                <w:szCs w:val="1"/>
                <w:color w:val="auto"/>
              </w:rPr>
            </w:pPr>
          </w:p>
        </w:tc>
      </w:tr>
      <w:tr>
        <w:trPr>
          <w:trHeight w:val="181"/>
        </w:trPr>
        <w:tc>
          <w:tcPr>
            <w:tcW w:w="1840" w:type="dxa"/>
            <w:vAlign w:val="bottom"/>
            <w:tcBorders>
              <w:right w:val="single" w:sz="8" w:color="7DD1E1"/>
            </w:tcBorders>
          </w:tcPr>
          <w:p>
            <w:pPr>
              <w:spacing w:after="0"/>
              <w:rPr>
                <w:sz w:val="15"/>
                <w:szCs w:val="15"/>
                <w:color w:val="auto"/>
              </w:rPr>
            </w:pPr>
          </w:p>
        </w:tc>
        <w:tc>
          <w:tcPr>
            <w:tcW w:w="5700" w:type="dxa"/>
            <w:vAlign w:val="bottom"/>
            <w:gridSpan w:val="4"/>
          </w:tcPr>
          <w:p>
            <w:pPr>
              <w:ind w:left="100"/>
              <w:spacing w:after="0"/>
              <w:rPr>
                <w:sz w:val="20"/>
                <w:szCs w:val="20"/>
                <w:color w:val="auto"/>
              </w:rPr>
            </w:pPr>
            <w:r>
              <w:rPr>
                <w:rFonts w:ascii="Arial" w:cs="Arial" w:eastAsia="Arial" w:hAnsi="Arial"/>
                <w:sz w:val="14"/>
                <w:szCs w:val="14"/>
                <w:color w:val="auto"/>
              </w:rPr>
              <w:t>and 101,218 options were equity-settled at a weighted average market price of $39.64.</w:t>
            </w: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1840" w:type="dxa"/>
            <w:vAlign w:val="bottom"/>
            <w:tcBorders>
              <w:right w:val="single" w:sz="8" w:color="7DD1E1"/>
            </w:tcBorders>
          </w:tcPr>
          <w:p>
            <w:pPr>
              <w:spacing w:after="0"/>
              <w:rPr>
                <w:sz w:val="22"/>
                <w:szCs w:val="22"/>
                <w:color w:val="auto"/>
              </w:rPr>
            </w:pPr>
          </w:p>
        </w:tc>
        <w:tc>
          <w:tcPr>
            <w:tcW w:w="6560" w:type="dxa"/>
            <w:vAlign w:val="bottom"/>
            <w:gridSpan w:val="5"/>
          </w:tcPr>
          <w:p>
            <w:pPr>
              <w:ind w:left="100"/>
              <w:spacing w:after="0"/>
              <w:rPr>
                <w:sz w:val="20"/>
                <w:szCs w:val="20"/>
                <w:color w:val="auto"/>
              </w:rPr>
            </w:pPr>
            <w:r>
              <w:rPr>
                <w:rFonts w:ascii="Arial" w:cs="Arial" w:eastAsia="Arial" w:hAnsi="Arial"/>
                <w:sz w:val="14"/>
                <w:szCs w:val="14"/>
                <w:color w:val="auto"/>
              </w:rPr>
              <w:t>The following tables provide further information about share options outstanding at December 31, 2007:</w:t>
            </w:r>
          </w:p>
        </w:tc>
        <w:tc>
          <w:tcPr>
            <w:tcW w:w="7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8"/>
        </w:trPr>
        <w:tc>
          <w:tcPr>
            <w:tcW w:w="1840" w:type="dxa"/>
            <w:vAlign w:val="bottom"/>
            <w:tcBorders>
              <w:right w:val="single" w:sz="8" w:color="7DD1E1"/>
            </w:tcBorders>
          </w:tcPr>
          <w:p>
            <w:pPr>
              <w:spacing w:after="0"/>
              <w:rPr>
                <w:sz w:val="10"/>
                <w:szCs w:val="10"/>
                <w:color w:val="auto"/>
              </w:rPr>
            </w:pPr>
          </w:p>
        </w:tc>
        <w:tc>
          <w:tcPr>
            <w:tcW w:w="12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302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ROYAL DUTCH SHELL CLASS A SHARES</w:t>
            </w:r>
          </w:p>
        </w:tc>
        <w:tc>
          <w:tcPr>
            <w:tcW w:w="1280" w:type="dxa"/>
            <w:vAlign w:val="bottom"/>
            <w:shd w:val="clear" w:color="auto" w:fill="7DD0E0"/>
          </w:tcPr>
          <w:p>
            <w:pPr>
              <w:spacing w:after="0"/>
              <w:rPr>
                <w:sz w:val="11"/>
                <w:szCs w:val="11"/>
                <w:color w:val="auto"/>
              </w:rPr>
            </w:pPr>
          </w:p>
        </w:tc>
        <w:tc>
          <w:tcPr>
            <w:tcW w:w="128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70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1320" w:type="dxa"/>
            <w:vAlign w:val="bottom"/>
            <w:shd w:val="clear" w:color="auto" w:fill="7DD0E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232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Options outstanding and exercisable</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spacing w:after="0"/>
              <w:rPr>
                <w:sz w:val="11"/>
                <w:szCs w:val="11"/>
                <w:color w:val="auto"/>
              </w:rPr>
            </w:pP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Weighted average</w:t>
            </w:r>
          </w:p>
        </w:tc>
        <w:tc>
          <w:tcPr>
            <w:tcW w:w="132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Number</w:t>
            </w: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remaining contractual</w:t>
            </w:r>
          </w:p>
        </w:tc>
        <w:tc>
          <w:tcPr>
            <w:tcW w:w="13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Weighted average</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20"/>
                <w:szCs w:val="20"/>
                <w:color w:val="auto"/>
              </w:rPr>
            </w:pPr>
            <w:r>
              <w:rPr>
                <w:rFonts w:ascii="Arial" w:cs="Arial" w:eastAsia="Arial" w:hAnsi="Arial"/>
                <w:sz w:val="12"/>
                <w:szCs w:val="12"/>
                <w:color w:val="auto"/>
              </w:rPr>
              <w:t>Range of exercise prices</w:t>
            </w: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(thousands)</w:t>
            </w:r>
          </w:p>
        </w:tc>
        <w:tc>
          <w:tcPr>
            <w:tcW w:w="700" w:type="dxa"/>
            <w:vAlign w:val="bottom"/>
            <w:shd w:val="clear" w:color="auto" w:fill="CECAC6"/>
          </w:tcPr>
          <w:p>
            <w:pPr>
              <w:spacing w:after="0"/>
              <w:rPr>
                <w:sz w:val="12"/>
                <w:szCs w:val="12"/>
                <w:color w:val="auto"/>
              </w:rPr>
            </w:pPr>
          </w:p>
        </w:tc>
        <w:tc>
          <w:tcPr>
            <w:tcW w:w="10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life (years)</w:t>
            </w:r>
          </w:p>
        </w:tc>
        <w:tc>
          <w:tcPr>
            <w:tcW w:w="13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exercise price ($)</w:t>
            </w:r>
          </w:p>
        </w:tc>
        <w:tc>
          <w:tcPr>
            <w:tcW w:w="0" w:type="dxa"/>
            <w:vAlign w:val="bottom"/>
          </w:tcPr>
          <w:p>
            <w:pPr>
              <w:spacing w:after="0"/>
              <w:rPr>
                <w:sz w:val="1"/>
                <w:szCs w:val="1"/>
                <w:color w:val="auto"/>
              </w:rPr>
            </w:pPr>
          </w:p>
        </w:tc>
      </w:tr>
      <w:tr>
        <w:trPr>
          <w:trHeight w:val="127"/>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2"/>
                <w:szCs w:val="12"/>
                <w:color w:val="auto"/>
              </w:rPr>
              <w:t>$25 to $30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12,343</w:t>
            </w:r>
          </w:p>
        </w:tc>
        <w:tc>
          <w:tcPr>
            <w:tcW w:w="700" w:type="dxa"/>
            <w:vAlign w:val="bottom"/>
          </w:tcPr>
          <w:p>
            <w:pPr>
              <w:spacing w:after="0"/>
              <w:rPr>
                <w:sz w:val="11"/>
                <w:szCs w:val="11"/>
                <w:color w:val="auto"/>
              </w:rPr>
            </w:pPr>
          </w:p>
        </w:tc>
        <w:tc>
          <w:tcPr>
            <w:tcW w:w="10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4.9</w:t>
            </w:r>
          </w:p>
        </w:tc>
        <w:tc>
          <w:tcPr>
            <w:tcW w:w="13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28.00</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$30 to $35</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9,557</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5.4</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30.38</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$35 to $40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$40 to $45</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9,965</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44.08</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$45 to $50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9,570</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3.1</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45.82</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3140" w:type="dxa"/>
            <w:vAlign w:val="bottom"/>
            <w:gridSpan w:val="2"/>
          </w:tcPr>
          <w:p>
            <w:pPr>
              <w:ind w:left="100"/>
              <w:spacing w:after="0"/>
              <w:rPr>
                <w:sz w:val="20"/>
                <w:szCs w:val="20"/>
                <w:color w:val="auto"/>
              </w:rPr>
            </w:pPr>
            <w:r>
              <w:rPr>
                <w:rFonts w:ascii="Arial" w:cs="Arial" w:eastAsia="Arial" w:hAnsi="Arial"/>
                <w:sz w:val="12"/>
                <w:szCs w:val="12"/>
                <w:color w:val="auto"/>
              </w:rPr>
              <w:t>$50 to $55</w:t>
            </w: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6,218</w:t>
            </w:r>
          </w:p>
        </w:tc>
        <w:tc>
          <w:tcPr>
            <w:tcW w:w="700" w:type="dxa"/>
            <w:vAlign w:val="bottom"/>
          </w:tcPr>
          <w:p>
            <w:pPr>
              <w:spacing w:after="0"/>
              <w:rPr>
                <w:sz w:val="12"/>
                <w:szCs w:val="12"/>
                <w:color w:val="auto"/>
              </w:rPr>
            </w:pP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3.2</w:t>
            </w:r>
          </w:p>
        </w:tc>
        <w:tc>
          <w:tcPr>
            <w:tcW w:w="1320" w:type="dxa"/>
            <w:vAlign w:val="bottom"/>
          </w:tcPr>
          <w:p>
            <w:pPr>
              <w:jc w:val="right"/>
              <w:ind w:right="38"/>
              <w:spacing w:after="0"/>
              <w:rPr>
                <w:sz w:val="20"/>
                <w:szCs w:val="20"/>
                <w:color w:val="auto"/>
              </w:rPr>
            </w:pPr>
            <w:r>
              <w:rPr>
                <w:rFonts w:ascii="Arial" w:cs="Arial" w:eastAsia="Arial" w:hAnsi="Arial"/>
                <w:sz w:val="12"/>
                <w:szCs w:val="12"/>
                <w:color w:val="auto"/>
              </w:rPr>
              <w:t>51.88</w:t>
            </w:r>
          </w:p>
        </w:tc>
        <w:tc>
          <w:tcPr>
            <w:tcW w:w="0" w:type="dxa"/>
            <w:vAlign w:val="bottom"/>
          </w:tcPr>
          <w:p>
            <w:pPr>
              <w:spacing w:after="0"/>
              <w:rPr>
                <w:sz w:val="1"/>
                <w:szCs w:val="1"/>
                <w:color w:val="auto"/>
              </w:rPr>
            </w:pPr>
          </w:p>
        </w:tc>
      </w:tr>
      <w:tr>
        <w:trPr>
          <w:trHeight w:val="146"/>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47,653</w:t>
            </w:r>
          </w:p>
        </w:tc>
        <w:tc>
          <w:tcPr>
            <w:tcW w:w="7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color w:val="auto"/>
              </w:rPr>
              <w:t>4.1</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38.54</w:t>
            </w:r>
          </w:p>
        </w:tc>
        <w:tc>
          <w:tcPr>
            <w:tcW w:w="0" w:type="dxa"/>
            <w:vAlign w:val="bottom"/>
          </w:tcPr>
          <w:p>
            <w:pPr>
              <w:spacing w:after="0"/>
              <w:rPr>
                <w:sz w:val="1"/>
                <w:szCs w:val="1"/>
                <w:color w:val="auto"/>
              </w:rPr>
            </w:pPr>
          </w:p>
        </w:tc>
      </w:tr>
      <w:tr>
        <w:trPr>
          <w:trHeight w:val="360"/>
        </w:trPr>
        <w:tc>
          <w:tcPr>
            <w:tcW w:w="1840" w:type="dxa"/>
            <w:vAlign w:val="bottom"/>
            <w:tcBorders>
              <w:right w:val="single" w:sz="8" w:color="7DD1E1"/>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302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ROYAL DUTCH SHELL CLASS B SHARES</w:t>
            </w:r>
          </w:p>
        </w:tc>
        <w:tc>
          <w:tcPr>
            <w:tcW w:w="1280" w:type="dxa"/>
            <w:vAlign w:val="bottom"/>
            <w:shd w:val="clear" w:color="auto" w:fill="7DD0E0"/>
          </w:tcPr>
          <w:p>
            <w:pPr>
              <w:spacing w:after="0"/>
              <w:rPr>
                <w:sz w:val="11"/>
                <w:szCs w:val="11"/>
                <w:color w:val="auto"/>
              </w:rPr>
            </w:pPr>
          </w:p>
        </w:tc>
        <w:tc>
          <w:tcPr>
            <w:tcW w:w="128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70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1320" w:type="dxa"/>
            <w:vAlign w:val="bottom"/>
            <w:shd w:val="clear" w:color="auto" w:fill="7DD0E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232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Options outstanding and exercisable</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spacing w:after="0"/>
              <w:rPr>
                <w:sz w:val="11"/>
                <w:szCs w:val="11"/>
                <w:color w:val="auto"/>
              </w:rPr>
            </w:pP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Weighted average</w:t>
            </w:r>
          </w:p>
        </w:tc>
        <w:tc>
          <w:tcPr>
            <w:tcW w:w="132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Number</w:t>
            </w: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remaining contractual</w:t>
            </w:r>
          </w:p>
        </w:tc>
        <w:tc>
          <w:tcPr>
            <w:tcW w:w="13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Weighted average</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20"/>
                <w:szCs w:val="20"/>
                <w:color w:val="auto"/>
              </w:rPr>
            </w:pPr>
            <w:r>
              <w:rPr>
                <w:rFonts w:ascii="Arial" w:cs="Arial" w:eastAsia="Arial" w:hAnsi="Arial"/>
                <w:sz w:val="12"/>
                <w:szCs w:val="12"/>
                <w:color w:val="auto"/>
              </w:rPr>
              <w:t>Range of exercise prices</w:t>
            </w: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(thousands)</w:t>
            </w:r>
          </w:p>
        </w:tc>
        <w:tc>
          <w:tcPr>
            <w:tcW w:w="700" w:type="dxa"/>
            <w:vAlign w:val="bottom"/>
            <w:shd w:val="clear" w:color="auto" w:fill="CECAC6"/>
          </w:tcPr>
          <w:p>
            <w:pPr>
              <w:spacing w:after="0"/>
              <w:rPr>
                <w:sz w:val="12"/>
                <w:szCs w:val="12"/>
                <w:color w:val="auto"/>
              </w:rPr>
            </w:pPr>
          </w:p>
        </w:tc>
        <w:tc>
          <w:tcPr>
            <w:tcW w:w="10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life (years)</w:t>
            </w:r>
          </w:p>
        </w:tc>
        <w:tc>
          <w:tcPr>
            <w:tcW w:w="13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exercise price ($)</w:t>
            </w:r>
          </w:p>
        </w:tc>
        <w:tc>
          <w:tcPr>
            <w:tcW w:w="0" w:type="dxa"/>
            <w:vAlign w:val="bottom"/>
          </w:tcPr>
          <w:p>
            <w:pPr>
              <w:spacing w:after="0"/>
              <w:rPr>
                <w:sz w:val="1"/>
                <w:szCs w:val="1"/>
                <w:color w:val="auto"/>
              </w:rPr>
            </w:pPr>
          </w:p>
        </w:tc>
      </w:tr>
      <w:tr>
        <w:trPr>
          <w:trHeight w:val="127"/>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2"/>
                <w:szCs w:val="12"/>
                <w:color w:val="auto"/>
              </w:rPr>
              <w:t>$25 to $28</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13,295</w:t>
            </w:r>
          </w:p>
        </w:tc>
        <w:tc>
          <w:tcPr>
            <w:tcW w:w="700" w:type="dxa"/>
            <w:vAlign w:val="bottom"/>
          </w:tcPr>
          <w:p>
            <w:pPr>
              <w:spacing w:after="0"/>
              <w:rPr>
                <w:sz w:val="11"/>
                <w:szCs w:val="11"/>
                <w:color w:val="auto"/>
              </w:rPr>
            </w:pPr>
          </w:p>
        </w:tc>
        <w:tc>
          <w:tcPr>
            <w:tcW w:w="10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5.0</w:t>
            </w:r>
          </w:p>
        </w:tc>
        <w:tc>
          <w:tcPr>
            <w:tcW w:w="13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26.77</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$28 to $31</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230</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6.8</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30.02</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$31 to $34</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$34 to $37</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5,400</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2.9</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35.93</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$37 to $40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6,058</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37.66</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3140" w:type="dxa"/>
            <w:vAlign w:val="bottom"/>
            <w:gridSpan w:val="2"/>
          </w:tcPr>
          <w:p>
            <w:pPr>
              <w:ind w:left="100"/>
              <w:spacing w:after="0"/>
              <w:rPr>
                <w:sz w:val="20"/>
                <w:szCs w:val="20"/>
                <w:color w:val="auto"/>
              </w:rPr>
            </w:pPr>
            <w:r>
              <w:rPr>
                <w:rFonts w:ascii="Arial" w:cs="Arial" w:eastAsia="Arial" w:hAnsi="Arial"/>
                <w:sz w:val="12"/>
                <w:szCs w:val="12"/>
                <w:color w:val="auto"/>
              </w:rPr>
              <w:t>$40 to $43</w:t>
            </w: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3,335</w:t>
            </w:r>
          </w:p>
        </w:tc>
        <w:tc>
          <w:tcPr>
            <w:tcW w:w="700" w:type="dxa"/>
            <w:vAlign w:val="bottom"/>
          </w:tcPr>
          <w:p>
            <w:pPr>
              <w:spacing w:after="0"/>
              <w:rPr>
                <w:sz w:val="12"/>
                <w:szCs w:val="12"/>
                <w:color w:val="auto"/>
              </w:rPr>
            </w:pP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3.1</w:t>
            </w:r>
          </w:p>
        </w:tc>
        <w:tc>
          <w:tcPr>
            <w:tcW w:w="1320" w:type="dxa"/>
            <w:vAlign w:val="bottom"/>
          </w:tcPr>
          <w:p>
            <w:pPr>
              <w:jc w:val="right"/>
              <w:ind w:right="38"/>
              <w:spacing w:after="0"/>
              <w:rPr>
                <w:sz w:val="20"/>
                <w:szCs w:val="20"/>
                <w:color w:val="auto"/>
              </w:rPr>
            </w:pPr>
            <w:r>
              <w:rPr>
                <w:rFonts w:ascii="Arial" w:cs="Arial" w:eastAsia="Arial" w:hAnsi="Arial"/>
                <w:sz w:val="12"/>
                <w:szCs w:val="12"/>
                <w:color w:val="auto"/>
              </w:rPr>
              <w:t>42.52</w:t>
            </w:r>
          </w:p>
        </w:tc>
        <w:tc>
          <w:tcPr>
            <w:tcW w:w="0" w:type="dxa"/>
            <w:vAlign w:val="bottom"/>
          </w:tcPr>
          <w:p>
            <w:pPr>
              <w:spacing w:after="0"/>
              <w:rPr>
                <w:sz w:val="1"/>
                <w:szCs w:val="1"/>
                <w:color w:val="auto"/>
              </w:rPr>
            </w:pPr>
          </w:p>
        </w:tc>
      </w:tr>
      <w:tr>
        <w:trPr>
          <w:trHeight w:val="146"/>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28,318</w:t>
            </w:r>
          </w:p>
        </w:tc>
        <w:tc>
          <w:tcPr>
            <w:tcW w:w="7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color w:val="auto"/>
              </w:rPr>
              <w:t>4.0</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32.73</w:t>
            </w:r>
          </w:p>
        </w:tc>
        <w:tc>
          <w:tcPr>
            <w:tcW w:w="0" w:type="dxa"/>
            <w:vAlign w:val="bottom"/>
          </w:tcPr>
          <w:p>
            <w:pPr>
              <w:spacing w:after="0"/>
              <w:rPr>
                <w:sz w:val="1"/>
                <w:szCs w:val="1"/>
                <w:color w:val="auto"/>
              </w:rPr>
            </w:pPr>
          </w:p>
        </w:tc>
      </w:tr>
      <w:tr>
        <w:trPr>
          <w:trHeight w:val="360"/>
        </w:trPr>
        <w:tc>
          <w:tcPr>
            <w:tcW w:w="1840" w:type="dxa"/>
            <w:vAlign w:val="bottom"/>
            <w:tcBorders>
              <w:right w:val="single" w:sz="8" w:color="7DD1E1"/>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30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302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ROYAL DUTCH SHELL CLASS A ADRs</w:t>
            </w:r>
          </w:p>
        </w:tc>
        <w:tc>
          <w:tcPr>
            <w:tcW w:w="1280" w:type="dxa"/>
            <w:vAlign w:val="bottom"/>
            <w:shd w:val="clear" w:color="auto" w:fill="7DD0E0"/>
          </w:tcPr>
          <w:p>
            <w:pPr>
              <w:spacing w:after="0"/>
              <w:rPr>
                <w:sz w:val="11"/>
                <w:szCs w:val="11"/>
                <w:color w:val="auto"/>
              </w:rPr>
            </w:pPr>
          </w:p>
        </w:tc>
        <w:tc>
          <w:tcPr>
            <w:tcW w:w="128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70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1320" w:type="dxa"/>
            <w:vAlign w:val="bottom"/>
            <w:shd w:val="clear" w:color="auto" w:fill="7DD0E0"/>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232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Options outstanding and exercisable</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spacing w:after="0"/>
              <w:rPr>
                <w:sz w:val="11"/>
                <w:szCs w:val="11"/>
                <w:color w:val="auto"/>
              </w:rPr>
            </w:pP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Weighted average</w:t>
            </w:r>
          </w:p>
        </w:tc>
        <w:tc>
          <w:tcPr>
            <w:tcW w:w="132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86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Number</w:t>
            </w:r>
          </w:p>
        </w:tc>
        <w:tc>
          <w:tcPr>
            <w:tcW w:w="1700" w:type="dxa"/>
            <w:vAlign w:val="bottom"/>
            <w:gridSpan w:val="2"/>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remaining contractual</w:t>
            </w:r>
          </w:p>
        </w:tc>
        <w:tc>
          <w:tcPr>
            <w:tcW w:w="13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Weighted average</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20"/>
                <w:szCs w:val="20"/>
                <w:color w:val="auto"/>
              </w:rPr>
            </w:pPr>
            <w:r>
              <w:rPr>
                <w:rFonts w:ascii="Arial" w:cs="Arial" w:eastAsia="Arial" w:hAnsi="Arial"/>
                <w:sz w:val="12"/>
                <w:szCs w:val="12"/>
                <w:color w:val="auto"/>
              </w:rPr>
              <w:t>Range of exercise prices</w:t>
            </w:r>
          </w:p>
        </w:tc>
        <w:tc>
          <w:tcPr>
            <w:tcW w:w="128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86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(thousands)</w:t>
            </w:r>
          </w:p>
        </w:tc>
        <w:tc>
          <w:tcPr>
            <w:tcW w:w="700" w:type="dxa"/>
            <w:vAlign w:val="bottom"/>
            <w:shd w:val="clear" w:color="auto" w:fill="CECAC6"/>
          </w:tcPr>
          <w:p>
            <w:pPr>
              <w:spacing w:after="0"/>
              <w:rPr>
                <w:sz w:val="12"/>
                <w:szCs w:val="12"/>
                <w:color w:val="auto"/>
              </w:rPr>
            </w:pPr>
          </w:p>
        </w:tc>
        <w:tc>
          <w:tcPr>
            <w:tcW w:w="10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life (years)</w:t>
            </w:r>
          </w:p>
        </w:tc>
        <w:tc>
          <w:tcPr>
            <w:tcW w:w="13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exercise price ($)</w:t>
            </w:r>
          </w:p>
        </w:tc>
        <w:tc>
          <w:tcPr>
            <w:tcW w:w="0" w:type="dxa"/>
            <w:vAlign w:val="bottom"/>
          </w:tcPr>
          <w:p>
            <w:pPr>
              <w:spacing w:after="0"/>
              <w:rPr>
                <w:sz w:val="1"/>
                <w:szCs w:val="1"/>
                <w:color w:val="auto"/>
              </w:rPr>
            </w:pPr>
          </w:p>
        </w:tc>
      </w:tr>
      <w:tr>
        <w:trPr>
          <w:trHeight w:val="127"/>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2"/>
                <w:szCs w:val="12"/>
                <w:color w:val="auto"/>
              </w:rPr>
              <w:t>$40 to $45</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2,851</w:t>
            </w:r>
          </w:p>
        </w:tc>
        <w:tc>
          <w:tcPr>
            <w:tcW w:w="700" w:type="dxa"/>
            <w:vAlign w:val="bottom"/>
          </w:tcPr>
          <w:p>
            <w:pPr>
              <w:spacing w:after="0"/>
              <w:rPr>
                <w:sz w:val="11"/>
                <w:szCs w:val="11"/>
                <w:color w:val="auto"/>
              </w:rPr>
            </w:pPr>
          </w:p>
        </w:tc>
        <w:tc>
          <w:tcPr>
            <w:tcW w:w="100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5.2</w:t>
            </w:r>
          </w:p>
        </w:tc>
        <w:tc>
          <w:tcPr>
            <w:tcW w:w="13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42.43</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$45 to $50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4,315</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6.0</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48.70</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$50 to $55</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3,587</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3.8</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54.09</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$55 to $60</w:t>
            </w:r>
          </w:p>
        </w:tc>
        <w:tc>
          <w:tcPr>
            <w:tcW w:w="1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341</w:t>
            </w:r>
          </w:p>
        </w:tc>
        <w:tc>
          <w:tcPr>
            <w:tcW w:w="700" w:type="dxa"/>
            <w:vAlign w:val="bottom"/>
          </w:tcPr>
          <w:p>
            <w:pPr>
              <w:spacing w:after="0"/>
              <w:rPr>
                <w:sz w:val="11"/>
                <w:szCs w:val="11"/>
                <w:color w:val="auto"/>
              </w:rPr>
            </w:pPr>
          </w:p>
        </w:tc>
        <w:tc>
          <w:tcPr>
            <w:tcW w:w="10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2.4</w:t>
            </w:r>
          </w:p>
        </w:tc>
        <w:tc>
          <w:tcPr>
            <w:tcW w:w="13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56.57</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3140" w:type="dxa"/>
            <w:vAlign w:val="bottom"/>
            <w:gridSpan w:val="2"/>
          </w:tcPr>
          <w:p>
            <w:pPr>
              <w:ind w:left="100"/>
              <w:spacing w:after="0"/>
              <w:rPr>
                <w:sz w:val="20"/>
                <w:szCs w:val="20"/>
                <w:color w:val="auto"/>
              </w:rPr>
            </w:pPr>
            <w:r>
              <w:rPr>
                <w:rFonts w:ascii="Arial" w:cs="Arial" w:eastAsia="Arial" w:hAnsi="Arial"/>
                <w:sz w:val="12"/>
                <w:szCs w:val="12"/>
                <w:color w:val="auto"/>
              </w:rPr>
              <w:t>$60 to $65</w:t>
            </w:r>
          </w:p>
        </w:tc>
        <w:tc>
          <w:tcPr>
            <w:tcW w:w="1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60" w:type="dxa"/>
            <w:vAlign w:val="bottom"/>
          </w:tcPr>
          <w:p>
            <w:pPr>
              <w:jc w:val="right"/>
              <w:ind w:right="138"/>
              <w:spacing w:after="0"/>
              <w:rPr>
                <w:sz w:val="20"/>
                <w:szCs w:val="20"/>
                <w:color w:val="auto"/>
              </w:rPr>
            </w:pPr>
            <w:r>
              <w:rPr>
                <w:rFonts w:ascii="Arial" w:cs="Arial" w:eastAsia="Arial" w:hAnsi="Arial"/>
                <w:sz w:val="12"/>
                <w:szCs w:val="12"/>
                <w:color w:val="auto"/>
              </w:rPr>
              <w:t>2,126</w:t>
            </w:r>
          </w:p>
        </w:tc>
        <w:tc>
          <w:tcPr>
            <w:tcW w:w="700" w:type="dxa"/>
            <w:vAlign w:val="bottom"/>
          </w:tcPr>
          <w:p>
            <w:pPr>
              <w:spacing w:after="0"/>
              <w:rPr>
                <w:sz w:val="12"/>
                <w:szCs w:val="12"/>
                <w:color w:val="auto"/>
              </w:rPr>
            </w:pP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3.2</w:t>
            </w:r>
          </w:p>
        </w:tc>
        <w:tc>
          <w:tcPr>
            <w:tcW w:w="1320" w:type="dxa"/>
            <w:vAlign w:val="bottom"/>
          </w:tcPr>
          <w:p>
            <w:pPr>
              <w:jc w:val="right"/>
              <w:ind w:right="38"/>
              <w:spacing w:after="0"/>
              <w:rPr>
                <w:sz w:val="20"/>
                <w:szCs w:val="20"/>
                <w:color w:val="auto"/>
              </w:rPr>
            </w:pPr>
            <w:r>
              <w:rPr>
                <w:rFonts w:ascii="Arial" w:cs="Arial" w:eastAsia="Arial" w:hAnsi="Arial"/>
                <w:sz w:val="12"/>
                <w:szCs w:val="12"/>
                <w:color w:val="auto"/>
              </w:rPr>
              <w:t>60.77</w:t>
            </w:r>
          </w:p>
        </w:tc>
        <w:tc>
          <w:tcPr>
            <w:tcW w:w="0" w:type="dxa"/>
            <w:vAlign w:val="bottom"/>
          </w:tcPr>
          <w:p>
            <w:pPr>
              <w:spacing w:after="0"/>
              <w:rPr>
                <w:sz w:val="1"/>
                <w:szCs w:val="1"/>
                <w:color w:val="auto"/>
              </w:rPr>
            </w:pPr>
          </w:p>
        </w:tc>
      </w:tr>
      <w:tr>
        <w:trPr>
          <w:trHeight w:val="146"/>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rPr>
              <w:t>13,221</w:t>
            </w:r>
          </w:p>
        </w:tc>
        <w:tc>
          <w:tcPr>
            <w:tcW w:w="7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color w:val="auto"/>
              </w:rPr>
              <w:t>4.7</w:t>
            </w: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50.95</w:t>
            </w:r>
          </w:p>
        </w:tc>
        <w:tc>
          <w:tcPr>
            <w:tcW w:w="0" w:type="dxa"/>
            <w:vAlign w:val="bottom"/>
          </w:tcPr>
          <w:p>
            <w:pPr>
              <w:spacing w:after="0"/>
              <w:rPr>
                <w:sz w:val="1"/>
                <w:szCs w:val="1"/>
                <w:color w:val="auto"/>
              </w:rPr>
            </w:pPr>
          </w:p>
        </w:tc>
      </w:tr>
      <w:tr>
        <w:trPr>
          <w:trHeight w:val="360"/>
        </w:trPr>
        <w:tc>
          <w:tcPr>
            <w:tcW w:w="1840" w:type="dxa"/>
            <w:vAlign w:val="bottom"/>
            <w:tcBorders>
              <w:right w:val="single" w:sz="8" w:color="7DD1E1"/>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3020" w:type="dxa"/>
            <w:vAlign w:val="bottom"/>
          </w:tcPr>
          <w:p>
            <w:pPr>
              <w:spacing w:after="0"/>
              <w:rPr>
                <w:sz w:val="24"/>
                <w:szCs w:val="24"/>
                <w:color w:val="auto"/>
              </w:rPr>
            </w:pPr>
          </w:p>
        </w:tc>
        <w:tc>
          <w:tcPr>
            <w:tcW w:w="3420" w:type="dxa"/>
            <w:vAlign w:val="bottom"/>
            <w:gridSpan w:val="3"/>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vMerge w:val="continue"/>
          </w:tcPr>
          <w:p>
            <w:pPr>
              <w:spacing w:after="0"/>
              <w:rPr>
                <w:sz w:val="11"/>
                <w:szCs w:val="11"/>
                <w:color w:val="auto"/>
              </w:rPr>
            </w:pPr>
          </w:p>
        </w:tc>
        <w:tc>
          <w:tcPr>
            <w:tcW w:w="6440" w:type="dxa"/>
            <w:vAlign w:val="bottom"/>
            <w:gridSpan w:val="4"/>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ROYAL DUTCH SHELL CLASS A SHARES AS CONVERTED FROM SHELL CANADA COMMON SHARES</w:t>
            </w:r>
          </w:p>
        </w:tc>
        <w:tc>
          <w:tcPr>
            <w:tcW w:w="70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1320" w:type="dxa"/>
            <w:vAlign w:val="bottom"/>
            <w:shd w:val="clear" w:color="auto" w:fill="7DD0E0"/>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1280" w:type="dxa"/>
            <w:vAlign w:val="bottom"/>
            <w:vMerge w:val="restart"/>
            <w:shd w:val="clear" w:color="auto" w:fill="CECAC6"/>
          </w:tcPr>
          <w:p>
            <w:pPr>
              <w:jc w:val="right"/>
              <w:spacing w:after="0"/>
              <w:rPr>
                <w:sz w:val="20"/>
                <w:szCs w:val="20"/>
                <w:color w:val="auto"/>
              </w:rPr>
            </w:pPr>
            <w:r>
              <w:rPr>
                <w:rFonts w:ascii="Arial" w:cs="Arial" w:eastAsia="Arial" w:hAnsi="Arial"/>
                <w:sz w:val="12"/>
                <w:szCs w:val="12"/>
                <w:color w:val="auto"/>
              </w:rPr>
              <w:t>Weighted average</w:t>
            </w:r>
          </w:p>
        </w:tc>
        <w:tc>
          <w:tcPr>
            <w:tcW w:w="1560" w:type="dxa"/>
            <w:vAlign w:val="bottom"/>
            <w:gridSpan w:val="2"/>
            <w:shd w:val="clear" w:color="auto" w:fill="CECAC6"/>
          </w:tcPr>
          <w:p>
            <w:pPr>
              <w:jc w:val="right"/>
              <w:ind w:right="118"/>
              <w:spacing w:after="0"/>
              <w:rPr>
                <w:sz w:val="20"/>
                <w:szCs w:val="20"/>
                <w:color w:val="auto"/>
              </w:rPr>
            </w:pPr>
            <w:r>
              <w:rPr>
                <w:rFonts w:ascii="Arial" w:cs="Arial" w:eastAsia="Arial" w:hAnsi="Arial"/>
                <w:sz w:val="12"/>
                <w:szCs w:val="12"/>
                <w:color w:val="auto"/>
              </w:rPr>
              <w:t>Options outstanding</w:t>
            </w:r>
          </w:p>
        </w:tc>
        <w:tc>
          <w:tcPr>
            <w:tcW w:w="1000" w:type="dxa"/>
            <w:vAlign w:val="bottom"/>
            <w:shd w:val="clear" w:color="auto" w:fill="CECAC6"/>
          </w:tcPr>
          <w:p>
            <w:pPr>
              <w:spacing w:after="0"/>
              <w:rPr>
                <w:sz w:val="12"/>
                <w:szCs w:val="12"/>
                <w:color w:val="auto"/>
              </w:rPr>
            </w:pPr>
          </w:p>
        </w:tc>
        <w:tc>
          <w:tcPr>
            <w:tcW w:w="13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Options exercisable</w:t>
            </w:r>
          </w:p>
        </w:tc>
        <w:tc>
          <w:tcPr>
            <w:tcW w:w="0" w:type="dxa"/>
            <w:vAlign w:val="bottom"/>
          </w:tcPr>
          <w:p>
            <w:pPr>
              <w:spacing w:after="0"/>
              <w:rPr>
                <w:sz w:val="1"/>
                <w:szCs w:val="1"/>
                <w:color w:val="auto"/>
              </w:rPr>
            </w:pPr>
          </w:p>
        </w:tc>
      </w:tr>
      <w:tr>
        <w:trPr>
          <w:trHeight w:val="127"/>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spacing w:after="0"/>
              <w:rPr>
                <w:sz w:val="11"/>
                <w:szCs w:val="11"/>
                <w:color w:val="auto"/>
              </w:rPr>
            </w:pPr>
          </w:p>
        </w:tc>
        <w:tc>
          <w:tcPr>
            <w:tcW w:w="1280" w:type="dxa"/>
            <w:vAlign w:val="bottom"/>
            <w:vMerge w:val="continue"/>
            <w:shd w:val="clear" w:color="auto" w:fill="CECAC6"/>
          </w:tcPr>
          <w:p>
            <w:pPr>
              <w:spacing w:after="0"/>
              <w:rPr>
                <w:sz w:val="11"/>
                <w:szCs w:val="11"/>
                <w:color w:val="auto"/>
              </w:rPr>
            </w:pPr>
          </w:p>
        </w:tc>
        <w:tc>
          <w:tcPr>
            <w:tcW w:w="86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1000" w:type="dxa"/>
            <w:vAlign w:val="bottom"/>
            <w:shd w:val="clear" w:color="auto" w:fill="CECAC6"/>
          </w:tcPr>
          <w:p>
            <w:pPr>
              <w:spacing w:after="0"/>
              <w:rPr>
                <w:sz w:val="11"/>
                <w:szCs w:val="11"/>
                <w:color w:val="auto"/>
              </w:rPr>
            </w:pPr>
          </w:p>
        </w:tc>
        <w:tc>
          <w:tcPr>
            <w:tcW w:w="132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278"/>
              <w:spacing w:after="0" w:line="133" w:lineRule="exact"/>
              <w:rPr>
                <w:sz w:val="20"/>
                <w:szCs w:val="20"/>
                <w:color w:val="auto"/>
              </w:rPr>
            </w:pPr>
            <w:r>
              <w:rPr>
                <w:rFonts w:ascii="Arial" w:cs="Arial" w:eastAsia="Arial" w:hAnsi="Arial"/>
                <w:sz w:val="12"/>
                <w:szCs w:val="12"/>
                <w:color w:val="auto"/>
              </w:rPr>
              <w:t>Number</w:t>
            </w:r>
          </w:p>
        </w:tc>
        <w:tc>
          <w:tcPr>
            <w:tcW w:w="12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remaining contractual</w:t>
            </w:r>
          </w:p>
        </w:tc>
        <w:tc>
          <w:tcPr>
            <w:tcW w:w="1560" w:type="dxa"/>
            <w:vAlign w:val="bottom"/>
            <w:gridSpan w:val="2"/>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Weighted average</w:t>
            </w:r>
          </w:p>
        </w:tc>
        <w:tc>
          <w:tcPr>
            <w:tcW w:w="100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Number</w:t>
            </w:r>
          </w:p>
        </w:tc>
        <w:tc>
          <w:tcPr>
            <w:tcW w:w="13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Weighted average</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120" w:type="dxa"/>
            <w:vAlign w:val="bottom"/>
          </w:tcPr>
          <w:p>
            <w:pPr>
              <w:spacing w:after="0"/>
              <w:rPr>
                <w:sz w:val="12"/>
                <w:szCs w:val="12"/>
                <w:color w:val="auto"/>
              </w:rPr>
            </w:pPr>
          </w:p>
        </w:tc>
        <w:tc>
          <w:tcPr>
            <w:tcW w:w="3020" w:type="dxa"/>
            <w:vAlign w:val="bottom"/>
            <w:shd w:val="clear" w:color="auto" w:fill="CECAC6"/>
          </w:tcPr>
          <w:p>
            <w:pPr>
              <w:spacing w:after="0"/>
              <w:rPr>
                <w:sz w:val="20"/>
                <w:szCs w:val="20"/>
                <w:color w:val="auto"/>
              </w:rPr>
            </w:pPr>
            <w:r>
              <w:rPr>
                <w:rFonts w:ascii="Arial" w:cs="Arial" w:eastAsia="Arial" w:hAnsi="Arial"/>
                <w:sz w:val="12"/>
                <w:szCs w:val="12"/>
                <w:color w:val="auto"/>
              </w:rPr>
              <w:t>Range of exercise prices</w:t>
            </w:r>
          </w:p>
        </w:tc>
        <w:tc>
          <w:tcPr>
            <w:tcW w:w="12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(thousands)</w:t>
            </w:r>
          </w:p>
        </w:tc>
        <w:tc>
          <w:tcPr>
            <w:tcW w:w="12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life (years)</w:t>
            </w:r>
          </w:p>
        </w:tc>
        <w:tc>
          <w:tcPr>
            <w:tcW w:w="1560" w:type="dxa"/>
            <w:vAlign w:val="bottom"/>
            <w:gridSpan w:val="2"/>
            <w:shd w:val="clear" w:color="auto" w:fill="CECAC6"/>
          </w:tcPr>
          <w:p>
            <w:pPr>
              <w:jc w:val="right"/>
              <w:ind w:right="118"/>
              <w:spacing w:after="0"/>
              <w:rPr>
                <w:sz w:val="20"/>
                <w:szCs w:val="20"/>
                <w:color w:val="auto"/>
              </w:rPr>
            </w:pPr>
            <w:r>
              <w:rPr>
                <w:rFonts w:ascii="Arial" w:cs="Arial" w:eastAsia="Arial" w:hAnsi="Arial"/>
                <w:sz w:val="12"/>
                <w:szCs w:val="12"/>
                <w:color w:val="auto"/>
              </w:rPr>
              <w:t>exercise price ($)</w:t>
            </w:r>
          </w:p>
        </w:tc>
        <w:tc>
          <w:tcPr>
            <w:tcW w:w="100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(thousands)</w:t>
            </w:r>
          </w:p>
        </w:tc>
        <w:tc>
          <w:tcPr>
            <w:tcW w:w="13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exercise price ($)</w:t>
            </w:r>
          </w:p>
        </w:tc>
        <w:tc>
          <w:tcPr>
            <w:tcW w:w="0" w:type="dxa"/>
            <w:vAlign w:val="bottom"/>
          </w:tcPr>
          <w:p>
            <w:pPr>
              <w:spacing w:after="0"/>
              <w:rPr>
                <w:sz w:val="1"/>
                <w:szCs w:val="1"/>
                <w:color w:val="auto"/>
              </w:rPr>
            </w:pPr>
          </w:p>
        </w:tc>
      </w:tr>
      <w:tr>
        <w:trPr>
          <w:trHeight w:val="127"/>
        </w:trPr>
        <w:tc>
          <w:tcPr>
            <w:tcW w:w="1840" w:type="dxa"/>
            <w:vAlign w:val="bottom"/>
            <w:tcBorders>
              <w:right w:val="single" w:sz="8" w:color="7DD1E1"/>
            </w:tcBorders>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tcPr>
          <w:p>
            <w:pPr>
              <w:spacing w:after="0" w:line="128" w:lineRule="exact"/>
              <w:rPr>
                <w:sz w:val="20"/>
                <w:szCs w:val="20"/>
                <w:color w:val="auto"/>
              </w:rPr>
            </w:pPr>
            <w:r>
              <w:rPr>
                <w:rFonts w:ascii="Arial" w:cs="Arial" w:eastAsia="Arial" w:hAnsi="Arial"/>
                <w:sz w:val="12"/>
                <w:szCs w:val="12"/>
                <w:color w:val="auto"/>
              </w:rPr>
              <w:t>$6 to $12</w:t>
            </w:r>
          </w:p>
        </w:tc>
        <w:tc>
          <w:tcPr>
            <w:tcW w:w="1280" w:type="dxa"/>
            <w:vAlign w:val="bottom"/>
          </w:tcPr>
          <w:p>
            <w:pPr>
              <w:jc w:val="right"/>
              <w:ind w:right="278"/>
              <w:spacing w:after="0" w:line="128" w:lineRule="exact"/>
              <w:rPr>
                <w:sz w:val="20"/>
                <w:szCs w:val="20"/>
                <w:color w:val="auto"/>
              </w:rPr>
            </w:pPr>
            <w:r>
              <w:rPr>
                <w:rFonts w:ascii="Arial" w:cs="Arial" w:eastAsia="Arial" w:hAnsi="Arial"/>
                <w:sz w:val="12"/>
                <w:szCs w:val="12"/>
                <w:color w:val="auto"/>
              </w:rPr>
              <w:t>753</w:t>
            </w:r>
          </w:p>
        </w:tc>
        <w:tc>
          <w:tcPr>
            <w:tcW w:w="1280" w:type="dxa"/>
            <w:vAlign w:val="bottom"/>
          </w:tcPr>
          <w:p>
            <w:pPr>
              <w:jc w:val="right"/>
              <w:spacing w:after="0" w:line="128" w:lineRule="exact"/>
              <w:rPr>
                <w:sz w:val="20"/>
                <w:szCs w:val="20"/>
                <w:color w:val="auto"/>
              </w:rPr>
            </w:pPr>
            <w:r>
              <w:rPr>
                <w:rFonts w:ascii="Arial" w:cs="Arial" w:eastAsia="Arial" w:hAnsi="Arial"/>
                <w:sz w:val="12"/>
                <w:szCs w:val="12"/>
                <w:color w:val="auto"/>
              </w:rPr>
              <w:t>2.5</w:t>
            </w:r>
          </w:p>
        </w:tc>
        <w:tc>
          <w:tcPr>
            <w:tcW w:w="860" w:type="dxa"/>
            <w:vAlign w:val="bottom"/>
          </w:tcPr>
          <w:p>
            <w:pPr>
              <w:spacing w:after="0"/>
              <w:rPr>
                <w:sz w:val="11"/>
                <w:szCs w:val="11"/>
                <w:color w:val="auto"/>
              </w:rPr>
            </w:pPr>
          </w:p>
        </w:tc>
        <w:tc>
          <w:tcPr>
            <w:tcW w:w="70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8.78</w:t>
            </w:r>
          </w:p>
        </w:tc>
        <w:tc>
          <w:tcPr>
            <w:tcW w:w="1000" w:type="dxa"/>
            <w:vAlign w:val="bottom"/>
          </w:tcPr>
          <w:p>
            <w:pPr>
              <w:jc w:val="right"/>
              <w:ind w:right="98"/>
              <w:spacing w:after="0" w:line="128" w:lineRule="exact"/>
              <w:rPr>
                <w:sz w:val="20"/>
                <w:szCs w:val="20"/>
                <w:color w:val="auto"/>
              </w:rPr>
            </w:pPr>
            <w:r>
              <w:rPr>
                <w:rFonts w:ascii="Arial" w:cs="Arial" w:eastAsia="Arial" w:hAnsi="Arial"/>
                <w:sz w:val="12"/>
                <w:szCs w:val="12"/>
                <w:color w:val="auto"/>
              </w:rPr>
              <w:t>753</w:t>
            </w:r>
          </w:p>
        </w:tc>
        <w:tc>
          <w:tcPr>
            <w:tcW w:w="13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8.78</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$12 to $18</w:t>
            </w:r>
          </w:p>
        </w:tc>
        <w:tc>
          <w:tcPr>
            <w:tcW w:w="12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4,962</w:t>
            </w:r>
          </w:p>
        </w:tc>
        <w:tc>
          <w:tcPr>
            <w:tcW w:w="1280" w:type="dxa"/>
            <w:vAlign w:val="bottom"/>
          </w:tcPr>
          <w:p>
            <w:pPr>
              <w:jc w:val="right"/>
              <w:spacing w:after="0" w:line="133" w:lineRule="exact"/>
              <w:rPr>
                <w:sz w:val="20"/>
                <w:szCs w:val="20"/>
                <w:color w:val="auto"/>
              </w:rPr>
            </w:pPr>
            <w:r>
              <w:rPr>
                <w:rFonts w:ascii="Arial" w:cs="Arial" w:eastAsia="Arial" w:hAnsi="Arial"/>
                <w:sz w:val="12"/>
                <w:szCs w:val="12"/>
                <w:color w:val="auto"/>
              </w:rPr>
              <w:t>5.5</w:t>
            </w:r>
          </w:p>
        </w:tc>
        <w:tc>
          <w:tcPr>
            <w:tcW w:w="860" w:type="dxa"/>
            <w:vAlign w:val="bottom"/>
          </w:tcPr>
          <w:p>
            <w:pPr>
              <w:spacing w:after="0"/>
              <w:rPr>
                <w:sz w:val="11"/>
                <w:szCs w:val="11"/>
                <w:color w:val="auto"/>
              </w:rPr>
            </w:pPr>
          </w:p>
        </w:tc>
        <w:tc>
          <w:tcPr>
            <w:tcW w:w="7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14.42</w:t>
            </w:r>
          </w:p>
        </w:tc>
        <w:tc>
          <w:tcPr>
            <w:tcW w:w="10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4,962</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14.42</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$18 to $24</w:t>
            </w:r>
          </w:p>
        </w:tc>
        <w:tc>
          <w:tcPr>
            <w:tcW w:w="12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5,843</w:t>
            </w:r>
          </w:p>
        </w:tc>
        <w:tc>
          <w:tcPr>
            <w:tcW w:w="1280" w:type="dxa"/>
            <w:vAlign w:val="bottom"/>
          </w:tcPr>
          <w:p>
            <w:pPr>
              <w:jc w:val="right"/>
              <w:spacing w:after="0" w:line="133" w:lineRule="exact"/>
              <w:rPr>
                <w:sz w:val="20"/>
                <w:szCs w:val="20"/>
                <w:color w:val="auto"/>
              </w:rPr>
            </w:pPr>
            <w:r>
              <w:rPr>
                <w:rFonts w:ascii="Arial" w:cs="Arial" w:eastAsia="Arial" w:hAnsi="Arial"/>
                <w:sz w:val="12"/>
                <w:szCs w:val="12"/>
                <w:color w:val="auto"/>
              </w:rPr>
              <w:t>7.1</w:t>
            </w:r>
          </w:p>
        </w:tc>
        <w:tc>
          <w:tcPr>
            <w:tcW w:w="860" w:type="dxa"/>
            <w:vAlign w:val="bottom"/>
          </w:tcPr>
          <w:p>
            <w:pPr>
              <w:spacing w:after="0"/>
              <w:rPr>
                <w:sz w:val="11"/>
                <w:szCs w:val="11"/>
                <w:color w:val="auto"/>
              </w:rPr>
            </w:pPr>
          </w:p>
        </w:tc>
        <w:tc>
          <w:tcPr>
            <w:tcW w:w="7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20.89</w:t>
            </w:r>
          </w:p>
        </w:tc>
        <w:tc>
          <w:tcPr>
            <w:tcW w:w="10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1,630</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20.90</w:t>
            </w:r>
          </w:p>
        </w:tc>
        <w:tc>
          <w:tcPr>
            <w:tcW w:w="0" w:type="dxa"/>
            <w:vAlign w:val="bottom"/>
          </w:tcPr>
          <w:p>
            <w:pPr>
              <w:spacing w:after="0"/>
              <w:rPr>
                <w:sz w:val="1"/>
                <w:szCs w:val="1"/>
                <w:color w:val="auto"/>
              </w:rPr>
            </w:pPr>
          </w:p>
        </w:tc>
      </w:tr>
      <w:tr>
        <w:trPr>
          <w:trHeight w:val="133"/>
        </w:trPr>
        <w:tc>
          <w:tcPr>
            <w:tcW w:w="1840" w:type="dxa"/>
            <w:vAlign w:val="bottom"/>
            <w:tcBorders>
              <w:right w:val="single" w:sz="8" w:color="7DD1E1"/>
            </w:tcBorders>
          </w:tcPr>
          <w:p>
            <w:pPr>
              <w:spacing w:after="0"/>
              <w:rPr>
                <w:sz w:val="11"/>
                <w:szCs w:val="11"/>
                <w:color w:val="auto"/>
              </w:rPr>
            </w:pPr>
          </w:p>
        </w:tc>
        <w:tc>
          <w:tcPr>
            <w:tcW w:w="3140" w:type="dxa"/>
            <w:vAlign w:val="bottom"/>
            <w:gridSpan w:val="2"/>
          </w:tcPr>
          <w:p>
            <w:pPr>
              <w:ind w:left="100"/>
              <w:spacing w:after="0" w:line="133" w:lineRule="exact"/>
              <w:rPr>
                <w:sz w:val="20"/>
                <w:szCs w:val="20"/>
                <w:color w:val="auto"/>
              </w:rPr>
            </w:pPr>
            <w:r>
              <w:rPr>
                <w:rFonts w:ascii="Arial" w:cs="Arial" w:eastAsia="Arial" w:hAnsi="Arial"/>
                <w:sz w:val="12"/>
                <w:szCs w:val="12"/>
                <w:color w:val="auto"/>
              </w:rPr>
              <w:t>$24 to $29</w:t>
            </w:r>
          </w:p>
        </w:tc>
        <w:tc>
          <w:tcPr>
            <w:tcW w:w="12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7</w:t>
            </w:r>
          </w:p>
        </w:tc>
        <w:tc>
          <w:tcPr>
            <w:tcW w:w="1280" w:type="dxa"/>
            <w:vAlign w:val="bottom"/>
          </w:tcPr>
          <w:p>
            <w:pPr>
              <w:jc w:val="right"/>
              <w:spacing w:after="0" w:line="133" w:lineRule="exact"/>
              <w:rPr>
                <w:sz w:val="20"/>
                <w:szCs w:val="20"/>
                <w:color w:val="auto"/>
              </w:rPr>
            </w:pPr>
            <w:r>
              <w:rPr>
                <w:rFonts w:ascii="Arial" w:cs="Arial" w:eastAsia="Arial" w:hAnsi="Arial"/>
                <w:sz w:val="12"/>
                <w:szCs w:val="12"/>
                <w:color w:val="auto"/>
              </w:rPr>
              <w:t>8.1</w:t>
            </w:r>
          </w:p>
        </w:tc>
        <w:tc>
          <w:tcPr>
            <w:tcW w:w="860" w:type="dxa"/>
            <w:vAlign w:val="bottom"/>
          </w:tcPr>
          <w:p>
            <w:pPr>
              <w:spacing w:after="0"/>
              <w:rPr>
                <w:sz w:val="11"/>
                <w:szCs w:val="11"/>
                <w:color w:val="auto"/>
              </w:rPr>
            </w:pPr>
          </w:p>
        </w:tc>
        <w:tc>
          <w:tcPr>
            <w:tcW w:w="70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26.49</w:t>
            </w:r>
          </w:p>
        </w:tc>
        <w:tc>
          <w:tcPr>
            <w:tcW w:w="10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139"/>
        </w:trPr>
        <w:tc>
          <w:tcPr>
            <w:tcW w:w="1840" w:type="dxa"/>
            <w:vAlign w:val="bottom"/>
            <w:tcBorders>
              <w:right w:val="single" w:sz="8" w:color="7DD1E1"/>
            </w:tcBorders>
          </w:tcPr>
          <w:p>
            <w:pPr>
              <w:spacing w:after="0"/>
              <w:rPr>
                <w:sz w:val="12"/>
                <w:szCs w:val="12"/>
                <w:color w:val="auto"/>
              </w:rPr>
            </w:pPr>
          </w:p>
        </w:tc>
        <w:tc>
          <w:tcPr>
            <w:tcW w:w="3140" w:type="dxa"/>
            <w:vAlign w:val="bottom"/>
            <w:gridSpan w:val="2"/>
          </w:tcPr>
          <w:p>
            <w:pPr>
              <w:ind w:left="100"/>
              <w:spacing w:after="0"/>
              <w:rPr>
                <w:sz w:val="20"/>
                <w:szCs w:val="20"/>
                <w:color w:val="auto"/>
              </w:rPr>
            </w:pPr>
            <w:r>
              <w:rPr>
                <w:rFonts w:ascii="Arial" w:cs="Arial" w:eastAsia="Arial" w:hAnsi="Arial"/>
                <w:sz w:val="12"/>
                <w:szCs w:val="12"/>
                <w:color w:val="auto"/>
              </w:rPr>
              <w:t>$29 to $35</w:t>
            </w:r>
          </w:p>
        </w:tc>
        <w:tc>
          <w:tcPr>
            <w:tcW w:w="1280" w:type="dxa"/>
            <w:vAlign w:val="bottom"/>
          </w:tcPr>
          <w:p>
            <w:pPr>
              <w:jc w:val="right"/>
              <w:ind w:right="278"/>
              <w:spacing w:after="0"/>
              <w:rPr>
                <w:sz w:val="20"/>
                <w:szCs w:val="20"/>
                <w:color w:val="auto"/>
              </w:rPr>
            </w:pPr>
            <w:r>
              <w:rPr>
                <w:rFonts w:ascii="Arial" w:cs="Arial" w:eastAsia="Arial" w:hAnsi="Arial"/>
                <w:sz w:val="12"/>
                <w:szCs w:val="12"/>
                <w:color w:val="auto"/>
              </w:rPr>
              <w:t>4,953</w:t>
            </w:r>
          </w:p>
        </w:tc>
        <w:tc>
          <w:tcPr>
            <w:tcW w:w="1280" w:type="dxa"/>
            <w:vAlign w:val="bottom"/>
          </w:tcPr>
          <w:p>
            <w:pPr>
              <w:jc w:val="right"/>
              <w:spacing w:after="0"/>
              <w:rPr>
                <w:sz w:val="20"/>
                <w:szCs w:val="20"/>
                <w:color w:val="auto"/>
              </w:rPr>
            </w:pPr>
            <w:r>
              <w:rPr>
                <w:rFonts w:ascii="Arial" w:cs="Arial" w:eastAsia="Arial" w:hAnsi="Arial"/>
                <w:sz w:val="12"/>
                <w:szCs w:val="12"/>
                <w:color w:val="auto"/>
              </w:rPr>
              <w:t>8.2</w:t>
            </w:r>
          </w:p>
        </w:tc>
        <w:tc>
          <w:tcPr>
            <w:tcW w:w="860" w:type="dxa"/>
            <w:vAlign w:val="bottom"/>
          </w:tcPr>
          <w:p>
            <w:pPr>
              <w:spacing w:after="0"/>
              <w:rPr>
                <w:sz w:val="12"/>
                <w:szCs w:val="12"/>
                <w:color w:val="auto"/>
              </w:rPr>
            </w:pPr>
          </w:p>
        </w:tc>
        <w:tc>
          <w:tcPr>
            <w:tcW w:w="700" w:type="dxa"/>
            <w:vAlign w:val="bottom"/>
          </w:tcPr>
          <w:p>
            <w:pPr>
              <w:jc w:val="right"/>
              <w:ind w:right="118"/>
              <w:spacing w:after="0"/>
              <w:rPr>
                <w:sz w:val="20"/>
                <w:szCs w:val="20"/>
                <w:color w:val="auto"/>
              </w:rPr>
            </w:pPr>
            <w:r>
              <w:rPr>
                <w:rFonts w:ascii="Arial" w:cs="Arial" w:eastAsia="Arial" w:hAnsi="Arial"/>
                <w:sz w:val="12"/>
                <w:szCs w:val="12"/>
                <w:color w:val="auto"/>
              </w:rPr>
              <w:t>34.38</w:t>
            </w:r>
          </w:p>
        </w:tc>
        <w:tc>
          <w:tcPr>
            <w:tcW w:w="1000" w:type="dxa"/>
            <w:vAlign w:val="bottom"/>
          </w:tcPr>
          <w:p>
            <w:pPr>
              <w:jc w:val="right"/>
              <w:ind w:right="98"/>
              <w:spacing w:after="0"/>
              <w:rPr>
                <w:sz w:val="20"/>
                <w:szCs w:val="20"/>
                <w:color w:val="auto"/>
              </w:rPr>
            </w:pPr>
            <w:r>
              <w:rPr>
                <w:rFonts w:ascii="Arial" w:cs="Arial" w:eastAsia="Arial" w:hAnsi="Arial"/>
                <w:sz w:val="12"/>
                <w:szCs w:val="12"/>
                <w:color w:val="auto"/>
              </w:rPr>
              <w:t>912</w:t>
            </w:r>
          </w:p>
        </w:tc>
        <w:tc>
          <w:tcPr>
            <w:tcW w:w="1320" w:type="dxa"/>
            <w:vAlign w:val="bottom"/>
          </w:tcPr>
          <w:p>
            <w:pPr>
              <w:jc w:val="right"/>
              <w:ind w:right="18"/>
              <w:spacing w:after="0"/>
              <w:rPr>
                <w:sz w:val="20"/>
                <w:szCs w:val="20"/>
                <w:color w:val="auto"/>
              </w:rPr>
            </w:pPr>
            <w:r>
              <w:rPr>
                <w:rFonts w:ascii="Arial" w:cs="Arial" w:eastAsia="Arial" w:hAnsi="Arial"/>
                <w:sz w:val="12"/>
                <w:szCs w:val="12"/>
                <w:color w:val="auto"/>
              </w:rPr>
              <w:t>34.37</w:t>
            </w:r>
          </w:p>
        </w:tc>
        <w:tc>
          <w:tcPr>
            <w:tcW w:w="0" w:type="dxa"/>
            <w:vAlign w:val="bottom"/>
          </w:tcPr>
          <w:p>
            <w:pPr>
              <w:spacing w:after="0"/>
              <w:rPr>
                <w:sz w:val="1"/>
                <w:szCs w:val="1"/>
                <w:color w:val="auto"/>
              </w:rPr>
            </w:pPr>
          </w:p>
        </w:tc>
      </w:tr>
      <w:tr>
        <w:trPr>
          <w:trHeight w:val="160"/>
        </w:trPr>
        <w:tc>
          <w:tcPr>
            <w:tcW w:w="1840" w:type="dxa"/>
            <w:vAlign w:val="bottom"/>
            <w:tcBorders>
              <w:right w:val="single" w:sz="8" w:color="7DD1E1"/>
            </w:tcBorders>
          </w:tcPr>
          <w:p>
            <w:pPr>
              <w:spacing w:after="0"/>
              <w:rPr>
                <w:sz w:val="13"/>
                <w:szCs w:val="13"/>
                <w:color w:val="auto"/>
              </w:rPr>
            </w:pPr>
          </w:p>
        </w:tc>
        <w:tc>
          <w:tcPr>
            <w:tcW w:w="120" w:type="dxa"/>
            <w:vAlign w:val="bottom"/>
          </w:tcPr>
          <w:p>
            <w:pPr>
              <w:spacing w:after="0"/>
              <w:rPr>
                <w:sz w:val="13"/>
                <w:szCs w:val="13"/>
                <w:color w:val="auto"/>
              </w:rPr>
            </w:pPr>
          </w:p>
        </w:tc>
        <w:tc>
          <w:tcPr>
            <w:tcW w:w="302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2"/>
                <w:szCs w:val="12"/>
                <w:color w:val="auto"/>
              </w:rPr>
              <w:t>16,518</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8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2"/>
                <w:szCs w:val="12"/>
                <w:color w:val="auto"/>
              </w:rPr>
              <w:t>22.44</w:t>
            </w:r>
          </w:p>
        </w:tc>
        <w:tc>
          <w:tcPr>
            <w:tcW w:w="10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2"/>
                <w:szCs w:val="12"/>
                <w:color w:val="auto"/>
              </w:rPr>
              <w:t>8,260</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4579620</wp:posOffset>
            </wp:positionH>
            <wp:positionV relativeFrom="paragraph">
              <wp:posOffset>-4667885</wp:posOffset>
            </wp:positionV>
            <wp:extent cx="2672715" cy="3467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72715" cy="34671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-3382645</wp:posOffset>
            </wp:positionV>
            <wp:extent cx="2672715" cy="34671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672715" cy="346710"/>
                    </a:xfrm>
                    <a:prstGeom prst="rect">
                      <a:avLst/>
                    </a:prstGeom>
                    <a:noFill/>
                  </pic:spPr>
                </pic:pic>
              </a:graphicData>
            </a:graphic>
          </wp:anchor>
        </w:drawing>
        <w:drawing>
          <wp:anchor simplePos="0" relativeHeight="251657728" behindDoc="1" locked="0" layoutInCell="0" allowOverlap="1">
            <wp:simplePos x="0" y="0"/>
            <wp:positionH relativeFrom="column">
              <wp:posOffset>4579620</wp:posOffset>
            </wp:positionH>
            <wp:positionV relativeFrom="paragraph">
              <wp:posOffset>-2096770</wp:posOffset>
            </wp:positionV>
            <wp:extent cx="2672715" cy="34671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72715" cy="346710"/>
                    </a:xfrm>
                    <a:prstGeom prst="rect">
                      <a:avLst/>
                    </a:prstGeom>
                    <a:noFill/>
                  </pic:spPr>
                </pic:pic>
              </a:graphicData>
            </a:graphic>
          </wp:anchor>
        </w:drawing>
        <w:drawing>
          <wp:anchor simplePos="0" relativeHeight="251657728" behindDoc="1" locked="0" layoutInCell="0" allowOverlap="1">
            <wp:simplePos x="0" y="0"/>
            <wp:positionH relativeFrom="column">
              <wp:posOffset>3243580</wp:posOffset>
            </wp:positionH>
            <wp:positionV relativeFrom="paragraph">
              <wp:posOffset>-895985</wp:posOffset>
            </wp:positionV>
            <wp:extent cx="4008755" cy="3467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00875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150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77133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82575" cy="77133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27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1095375</wp:posOffset>
            </wp:positionH>
            <wp:positionV relativeFrom="paragraph">
              <wp:posOffset>9525</wp:posOffset>
            </wp:positionV>
            <wp:extent cx="8255" cy="53536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5353685"/>
                    </a:xfrm>
                    <a:prstGeom prst="rect">
                      <a:avLst/>
                    </a:prstGeom>
                    <a:noFill/>
                  </pic:spPr>
                </pic:pic>
              </a:graphicData>
            </a:graphic>
          </wp:anchor>
        </w:drawing>
      </w:r>
    </w:p>
    <w:p>
      <w:pPr>
        <w:spacing w:after="0" w:line="4"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Performance Share Plan</w:t>
      </w:r>
    </w:p>
    <w:p>
      <w:pPr>
        <w:spacing w:after="0" w:line="13" w:lineRule="exact"/>
        <w:rPr>
          <w:sz w:val="20"/>
          <w:szCs w:val="20"/>
          <w:color w:val="auto"/>
        </w:rPr>
      </w:pPr>
    </w:p>
    <w:p>
      <w:pPr>
        <w:ind w:left="1860" w:right="20"/>
        <w:spacing w:after="0" w:line="221" w:lineRule="auto"/>
        <w:rPr>
          <w:sz w:val="20"/>
          <w:szCs w:val="20"/>
          <w:color w:val="auto"/>
        </w:rPr>
      </w:pPr>
      <w:r>
        <w:rPr>
          <w:rFonts w:ascii="Arial" w:cs="Arial" w:eastAsia="Arial" w:hAnsi="Arial"/>
          <w:sz w:val="14"/>
          <w:szCs w:val="14"/>
          <w:color w:val="auto"/>
        </w:rPr>
        <w:t>Shell operates a performance share plan replacing the previous share option plans. Conditional awards of Royal Dutch Shell shares are made under an amended long-term incentive plan that is called the performance share plan when making awards to employees who are not Executive Directors. The actual amount of shares that may vest, ranging from 0 – 200% of the conditional awards, depends on the measurement of the prescribed performance conditions. For awards made in 2005 and 2006 the extent to which the awards vest depends on the total shareholder return of Royal Dutch Shell compared with four of its main competitors over a specific measurement period. For the awards made in 2007, the extent to which the awards vest will be determined by two performance conditions. The relative TSR measure over the measurement period will be used (as in previous years) to determine the vesting of half the award and the other half of the award will be linked to the Shell Scorecard results. For the shares granted in 2007, the measurement period is three years from January 1, 2007, (for the shares granted in 2006, the measurement period is three years from January 1, 2006, and for the shares granted in 2005, the measurement period is three years from January 1, 2005). Awards made in 2007 to staff employed in the Netherlands at the time of the award will be cash-settled.</w:t>
      </w:r>
    </w:p>
    <w:p>
      <w:pPr>
        <w:spacing w:after="0" w:line="77"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The following table provides more information about the performance shares which were conditionally awarded in 2006 and 2007:</w:t>
      </w:r>
    </w:p>
    <w:p>
      <w:pPr>
        <w:spacing w:after="0" w:line="117" w:lineRule="exact"/>
        <w:rPr>
          <w:sz w:val="20"/>
          <w:szCs w:val="20"/>
          <w:color w:val="auto"/>
        </w:rPr>
      </w:pPr>
    </w:p>
    <w:p>
      <w:pPr>
        <w:ind w:left="1860"/>
        <w:spacing w:after="0"/>
        <w:rPr>
          <w:sz w:val="20"/>
          <w:szCs w:val="20"/>
          <w:color w:val="auto"/>
        </w:rPr>
      </w:pPr>
      <w:r>
        <w:rPr>
          <w:rFonts w:ascii="Arial" w:cs="Arial" w:eastAsia="Arial" w:hAnsi="Arial"/>
          <w:sz w:val="12"/>
          <w:szCs w:val="12"/>
          <w:b w:val="1"/>
          <w:bCs w:val="1"/>
          <w:color w:val="auto"/>
        </w:rPr>
        <w:t>PERFORMANCE SHARE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-74295</wp:posOffset>
            </wp:positionV>
            <wp:extent cx="5709285" cy="844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709285" cy="84455"/>
                    </a:xfrm>
                    <a:prstGeom prst="rect">
                      <a:avLst/>
                    </a:prstGeom>
                    <a:noFill/>
                  </pic:spPr>
                </pic:pic>
              </a:graphicData>
            </a:graphic>
          </wp:anchor>
        </w:drawing>
      </w:r>
    </w:p>
    <w:tbl>
      <w:tblPr>
        <w:tblLayout w:type="fixed"/>
        <w:tblInd w:w="1860" w:type="dxa"/>
        <w:tblCellMar>
          <w:top w:w="0" w:type="dxa"/>
          <w:left w:w="0" w:type="dxa"/>
          <w:bottom w:w="0" w:type="dxa"/>
          <w:right w:w="0" w:type="dxa"/>
        </w:tblCellMar>
      </w:tblPr>
      <w:tr>
        <w:trPr>
          <w:trHeight w:val="152"/>
        </w:trPr>
        <w:tc>
          <w:tcPr>
            <w:tcW w:w="4080" w:type="dxa"/>
            <w:vAlign w:val="bottom"/>
            <w:shd w:val="clear" w:color="auto" w:fill="CECAC6"/>
          </w:tcPr>
          <w:p>
            <w:pPr>
              <w:spacing w:after="0"/>
              <w:rPr>
                <w:sz w:val="13"/>
                <w:szCs w:val="13"/>
                <w:color w:val="auto"/>
              </w:rPr>
            </w:pPr>
          </w:p>
        </w:tc>
        <w:tc>
          <w:tcPr>
            <w:tcW w:w="1180" w:type="dxa"/>
            <w:vAlign w:val="bottom"/>
            <w:shd w:val="clear" w:color="auto" w:fill="CECAC6"/>
          </w:tcPr>
          <w:p>
            <w:pPr>
              <w:spacing w:after="0"/>
              <w:rPr>
                <w:sz w:val="13"/>
                <w:szCs w:val="13"/>
                <w:color w:val="auto"/>
              </w:rPr>
            </w:pPr>
          </w:p>
        </w:tc>
        <w:tc>
          <w:tcPr>
            <w:tcW w:w="2280" w:type="dxa"/>
            <w:vAlign w:val="bottom"/>
            <w:gridSpan w:val="2"/>
            <w:shd w:val="clear" w:color="auto" w:fill="CECAC6"/>
          </w:tcPr>
          <w:p>
            <w:pPr>
              <w:jc w:val="right"/>
              <w:ind w:right="138"/>
              <w:spacing w:after="0"/>
              <w:rPr>
                <w:sz w:val="20"/>
                <w:szCs w:val="20"/>
                <w:color w:val="auto"/>
              </w:rPr>
            </w:pPr>
            <w:r>
              <w:rPr>
                <w:rFonts w:ascii="Arial" w:cs="Arial" w:eastAsia="Arial" w:hAnsi="Arial"/>
                <w:sz w:val="12"/>
                <w:szCs w:val="12"/>
                <w:color w:val="auto"/>
              </w:rPr>
              <w:t>Royal Dutch Shell shares</w:t>
            </w:r>
          </w:p>
        </w:tc>
        <w:tc>
          <w:tcPr>
            <w:tcW w:w="1440" w:type="dxa"/>
            <w:vAlign w:val="bottom"/>
            <w:vMerge w:val="restart"/>
            <w:shd w:val="clear" w:color="auto" w:fill="CECAC6"/>
          </w:tcPr>
          <w:p>
            <w:pPr>
              <w:jc w:val="right"/>
              <w:ind w:right="18"/>
              <w:spacing w:after="0"/>
              <w:rPr>
                <w:sz w:val="20"/>
                <w:szCs w:val="20"/>
                <w:color w:val="auto"/>
              </w:rPr>
            </w:pPr>
            <w:r>
              <w:rPr>
                <w:rFonts w:ascii="Arial" w:cs="Arial" w:eastAsia="Arial" w:hAnsi="Arial"/>
                <w:sz w:val="12"/>
                <w:szCs w:val="12"/>
                <w:color w:val="auto"/>
              </w:rPr>
              <w:t>Weighted average</w:t>
            </w:r>
          </w:p>
        </w:tc>
        <w:tc>
          <w:tcPr>
            <w:tcW w:w="0" w:type="dxa"/>
            <w:vAlign w:val="bottom"/>
          </w:tcPr>
          <w:p>
            <w:pPr>
              <w:spacing w:after="0"/>
              <w:rPr>
                <w:sz w:val="1"/>
                <w:szCs w:val="1"/>
                <w:color w:val="auto"/>
              </w:rPr>
            </w:pPr>
          </w:p>
        </w:tc>
      </w:tr>
      <w:tr>
        <w:trPr>
          <w:trHeight w:val="127"/>
        </w:trPr>
        <w:tc>
          <w:tcPr>
            <w:tcW w:w="408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440" w:type="dxa"/>
            <w:vAlign w:val="bottom"/>
            <w:vMerge w:val="continue"/>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Class A</w:t>
            </w:r>
          </w:p>
        </w:tc>
        <w:tc>
          <w:tcPr>
            <w:tcW w:w="108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Class B</w:t>
            </w:r>
          </w:p>
        </w:tc>
        <w:tc>
          <w:tcPr>
            <w:tcW w:w="120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Class A ADRs</w:t>
            </w:r>
          </w:p>
        </w:tc>
        <w:tc>
          <w:tcPr>
            <w:tcW w:w="14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remaining contractual</w:t>
            </w:r>
          </w:p>
        </w:tc>
        <w:tc>
          <w:tcPr>
            <w:tcW w:w="0" w:type="dxa"/>
            <w:vAlign w:val="bottom"/>
          </w:tcPr>
          <w:p>
            <w:pPr>
              <w:spacing w:after="0"/>
              <w:rPr>
                <w:sz w:val="1"/>
                <w:szCs w:val="1"/>
                <w:color w:val="auto"/>
              </w:rPr>
            </w:pPr>
          </w:p>
        </w:tc>
      </w:tr>
      <w:tr>
        <w:trPr>
          <w:trHeight w:val="139"/>
        </w:trPr>
        <w:tc>
          <w:tcPr>
            <w:tcW w:w="408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(thousands)</w:t>
            </w:r>
          </w:p>
        </w:tc>
        <w:tc>
          <w:tcPr>
            <w:tcW w:w="108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(thousands)</w:t>
            </w:r>
          </w:p>
        </w:tc>
        <w:tc>
          <w:tcPr>
            <w:tcW w:w="120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(thousands)</w:t>
            </w:r>
          </w:p>
        </w:tc>
        <w:tc>
          <w:tcPr>
            <w:tcW w:w="14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life (years)</w:t>
            </w:r>
          </w:p>
        </w:tc>
        <w:tc>
          <w:tcPr>
            <w:tcW w:w="0" w:type="dxa"/>
            <w:vAlign w:val="bottom"/>
          </w:tcPr>
          <w:p>
            <w:pPr>
              <w:spacing w:after="0"/>
              <w:rPr>
                <w:sz w:val="1"/>
                <w:szCs w:val="1"/>
                <w:color w:val="auto"/>
              </w:rPr>
            </w:pPr>
          </w:p>
        </w:tc>
      </w:tr>
      <w:tr>
        <w:trPr>
          <w:trHeight w:val="127"/>
        </w:trPr>
        <w:tc>
          <w:tcPr>
            <w:tcW w:w="408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1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4,536</w:t>
            </w:r>
          </w:p>
        </w:tc>
        <w:tc>
          <w:tcPr>
            <w:tcW w:w="108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2,682</w:t>
            </w:r>
          </w:p>
        </w:tc>
        <w:tc>
          <w:tcPr>
            <w:tcW w:w="120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1,701</w:t>
            </w:r>
          </w:p>
        </w:tc>
        <w:tc>
          <w:tcPr>
            <w:tcW w:w="14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33"/>
        </w:trPr>
        <w:tc>
          <w:tcPr>
            <w:tcW w:w="4080" w:type="dxa"/>
            <w:vAlign w:val="bottom"/>
          </w:tcPr>
          <w:p>
            <w:pPr>
              <w:spacing w:after="0" w:line="133" w:lineRule="exact"/>
              <w:rPr>
                <w:sz w:val="20"/>
                <w:szCs w:val="20"/>
                <w:color w:val="auto"/>
              </w:rPr>
            </w:pPr>
            <w:r>
              <w:rPr>
                <w:rFonts w:ascii="Arial" w:cs="Arial" w:eastAsia="Arial" w:hAnsi="Arial"/>
                <w:sz w:val="12"/>
                <w:szCs w:val="12"/>
                <w:color w:val="auto"/>
              </w:rPr>
              <w:t>Granted</w:t>
            </w:r>
          </w:p>
        </w:tc>
        <w:tc>
          <w:tcPr>
            <w:tcW w:w="11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4,595</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2,722</w:t>
            </w:r>
          </w:p>
        </w:tc>
        <w:tc>
          <w:tcPr>
            <w:tcW w:w="12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1,792</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line="133" w:lineRule="exact"/>
              <w:rPr>
                <w:sz w:val="20"/>
                <w:szCs w:val="20"/>
                <w:color w:val="auto"/>
              </w:rPr>
            </w:pPr>
            <w:r>
              <w:rPr>
                <w:rFonts w:ascii="Arial" w:cs="Arial" w:eastAsia="Arial" w:hAnsi="Arial"/>
                <w:sz w:val="12"/>
                <w:szCs w:val="12"/>
                <w:color w:val="auto"/>
              </w:rPr>
              <w:t>Vested</w:t>
            </w:r>
          </w:p>
        </w:tc>
        <w:tc>
          <w:tcPr>
            <w:tcW w:w="11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Expired/forfeited</w:t>
            </w: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(175)</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(84)</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(32)</w:t>
            </w: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08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18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8,956</w:t>
            </w:r>
          </w:p>
        </w:tc>
        <w:tc>
          <w:tcPr>
            <w:tcW w:w="108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5,320</w:t>
            </w:r>
          </w:p>
        </w:tc>
        <w:tc>
          <w:tcPr>
            <w:tcW w:w="1200" w:type="dxa"/>
            <w:vAlign w:val="bottom"/>
          </w:tcPr>
          <w:p>
            <w:pPr>
              <w:jc w:val="right"/>
              <w:ind w:right="138"/>
              <w:spacing w:after="0" w:line="134" w:lineRule="exact"/>
              <w:rPr>
                <w:sz w:val="20"/>
                <w:szCs w:val="20"/>
                <w:color w:val="auto"/>
              </w:rPr>
            </w:pPr>
            <w:r>
              <w:rPr>
                <w:rFonts w:ascii="Arial" w:cs="Arial" w:eastAsia="Arial" w:hAnsi="Arial"/>
                <w:sz w:val="12"/>
                <w:szCs w:val="12"/>
                <w:color w:val="auto"/>
              </w:rPr>
              <w:t>3,461</w:t>
            </w:r>
          </w:p>
        </w:tc>
        <w:tc>
          <w:tcPr>
            <w:tcW w:w="144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33"/>
        </w:trPr>
        <w:tc>
          <w:tcPr>
            <w:tcW w:w="4080" w:type="dxa"/>
            <w:vAlign w:val="bottom"/>
          </w:tcPr>
          <w:p>
            <w:pPr>
              <w:spacing w:after="0" w:line="133" w:lineRule="exact"/>
              <w:rPr>
                <w:sz w:val="20"/>
                <w:szCs w:val="20"/>
                <w:color w:val="auto"/>
              </w:rPr>
            </w:pPr>
            <w:r>
              <w:rPr>
                <w:rFonts w:ascii="Arial" w:cs="Arial" w:eastAsia="Arial" w:hAnsi="Arial"/>
                <w:sz w:val="12"/>
                <w:szCs w:val="12"/>
                <w:color w:val="auto"/>
              </w:rPr>
              <w:t>Granted</w:t>
            </w:r>
          </w:p>
        </w:tc>
        <w:tc>
          <w:tcPr>
            <w:tcW w:w="11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6,485</w:t>
            </w:r>
          </w:p>
        </w:tc>
        <w:tc>
          <w:tcPr>
            <w:tcW w:w="108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2,822</w:t>
            </w:r>
          </w:p>
        </w:tc>
        <w:tc>
          <w:tcPr>
            <w:tcW w:w="12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1,985</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Pr>
          <w:p>
            <w:pPr>
              <w:spacing w:after="0" w:line="133" w:lineRule="exact"/>
              <w:rPr>
                <w:sz w:val="20"/>
                <w:szCs w:val="20"/>
                <w:color w:val="auto"/>
              </w:rPr>
            </w:pPr>
            <w:r>
              <w:rPr>
                <w:rFonts w:ascii="Arial" w:cs="Arial" w:eastAsia="Arial" w:hAnsi="Arial"/>
                <w:sz w:val="12"/>
                <w:szCs w:val="12"/>
                <w:color w:val="auto"/>
              </w:rPr>
              <w:t>Vested</w:t>
            </w:r>
          </w:p>
        </w:tc>
        <w:tc>
          <w:tcPr>
            <w:tcW w:w="11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w:t>
            </w:r>
          </w:p>
        </w:tc>
        <w:tc>
          <w:tcPr>
            <w:tcW w:w="10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(78)</w:t>
            </w:r>
          </w:p>
        </w:tc>
        <w:tc>
          <w:tcPr>
            <w:tcW w:w="12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Expired/forfeited</w:t>
            </w:r>
          </w:p>
        </w:tc>
        <w:tc>
          <w:tcPr>
            <w:tcW w:w="11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(132)</w:t>
            </w:r>
          </w:p>
        </w:tc>
        <w:tc>
          <w:tcPr>
            <w:tcW w:w="10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(83)</w:t>
            </w: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(79)</w:t>
            </w: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11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15,305</w:t>
            </w:r>
          </w:p>
        </w:tc>
        <w:tc>
          <w:tcPr>
            <w:tcW w:w="108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7,981</w:t>
            </w: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5,361</w:t>
            </w:r>
          </w:p>
        </w:tc>
        <w:tc>
          <w:tcPr>
            <w:tcW w:w="14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-1158240</wp:posOffset>
            </wp:positionV>
            <wp:extent cx="3121025" cy="34671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121025" cy="346710"/>
                    </a:xfrm>
                    <a:prstGeom prst="rect">
                      <a:avLst/>
                    </a:prstGeom>
                    <a:noFill/>
                  </pic:spPr>
                </pic:pic>
              </a:graphicData>
            </a:graphic>
          </wp:anchor>
        </w:drawing>
      </w:r>
    </w:p>
    <w:p>
      <w:pPr>
        <w:spacing w:after="0" w:line="193"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Other principal plans</w:t>
      </w:r>
    </w:p>
    <w:p>
      <w:pPr>
        <w:spacing w:after="0" w:line="23" w:lineRule="exact"/>
        <w:rPr>
          <w:sz w:val="20"/>
          <w:szCs w:val="20"/>
          <w:color w:val="auto"/>
        </w:rPr>
      </w:pPr>
    </w:p>
    <w:p>
      <w:pPr>
        <w:ind w:left="1860" w:right="120"/>
        <w:spacing w:after="0" w:line="229" w:lineRule="auto"/>
        <w:rPr>
          <w:sz w:val="20"/>
          <w:szCs w:val="20"/>
          <w:color w:val="auto"/>
        </w:rPr>
      </w:pPr>
      <w:r>
        <w:rPr>
          <w:rFonts w:ascii="Arial" w:cs="Arial" w:eastAsia="Arial" w:hAnsi="Arial"/>
          <w:sz w:val="14"/>
          <w:szCs w:val="14"/>
          <w:color w:val="auto"/>
        </w:rPr>
        <w:t>Employees of participating companies in the UK may participate in the UK Sharesave Scheme. Share options are granted over Royal Dutch Shell shares at a price set at the date specified in the invitation. Options are granted on a date not more than 30 days after the option price is determined and are normally exercisable after a three-year or five-year contractual savings period.</w:t>
      </w:r>
    </w:p>
    <w:p>
      <w:pPr>
        <w:spacing w:after="0" w:line="73" w:lineRule="exact"/>
        <w:rPr>
          <w:sz w:val="20"/>
          <w:szCs w:val="20"/>
          <w:color w:val="auto"/>
        </w:rPr>
      </w:pPr>
    </w:p>
    <w:p>
      <w:pPr>
        <w:ind w:left="1860" w:right="60"/>
        <w:spacing w:after="0" w:line="285" w:lineRule="auto"/>
        <w:rPr>
          <w:sz w:val="20"/>
          <w:szCs w:val="20"/>
          <w:color w:val="auto"/>
        </w:rPr>
      </w:pPr>
      <w:r>
        <w:rPr>
          <w:rFonts w:ascii="Arial" w:cs="Arial" w:eastAsia="Arial" w:hAnsi="Arial"/>
          <w:sz w:val="13"/>
          <w:szCs w:val="13"/>
          <w:color w:val="auto"/>
        </w:rPr>
        <w:t>The following table shows for 2006 and 2007, in respect of this scheme, the number of Royal Dutch Shell Class B shares under option at the beginning of the year, the number of options granted, exercised and expired/forfeited during the year and the number of shares under option at the end of the year:</w:t>
      </w:r>
    </w:p>
    <w:p>
      <w:pPr>
        <w:spacing w:after="0" w:line="297" w:lineRule="exact"/>
        <w:rPr>
          <w:sz w:val="20"/>
          <w:szCs w:val="20"/>
          <w:color w:val="auto"/>
        </w:rPr>
      </w:pPr>
    </w:p>
    <w:tbl>
      <w:tblPr>
        <w:tblLayout w:type="fixed"/>
        <w:tblInd w:w="18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28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UK SHARESAVE SCHEME</w:t>
            </w:r>
          </w:p>
        </w:tc>
        <w:tc>
          <w:tcPr>
            <w:tcW w:w="640" w:type="dxa"/>
            <w:vAlign w:val="bottom"/>
            <w:shd w:val="clear" w:color="auto" w:fill="7DD0E0"/>
          </w:tcPr>
          <w:p>
            <w:pPr>
              <w:spacing w:after="0"/>
              <w:rPr>
                <w:sz w:val="12"/>
                <w:szCs w:val="12"/>
                <w:color w:val="auto"/>
              </w:rPr>
            </w:pPr>
          </w:p>
        </w:tc>
        <w:tc>
          <w:tcPr>
            <w:tcW w:w="10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thousands</w:t>
            </w:r>
          </w:p>
        </w:tc>
      </w:tr>
      <w:tr>
        <w:trPr>
          <w:trHeight w:val="133"/>
        </w:trPr>
        <w:tc>
          <w:tcPr>
            <w:tcW w:w="20" w:type="dxa"/>
            <w:vAlign w:val="bottom"/>
          </w:tcPr>
          <w:p>
            <w:pPr>
              <w:spacing w:after="0"/>
              <w:rPr>
                <w:sz w:val="11"/>
                <w:szCs w:val="11"/>
                <w:color w:val="auto"/>
              </w:rPr>
            </w:pPr>
          </w:p>
        </w:tc>
        <w:tc>
          <w:tcPr>
            <w:tcW w:w="7280" w:type="dxa"/>
            <w:vAlign w:val="bottom"/>
            <w:shd w:val="clear" w:color="auto" w:fill="CECAC6"/>
          </w:tcPr>
          <w:p>
            <w:pPr>
              <w:spacing w:after="0"/>
              <w:rPr>
                <w:sz w:val="11"/>
                <w:szCs w:val="11"/>
                <w:color w:val="auto"/>
              </w:rPr>
            </w:pPr>
          </w:p>
        </w:tc>
        <w:tc>
          <w:tcPr>
            <w:tcW w:w="6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20" w:type="dxa"/>
            <w:vAlign w:val="bottom"/>
          </w:tcPr>
          <w:p>
            <w:pPr>
              <w:spacing w:after="0"/>
              <w:rPr>
                <w:sz w:val="11"/>
                <w:szCs w:val="11"/>
                <w:color w:val="auto"/>
              </w:rPr>
            </w:pPr>
          </w:p>
        </w:tc>
        <w:tc>
          <w:tcPr>
            <w:tcW w:w="7280" w:type="dxa"/>
            <w:vAlign w:val="bottom"/>
          </w:tcPr>
          <w:p>
            <w:pPr>
              <w:spacing w:after="0" w:line="128" w:lineRule="exact"/>
              <w:rPr>
                <w:sz w:val="20"/>
                <w:szCs w:val="20"/>
                <w:color w:val="auto"/>
              </w:rPr>
            </w:pPr>
            <w:r>
              <w:rPr>
                <w:rFonts w:ascii="Arial" w:cs="Arial" w:eastAsia="Arial" w:hAnsi="Arial"/>
                <w:sz w:val="12"/>
                <w:szCs w:val="12"/>
                <w:color w:val="auto"/>
              </w:rPr>
              <w:t>Under option at January 1</w:t>
            </w:r>
          </w:p>
        </w:tc>
        <w:tc>
          <w:tcPr>
            <w:tcW w:w="64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3,010</w:t>
            </w:r>
          </w:p>
        </w:tc>
        <w:tc>
          <w:tcPr>
            <w:tcW w:w="10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2,967</w:t>
            </w:r>
          </w:p>
        </w:tc>
      </w:tr>
      <w:tr>
        <w:trPr>
          <w:trHeight w:val="133"/>
        </w:trPr>
        <w:tc>
          <w:tcPr>
            <w:tcW w:w="7300" w:type="dxa"/>
            <w:vAlign w:val="bottom"/>
            <w:gridSpan w:val="2"/>
          </w:tcPr>
          <w:p>
            <w:pPr>
              <w:spacing w:after="0" w:line="133" w:lineRule="exact"/>
              <w:rPr>
                <w:sz w:val="20"/>
                <w:szCs w:val="20"/>
                <w:color w:val="auto"/>
              </w:rPr>
            </w:pPr>
            <w:r>
              <w:rPr>
                <w:rFonts w:ascii="Arial" w:cs="Arial" w:eastAsia="Arial" w:hAnsi="Arial"/>
                <w:sz w:val="12"/>
                <w:szCs w:val="12"/>
                <w:color w:val="auto"/>
              </w:rPr>
              <w:t>Granted</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447</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694</w:t>
            </w:r>
          </w:p>
        </w:tc>
      </w:tr>
      <w:tr>
        <w:trPr>
          <w:trHeight w:val="133"/>
        </w:trPr>
        <w:tc>
          <w:tcPr>
            <w:tcW w:w="7300" w:type="dxa"/>
            <w:vAlign w:val="bottom"/>
            <w:gridSpan w:val="2"/>
          </w:tcPr>
          <w:p>
            <w:pPr>
              <w:spacing w:after="0" w:line="133" w:lineRule="exact"/>
              <w:rPr>
                <w:sz w:val="20"/>
                <w:szCs w:val="20"/>
                <w:color w:val="auto"/>
              </w:rPr>
            </w:pPr>
            <w:r>
              <w:rPr>
                <w:rFonts w:ascii="Arial" w:cs="Arial" w:eastAsia="Arial" w:hAnsi="Arial"/>
                <w:sz w:val="12"/>
                <w:szCs w:val="12"/>
                <w:color w:val="auto"/>
              </w:rPr>
              <w:t>Exercised</w:t>
            </w:r>
          </w:p>
        </w:tc>
        <w:tc>
          <w:tcPr>
            <w:tcW w:w="6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(440)</w:t>
            </w:r>
          </w:p>
        </w:tc>
        <w:tc>
          <w:tcPr>
            <w:tcW w:w="1040" w:type="dxa"/>
            <w:vAlign w:val="bottom"/>
          </w:tcPr>
          <w:p>
            <w:pPr>
              <w:jc w:val="right"/>
              <w:spacing w:after="0" w:line="133" w:lineRule="exact"/>
              <w:rPr>
                <w:sz w:val="20"/>
                <w:szCs w:val="20"/>
                <w:color w:val="auto"/>
              </w:rPr>
            </w:pPr>
            <w:r>
              <w:rPr>
                <w:rFonts w:ascii="Arial" w:cs="Arial" w:eastAsia="Arial" w:hAnsi="Arial"/>
                <w:sz w:val="12"/>
                <w:szCs w:val="12"/>
                <w:color w:val="auto"/>
              </w:rPr>
              <w:t>(316)</w:t>
            </w:r>
          </w:p>
        </w:tc>
      </w:tr>
      <w:tr>
        <w:trPr>
          <w:trHeight w:val="139"/>
        </w:trPr>
        <w:tc>
          <w:tcPr>
            <w:tcW w:w="7300" w:type="dxa"/>
            <w:vAlign w:val="bottom"/>
            <w:gridSpan w:val="2"/>
          </w:tcPr>
          <w:p>
            <w:pPr>
              <w:spacing w:after="0"/>
              <w:rPr>
                <w:sz w:val="20"/>
                <w:szCs w:val="20"/>
                <w:color w:val="auto"/>
              </w:rPr>
            </w:pPr>
            <w:r>
              <w:rPr>
                <w:rFonts w:ascii="Arial" w:cs="Arial" w:eastAsia="Arial" w:hAnsi="Arial"/>
                <w:sz w:val="12"/>
                <w:szCs w:val="12"/>
                <w:color w:val="auto"/>
              </w:rPr>
              <w:t>Expired/forfeited</w:t>
            </w:r>
          </w:p>
        </w:tc>
        <w:tc>
          <w:tcPr>
            <w:tcW w:w="6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(361)</w:t>
            </w:r>
          </w:p>
        </w:tc>
        <w:tc>
          <w:tcPr>
            <w:tcW w:w="1040" w:type="dxa"/>
            <w:vAlign w:val="bottom"/>
          </w:tcPr>
          <w:p>
            <w:pPr>
              <w:jc w:val="right"/>
              <w:spacing w:after="0"/>
              <w:rPr>
                <w:sz w:val="20"/>
                <w:szCs w:val="20"/>
                <w:color w:val="auto"/>
              </w:rPr>
            </w:pPr>
            <w:r>
              <w:rPr>
                <w:rFonts w:ascii="Arial" w:cs="Arial" w:eastAsia="Arial" w:hAnsi="Arial"/>
                <w:sz w:val="12"/>
                <w:szCs w:val="12"/>
                <w:color w:val="auto"/>
              </w:rPr>
              <w:t>(335)</w:t>
            </w:r>
          </w:p>
        </w:tc>
      </w:tr>
      <w:tr>
        <w:trPr>
          <w:trHeight w:val="146"/>
        </w:trPr>
        <w:tc>
          <w:tcPr>
            <w:tcW w:w="20" w:type="dxa"/>
            <w:vAlign w:val="bottom"/>
          </w:tcPr>
          <w:p>
            <w:pPr>
              <w:spacing w:after="0"/>
              <w:rPr>
                <w:sz w:val="12"/>
                <w:szCs w:val="12"/>
                <w:color w:val="auto"/>
              </w:rPr>
            </w:pPr>
          </w:p>
        </w:tc>
        <w:tc>
          <w:tcPr>
            <w:tcW w:w="7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Under option at December 31</w:t>
            </w:r>
          </w:p>
        </w:tc>
        <w:tc>
          <w:tcPr>
            <w:tcW w:w="64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2,656</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3,010</w:t>
            </w:r>
          </w:p>
        </w:tc>
      </w:tr>
    </w:tbl>
    <w:p>
      <w:pPr>
        <w:spacing w:after="0" w:line="101" w:lineRule="exact"/>
        <w:rPr>
          <w:sz w:val="20"/>
          <w:szCs w:val="20"/>
          <w:color w:val="auto"/>
        </w:rPr>
      </w:pPr>
    </w:p>
    <w:p>
      <w:pPr>
        <w:jc w:val="both"/>
        <w:ind w:left="1860" w:right="180"/>
        <w:spacing w:after="0" w:line="328" w:lineRule="auto"/>
        <w:rPr>
          <w:sz w:val="20"/>
          <w:szCs w:val="20"/>
          <w:color w:val="auto"/>
        </w:rPr>
      </w:pPr>
      <w:r>
        <w:rPr>
          <w:rFonts w:ascii="Arial" w:cs="Arial" w:eastAsia="Arial" w:hAnsi="Arial"/>
          <w:sz w:val="12"/>
          <w:szCs w:val="12"/>
          <w:color w:val="auto"/>
        </w:rPr>
        <w:t>Certain subsidiaries have other plans containing stock appreciation rights linked to the value of Royal Dutch Shell Class A ADRs. During 2007, 992,579 of these rights were exercised (2006: 2,513,681) and 7,388 were forfeited (2006: nil) leaving a balance at December 31, 2007 of 1,499,974 (2006: 2,499,941).</w:t>
      </w:r>
    </w:p>
    <w:p>
      <w:pPr>
        <w:spacing w:after="0" w:line="134"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Valuation assumptions</w:t>
      </w:r>
    </w:p>
    <w:p>
      <w:pPr>
        <w:spacing w:after="0" w:line="23" w:lineRule="exact"/>
        <w:rPr>
          <w:sz w:val="20"/>
          <w:szCs w:val="20"/>
          <w:color w:val="auto"/>
        </w:rPr>
      </w:pPr>
    </w:p>
    <w:p>
      <w:pPr>
        <w:ind w:left="1860" w:right="600"/>
        <w:spacing w:after="0" w:line="234" w:lineRule="auto"/>
        <w:rPr>
          <w:sz w:val="20"/>
          <w:szCs w:val="20"/>
          <w:color w:val="auto"/>
        </w:rPr>
      </w:pPr>
      <w:r>
        <w:rPr>
          <w:rFonts w:ascii="Arial" w:cs="Arial" w:eastAsia="Arial" w:hAnsi="Arial"/>
          <w:sz w:val="14"/>
          <w:szCs w:val="14"/>
          <w:color w:val="auto"/>
        </w:rPr>
        <w:t>The valuation assumptions used to estimate Shell’s share-based compensation expense for the share option plans and the performance share plan are summarised below.</w:t>
      </w:r>
    </w:p>
    <w:p>
      <w:pPr>
        <w:spacing w:after="0" w:line="74" w:lineRule="exact"/>
        <w:rPr>
          <w:sz w:val="20"/>
          <w:szCs w:val="20"/>
          <w:color w:val="auto"/>
        </w:rPr>
      </w:pPr>
    </w:p>
    <w:p>
      <w:pPr>
        <w:ind w:left="1860"/>
        <w:spacing w:after="0"/>
        <w:rPr>
          <w:sz w:val="20"/>
          <w:szCs w:val="20"/>
          <w:color w:val="auto"/>
        </w:rPr>
      </w:pPr>
      <w:r>
        <w:rPr>
          <w:rFonts w:ascii="Arial" w:cs="Arial" w:eastAsia="Arial" w:hAnsi="Arial"/>
          <w:sz w:val="12"/>
          <w:szCs w:val="12"/>
          <w:color w:val="auto"/>
        </w:rPr>
        <w:t>The fair value of the performance share plans is estimated using a Monte Carlo pricing model. The risk-free interest rate used in 2007 was 4.6% (2006: 5.0%;</w:t>
      </w:r>
    </w:p>
    <w:p>
      <w:pPr>
        <w:spacing w:after="0" w:line="21" w:lineRule="exact"/>
        <w:rPr>
          <w:sz w:val="20"/>
          <w:szCs w:val="20"/>
          <w:color w:val="auto"/>
        </w:rPr>
      </w:pPr>
    </w:p>
    <w:p>
      <w:pPr>
        <w:ind w:left="1860" w:right="140"/>
        <w:spacing w:after="0" w:line="229" w:lineRule="auto"/>
        <w:rPr>
          <w:sz w:val="20"/>
          <w:szCs w:val="20"/>
          <w:color w:val="auto"/>
        </w:rPr>
      </w:pPr>
      <w:r>
        <w:rPr>
          <w:rFonts w:ascii="Arial" w:cs="Arial" w:eastAsia="Arial" w:hAnsi="Arial"/>
          <w:sz w:val="14"/>
          <w:szCs w:val="14"/>
          <w:color w:val="auto"/>
        </w:rPr>
        <w:t>2005: 4.2%). To reflect the long-term equity characteristics and the term of the awards the valuation was performed using both 10 and three-year historical volatility, 27.0% and 19.2%, (2006: 24.8% and 19.6%; 2005: 26.3% and 19.4%) and dividend yield, 3.6% and 4.1% (2006: 3.6% and 4.3%; 2005: 3.4% and 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1655445</wp:posOffset>
            </wp:positionV>
            <wp:extent cx="725297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Borders>
              <w:right w:val="single" w:sz="8" w:color="7DD0E3"/>
            </w:tcBorders>
          </w:tcPr>
          <w:p>
            <w:pPr>
              <w:spacing w:after="0"/>
              <w:rPr>
                <w:sz w:val="20"/>
                <w:szCs w:val="20"/>
                <w:color w:val="auto"/>
              </w:rPr>
            </w:pPr>
            <w:r>
              <w:rPr>
                <w:rFonts w:ascii="Arial" w:cs="Arial" w:eastAsia="Arial" w:hAnsi="Arial"/>
                <w:sz w:val="12"/>
                <w:szCs w:val="12"/>
                <w:b w:val="1"/>
                <w:bCs w:val="1"/>
                <w:i w:val="1"/>
                <w:iCs w:val="1"/>
                <w:color w:val="7DD0E3"/>
              </w:rPr>
              <w:t>Note 27 continued</w:t>
            </w:r>
          </w:p>
        </w:tc>
        <w:tc>
          <w:tcPr>
            <w:tcW w:w="9560" w:type="dxa"/>
            <w:vAlign w:val="bottom"/>
          </w:tcPr>
          <w:p>
            <w:pPr>
              <w:ind w:left="100"/>
              <w:spacing w:after="0"/>
              <w:rPr>
                <w:sz w:val="20"/>
                <w:szCs w:val="20"/>
                <w:color w:val="auto"/>
              </w:rPr>
            </w:pPr>
            <w:r>
              <w:rPr>
                <w:rFonts w:ascii="Arial" w:cs="Arial" w:eastAsia="Arial" w:hAnsi="Arial"/>
                <w:sz w:val="14"/>
                <w:szCs w:val="14"/>
                <w:color w:val="auto"/>
                <w:w w:val="94"/>
              </w:rPr>
              <w:t>The fair value of the share option plans granted in 2004 was estimated using a Black-Scholes option pricing model and, other than for the Shell Canada plan, the</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4"/>
              </w:rPr>
              <w:t>following assumptions for dollar, euro and sterling denominated options respectively: risk-free interest rates of 3.5%, 3.1% and 4.9%; dividend yield of 4.1%, 4.5%</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3"/>
              </w:rPr>
              <w:t>and 4.0%; volatility of 28.2%, 30.3% and 31.7% and expected lives of five to seven years. In 2005, the valuation assumptions for the Shell Canada plan were 3.77%</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5"/>
              </w:rPr>
              <w:t>for risk-free rate, 1.34% for dividend yield, and 20.2% for volatility. A three-year historical volatility of the Shell Canada share price has been used. For 2006 and</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3"/>
              </w:rPr>
              <w:t>2007 Shell Canada used a Monte Carlo pricing model using a risk-free rate of 4.0% (2006: 3.8%), and a dividend yield of 3.8% (2006: 1.1%). The volatility used was</w:t>
            </w:r>
          </w:p>
        </w:tc>
      </w:tr>
      <w:tr>
        <w:trPr>
          <w:trHeight w:val="181"/>
        </w:trPr>
        <w:tc>
          <w:tcPr>
            <w:tcW w:w="1840" w:type="dxa"/>
            <w:vAlign w:val="bottom"/>
            <w:tcBorders>
              <w:right w:val="single" w:sz="8" w:color="7DD0E3"/>
            </w:tcBorders>
          </w:tcPr>
          <w:p>
            <w:pPr>
              <w:spacing w:after="0"/>
              <w:rPr>
                <w:sz w:val="15"/>
                <w:szCs w:val="15"/>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16% for the first 3 years and 20% per annum thereafter (2006: 35% for the first year and 28% per annum thereafter).</w:t>
            </w:r>
          </w:p>
        </w:tc>
      </w:tr>
      <w:tr>
        <w:trPr>
          <w:trHeight w:val="219"/>
        </w:trPr>
        <w:tc>
          <w:tcPr>
            <w:tcW w:w="1840" w:type="dxa"/>
            <w:vAlign w:val="bottom"/>
            <w:tcBorders>
              <w:right w:val="single" w:sz="8" w:color="7DD0E3"/>
            </w:tcBorders>
          </w:tcPr>
          <w:p>
            <w:pPr>
              <w:spacing w:after="0"/>
              <w:rPr>
                <w:sz w:val="19"/>
                <w:szCs w:val="19"/>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w w:val="93"/>
              </w:rPr>
              <w:t>The total expense for share-based compensation plans in 2007 was $589 million (2006: $462 million; 2005: $376 million), comprising $373 million relating to equity-</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7"/>
              </w:rPr>
              <w:t>settled plans (2006: $302 million; 2005: $162 million) and $216 million relating to cash-settled plans (2006: $160 million; 2005: $214 million). The fair value of</w:t>
            </w:r>
          </w:p>
        </w:tc>
      </w:tr>
      <w:tr>
        <w:trPr>
          <w:trHeight w:val="181"/>
        </w:trPr>
        <w:tc>
          <w:tcPr>
            <w:tcW w:w="1840" w:type="dxa"/>
            <w:vAlign w:val="bottom"/>
            <w:tcBorders>
              <w:right w:val="single" w:sz="8" w:color="7DD0E3"/>
            </w:tcBorders>
          </w:tcPr>
          <w:p>
            <w:pPr>
              <w:spacing w:after="0"/>
              <w:rPr>
                <w:sz w:val="15"/>
                <w:szCs w:val="15"/>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share-based compensation granted in 2007 was $472 million (2006: $412 million; 2005: $303 million).</w:t>
            </w:r>
          </w:p>
        </w:tc>
      </w:tr>
      <w:tr>
        <w:trPr>
          <w:trHeight w:val="219"/>
        </w:trPr>
        <w:tc>
          <w:tcPr>
            <w:tcW w:w="1840" w:type="dxa"/>
            <w:vAlign w:val="bottom"/>
            <w:tcBorders>
              <w:right w:val="single" w:sz="8" w:color="7DD0E3"/>
            </w:tcBorders>
          </w:tcPr>
          <w:p>
            <w:pPr>
              <w:spacing w:after="0"/>
              <w:rPr>
                <w:sz w:val="19"/>
                <w:szCs w:val="19"/>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The total liability for cash-settled plans at December 31, 2007, is $461 million (2006: $379 million). The intrinsic value of all vested cash-settled plans at</w:t>
            </w:r>
          </w:p>
        </w:tc>
      </w:tr>
      <w:tr>
        <w:trPr>
          <w:trHeight w:val="181"/>
        </w:trPr>
        <w:tc>
          <w:tcPr>
            <w:tcW w:w="1840" w:type="dxa"/>
            <w:vAlign w:val="bottom"/>
            <w:tcBorders>
              <w:right w:val="single" w:sz="8" w:color="7DD0E3"/>
            </w:tcBorders>
          </w:tcPr>
          <w:p>
            <w:pPr>
              <w:spacing w:after="0"/>
              <w:rPr>
                <w:sz w:val="15"/>
                <w:szCs w:val="15"/>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December 31, 2007, is $409 million (2006: $357 million).</w:t>
            </w:r>
          </w:p>
        </w:tc>
      </w:tr>
      <w:tr>
        <w:trPr>
          <w:trHeight w:val="339"/>
        </w:trPr>
        <w:tc>
          <w:tcPr>
            <w:tcW w:w="1840" w:type="dxa"/>
            <w:vAlign w:val="bottom"/>
            <w:tcBorders>
              <w:right w:val="single" w:sz="8" w:color="7DD0E3"/>
            </w:tcBorders>
          </w:tcPr>
          <w:p>
            <w:pPr>
              <w:spacing w:after="0"/>
              <w:rPr>
                <w:sz w:val="24"/>
                <w:szCs w:val="24"/>
                <w:color w:val="auto"/>
              </w:rPr>
            </w:pPr>
          </w:p>
        </w:tc>
        <w:tc>
          <w:tcPr>
            <w:tcW w:w="9560" w:type="dxa"/>
            <w:vAlign w:val="bottom"/>
          </w:tcPr>
          <w:p>
            <w:pPr>
              <w:ind w:left="100"/>
              <w:spacing w:after="0"/>
              <w:rPr>
                <w:sz w:val="20"/>
                <w:szCs w:val="20"/>
                <w:color w:val="auto"/>
              </w:rPr>
            </w:pPr>
            <w:r>
              <w:rPr>
                <w:rFonts w:ascii="Arial" w:cs="Arial" w:eastAsia="Arial" w:hAnsi="Arial"/>
                <w:sz w:val="14"/>
                <w:szCs w:val="14"/>
                <w:b w:val="1"/>
                <w:bCs w:val="1"/>
                <w:color w:val="auto"/>
              </w:rPr>
              <w:t>[B] TREASURY SHARES</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5"/>
              </w:rPr>
              <w:t>Shell employee share ownership trusts purchase Royal Dutch Shell shares in the open market to meet future obligations arising from share-based compensation</w:t>
            </w:r>
          </w:p>
        </w:tc>
      </w:tr>
      <w:tr>
        <w:trPr>
          <w:trHeight w:val="147"/>
        </w:trPr>
        <w:tc>
          <w:tcPr>
            <w:tcW w:w="1840" w:type="dxa"/>
            <w:vAlign w:val="bottom"/>
            <w:tcBorders>
              <w:right w:val="single" w:sz="8" w:color="7DD0E3"/>
            </w:tcBorders>
          </w:tcPr>
          <w:p>
            <w:pPr>
              <w:spacing w:after="0"/>
              <w:rPr>
                <w:sz w:val="12"/>
                <w:szCs w:val="12"/>
                <w:color w:val="auto"/>
              </w:rPr>
            </w:pPr>
          </w:p>
        </w:tc>
        <w:tc>
          <w:tcPr>
            <w:tcW w:w="9560" w:type="dxa"/>
            <w:vAlign w:val="bottom"/>
          </w:tcPr>
          <w:p>
            <w:pPr>
              <w:ind w:left="100"/>
              <w:spacing w:after="0" w:line="147" w:lineRule="exact"/>
              <w:rPr>
                <w:sz w:val="20"/>
                <w:szCs w:val="20"/>
                <w:color w:val="auto"/>
              </w:rPr>
            </w:pPr>
            <w:r>
              <w:rPr>
                <w:rFonts w:ascii="Arial" w:cs="Arial" w:eastAsia="Arial" w:hAnsi="Arial"/>
                <w:sz w:val="14"/>
                <w:szCs w:val="14"/>
                <w:color w:val="auto"/>
                <w:w w:val="94"/>
              </w:rPr>
              <w:t>granted to employees. At December 31, 2007, they held 58.0 million Royal Dutch Shell Class A shares (2006: 64.5 million), 35.2 million Royal Dutch Shell Class B</w:t>
            </w:r>
          </w:p>
        </w:tc>
      </w:tr>
      <w:tr>
        <w:trPr>
          <w:trHeight w:val="181"/>
        </w:trPr>
        <w:tc>
          <w:tcPr>
            <w:tcW w:w="1840" w:type="dxa"/>
            <w:vAlign w:val="bottom"/>
            <w:tcBorders>
              <w:right w:val="single" w:sz="8" w:color="7DD0E3"/>
            </w:tcBorders>
          </w:tcPr>
          <w:p>
            <w:pPr>
              <w:spacing w:after="0"/>
              <w:rPr>
                <w:sz w:val="15"/>
                <w:szCs w:val="15"/>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shares (2006: 45.8 million) and 19.7 million Royal Dutch Shell Class A ADRs (2006: 23.1 million).</w:t>
            </w:r>
          </w:p>
        </w:tc>
      </w:tr>
      <w:tr>
        <w:trPr>
          <w:trHeight w:val="219"/>
        </w:trPr>
        <w:tc>
          <w:tcPr>
            <w:tcW w:w="1840" w:type="dxa"/>
            <w:vAlign w:val="bottom"/>
            <w:tcBorders>
              <w:right w:val="single" w:sz="8" w:color="7DD0E3"/>
            </w:tcBorders>
          </w:tcPr>
          <w:p>
            <w:pPr>
              <w:spacing w:after="0"/>
              <w:rPr>
                <w:sz w:val="19"/>
                <w:szCs w:val="19"/>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w w:val="97"/>
              </w:rPr>
              <w:t>The total carrying amount of Royal Dutch Shell shares, which are all held in connection with the share-based compensation plans, at December 31, 2007, is</w:t>
            </w:r>
          </w:p>
        </w:tc>
      </w:tr>
      <w:tr>
        <w:trPr>
          <w:trHeight w:val="165"/>
        </w:trPr>
        <w:tc>
          <w:tcPr>
            <w:tcW w:w="1840" w:type="dxa"/>
            <w:vAlign w:val="bottom"/>
            <w:tcBorders>
              <w:right w:val="single" w:sz="8" w:color="7DD0E3"/>
            </w:tcBorders>
          </w:tcPr>
          <w:p>
            <w:pPr>
              <w:spacing w:after="0"/>
              <w:rPr>
                <w:sz w:val="14"/>
                <w:szCs w:val="14"/>
                <w:color w:val="auto"/>
              </w:rPr>
            </w:pPr>
          </w:p>
        </w:tc>
        <w:tc>
          <w:tcPr>
            <w:tcW w:w="9560" w:type="dxa"/>
            <w:vAlign w:val="bottom"/>
          </w:tcPr>
          <w:p>
            <w:pPr>
              <w:ind w:left="100"/>
              <w:spacing w:after="0"/>
              <w:rPr>
                <w:sz w:val="20"/>
                <w:szCs w:val="20"/>
                <w:color w:val="auto"/>
              </w:rPr>
            </w:pPr>
            <w:r>
              <w:rPr>
                <w:rFonts w:ascii="Arial" w:cs="Arial" w:eastAsia="Arial" w:hAnsi="Arial"/>
                <w:sz w:val="14"/>
                <w:szCs w:val="14"/>
                <w:color w:val="auto"/>
              </w:rPr>
              <w:t>$2,392 million (2006: $3,316 million).</w:t>
            </w:r>
          </w:p>
        </w:tc>
      </w:tr>
    </w:tbl>
    <w:p>
      <w:pPr>
        <w:spacing w:after="0" w:line="200" w:lineRule="exact"/>
        <w:rPr>
          <w:sz w:val="20"/>
          <w:szCs w:val="20"/>
          <w:color w:val="auto"/>
        </w:rPr>
      </w:pPr>
    </w:p>
    <w:p>
      <w:pPr>
        <w:sectPr>
          <w:pgSz w:w="11900" w:h="16838" w:orient="portrait"/>
          <w:cols w:equalWidth="0" w:num="1">
            <w:col w:w="11420"/>
          </w:cols>
          <w:pgMar w:left="240" w:top="415" w:right="2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28</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MINORITY INTEREST</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34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TRANSACTIONS WITH MINORITY SHAREHOLDERS IN 2007</w:t>
            </w:r>
          </w:p>
        </w:tc>
        <w:tc>
          <w:tcPr>
            <w:tcW w:w="2440" w:type="dxa"/>
            <w:vAlign w:val="bottom"/>
            <w:shd w:val="clear" w:color="auto" w:fill="7DD0E3"/>
          </w:tcPr>
          <w:p>
            <w:pPr>
              <w:spacing w:after="0"/>
              <w:rPr>
                <w:sz w:val="12"/>
                <w:szCs w:val="12"/>
                <w:color w:val="auto"/>
              </w:rPr>
            </w:pPr>
          </w:p>
        </w:tc>
        <w:tc>
          <w:tcPr>
            <w:tcW w:w="880" w:type="dxa"/>
            <w:vAlign w:val="bottom"/>
            <w:shd w:val="clear" w:color="auto" w:fill="7DD0E3"/>
          </w:tcPr>
          <w:p>
            <w:pPr>
              <w:spacing w:after="0"/>
              <w:rPr>
                <w:sz w:val="12"/>
                <w:szCs w:val="12"/>
                <w:color w:val="auto"/>
              </w:rPr>
            </w:pPr>
          </w:p>
        </w:tc>
        <w:tc>
          <w:tcPr>
            <w:tcW w:w="80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340" w:type="dxa"/>
            <w:vAlign w:val="bottom"/>
            <w:shd w:val="clear" w:color="auto" w:fill="CECAC6"/>
          </w:tcPr>
          <w:p>
            <w:pPr>
              <w:spacing w:after="0"/>
              <w:rPr>
                <w:sz w:val="11"/>
                <w:szCs w:val="11"/>
                <w:color w:val="auto"/>
              </w:rPr>
            </w:pPr>
          </w:p>
        </w:tc>
        <w:tc>
          <w:tcPr>
            <w:tcW w:w="244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Equity attributable to shareholders</w:t>
            </w:r>
          </w:p>
        </w:tc>
        <w:tc>
          <w:tcPr>
            <w:tcW w:w="880" w:type="dxa"/>
            <w:vAlign w:val="bottom"/>
            <w:shd w:val="clear" w:color="auto" w:fill="CECAC6"/>
          </w:tcPr>
          <w:p>
            <w:pPr>
              <w:spacing w:after="0"/>
              <w:rPr>
                <w:sz w:val="11"/>
                <w:szCs w:val="11"/>
                <w:color w:val="auto"/>
              </w:rPr>
            </w:pPr>
          </w:p>
        </w:tc>
        <w:tc>
          <w:tcPr>
            <w:tcW w:w="8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shd w:val="clear" w:color="auto" w:fill="CECAC6"/>
          </w:tcPr>
          <w:p>
            <w:pPr>
              <w:spacing w:after="0"/>
              <w:rPr>
                <w:sz w:val="12"/>
                <w:szCs w:val="12"/>
                <w:color w:val="auto"/>
              </w:rPr>
            </w:pPr>
          </w:p>
        </w:tc>
        <w:tc>
          <w:tcPr>
            <w:tcW w:w="244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of Royal Dutch Shell plc</w:t>
            </w:r>
          </w:p>
        </w:tc>
        <w:tc>
          <w:tcPr>
            <w:tcW w:w="880" w:type="dxa"/>
            <w:vAlign w:val="bottom"/>
            <w:vMerge w:val="restart"/>
            <w:shd w:val="clear" w:color="auto" w:fill="CECAC6"/>
          </w:tcPr>
          <w:p>
            <w:pPr>
              <w:jc w:val="right"/>
              <w:ind w:right="178"/>
              <w:spacing w:after="0"/>
              <w:rPr>
                <w:sz w:val="20"/>
                <w:szCs w:val="20"/>
                <w:color w:val="auto"/>
              </w:rPr>
            </w:pPr>
            <w:r>
              <w:rPr>
                <w:rFonts w:ascii="Arial" w:cs="Arial" w:eastAsia="Arial" w:hAnsi="Arial"/>
                <w:sz w:val="12"/>
                <w:szCs w:val="12"/>
                <w:color w:val="auto"/>
              </w:rPr>
              <w:t>Minority</w:t>
            </w:r>
          </w:p>
        </w:tc>
        <w:tc>
          <w:tcPr>
            <w:tcW w:w="800" w:type="dxa"/>
            <w:vAlign w:val="bottom"/>
            <w:vMerge w:val="restart"/>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340" w:type="dxa"/>
            <w:vAlign w:val="bottom"/>
            <w:shd w:val="clear" w:color="auto" w:fill="CECAC6"/>
          </w:tcPr>
          <w:p>
            <w:pPr>
              <w:spacing w:after="0"/>
              <w:rPr>
                <w:sz w:val="11"/>
                <w:szCs w:val="11"/>
                <w:color w:val="auto"/>
              </w:rPr>
            </w:pPr>
          </w:p>
        </w:tc>
        <w:tc>
          <w:tcPr>
            <w:tcW w:w="2440" w:type="dxa"/>
            <w:vAlign w:val="bottom"/>
            <w:shd w:val="clear" w:color="auto" w:fill="CECAC6"/>
          </w:tcPr>
          <w:p>
            <w:pPr>
              <w:spacing w:after="0"/>
              <w:rPr>
                <w:sz w:val="11"/>
                <w:szCs w:val="11"/>
                <w:color w:val="auto"/>
              </w:rPr>
            </w:pPr>
          </w:p>
        </w:tc>
        <w:tc>
          <w:tcPr>
            <w:tcW w:w="880" w:type="dxa"/>
            <w:vAlign w:val="bottom"/>
            <w:vMerge w:val="continue"/>
            <w:shd w:val="clear" w:color="auto" w:fill="CECAC6"/>
          </w:tcPr>
          <w:p>
            <w:pPr>
              <w:spacing w:after="0"/>
              <w:rPr>
                <w:sz w:val="11"/>
                <w:szCs w:val="11"/>
                <w:color w:val="auto"/>
              </w:rPr>
            </w:pPr>
          </w:p>
        </w:tc>
        <w:tc>
          <w:tcPr>
            <w:tcW w:w="800" w:type="dxa"/>
            <w:vAlign w:val="bottom"/>
            <w:vMerge w:val="continue"/>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40" w:type="dxa"/>
            <w:vAlign w:val="bottom"/>
            <w:shd w:val="clear" w:color="auto" w:fill="CECAC6"/>
          </w:tcPr>
          <w:p>
            <w:pPr>
              <w:spacing w:after="0"/>
              <w:rPr>
                <w:sz w:val="12"/>
                <w:szCs w:val="12"/>
                <w:color w:val="auto"/>
              </w:rPr>
            </w:pPr>
          </w:p>
        </w:tc>
        <w:tc>
          <w:tcPr>
            <w:tcW w:w="244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Retained earnings</w:t>
            </w:r>
          </w:p>
        </w:tc>
        <w:tc>
          <w:tcPr>
            <w:tcW w:w="88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interest</w:t>
            </w:r>
          </w:p>
        </w:tc>
        <w:tc>
          <w:tcPr>
            <w:tcW w:w="8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340" w:type="dxa"/>
            <w:vAlign w:val="bottom"/>
          </w:tcPr>
          <w:p>
            <w:pPr>
              <w:spacing w:after="0" w:line="128" w:lineRule="exact"/>
              <w:rPr>
                <w:sz w:val="20"/>
                <w:szCs w:val="20"/>
                <w:color w:val="auto"/>
              </w:rPr>
            </w:pPr>
            <w:r>
              <w:rPr>
                <w:rFonts w:ascii="Arial" w:cs="Arial" w:eastAsia="Arial" w:hAnsi="Arial"/>
                <w:sz w:val="12"/>
                <w:szCs w:val="12"/>
                <w:color w:val="auto"/>
              </w:rPr>
              <w:t>Acquisition of Shell Canada</w:t>
            </w:r>
          </w:p>
        </w:tc>
        <w:tc>
          <w:tcPr>
            <w:tcW w:w="244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(5,445)</w:t>
            </w:r>
          </w:p>
        </w:tc>
        <w:tc>
          <w:tcPr>
            <w:tcW w:w="88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(1,639)</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(7,084)</w:t>
            </w:r>
          </w:p>
        </w:tc>
        <w:tc>
          <w:tcPr>
            <w:tcW w:w="0" w:type="dxa"/>
            <w:vAlign w:val="bottom"/>
          </w:tcPr>
          <w:p>
            <w:pPr>
              <w:spacing w:after="0"/>
              <w:rPr>
                <w:sz w:val="1"/>
                <w:szCs w:val="1"/>
                <w:color w:val="auto"/>
              </w:rPr>
            </w:pPr>
          </w:p>
        </w:tc>
      </w:tr>
      <w:tr>
        <w:trPr>
          <w:trHeight w:val="133"/>
        </w:trPr>
        <w:tc>
          <w:tcPr>
            <w:tcW w:w="5360" w:type="dxa"/>
            <w:vAlign w:val="bottom"/>
            <w:gridSpan w:val="2"/>
          </w:tcPr>
          <w:p>
            <w:pPr>
              <w:spacing w:after="0" w:line="133" w:lineRule="exact"/>
              <w:rPr>
                <w:sz w:val="20"/>
                <w:szCs w:val="20"/>
                <w:color w:val="auto"/>
              </w:rPr>
            </w:pPr>
            <w:r>
              <w:rPr>
                <w:rFonts w:ascii="Arial" w:cs="Arial" w:eastAsia="Arial" w:hAnsi="Arial"/>
                <w:sz w:val="12"/>
                <w:szCs w:val="12"/>
                <w:color w:val="auto"/>
              </w:rPr>
              <w:t>Partial divestment of Sakhalin</w:t>
            </w:r>
          </w:p>
        </w:tc>
        <w:tc>
          <w:tcPr>
            <w:tcW w:w="24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(6,711)</w:t>
            </w:r>
          </w:p>
        </w:tc>
        <w:tc>
          <w:tcPr>
            <w:tcW w:w="800" w:type="dxa"/>
            <w:vAlign w:val="bottom"/>
          </w:tcPr>
          <w:p>
            <w:pPr>
              <w:jc w:val="right"/>
              <w:spacing w:after="0" w:line="133" w:lineRule="exact"/>
              <w:rPr>
                <w:sz w:val="20"/>
                <w:szCs w:val="20"/>
                <w:color w:val="auto"/>
              </w:rPr>
            </w:pPr>
            <w:r>
              <w:rPr>
                <w:rFonts w:ascii="Arial" w:cs="Arial" w:eastAsia="Arial" w:hAnsi="Arial"/>
                <w:sz w:val="12"/>
                <w:szCs w:val="12"/>
                <w:color w:val="auto"/>
              </w:rPr>
              <w:t>(6,711)</w:t>
            </w:r>
          </w:p>
        </w:tc>
        <w:tc>
          <w:tcPr>
            <w:tcW w:w="0" w:type="dxa"/>
            <w:vAlign w:val="bottom"/>
          </w:tcPr>
          <w:p>
            <w:pPr>
              <w:spacing w:after="0"/>
              <w:rPr>
                <w:sz w:val="1"/>
                <w:szCs w:val="1"/>
                <w:color w:val="auto"/>
              </w:rPr>
            </w:pPr>
          </w:p>
        </w:tc>
      </w:tr>
      <w:tr>
        <w:trPr>
          <w:trHeight w:val="139"/>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changes in minority interest</w:t>
            </w:r>
          </w:p>
        </w:tc>
        <w:tc>
          <w:tcPr>
            <w:tcW w:w="24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(28)</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0" w:type="dxa"/>
            <w:vAlign w:val="bottom"/>
          </w:tcPr>
          <w:p>
            <w:pPr>
              <w:spacing w:after="0"/>
              <w:rPr>
                <w:sz w:val="1"/>
                <w:szCs w:val="1"/>
                <w:color w:val="auto"/>
              </w:rPr>
            </w:pPr>
          </w:p>
        </w:tc>
      </w:tr>
      <w:tr>
        <w:trPr>
          <w:trHeight w:val="146"/>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24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(5,473)</w:t>
            </w:r>
          </w:p>
        </w:tc>
        <w:tc>
          <w:tcPr>
            <w:tcW w:w="8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(8,378)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(13,851)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-819785</wp:posOffset>
            </wp:positionV>
            <wp:extent cx="8255" cy="15227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1522730"/>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-718185</wp:posOffset>
            </wp:positionV>
            <wp:extent cx="2621915" cy="34671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621915" cy="346710"/>
                    </a:xfrm>
                    <a:prstGeom prst="rect">
                      <a:avLst/>
                    </a:prstGeom>
                    <a:noFill/>
                  </pic:spPr>
                </pic:pic>
              </a:graphicData>
            </a:graphic>
          </wp:anchor>
        </w:drawing>
      </w:r>
    </w:p>
    <w:p>
      <w:pPr>
        <w:spacing w:after="0" w:line="81"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color w:val="auto"/>
        </w:rPr>
        <w:t>In March 2007, Shell acquired the minority interest in Shell Canada for a cash consideration of $7.1 billion. This was reflected in the Consolidated Statement of Changes in Equity as a decrease in minority interest and in retained earnings of $1,639 million and $5,445 million respectively.</w:t>
      </w:r>
    </w:p>
    <w:p>
      <w:pPr>
        <w:spacing w:after="0" w:line="68"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In April 2007, Shell sold half of its interest in Sakhalin II, reducing its interest from 55% to 27.5%, for a sales price of $4.1 billion. As a result of this transaction, Sakhalin II has been accounted for as an associated company rather than as a subsidiary with effect from April 2007. The main impact on the Consolidated Balance Sheet was a decrease of $15.7 billion in property, plant and equipment and $6.7 billion in minority interest, and an increase in investments: equity-accounted investments of $3.7 billion.</w:t>
      </w:r>
    </w:p>
    <w:p>
      <w:pPr>
        <w:spacing w:after="0" w:line="200" w:lineRule="exact"/>
        <w:rPr>
          <w:sz w:val="20"/>
          <w:szCs w:val="20"/>
          <w:color w:val="auto"/>
        </w:rPr>
      </w:pPr>
    </w:p>
    <w:p>
      <w:pPr>
        <w:sectPr>
          <w:pgSz w:w="11900" w:h="16838" w:orient="portrait"/>
          <w:cols w:equalWidth="0" w:num="2">
            <w:col w:w="1440" w:space="500"/>
            <w:col w:w="948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152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8170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82575" cy="817054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29</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-3175</wp:posOffset>
            </wp:positionV>
            <wp:extent cx="8255" cy="55905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559054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39"/>
        </w:trPr>
        <w:tc>
          <w:tcPr>
            <w:tcW w:w="2440" w:type="dxa"/>
            <w:vAlign w:val="bottom"/>
            <w:shd w:val="clear" w:color="auto" w:fill="7DD0E0"/>
          </w:tcPr>
          <w:p>
            <w:pPr>
              <w:spacing w:after="0"/>
              <w:rPr>
                <w:sz w:val="12"/>
                <w:szCs w:val="12"/>
                <w:color w:val="auto"/>
              </w:rPr>
            </w:pPr>
          </w:p>
        </w:tc>
        <w:tc>
          <w:tcPr>
            <w:tcW w:w="1220" w:type="dxa"/>
            <w:vAlign w:val="bottom"/>
            <w:shd w:val="clear" w:color="auto" w:fill="7DD0E0"/>
          </w:tcPr>
          <w:p>
            <w:pPr>
              <w:spacing w:after="0"/>
              <w:rPr>
                <w:sz w:val="12"/>
                <w:szCs w:val="12"/>
                <w:color w:val="auto"/>
              </w:rPr>
            </w:pPr>
          </w:p>
        </w:tc>
        <w:tc>
          <w:tcPr>
            <w:tcW w:w="1120" w:type="dxa"/>
            <w:vAlign w:val="bottom"/>
            <w:shd w:val="clear" w:color="auto" w:fill="7DD0E0"/>
          </w:tcPr>
          <w:p>
            <w:pPr>
              <w:spacing w:after="0"/>
              <w:rPr>
                <w:sz w:val="12"/>
                <w:szCs w:val="12"/>
                <w:color w:val="auto"/>
              </w:rPr>
            </w:pPr>
          </w:p>
        </w:tc>
        <w:tc>
          <w:tcPr>
            <w:tcW w:w="1040" w:type="dxa"/>
            <w:vAlign w:val="bottom"/>
            <w:shd w:val="clear" w:color="auto" w:fill="7DD0E0"/>
          </w:tcPr>
          <w:p>
            <w:pPr>
              <w:spacing w:after="0"/>
              <w:rPr>
                <w:sz w:val="12"/>
                <w:szCs w:val="12"/>
                <w:color w:val="auto"/>
              </w:rPr>
            </w:pPr>
          </w:p>
        </w:tc>
        <w:tc>
          <w:tcPr>
            <w:tcW w:w="1140" w:type="dxa"/>
            <w:vAlign w:val="bottom"/>
            <w:shd w:val="clear" w:color="auto" w:fill="7DD0E0"/>
          </w:tcPr>
          <w:p>
            <w:pPr>
              <w:spacing w:after="0"/>
              <w:rPr>
                <w:sz w:val="12"/>
                <w:szCs w:val="12"/>
                <w:color w:val="auto"/>
              </w:rPr>
            </w:pPr>
          </w:p>
        </w:tc>
        <w:tc>
          <w:tcPr>
            <w:tcW w:w="940" w:type="dxa"/>
            <w:vAlign w:val="bottom"/>
            <w:shd w:val="clear" w:color="auto" w:fill="7DD0E0"/>
          </w:tcPr>
          <w:p>
            <w:pPr>
              <w:spacing w:after="0"/>
              <w:rPr>
                <w:sz w:val="12"/>
                <w:szCs w:val="12"/>
                <w:color w:val="auto"/>
              </w:rPr>
            </w:pPr>
          </w:p>
        </w:tc>
        <w:tc>
          <w:tcPr>
            <w:tcW w:w="82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440" w:type="dxa"/>
            <w:vAlign w:val="bottom"/>
            <w:shd w:val="clear" w:color="auto" w:fill="CECAC6"/>
          </w:tcPr>
          <w:p>
            <w:pPr>
              <w:spacing w:after="0"/>
              <w:rPr>
                <w:sz w:val="11"/>
                <w:szCs w:val="11"/>
                <w:color w:val="auto"/>
              </w:rPr>
            </w:pPr>
          </w:p>
        </w:tc>
        <w:tc>
          <w:tcPr>
            <w:tcW w:w="1220" w:type="dxa"/>
            <w:vAlign w:val="bottom"/>
            <w:shd w:val="clear" w:color="auto" w:fill="CECAC6"/>
          </w:tcPr>
          <w:p>
            <w:pPr>
              <w:spacing w:after="0"/>
              <w:rPr>
                <w:sz w:val="11"/>
                <w:szCs w:val="11"/>
                <w:color w:val="auto"/>
              </w:rPr>
            </w:pPr>
          </w:p>
        </w:tc>
        <w:tc>
          <w:tcPr>
            <w:tcW w:w="112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Capital</w:t>
            </w:r>
          </w:p>
        </w:tc>
        <w:tc>
          <w:tcPr>
            <w:tcW w:w="1040" w:type="dxa"/>
            <w:vAlign w:val="bottom"/>
            <w:shd w:val="clear" w:color="auto" w:fill="CECAC6"/>
          </w:tcPr>
          <w:p>
            <w:pPr>
              <w:jc w:val="right"/>
              <w:ind w:right="238"/>
              <w:spacing w:after="0" w:line="128" w:lineRule="exact"/>
              <w:rPr>
                <w:sz w:val="20"/>
                <w:szCs w:val="20"/>
                <w:color w:val="auto"/>
              </w:rPr>
            </w:pPr>
            <w:r>
              <w:rPr>
                <w:rFonts w:ascii="Arial" w:cs="Arial" w:eastAsia="Arial" w:hAnsi="Arial"/>
                <w:sz w:val="12"/>
                <w:szCs w:val="12"/>
                <w:color w:val="auto"/>
              </w:rPr>
              <w:t>Share</w:t>
            </w:r>
          </w:p>
        </w:tc>
        <w:tc>
          <w:tcPr>
            <w:tcW w:w="1140" w:type="dxa"/>
            <w:vAlign w:val="bottom"/>
            <w:shd w:val="clear" w:color="auto" w:fill="CECAC6"/>
          </w:tcPr>
          <w:p>
            <w:pPr>
              <w:jc w:val="right"/>
              <w:ind w:right="358"/>
              <w:spacing w:after="0" w:line="128" w:lineRule="exact"/>
              <w:rPr>
                <w:sz w:val="20"/>
                <w:szCs w:val="20"/>
                <w:color w:val="auto"/>
              </w:rPr>
            </w:pPr>
            <w:r>
              <w:rPr>
                <w:rFonts w:ascii="Arial" w:cs="Arial" w:eastAsia="Arial" w:hAnsi="Arial"/>
                <w:sz w:val="12"/>
                <w:szCs w:val="12"/>
                <w:color w:val="auto"/>
              </w:rPr>
              <w:t>Share</w:t>
            </w:r>
          </w:p>
        </w:tc>
        <w:tc>
          <w:tcPr>
            <w:tcW w:w="94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r>
      <w:tr>
        <w:trPr>
          <w:trHeight w:val="133"/>
        </w:trPr>
        <w:tc>
          <w:tcPr>
            <w:tcW w:w="2440" w:type="dxa"/>
            <w:vAlign w:val="bottom"/>
            <w:shd w:val="clear" w:color="auto" w:fill="CECAC6"/>
          </w:tcPr>
          <w:p>
            <w:pPr>
              <w:spacing w:after="0"/>
              <w:rPr>
                <w:sz w:val="11"/>
                <w:szCs w:val="11"/>
                <w:color w:val="auto"/>
              </w:rPr>
            </w:pPr>
          </w:p>
        </w:tc>
        <w:tc>
          <w:tcPr>
            <w:tcW w:w="12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Merger</w:t>
            </w:r>
          </w:p>
        </w:tc>
        <w:tc>
          <w:tcPr>
            <w:tcW w:w="11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redemption</w:t>
            </w:r>
          </w:p>
        </w:tc>
        <w:tc>
          <w:tcPr>
            <w:tcW w:w="104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premium</w:t>
            </w:r>
          </w:p>
        </w:tc>
        <w:tc>
          <w:tcPr>
            <w:tcW w:w="1140" w:type="dxa"/>
            <w:vAlign w:val="bottom"/>
            <w:shd w:val="clear" w:color="auto" w:fill="CECAC6"/>
          </w:tcPr>
          <w:p>
            <w:pPr>
              <w:jc w:val="right"/>
              <w:ind w:right="358"/>
              <w:spacing w:after="0" w:line="133" w:lineRule="exact"/>
              <w:rPr>
                <w:sz w:val="20"/>
                <w:szCs w:val="20"/>
                <w:color w:val="auto"/>
              </w:rPr>
            </w:pPr>
            <w:r>
              <w:rPr>
                <w:rFonts w:ascii="Arial" w:cs="Arial" w:eastAsia="Arial" w:hAnsi="Arial"/>
                <w:sz w:val="12"/>
                <w:szCs w:val="12"/>
                <w:color w:val="auto"/>
              </w:rPr>
              <w:t>plan</w:t>
            </w:r>
          </w:p>
        </w:tc>
        <w:tc>
          <w:tcPr>
            <w:tcW w:w="94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r>
      <w:tr>
        <w:trPr>
          <w:trHeight w:val="139"/>
        </w:trPr>
        <w:tc>
          <w:tcPr>
            <w:tcW w:w="2440" w:type="dxa"/>
            <w:vAlign w:val="bottom"/>
            <w:shd w:val="clear" w:color="auto" w:fill="CECAC6"/>
          </w:tcPr>
          <w:p>
            <w:pPr>
              <w:spacing w:after="0"/>
              <w:rPr>
                <w:sz w:val="12"/>
                <w:szCs w:val="12"/>
                <w:color w:val="auto"/>
              </w:rPr>
            </w:pPr>
          </w:p>
        </w:tc>
        <w:tc>
          <w:tcPr>
            <w:tcW w:w="122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reserve</w:t>
            </w:r>
            <w:r>
              <w:rPr>
                <w:rFonts w:ascii="Arial" w:cs="Arial" w:eastAsia="Arial" w:hAnsi="Arial"/>
                <w:sz w:val="10"/>
                <w:szCs w:val="10"/>
                <w:color w:val="auto"/>
              </w:rPr>
              <w:t>[A]</w:t>
            </w:r>
          </w:p>
        </w:tc>
        <w:tc>
          <w:tcPr>
            <w:tcW w:w="112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reserve</w:t>
            </w:r>
          </w:p>
        </w:tc>
        <w:tc>
          <w:tcPr>
            <w:tcW w:w="104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reserve</w:t>
            </w:r>
          </w:p>
        </w:tc>
        <w:tc>
          <w:tcPr>
            <w:tcW w:w="114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reserve</w:t>
            </w:r>
          </w:p>
        </w:tc>
        <w:tc>
          <w:tcPr>
            <w:tcW w:w="94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Other</w:t>
            </w:r>
          </w:p>
        </w:tc>
        <w:tc>
          <w:tcPr>
            <w:tcW w:w="8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r>
      <w:tr>
        <w:trPr>
          <w:trHeight w:val="127"/>
        </w:trPr>
        <w:tc>
          <w:tcPr>
            <w:tcW w:w="244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2005</w:t>
            </w:r>
          </w:p>
        </w:tc>
        <w:tc>
          <w:tcPr>
            <w:tcW w:w="12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5,373</w:t>
            </w:r>
          </w:p>
        </w:tc>
        <w:tc>
          <w:tcPr>
            <w:tcW w:w="11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173</w:t>
            </w:r>
          </w:p>
        </w:tc>
        <w:tc>
          <w:tcPr>
            <w:tcW w:w="94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4,142</w:t>
            </w:r>
          </w:p>
        </w:tc>
        <w:tc>
          <w:tcPr>
            <w:tcW w:w="8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9,688</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Currency translation differences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(4,449)</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(4,449)</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securities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309</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309</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cash flow</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9"/>
        </w:trPr>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hedges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2"/>
                <w:szCs w:val="12"/>
                <w:color w:val="auto"/>
              </w:rPr>
              <w:t>Income/(expense) recognised directly in</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3"/>
        </w:trPr>
        <w:tc>
          <w:tcPr>
            <w:tcW w:w="2440" w:type="dxa"/>
            <w:vAlign w:val="bottom"/>
          </w:tcPr>
          <w:p>
            <w:pPr>
              <w:ind w:left="200"/>
              <w:spacing w:after="0" w:line="133" w:lineRule="exact"/>
              <w:rPr>
                <w:sz w:val="20"/>
                <w:szCs w:val="20"/>
                <w:color w:val="auto"/>
              </w:rPr>
            </w:pPr>
            <w:r>
              <w:rPr>
                <w:rFonts w:ascii="Arial" w:cs="Arial" w:eastAsia="Arial" w:hAnsi="Arial"/>
                <w:sz w:val="12"/>
                <w:szCs w:val="12"/>
                <w:color w:val="auto"/>
              </w:rPr>
              <w:t>equity</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(4,366)</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(4,366)</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Effect of Unification</w:t>
            </w:r>
          </w:p>
        </w:tc>
        <w:tc>
          <w:tcPr>
            <w:tcW w:w="12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(1,929)</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(1,929)</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Shares repurchased for cancellation</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13</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w:t>
            </w:r>
          </w:p>
        </w:tc>
      </w:tr>
      <w:tr>
        <w:trPr>
          <w:trHeight w:val="139"/>
        </w:trPr>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Share-based compensation</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178</w:t>
            </w:r>
            <w:r>
              <w:rPr>
                <w:rFonts w:ascii="Arial" w:cs="Arial" w:eastAsia="Arial" w:hAnsi="Arial"/>
                <w:sz w:val="10"/>
                <w:szCs w:val="10"/>
                <w:color w:val="auto"/>
              </w:rPr>
              <w:t>[C]</w:t>
            </w: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178</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2005</w:t>
            </w:r>
          </w:p>
        </w:tc>
        <w:tc>
          <w:tcPr>
            <w:tcW w:w="12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3,444</w:t>
            </w:r>
          </w:p>
        </w:tc>
        <w:tc>
          <w:tcPr>
            <w:tcW w:w="11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13</w:t>
            </w:r>
          </w:p>
        </w:tc>
        <w:tc>
          <w:tcPr>
            <w:tcW w:w="104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351</w:t>
            </w:r>
          </w:p>
        </w:tc>
        <w:tc>
          <w:tcPr>
            <w:tcW w:w="9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(224)</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3,584</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Currency translation differences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3,715</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3,715</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securities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813</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813</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cash flow</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9"/>
        </w:trPr>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hedges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143</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143</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2"/>
                <w:szCs w:val="12"/>
                <w:color w:val="auto"/>
              </w:rPr>
              <w:t>Income/(expense) recognised directly in</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3"/>
        </w:trPr>
        <w:tc>
          <w:tcPr>
            <w:tcW w:w="2440" w:type="dxa"/>
            <w:vAlign w:val="bottom"/>
          </w:tcPr>
          <w:p>
            <w:pPr>
              <w:ind w:left="200"/>
              <w:spacing w:after="0" w:line="133" w:lineRule="exact"/>
              <w:rPr>
                <w:sz w:val="20"/>
                <w:szCs w:val="20"/>
                <w:color w:val="auto"/>
              </w:rPr>
            </w:pPr>
            <w:r>
              <w:rPr>
                <w:rFonts w:ascii="Arial" w:cs="Arial" w:eastAsia="Arial" w:hAnsi="Arial"/>
                <w:sz w:val="12"/>
                <w:szCs w:val="12"/>
                <w:color w:val="auto"/>
              </w:rPr>
              <w:t>equity</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4,671</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4,671</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Effect of Unification</w:t>
            </w:r>
            <w:r>
              <w:rPr>
                <w:rFonts w:ascii="Arial" w:cs="Arial" w:eastAsia="Arial" w:hAnsi="Arial"/>
                <w:sz w:val="10"/>
                <w:szCs w:val="10"/>
                <w:color w:val="auto"/>
              </w:rPr>
              <w:t>[B]</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154</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154</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Share repurchased for cancellation</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26</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26</w:t>
            </w:r>
          </w:p>
        </w:tc>
      </w:tr>
      <w:tr>
        <w:trPr>
          <w:trHeight w:val="139"/>
        </w:trPr>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Share-based compensation</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385</w:t>
            </w:r>
            <w:r>
              <w:rPr>
                <w:rFonts w:ascii="Arial" w:cs="Arial" w:eastAsia="Arial" w:hAnsi="Arial"/>
                <w:sz w:val="10"/>
                <w:szCs w:val="10"/>
                <w:color w:val="auto"/>
              </w:rPr>
              <w:t>[C]</w:t>
            </w: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385</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2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3,444</w:t>
            </w:r>
          </w:p>
        </w:tc>
        <w:tc>
          <w:tcPr>
            <w:tcW w:w="11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39</w:t>
            </w:r>
          </w:p>
        </w:tc>
        <w:tc>
          <w:tcPr>
            <w:tcW w:w="104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154</w:t>
            </w:r>
          </w:p>
        </w:tc>
        <w:tc>
          <w:tcPr>
            <w:tcW w:w="114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736</w:t>
            </w:r>
          </w:p>
        </w:tc>
        <w:tc>
          <w:tcPr>
            <w:tcW w:w="94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4,447</w:t>
            </w:r>
          </w:p>
        </w:tc>
        <w:tc>
          <w:tcPr>
            <w:tcW w:w="82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8,820</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Currency translation differences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5,389</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5,389</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securities</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(340)</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(340)</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Unrealised gains/(losses) on cash flow</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9"/>
        </w:trPr>
        <w:tc>
          <w:tcPr>
            <w:tcW w:w="244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hedges</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(116)</w:t>
            </w: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2"/>
                <w:szCs w:val="12"/>
                <w:color w:val="auto"/>
              </w:rPr>
              <w:t>Income/(expense) recognised directly in</w:t>
            </w:r>
          </w:p>
        </w:tc>
        <w:tc>
          <w:tcPr>
            <w:tcW w:w="1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33"/>
        </w:trPr>
        <w:tc>
          <w:tcPr>
            <w:tcW w:w="2440" w:type="dxa"/>
            <w:vAlign w:val="bottom"/>
          </w:tcPr>
          <w:p>
            <w:pPr>
              <w:ind w:left="200"/>
              <w:spacing w:after="0" w:line="133" w:lineRule="exact"/>
              <w:rPr>
                <w:sz w:val="20"/>
                <w:szCs w:val="20"/>
                <w:color w:val="auto"/>
              </w:rPr>
            </w:pPr>
            <w:r>
              <w:rPr>
                <w:rFonts w:ascii="Arial" w:cs="Arial" w:eastAsia="Arial" w:hAnsi="Arial"/>
                <w:sz w:val="12"/>
                <w:szCs w:val="12"/>
                <w:color w:val="auto"/>
              </w:rPr>
              <w:t>equity</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4,933</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4,933</w:t>
            </w:r>
          </w:p>
        </w:tc>
      </w:tr>
      <w:tr>
        <w:trPr>
          <w:trHeight w:val="133"/>
        </w:trPr>
        <w:tc>
          <w:tcPr>
            <w:tcW w:w="2440" w:type="dxa"/>
            <w:vAlign w:val="bottom"/>
          </w:tcPr>
          <w:p>
            <w:pPr>
              <w:spacing w:after="0" w:line="133" w:lineRule="exact"/>
              <w:rPr>
                <w:sz w:val="20"/>
                <w:szCs w:val="20"/>
                <w:color w:val="auto"/>
              </w:rPr>
            </w:pPr>
            <w:r>
              <w:rPr>
                <w:rFonts w:ascii="Arial" w:cs="Arial" w:eastAsia="Arial" w:hAnsi="Arial"/>
                <w:sz w:val="12"/>
                <w:szCs w:val="12"/>
                <w:color w:val="auto"/>
              </w:rPr>
              <w:t>Share repurchased for cancellation</w:t>
            </w:r>
          </w:p>
        </w:tc>
        <w:tc>
          <w:tcPr>
            <w:tcW w:w="12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9</w:t>
            </w:r>
          </w:p>
        </w:tc>
        <w:tc>
          <w:tcPr>
            <w:tcW w:w="10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w:t>
            </w:r>
          </w:p>
        </w:tc>
      </w:tr>
      <w:tr>
        <w:trPr>
          <w:trHeight w:val="139"/>
        </w:trPr>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Share-based compensation</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386</w:t>
            </w:r>
            <w:r>
              <w:rPr>
                <w:rFonts w:ascii="Arial" w:cs="Arial" w:eastAsia="Arial" w:hAnsi="Arial"/>
                <w:sz w:val="10"/>
                <w:szCs w:val="10"/>
                <w:color w:val="auto"/>
              </w:rPr>
              <w:t>[C]</w:t>
            </w: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386</w:t>
            </w:r>
          </w:p>
        </w:tc>
      </w:tr>
      <w:tr>
        <w:trPr>
          <w:trHeight w:val="146"/>
        </w:trPr>
        <w:tc>
          <w:tcPr>
            <w:tcW w:w="24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12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3,444</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48</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154</w:t>
            </w:r>
          </w:p>
        </w:tc>
        <w:tc>
          <w:tcPr>
            <w:tcW w:w="11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1,122</w:t>
            </w:r>
          </w:p>
        </w:tc>
        <w:tc>
          <w:tcPr>
            <w:tcW w:w="94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9,380</w:t>
            </w: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14,148</w:t>
            </w:r>
          </w:p>
        </w:tc>
      </w:tr>
    </w:tbl>
    <w:p>
      <w:pPr>
        <w:spacing w:after="0" w:line="61" w:lineRule="exact"/>
        <w:rPr>
          <w:sz w:val="20"/>
          <w:szCs w:val="20"/>
          <w:color w:val="auto"/>
        </w:rPr>
      </w:pPr>
    </w:p>
    <w:p>
      <w:pPr>
        <w:jc w:val="both"/>
        <w:ind w:left="540" w:right="1620" w:hanging="205"/>
        <w:spacing w:after="0" w:line="231" w:lineRule="auto"/>
        <w:tabs>
          <w:tab w:leader="none" w:pos="54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merger reserve was established as a consequence of the Unification (see Note 1). It relates primarily to the difference between the nominal value of Royal Dutch Shell plc shares issued and the nominal value of Royal Dutch Petroleum Company and Shell Transport and Trading Company, p.l.c. shares received.</w:t>
      </w:r>
    </w:p>
    <w:p>
      <w:pPr>
        <w:spacing w:after="0" w:line="1" w:lineRule="exact"/>
        <w:rPr>
          <w:rFonts w:ascii="Arial" w:cs="Arial" w:eastAsia="Arial" w:hAnsi="Arial"/>
          <w:sz w:val="12"/>
          <w:szCs w:val="12"/>
          <w:color w:val="auto"/>
        </w:rPr>
      </w:pPr>
    </w:p>
    <w:p>
      <w:pPr>
        <w:ind w:left="540" w:right="1760" w:hanging="205"/>
        <w:spacing w:after="0" w:line="231" w:lineRule="auto"/>
        <w:tabs>
          <w:tab w:leader="none" w:pos="54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The share premium reserve arose on conversion of loan notes, which were issued consequential to the Unification (see Note 1), into 4,827,974 Royal Dutch Shell Class A shares.</w:t>
      </w:r>
    </w:p>
    <w:p>
      <w:pPr>
        <w:ind w:left="540" w:hanging="205"/>
        <w:spacing w:after="0"/>
        <w:tabs>
          <w:tab w:leader="none" w:pos="54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Includes related deferred taxation recognised directly in equity of $55 million in 2007 (2006: $82 million; 2005: $16 million).</w:t>
      </w:r>
    </w:p>
    <w:p>
      <w:pPr>
        <w:spacing w:after="0" w:line="89" w:lineRule="exact"/>
        <w:rPr>
          <w:sz w:val="20"/>
          <w:szCs w:val="20"/>
          <w:color w:val="auto"/>
        </w:rPr>
      </w:pPr>
    </w:p>
    <w:p>
      <w:pPr>
        <w:ind w:left="340" w:right="1560"/>
        <w:spacing w:after="0" w:line="247" w:lineRule="auto"/>
        <w:rPr>
          <w:sz w:val="20"/>
          <w:szCs w:val="20"/>
          <w:color w:val="auto"/>
        </w:rPr>
      </w:pPr>
      <w:r>
        <w:rPr>
          <w:rFonts w:ascii="Arial" w:cs="Arial" w:eastAsia="Arial" w:hAnsi="Arial"/>
          <w:sz w:val="14"/>
          <w:szCs w:val="14"/>
          <w:color w:val="auto"/>
        </w:rPr>
        <w:t>Other comprises currency translation differences, unrealised gains and losses on securities and unrealised gains and losses on cash flow hedges. Further details are given below:</w:t>
      </w:r>
    </w:p>
    <w:p>
      <w:pPr>
        <w:spacing w:after="0" w:line="108" w:lineRule="exact"/>
        <w:rPr>
          <w:sz w:val="20"/>
          <w:szCs w:val="20"/>
          <w:color w:val="auto"/>
        </w:rPr>
      </w:pPr>
    </w:p>
    <w:tbl>
      <w:tblPr>
        <w:tblLayout w:type="fixed"/>
        <w:tblInd w:w="340" w:type="dxa"/>
        <w:tblCellMar>
          <w:top w:w="0" w:type="dxa"/>
          <w:left w:w="0" w:type="dxa"/>
          <w:bottom w:w="0" w:type="dxa"/>
          <w:right w:w="0" w:type="dxa"/>
        </w:tblCellMar>
      </w:tblPr>
      <w:tr>
        <w:trPr>
          <w:trHeight w:val="139"/>
        </w:trPr>
        <w:tc>
          <w:tcPr>
            <w:tcW w:w="3380" w:type="dxa"/>
            <w:vAlign w:val="bottom"/>
            <w:shd w:val="clear" w:color="auto" w:fill="7DD0E0"/>
          </w:tcPr>
          <w:p>
            <w:pPr>
              <w:spacing w:after="0"/>
              <w:rPr>
                <w:sz w:val="12"/>
                <w:szCs w:val="12"/>
                <w:color w:val="auto"/>
              </w:rPr>
            </w:pPr>
          </w:p>
        </w:tc>
        <w:tc>
          <w:tcPr>
            <w:tcW w:w="1320" w:type="dxa"/>
            <w:vAlign w:val="bottom"/>
            <w:shd w:val="clear" w:color="auto" w:fill="7DD0E0"/>
          </w:tcPr>
          <w:p>
            <w:pPr>
              <w:spacing w:after="0"/>
              <w:rPr>
                <w:sz w:val="12"/>
                <w:szCs w:val="12"/>
                <w:color w:val="auto"/>
              </w:rPr>
            </w:pPr>
          </w:p>
        </w:tc>
        <w:tc>
          <w:tcPr>
            <w:tcW w:w="1160" w:type="dxa"/>
            <w:vAlign w:val="bottom"/>
            <w:shd w:val="clear" w:color="auto" w:fill="7DD0E0"/>
          </w:tcPr>
          <w:p>
            <w:pPr>
              <w:spacing w:after="0"/>
              <w:rPr>
                <w:sz w:val="12"/>
                <w:szCs w:val="12"/>
                <w:color w:val="auto"/>
              </w:rPr>
            </w:pPr>
          </w:p>
        </w:tc>
        <w:tc>
          <w:tcPr>
            <w:tcW w:w="900" w:type="dxa"/>
            <w:vAlign w:val="bottom"/>
            <w:shd w:val="clear" w:color="auto" w:fill="7DD0E0"/>
          </w:tcPr>
          <w:p>
            <w:pPr>
              <w:spacing w:after="0"/>
              <w:rPr>
                <w:sz w:val="12"/>
                <w:szCs w:val="12"/>
                <w:color w:val="auto"/>
              </w:rPr>
            </w:pPr>
          </w:p>
        </w:tc>
        <w:tc>
          <w:tcPr>
            <w:tcW w:w="940" w:type="dxa"/>
            <w:vAlign w:val="bottom"/>
            <w:shd w:val="clear" w:color="auto" w:fill="7DD0E0"/>
          </w:tcPr>
          <w:p>
            <w:pPr>
              <w:spacing w:after="0"/>
              <w:rPr>
                <w:sz w:val="12"/>
                <w:szCs w:val="12"/>
                <w:color w:val="auto"/>
              </w:rPr>
            </w:pPr>
          </w:p>
        </w:tc>
        <w:tc>
          <w:tcPr>
            <w:tcW w:w="1020" w:type="dxa"/>
            <w:vAlign w:val="bottom"/>
            <w:shd w:val="clear" w:color="auto" w:fill="7DD0E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3380" w:type="dxa"/>
            <w:vAlign w:val="bottom"/>
            <w:shd w:val="clear" w:color="auto" w:fill="CECAC6"/>
          </w:tcPr>
          <w:p>
            <w:pPr>
              <w:spacing w:after="0"/>
              <w:rPr>
                <w:sz w:val="11"/>
                <w:szCs w:val="11"/>
                <w:color w:val="auto"/>
              </w:rPr>
            </w:pPr>
          </w:p>
        </w:tc>
        <w:tc>
          <w:tcPr>
            <w:tcW w:w="132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840" w:type="dxa"/>
            <w:vAlign w:val="bottom"/>
            <w:gridSpan w:val="2"/>
            <w:shd w:val="clear" w:color="auto" w:fill="CECAC6"/>
          </w:tcPr>
          <w:p>
            <w:pPr>
              <w:jc w:val="right"/>
              <w:ind w:right="178"/>
              <w:spacing w:after="0" w:line="128" w:lineRule="exact"/>
              <w:rPr>
                <w:sz w:val="20"/>
                <w:szCs w:val="20"/>
                <w:color w:val="auto"/>
              </w:rPr>
            </w:pPr>
            <w:r>
              <w:rPr>
                <w:rFonts w:ascii="Arial" w:cs="Arial" w:eastAsia="Arial" w:hAnsi="Arial"/>
                <w:sz w:val="12"/>
                <w:szCs w:val="12"/>
                <w:color w:val="auto"/>
              </w:rPr>
              <w:t>Income/(expense)</w:t>
            </w:r>
          </w:p>
        </w:tc>
        <w:tc>
          <w:tcPr>
            <w:tcW w:w="1020" w:type="dxa"/>
            <w:vAlign w:val="bottom"/>
            <w:shd w:val="clear" w:color="auto" w:fill="CECAC6"/>
          </w:tcPr>
          <w:p>
            <w:pPr>
              <w:spacing w:after="0"/>
              <w:rPr>
                <w:sz w:val="11"/>
                <w:szCs w:val="11"/>
                <w:color w:val="auto"/>
              </w:rPr>
            </w:pPr>
          </w:p>
        </w:tc>
      </w:tr>
      <w:tr>
        <w:trPr>
          <w:trHeight w:val="147"/>
        </w:trPr>
        <w:tc>
          <w:tcPr>
            <w:tcW w:w="3380" w:type="dxa"/>
            <w:vAlign w:val="bottom"/>
            <w:shd w:val="clear" w:color="auto" w:fill="CECAC6"/>
          </w:tcPr>
          <w:p>
            <w:pPr>
              <w:spacing w:after="0"/>
              <w:rPr>
                <w:sz w:val="12"/>
                <w:szCs w:val="12"/>
                <w:color w:val="auto"/>
              </w:rPr>
            </w:pPr>
          </w:p>
        </w:tc>
        <w:tc>
          <w:tcPr>
            <w:tcW w:w="1320" w:type="dxa"/>
            <w:vAlign w:val="bottom"/>
            <w:shd w:val="clear" w:color="auto" w:fill="CECAC6"/>
          </w:tcPr>
          <w:p>
            <w:pPr>
              <w:spacing w:after="0"/>
              <w:rPr>
                <w:sz w:val="12"/>
                <w:szCs w:val="12"/>
                <w:color w:val="auto"/>
              </w:rPr>
            </w:pPr>
          </w:p>
        </w:tc>
        <w:tc>
          <w:tcPr>
            <w:tcW w:w="3000" w:type="dxa"/>
            <w:vAlign w:val="bottom"/>
            <w:gridSpan w:val="3"/>
            <w:shd w:val="clear" w:color="auto" w:fill="CECAC6"/>
          </w:tcPr>
          <w:p>
            <w:pPr>
              <w:jc w:val="right"/>
              <w:ind w:right="178"/>
              <w:spacing w:after="0"/>
              <w:rPr>
                <w:sz w:val="20"/>
                <w:szCs w:val="20"/>
                <w:color w:val="auto"/>
              </w:rPr>
            </w:pPr>
            <w:r>
              <w:rPr>
                <w:rFonts w:ascii="Arial" w:cs="Arial" w:eastAsia="Arial" w:hAnsi="Arial"/>
                <w:sz w:val="12"/>
                <w:szCs w:val="12"/>
                <w:color w:val="auto"/>
              </w:rPr>
              <w:t>recognised directly in equity for 2007</w:t>
            </w:r>
          </w:p>
        </w:tc>
        <w:tc>
          <w:tcPr>
            <w:tcW w:w="1020" w:type="dxa"/>
            <w:vAlign w:val="bottom"/>
            <w:shd w:val="clear" w:color="auto" w:fill="CECAC6"/>
          </w:tcPr>
          <w:p>
            <w:pPr>
              <w:spacing w:after="0"/>
              <w:rPr>
                <w:sz w:val="12"/>
                <w:szCs w:val="12"/>
                <w:color w:val="auto"/>
              </w:rPr>
            </w:pPr>
          </w:p>
        </w:tc>
      </w:tr>
      <w:tr>
        <w:trPr>
          <w:trHeight w:val="139"/>
        </w:trPr>
        <w:tc>
          <w:tcPr>
            <w:tcW w:w="3380" w:type="dxa"/>
            <w:vAlign w:val="bottom"/>
            <w:shd w:val="clear" w:color="auto" w:fill="CECAC6"/>
          </w:tcPr>
          <w:p>
            <w:pPr>
              <w:spacing w:after="0"/>
              <w:rPr>
                <w:sz w:val="12"/>
                <w:szCs w:val="12"/>
                <w:color w:val="auto"/>
              </w:rPr>
            </w:pPr>
          </w:p>
        </w:tc>
        <w:tc>
          <w:tcPr>
            <w:tcW w:w="13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Jan 1, 2007</w:t>
            </w:r>
          </w:p>
        </w:tc>
        <w:tc>
          <w:tcPr>
            <w:tcW w:w="1160" w:type="dxa"/>
            <w:vAlign w:val="bottom"/>
            <w:shd w:val="clear" w:color="auto" w:fill="CECAC6"/>
          </w:tcPr>
          <w:p>
            <w:pPr>
              <w:jc w:val="right"/>
              <w:ind w:right="438"/>
              <w:spacing w:after="0"/>
              <w:rPr>
                <w:sz w:val="20"/>
                <w:szCs w:val="20"/>
                <w:color w:val="auto"/>
              </w:rPr>
            </w:pPr>
            <w:r>
              <w:rPr>
                <w:rFonts w:ascii="Arial" w:cs="Arial" w:eastAsia="Arial" w:hAnsi="Arial"/>
                <w:sz w:val="12"/>
                <w:szCs w:val="12"/>
                <w:color w:val="auto"/>
              </w:rPr>
              <w:t>Pre-tax</w:t>
            </w:r>
          </w:p>
        </w:tc>
        <w:tc>
          <w:tcPr>
            <w:tcW w:w="90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Tax</w:t>
            </w:r>
          </w:p>
        </w:tc>
        <w:tc>
          <w:tcPr>
            <w:tcW w:w="9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After tax</w:t>
            </w:r>
          </w:p>
        </w:tc>
        <w:tc>
          <w:tcPr>
            <w:tcW w:w="10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Dec 31, 2007</w:t>
            </w:r>
          </w:p>
        </w:tc>
      </w:tr>
      <w:tr>
        <w:trPr>
          <w:trHeight w:val="127"/>
        </w:trPr>
        <w:tc>
          <w:tcPr>
            <w:tcW w:w="3380" w:type="dxa"/>
            <w:vAlign w:val="bottom"/>
          </w:tcPr>
          <w:p>
            <w:pPr>
              <w:spacing w:after="0" w:line="128" w:lineRule="exact"/>
              <w:rPr>
                <w:sz w:val="20"/>
                <w:szCs w:val="20"/>
                <w:color w:val="auto"/>
              </w:rPr>
            </w:pPr>
            <w:r>
              <w:rPr>
                <w:rFonts w:ascii="Arial" w:cs="Arial" w:eastAsia="Arial" w:hAnsi="Arial"/>
                <w:sz w:val="12"/>
                <w:szCs w:val="12"/>
                <w:color w:val="auto"/>
              </w:rPr>
              <w:t>Currency translation differences</w:t>
            </w:r>
          </w:p>
        </w:tc>
        <w:tc>
          <w:tcPr>
            <w:tcW w:w="1320" w:type="dxa"/>
            <w:vAlign w:val="bottom"/>
          </w:tcPr>
          <w:p>
            <w:pPr>
              <w:spacing w:after="0"/>
              <w:rPr>
                <w:sz w:val="11"/>
                <w:szCs w:val="11"/>
                <w:color w:val="auto"/>
              </w:rPr>
            </w:pPr>
          </w:p>
        </w:tc>
        <w:tc>
          <w:tcPr>
            <w:tcW w:w="1160" w:type="dxa"/>
            <w:vAlign w:val="bottom"/>
          </w:tcPr>
          <w:p>
            <w:pPr>
              <w:jc w:val="right"/>
              <w:ind w:right="438"/>
              <w:spacing w:after="0" w:line="128" w:lineRule="exact"/>
              <w:rPr>
                <w:sz w:val="20"/>
                <w:szCs w:val="20"/>
                <w:color w:val="auto"/>
              </w:rPr>
            </w:pPr>
            <w:r>
              <w:rPr>
                <w:rFonts w:ascii="Arial" w:cs="Arial" w:eastAsia="Arial" w:hAnsi="Arial"/>
                <w:sz w:val="12"/>
                <w:szCs w:val="12"/>
                <w:color w:val="auto"/>
              </w:rPr>
              <w:t>6,044</w:t>
            </w:r>
          </w:p>
        </w:tc>
        <w:tc>
          <w:tcPr>
            <w:tcW w:w="90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(331)</w:t>
            </w:r>
          </w:p>
        </w:tc>
        <w:tc>
          <w:tcPr>
            <w:tcW w:w="9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5,713</w:t>
            </w:r>
          </w:p>
        </w:tc>
        <w:tc>
          <w:tcPr>
            <w:tcW w:w="1020" w:type="dxa"/>
            <w:vAlign w:val="bottom"/>
          </w:tcPr>
          <w:p>
            <w:pPr>
              <w:spacing w:after="0"/>
              <w:rPr>
                <w:sz w:val="11"/>
                <w:szCs w:val="11"/>
                <w:color w:val="auto"/>
              </w:rPr>
            </w:pP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Reclassifications to income for the period</w:t>
            </w:r>
          </w:p>
        </w:tc>
        <w:tc>
          <w:tcPr>
            <w:tcW w:w="1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(324)</w:t>
            </w: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(324)</w:t>
            </w:r>
          </w:p>
        </w:tc>
        <w:tc>
          <w:tcPr>
            <w:tcW w:w="1020" w:type="dxa"/>
            <w:vAlign w:val="bottom"/>
            <w:tcBorders>
              <w:bottom w:val="single" w:sz="8" w:color="auto"/>
            </w:tcBorders>
          </w:tcPr>
          <w:p>
            <w:pPr>
              <w:spacing w:after="0"/>
              <w:rPr>
                <w:sz w:val="12"/>
                <w:szCs w:val="12"/>
                <w:color w:val="auto"/>
              </w:rPr>
            </w:pPr>
          </w:p>
        </w:tc>
      </w:tr>
      <w:tr>
        <w:trPr>
          <w:trHeight w:val="140"/>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 net of reclassifications</w:t>
            </w:r>
          </w:p>
        </w:tc>
        <w:tc>
          <w:tcPr>
            <w:tcW w:w="13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2,392</w:t>
            </w: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5,720</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(331)</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5,389</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7,781</w:t>
            </w: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Unrealised gains/(losses) on securities</w:t>
            </w:r>
          </w:p>
        </w:tc>
        <w:tc>
          <w:tcPr>
            <w:tcW w:w="1320" w:type="dxa"/>
            <w:vAlign w:val="bottom"/>
          </w:tcPr>
          <w:p>
            <w:pPr>
              <w:spacing w:after="0"/>
              <w:rPr>
                <w:sz w:val="11"/>
                <w:szCs w:val="11"/>
                <w:color w:val="auto"/>
              </w:rPr>
            </w:pPr>
          </w:p>
        </w:tc>
        <w:tc>
          <w:tcPr>
            <w:tcW w:w="116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565</w:t>
            </w:r>
          </w:p>
        </w:tc>
        <w:tc>
          <w:tcPr>
            <w:tcW w:w="90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(54)</w:t>
            </w:r>
          </w:p>
        </w:tc>
        <w:tc>
          <w:tcPr>
            <w:tcW w:w="94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511</w:t>
            </w:r>
          </w:p>
        </w:tc>
        <w:tc>
          <w:tcPr>
            <w:tcW w:w="1020" w:type="dxa"/>
            <w:vAlign w:val="bottom"/>
          </w:tcPr>
          <w:p>
            <w:pPr>
              <w:spacing w:after="0"/>
              <w:rPr>
                <w:sz w:val="11"/>
                <w:szCs w:val="11"/>
                <w:color w:val="auto"/>
              </w:rPr>
            </w:pP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Reclassifications to income for the period</w:t>
            </w:r>
          </w:p>
        </w:tc>
        <w:tc>
          <w:tcPr>
            <w:tcW w:w="1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(1,065)</w:t>
            </w:r>
            <w:r>
              <w:rPr>
                <w:rFonts w:ascii="Arial" w:cs="Arial" w:eastAsia="Arial" w:hAnsi="Arial"/>
                <w:sz w:val="10"/>
                <w:szCs w:val="10"/>
                <w:color w:val="auto"/>
              </w:rPr>
              <w:t>[A]</w:t>
            </w: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214</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(851)</w:t>
            </w:r>
          </w:p>
        </w:tc>
        <w:tc>
          <w:tcPr>
            <w:tcW w:w="1020" w:type="dxa"/>
            <w:vAlign w:val="bottom"/>
            <w:tcBorders>
              <w:bottom w:val="single" w:sz="8" w:color="auto"/>
            </w:tcBorders>
          </w:tcPr>
          <w:p>
            <w:pPr>
              <w:spacing w:after="0"/>
              <w:rPr>
                <w:sz w:val="12"/>
                <w:szCs w:val="12"/>
                <w:color w:val="auto"/>
              </w:rPr>
            </w:pP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Unrealised gains/(losses) on securities net of</w:t>
            </w:r>
          </w:p>
        </w:tc>
        <w:tc>
          <w:tcPr>
            <w:tcW w:w="1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9"/>
        </w:trPr>
        <w:tc>
          <w:tcPr>
            <w:tcW w:w="33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reclassifications</w:t>
            </w:r>
          </w:p>
        </w:tc>
        <w:tc>
          <w:tcPr>
            <w:tcW w:w="13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2,295</w:t>
            </w:r>
          </w:p>
        </w:tc>
        <w:tc>
          <w:tcPr>
            <w:tcW w:w="116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(500)</w:t>
            </w: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160</w:t>
            </w:r>
          </w:p>
        </w:tc>
        <w:tc>
          <w:tcPr>
            <w:tcW w:w="9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(340)</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1,955</w:t>
            </w: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Unrealised gains/(losses) on cash flow hedges</w:t>
            </w:r>
          </w:p>
        </w:tc>
        <w:tc>
          <w:tcPr>
            <w:tcW w:w="1320" w:type="dxa"/>
            <w:vAlign w:val="bottom"/>
          </w:tcPr>
          <w:p>
            <w:pPr>
              <w:spacing w:after="0"/>
              <w:rPr>
                <w:sz w:val="11"/>
                <w:szCs w:val="11"/>
                <w:color w:val="auto"/>
              </w:rPr>
            </w:pPr>
          </w:p>
        </w:tc>
        <w:tc>
          <w:tcPr>
            <w:tcW w:w="1160" w:type="dxa"/>
            <w:vAlign w:val="bottom"/>
          </w:tcPr>
          <w:p>
            <w:pPr>
              <w:jc w:val="right"/>
              <w:ind w:right="398"/>
              <w:spacing w:after="0" w:line="134" w:lineRule="exact"/>
              <w:rPr>
                <w:sz w:val="20"/>
                <w:szCs w:val="20"/>
                <w:color w:val="auto"/>
              </w:rPr>
            </w:pPr>
            <w:r>
              <w:rPr>
                <w:rFonts w:ascii="Arial" w:cs="Arial" w:eastAsia="Arial" w:hAnsi="Arial"/>
                <w:sz w:val="12"/>
                <w:szCs w:val="12"/>
                <w:color w:val="auto"/>
              </w:rPr>
              <w:t>(145)</w:t>
            </w:r>
          </w:p>
        </w:tc>
        <w:tc>
          <w:tcPr>
            <w:tcW w:w="90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(150)</w:t>
            </w:r>
          </w:p>
        </w:tc>
        <w:tc>
          <w:tcPr>
            <w:tcW w:w="94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(295)</w:t>
            </w:r>
          </w:p>
        </w:tc>
        <w:tc>
          <w:tcPr>
            <w:tcW w:w="1020" w:type="dxa"/>
            <w:vAlign w:val="bottom"/>
          </w:tcPr>
          <w:p>
            <w:pPr>
              <w:spacing w:after="0"/>
              <w:rPr>
                <w:sz w:val="11"/>
                <w:szCs w:val="11"/>
                <w:color w:val="auto"/>
              </w:rPr>
            </w:pP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Reclassifications to income for the period</w:t>
            </w:r>
          </w:p>
        </w:tc>
        <w:tc>
          <w:tcPr>
            <w:tcW w:w="1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202</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(23)</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179</w:t>
            </w:r>
          </w:p>
        </w:tc>
        <w:tc>
          <w:tcPr>
            <w:tcW w:w="1020" w:type="dxa"/>
            <w:vAlign w:val="bottom"/>
            <w:tcBorders>
              <w:bottom w:val="single" w:sz="8" w:color="auto"/>
            </w:tcBorders>
          </w:tcPr>
          <w:p>
            <w:pPr>
              <w:spacing w:after="0"/>
              <w:rPr>
                <w:sz w:val="12"/>
                <w:szCs w:val="12"/>
                <w:color w:val="auto"/>
              </w:rPr>
            </w:pP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Unrealised gain/(losses) on cash flow hedges net of</w:t>
            </w:r>
          </w:p>
        </w:tc>
        <w:tc>
          <w:tcPr>
            <w:tcW w:w="132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(240)</w:t>
            </w:r>
          </w:p>
        </w:tc>
        <w:tc>
          <w:tcPr>
            <w:tcW w:w="116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57</w:t>
            </w:r>
          </w:p>
        </w:tc>
        <w:tc>
          <w:tcPr>
            <w:tcW w:w="90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(173)</w:t>
            </w:r>
          </w:p>
        </w:tc>
        <w:tc>
          <w:tcPr>
            <w:tcW w:w="94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(116)</w:t>
            </w:r>
          </w:p>
        </w:tc>
        <w:tc>
          <w:tcPr>
            <w:tcW w:w="1020" w:type="dxa"/>
            <w:vAlign w:val="bottom"/>
          </w:tcPr>
          <w:p>
            <w:pPr>
              <w:jc w:val="right"/>
              <w:spacing w:after="0" w:line="134" w:lineRule="exact"/>
              <w:rPr>
                <w:sz w:val="20"/>
                <w:szCs w:val="20"/>
                <w:color w:val="auto"/>
              </w:rPr>
            </w:pPr>
            <w:r>
              <w:rPr>
                <w:rFonts w:ascii="Arial" w:cs="Arial" w:eastAsia="Arial" w:hAnsi="Arial"/>
                <w:sz w:val="12"/>
                <w:szCs w:val="12"/>
                <w:color w:val="auto"/>
              </w:rPr>
              <w:t>(356)</w:t>
            </w: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reclassifications</w:t>
            </w:r>
          </w:p>
        </w:tc>
        <w:tc>
          <w:tcPr>
            <w:tcW w:w="1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46"/>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3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4,447</w:t>
            </w: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5,277</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(344)</w:t>
            </w:r>
          </w:p>
        </w:tc>
        <w:tc>
          <w:tcPr>
            <w:tcW w:w="9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4,933</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9,380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3175635</wp:posOffset>
            </wp:positionH>
            <wp:positionV relativeFrom="paragraph">
              <wp:posOffset>-1395095</wp:posOffset>
            </wp:positionV>
            <wp:extent cx="2571115" cy="262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115" cy="262255"/>
                    </a:xfrm>
                    <a:prstGeom prst="rect">
                      <a:avLst/>
                    </a:prstGeom>
                    <a:noFill/>
                  </pic:spPr>
                </pic:pic>
              </a:graphicData>
            </a:graphic>
          </wp:anchor>
        </w:drawing>
      </w:r>
    </w:p>
    <w:p>
      <w:pPr>
        <w:spacing w:after="0" w:line="41" w:lineRule="exact"/>
        <w:rPr>
          <w:sz w:val="20"/>
          <w:szCs w:val="20"/>
          <w:color w:val="auto"/>
        </w:rPr>
      </w:pPr>
    </w:p>
    <w:p>
      <w:pPr>
        <w:ind w:left="560" w:right="1820" w:hanging="225"/>
        <w:spacing w:after="0" w:line="249" w:lineRule="auto"/>
        <w:tabs>
          <w:tab w:leader="none" w:pos="5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Includes $(952) million reclassified to other income (see Note 5[A]) following the sale of the equity portfolio held by Shell’s insurance companies and Shell’s interest in Enterprise Product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1723390</wp:posOffset>
            </wp:positionV>
            <wp:extent cx="725297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500"/>
          </w:cols>
          <w:pgMar w:left="240" w:top="415" w:right="11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CONSOLIDATED FINANCIAL STATEMENTS</w:t>
      </w:r>
    </w:p>
    <w:p>
      <w:pPr>
        <w:sectPr>
          <w:pgSz w:w="11900" w:h="16838" w:orient="portrait"/>
          <w:cols w:equalWidth="0" w:num="1">
            <w:col w:w="11420"/>
          </w:cols>
          <w:pgMar w:left="240" w:top="415"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29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30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820" w:type="dxa"/>
            <w:vAlign w:val="bottom"/>
            <w:shd w:val="clear" w:color="auto" w:fill="7DD0E3"/>
          </w:tcPr>
          <w:p>
            <w:pPr>
              <w:spacing w:after="0"/>
              <w:rPr>
                <w:sz w:val="12"/>
                <w:szCs w:val="12"/>
                <w:color w:val="auto"/>
              </w:rPr>
            </w:pPr>
          </w:p>
        </w:tc>
        <w:tc>
          <w:tcPr>
            <w:tcW w:w="1420" w:type="dxa"/>
            <w:vAlign w:val="bottom"/>
            <w:shd w:val="clear" w:color="auto" w:fill="7DD0E3"/>
          </w:tcPr>
          <w:p>
            <w:pPr>
              <w:spacing w:after="0"/>
              <w:rPr>
                <w:sz w:val="12"/>
                <w:szCs w:val="12"/>
                <w:color w:val="auto"/>
              </w:rPr>
            </w:pPr>
          </w:p>
        </w:tc>
        <w:tc>
          <w:tcPr>
            <w:tcW w:w="820" w:type="dxa"/>
            <w:vAlign w:val="bottom"/>
            <w:shd w:val="clear" w:color="auto" w:fill="7DD0E3"/>
          </w:tcPr>
          <w:p>
            <w:pPr>
              <w:spacing w:after="0"/>
              <w:rPr>
                <w:sz w:val="12"/>
                <w:szCs w:val="12"/>
                <w:color w:val="auto"/>
              </w:rPr>
            </w:pPr>
          </w:p>
        </w:tc>
        <w:tc>
          <w:tcPr>
            <w:tcW w:w="1080" w:type="dxa"/>
            <w:vAlign w:val="bottom"/>
            <w:shd w:val="clear" w:color="auto" w:fill="7DD0E3"/>
          </w:tcPr>
          <w:p>
            <w:pPr>
              <w:spacing w:after="0"/>
              <w:rPr>
                <w:sz w:val="12"/>
                <w:szCs w:val="12"/>
                <w:color w:val="auto"/>
              </w:rPr>
            </w:pPr>
          </w:p>
        </w:tc>
        <w:tc>
          <w:tcPr>
            <w:tcW w:w="1280" w:type="dxa"/>
            <w:vAlign w:val="bottom"/>
            <w:shd w:val="clear" w:color="auto" w:fill="7DD0E3"/>
          </w:tcPr>
          <w:p>
            <w:pPr>
              <w:spacing w:after="0"/>
              <w:rPr>
                <w:sz w:val="12"/>
                <w:szCs w:val="12"/>
                <w:color w:val="auto"/>
              </w:rPr>
            </w:pPr>
          </w:p>
        </w:tc>
        <w:tc>
          <w:tcPr>
            <w:tcW w:w="104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3820" w:type="dxa"/>
            <w:vAlign w:val="bottom"/>
            <w:shd w:val="clear" w:color="auto" w:fill="CECAC6"/>
          </w:tcPr>
          <w:p>
            <w:pPr>
              <w:spacing w:after="0"/>
              <w:rPr>
                <w:sz w:val="11"/>
                <w:szCs w:val="11"/>
                <w:color w:val="auto"/>
              </w:rPr>
            </w:pPr>
          </w:p>
        </w:tc>
        <w:tc>
          <w:tcPr>
            <w:tcW w:w="142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Income/(expense)</w:t>
            </w:r>
          </w:p>
        </w:tc>
        <w:tc>
          <w:tcPr>
            <w:tcW w:w="1040" w:type="dxa"/>
            <w:vAlign w:val="bottom"/>
            <w:shd w:val="clear" w:color="auto" w:fill="CECAC6"/>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3820" w:type="dxa"/>
            <w:vAlign w:val="bottom"/>
            <w:shd w:val="clear" w:color="auto" w:fill="CECAC6"/>
          </w:tcPr>
          <w:p>
            <w:pPr>
              <w:spacing w:after="0"/>
              <w:rPr>
                <w:sz w:val="12"/>
                <w:szCs w:val="12"/>
                <w:color w:val="auto"/>
              </w:rPr>
            </w:pPr>
          </w:p>
        </w:tc>
        <w:tc>
          <w:tcPr>
            <w:tcW w:w="1420" w:type="dxa"/>
            <w:vAlign w:val="bottom"/>
            <w:shd w:val="clear" w:color="auto" w:fill="CECAC6"/>
          </w:tcPr>
          <w:p>
            <w:pPr>
              <w:spacing w:after="0"/>
              <w:rPr>
                <w:sz w:val="12"/>
                <w:szCs w:val="12"/>
                <w:color w:val="auto"/>
              </w:rPr>
            </w:pPr>
          </w:p>
        </w:tc>
        <w:tc>
          <w:tcPr>
            <w:tcW w:w="820" w:type="dxa"/>
            <w:vAlign w:val="bottom"/>
            <w:shd w:val="clear" w:color="auto" w:fill="CECAC6"/>
          </w:tcPr>
          <w:p>
            <w:pPr>
              <w:spacing w:after="0"/>
              <w:rPr>
                <w:sz w:val="12"/>
                <w:szCs w:val="12"/>
                <w:color w:val="auto"/>
              </w:rPr>
            </w:pPr>
          </w:p>
        </w:tc>
        <w:tc>
          <w:tcPr>
            <w:tcW w:w="2360" w:type="dxa"/>
            <w:vAlign w:val="bottom"/>
            <w:gridSpan w:val="2"/>
            <w:shd w:val="clear" w:color="auto" w:fill="CECAC6"/>
          </w:tcPr>
          <w:p>
            <w:pPr>
              <w:jc w:val="right"/>
              <w:ind w:right="198"/>
              <w:spacing w:after="0"/>
              <w:rPr>
                <w:sz w:val="20"/>
                <w:szCs w:val="20"/>
                <w:color w:val="auto"/>
              </w:rPr>
            </w:pPr>
            <w:r>
              <w:rPr>
                <w:rFonts w:ascii="Arial" w:cs="Arial" w:eastAsia="Arial" w:hAnsi="Arial"/>
                <w:sz w:val="12"/>
                <w:szCs w:val="12"/>
                <w:color w:val="auto"/>
              </w:rPr>
              <w:t>recognised directly in equity for 2006</w:t>
            </w:r>
          </w:p>
        </w:tc>
        <w:tc>
          <w:tcPr>
            <w:tcW w:w="1040" w:type="dxa"/>
            <w:vAlign w:val="bottom"/>
            <w:shd w:val="clear" w:color="auto" w:fill="CECAC6"/>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820" w:type="dxa"/>
            <w:vAlign w:val="bottom"/>
            <w:shd w:val="clear" w:color="auto" w:fill="CECAC6"/>
          </w:tcPr>
          <w:p>
            <w:pPr>
              <w:spacing w:after="0"/>
              <w:rPr>
                <w:sz w:val="12"/>
                <w:szCs w:val="12"/>
                <w:color w:val="auto"/>
              </w:rPr>
            </w:pPr>
          </w:p>
        </w:tc>
        <w:tc>
          <w:tcPr>
            <w:tcW w:w="142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Jan 1, 2006</w:t>
            </w:r>
          </w:p>
        </w:tc>
        <w:tc>
          <w:tcPr>
            <w:tcW w:w="8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Pre-tax</w:t>
            </w:r>
          </w:p>
        </w:tc>
        <w:tc>
          <w:tcPr>
            <w:tcW w:w="10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Tax</w:t>
            </w:r>
          </w:p>
        </w:tc>
        <w:tc>
          <w:tcPr>
            <w:tcW w:w="12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After tax</w:t>
            </w:r>
          </w:p>
        </w:tc>
        <w:tc>
          <w:tcPr>
            <w:tcW w:w="10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Dec 31, 2006</w:t>
            </w:r>
          </w:p>
        </w:tc>
      </w:tr>
      <w:tr>
        <w:trPr>
          <w:trHeight w:val="127"/>
        </w:trPr>
        <w:tc>
          <w:tcPr>
            <w:tcW w:w="2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2"/>
                <w:szCs w:val="12"/>
                <w:color w:val="auto"/>
              </w:rPr>
              <w:t>Currency translation differences</w:t>
            </w:r>
          </w:p>
        </w:tc>
        <w:tc>
          <w:tcPr>
            <w:tcW w:w="1420" w:type="dxa"/>
            <w:vAlign w:val="bottom"/>
          </w:tcPr>
          <w:p>
            <w:pPr>
              <w:spacing w:after="0"/>
              <w:rPr>
                <w:sz w:val="11"/>
                <w:szCs w:val="11"/>
                <w:color w:val="auto"/>
              </w:rPr>
            </w:pPr>
          </w:p>
        </w:tc>
        <w:tc>
          <w:tcPr>
            <w:tcW w:w="8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4,157</w:t>
            </w: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(417)</w:t>
            </w:r>
          </w:p>
        </w:tc>
        <w:tc>
          <w:tcPr>
            <w:tcW w:w="12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3,740</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(25)</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(25)</w:t>
            </w:r>
          </w:p>
        </w:tc>
        <w:tc>
          <w:tcPr>
            <w:tcW w:w="1040" w:type="dxa"/>
            <w:vAlign w:val="bottom"/>
            <w:tcBorders>
              <w:bottom w:val="single" w:sz="8" w:color="auto"/>
            </w:tcBorders>
          </w:tcPr>
          <w:p>
            <w:pPr>
              <w:spacing w:after="0"/>
              <w:rPr>
                <w:sz w:val="12"/>
                <w:szCs w:val="12"/>
                <w:color w:val="auto"/>
              </w:rPr>
            </w:pPr>
          </w:p>
        </w:tc>
      </w:tr>
      <w:tr>
        <w:trPr>
          <w:trHeight w:val="14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 net of reclassifications</w:t>
            </w: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(1,323)</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4,132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(417)</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3,715</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2,392</w:t>
            </w: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gains/(losses) on securities</w:t>
            </w:r>
          </w:p>
        </w:tc>
        <w:tc>
          <w:tcPr>
            <w:tcW w:w="1420" w:type="dxa"/>
            <w:vAlign w:val="bottom"/>
          </w:tcPr>
          <w:p>
            <w:pPr>
              <w:spacing w:after="0"/>
              <w:rPr>
                <w:sz w:val="11"/>
                <w:szCs w:val="11"/>
                <w:color w:val="auto"/>
              </w:rPr>
            </w:pPr>
          </w:p>
        </w:tc>
        <w:tc>
          <w:tcPr>
            <w:tcW w:w="820" w:type="dxa"/>
            <w:vAlign w:val="bottom"/>
          </w:tcPr>
          <w:p>
            <w:pPr>
              <w:jc w:val="right"/>
              <w:ind w:right="78"/>
              <w:spacing w:after="0" w:line="134" w:lineRule="exact"/>
              <w:rPr>
                <w:sz w:val="20"/>
                <w:szCs w:val="20"/>
                <w:color w:val="auto"/>
              </w:rPr>
            </w:pPr>
            <w:r>
              <w:rPr>
                <w:rFonts w:ascii="Arial" w:cs="Arial" w:eastAsia="Arial" w:hAnsi="Arial"/>
                <w:sz w:val="12"/>
                <w:szCs w:val="12"/>
                <w:color w:val="auto"/>
              </w:rPr>
              <w:t>997</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(97)</w:t>
            </w:r>
          </w:p>
        </w:tc>
        <w:tc>
          <w:tcPr>
            <w:tcW w:w="128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900</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(120)</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33</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(87)</w:t>
            </w:r>
          </w:p>
        </w:tc>
        <w:tc>
          <w:tcPr>
            <w:tcW w:w="1040" w:type="dxa"/>
            <w:vAlign w:val="bottom"/>
            <w:tcBorders>
              <w:bottom w:val="single" w:sz="8" w:color="auto"/>
            </w:tcBorders>
          </w:tcPr>
          <w:p>
            <w:pPr>
              <w:spacing w:after="0"/>
              <w:rPr>
                <w:sz w:val="12"/>
                <w:szCs w:val="12"/>
                <w:color w:val="auto"/>
              </w:rPr>
            </w:pPr>
          </w:p>
        </w:tc>
      </w:tr>
      <w:tr>
        <w:trPr>
          <w:trHeight w:val="14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Unrealised gains/(losses) on securities net of reclassifications</w:t>
            </w:r>
          </w:p>
        </w:tc>
        <w:tc>
          <w:tcPr>
            <w:tcW w:w="1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1,482</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877</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813</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2,295</w:t>
            </w: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gains/(losses) on cash flow hedges</w:t>
            </w:r>
          </w:p>
        </w:tc>
        <w:tc>
          <w:tcPr>
            <w:tcW w:w="1420" w:type="dxa"/>
            <w:vAlign w:val="bottom"/>
          </w:tcPr>
          <w:p>
            <w:pPr>
              <w:spacing w:after="0"/>
              <w:rPr>
                <w:sz w:val="11"/>
                <w:szCs w:val="11"/>
                <w:color w:val="auto"/>
              </w:rPr>
            </w:pPr>
          </w:p>
        </w:tc>
        <w:tc>
          <w:tcPr>
            <w:tcW w:w="820" w:type="dxa"/>
            <w:vAlign w:val="bottom"/>
          </w:tcPr>
          <w:p>
            <w:pPr>
              <w:jc w:val="right"/>
              <w:ind w:right="78"/>
              <w:spacing w:after="0" w:line="134" w:lineRule="exact"/>
              <w:rPr>
                <w:sz w:val="20"/>
                <w:szCs w:val="20"/>
                <w:color w:val="auto"/>
              </w:rPr>
            </w:pPr>
            <w:r>
              <w:rPr>
                <w:rFonts w:ascii="Arial" w:cs="Arial" w:eastAsia="Arial" w:hAnsi="Arial"/>
                <w:sz w:val="12"/>
                <w:szCs w:val="12"/>
                <w:color w:val="auto"/>
              </w:rPr>
              <w:t>192</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(52)</w:t>
            </w:r>
          </w:p>
        </w:tc>
        <w:tc>
          <w:tcPr>
            <w:tcW w:w="128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140</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w:t>
            </w:r>
          </w:p>
        </w:tc>
        <w:tc>
          <w:tcPr>
            <w:tcW w:w="1040" w:type="dxa"/>
            <w:vAlign w:val="bottom"/>
            <w:tcBorders>
              <w:bottom w:val="single" w:sz="8" w:color="auto"/>
            </w:tcBorders>
          </w:tcPr>
          <w:p>
            <w:pPr>
              <w:spacing w:after="0"/>
              <w:rPr>
                <w:sz w:val="12"/>
                <w:szCs w:val="12"/>
                <w:color w:val="auto"/>
              </w:rPr>
            </w:pP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gain/(losses) on cash flow hedges net of</w:t>
            </w:r>
          </w:p>
        </w:tc>
        <w:tc>
          <w:tcPr>
            <w:tcW w:w="1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w:t>
            </w: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(383)</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195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r>
      <w:tr>
        <w:trPr>
          <w:trHeight w:val="146"/>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(224)</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5,204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4,671</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-1420495</wp:posOffset>
            </wp:positionV>
            <wp:extent cx="8255" cy="305308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305308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-1310640</wp:posOffset>
            </wp:positionV>
            <wp:extent cx="2723515" cy="262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723515" cy="26225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820" w:type="dxa"/>
            <w:vAlign w:val="bottom"/>
            <w:shd w:val="clear" w:color="auto" w:fill="7DD0E3"/>
          </w:tcPr>
          <w:p>
            <w:pPr>
              <w:spacing w:after="0"/>
              <w:rPr>
                <w:sz w:val="12"/>
                <w:szCs w:val="12"/>
                <w:color w:val="auto"/>
              </w:rPr>
            </w:pPr>
          </w:p>
        </w:tc>
        <w:tc>
          <w:tcPr>
            <w:tcW w:w="1420" w:type="dxa"/>
            <w:vAlign w:val="bottom"/>
            <w:shd w:val="clear" w:color="auto" w:fill="7DD0E3"/>
          </w:tcPr>
          <w:p>
            <w:pPr>
              <w:spacing w:after="0"/>
              <w:rPr>
                <w:sz w:val="12"/>
                <w:szCs w:val="12"/>
                <w:color w:val="auto"/>
              </w:rPr>
            </w:pPr>
          </w:p>
        </w:tc>
        <w:tc>
          <w:tcPr>
            <w:tcW w:w="820" w:type="dxa"/>
            <w:vAlign w:val="bottom"/>
            <w:shd w:val="clear" w:color="auto" w:fill="7DD0E3"/>
          </w:tcPr>
          <w:p>
            <w:pPr>
              <w:spacing w:after="0"/>
              <w:rPr>
                <w:sz w:val="12"/>
                <w:szCs w:val="12"/>
                <w:color w:val="auto"/>
              </w:rPr>
            </w:pPr>
          </w:p>
        </w:tc>
        <w:tc>
          <w:tcPr>
            <w:tcW w:w="1080" w:type="dxa"/>
            <w:vAlign w:val="bottom"/>
            <w:shd w:val="clear" w:color="auto" w:fill="7DD0E3"/>
          </w:tcPr>
          <w:p>
            <w:pPr>
              <w:spacing w:after="0"/>
              <w:rPr>
                <w:sz w:val="12"/>
                <w:szCs w:val="12"/>
                <w:color w:val="auto"/>
              </w:rPr>
            </w:pPr>
          </w:p>
        </w:tc>
        <w:tc>
          <w:tcPr>
            <w:tcW w:w="1280" w:type="dxa"/>
            <w:vAlign w:val="bottom"/>
            <w:shd w:val="clear" w:color="auto" w:fill="7DD0E3"/>
          </w:tcPr>
          <w:p>
            <w:pPr>
              <w:spacing w:after="0"/>
              <w:rPr>
                <w:sz w:val="12"/>
                <w:szCs w:val="12"/>
                <w:color w:val="auto"/>
              </w:rPr>
            </w:pPr>
          </w:p>
        </w:tc>
        <w:tc>
          <w:tcPr>
            <w:tcW w:w="104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20" w:type="dxa"/>
            <w:vAlign w:val="bottom"/>
          </w:tcPr>
          <w:p>
            <w:pPr>
              <w:spacing w:after="0"/>
              <w:rPr>
                <w:sz w:val="11"/>
                <w:szCs w:val="11"/>
                <w:color w:val="auto"/>
              </w:rPr>
            </w:pPr>
          </w:p>
        </w:tc>
        <w:tc>
          <w:tcPr>
            <w:tcW w:w="3820" w:type="dxa"/>
            <w:vAlign w:val="bottom"/>
            <w:shd w:val="clear" w:color="auto" w:fill="CECAC6"/>
          </w:tcPr>
          <w:p>
            <w:pPr>
              <w:spacing w:after="0"/>
              <w:rPr>
                <w:sz w:val="11"/>
                <w:szCs w:val="11"/>
                <w:color w:val="auto"/>
              </w:rPr>
            </w:pPr>
          </w:p>
        </w:tc>
        <w:tc>
          <w:tcPr>
            <w:tcW w:w="1420" w:type="dxa"/>
            <w:vAlign w:val="bottom"/>
            <w:shd w:val="clear" w:color="auto" w:fill="CECAC6"/>
          </w:tcPr>
          <w:p>
            <w:pPr>
              <w:spacing w:after="0"/>
              <w:rPr>
                <w:sz w:val="11"/>
                <w:szCs w:val="11"/>
                <w:color w:val="auto"/>
              </w:rPr>
            </w:pPr>
          </w:p>
        </w:tc>
        <w:tc>
          <w:tcPr>
            <w:tcW w:w="82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128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Income/(expense)</w:t>
            </w:r>
          </w:p>
        </w:tc>
        <w:tc>
          <w:tcPr>
            <w:tcW w:w="1040" w:type="dxa"/>
            <w:vAlign w:val="bottom"/>
            <w:shd w:val="clear" w:color="auto" w:fill="CECAC6"/>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3820" w:type="dxa"/>
            <w:vAlign w:val="bottom"/>
            <w:shd w:val="clear" w:color="auto" w:fill="CECAC6"/>
          </w:tcPr>
          <w:p>
            <w:pPr>
              <w:spacing w:after="0"/>
              <w:rPr>
                <w:sz w:val="12"/>
                <w:szCs w:val="12"/>
                <w:color w:val="auto"/>
              </w:rPr>
            </w:pPr>
          </w:p>
        </w:tc>
        <w:tc>
          <w:tcPr>
            <w:tcW w:w="1420" w:type="dxa"/>
            <w:vAlign w:val="bottom"/>
            <w:shd w:val="clear" w:color="auto" w:fill="CECAC6"/>
          </w:tcPr>
          <w:p>
            <w:pPr>
              <w:spacing w:after="0"/>
              <w:rPr>
                <w:sz w:val="12"/>
                <w:szCs w:val="12"/>
                <w:color w:val="auto"/>
              </w:rPr>
            </w:pPr>
          </w:p>
        </w:tc>
        <w:tc>
          <w:tcPr>
            <w:tcW w:w="820" w:type="dxa"/>
            <w:vAlign w:val="bottom"/>
            <w:shd w:val="clear" w:color="auto" w:fill="CECAC6"/>
          </w:tcPr>
          <w:p>
            <w:pPr>
              <w:spacing w:after="0"/>
              <w:rPr>
                <w:sz w:val="12"/>
                <w:szCs w:val="12"/>
                <w:color w:val="auto"/>
              </w:rPr>
            </w:pPr>
          </w:p>
        </w:tc>
        <w:tc>
          <w:tcPr>
            <w:tcW w:w="2360" w:type="dxa"/>
            <w:vAlign w:val="bottom"/>
            <w:gridSpan w:val="2"/>
            <w:shd w:val="clear" w:color="auto" w:fill="CECAC6"/>
          </w:tcPr>
          <w:p>
            <w:pPr>
              <w:jc w:val="right"/>
              <w:ind w:right="198"/>
              <w:spacing w:after="0"/>
              <w:rPr>
                <w:sz w:val="20"/>
                <w:szCs w:val="20"/>
                <w:color w:val="auto"/>
              </w:rPr>
            </w:pPr>
            <w:r>
              <w:rPr>
                <w:rFonts w:ascii="Arial" w:cs="Arial" w:eastAsia="Arial" w:hAnsi="Arial"/>
                <w:sz w:val="12"/>
                <w:szCs w:val="12"/>
                <w:color w:val="auto"/>
              </w:rPr>
              <w:t>recognised directly in equity for 2005</w:t>
            </w:r>
          </w:p>
        </w:tc>
        <w:tc>
          <w:tcPr>
            <w:tcW w:w="1040" w:type="dxa"/>
            <w:vAlign w:val="bottom"/>
            <w:shd w:val="clear" w:color="auto" w:fill="CECAC6"/>
          </w:tcPr>
          <w:p>
            <w:pPr>
              <w:spacing w:after="0"/>
              <w:rPr>
                <w:sz w:val="12"/>
                <w:szCs w:val="12"/>
                <w:color w:val="auto"/>
              </w:rPr>
            </w:pPr>
          </w:p>
        </w:tc>
      </w:tr>
      <w:tr>
        <w:trPr>
          <w:trHeight w:val="139"/>
        </w:trPr>
        <w:tc>
          <w:tcPr>
            <w:tcW w:w="20" w:type="dxa"/>
            <w:vAlign w:val="bottom"/>
          </w:tcPr>
          <w:p>
            <w:pPr>
              <w:spacing w:after="0"/>
              <w:rPr>
                <w:sz w:val="12"/>
                <w:szCs w:val="12"/>
                <w:color w:val="auto"/>
              </w:rPr>
            </w:pPr>
          </w:p>
        </w:tc>
        <w:tc>
          <w:tcPr>
            <w:tcW w:w="3820" w:type="dxa"/>
            <w:vAlign w:val="bottom"/>
            <w:shd w:val="clear" w:color="auto" w:fill="CECAC6"/>
          </w:tcPr>
          <w:p>
            <w:pPr>
              <w:spacing w:after="0"/>
              <w:rPr>
                <w:sz w:val="12"/>
                <w:szCs w:val="12"/>
                <w:color w:val="auto"/>
              </w:rPr>
            </w:pPr>
          </w:p>
        </w:tc>
        <w:tc>
          <w:tcPr>
            <w:tcW w:w="142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Jan 1, 2005</w:t>
            </w:r>
          </w:p>
        </w:tc>
        <w:tc>
          <w:tcPr>
            <w:tcW w:w="8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Pre-tax</w:t>
            </w:r>
          </w:p>
        </w:tc>
        <w:tc>
          <w:tcPr>
            <w:tcW w:w="10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Tax</w:t>
            </w:r>
          </w:p>
        </w:tc>
        <w:tc>
          <w:tcPr>
            <w:tcW w:w="12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After tax</w:t>
            </w:r>
          </w:p>
        </w:tc>
        <w:tc>
          <w:tcPr>
            <w:tcW w:w="10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Dec 31, 2005</w:t>
            </w:r>
          </w:p>
        </w:tc>
      </w:tr>
      <w:tr>
        <w:trPr>
          <w:trHeight w:val="127"/>
        </w:trPr>
        <w:tc>
          <w:tcPr>
            <w:tcW w:w="20" w:type="dxa"/>
            <w:vAlign w:val="bottom"/>
          </w:tcPr>
          <w:p>
            <w:pPr>
              <w:spacing w:after="0"/>
              <w:rPr>
                <w:sz w:val="11"/>
                <w:szCs w:val="11"/>
                <w:color w:val="auto"/>
              </w:rPr>
            </w:pPr>
          </w:p>
        </w:tc>
        <w:tc>
          <w:tcPr>
            <w:tcW w:w="3820" w:type="dxa"/>
            <w:vAlign w:val="bottom"/>
          </w:tcPr>
          <w:p>
            <w:pPr>
              <w:spacing w:after="0" w:line="128" w:lineRule="exact"/>
              <w:rPr>
                <w:sz w:val="20"/>
                <w:szCs w:val="20"/>
                <w:color w:val="auto"/>
              </w:rPr>
            </w:pPr>
            <w:r>
              <w:rPr>
                <w:rFonts w:ascii="Arial" w:cs="Arial" w:eastAsia="Arial" w:hAnsi="Arial"/>
                <w:sz w:val="12"/>
                <w:szCs w:val="12"/>
                <w:color w:val="auto"/>
              </w:rPr>
              <w:t>Currency translation differences</w:t>
            </w:r>
          </w:p>
        </w:tc>
        <w:tc>
          <w:tcPr>
            <w:tcW w:w="1420" w:type="dxa"/>
            <w:vAlign w:val="bottom"/>
          </w:tcPr>
          <w:p>
            <w:pPr>
              <w:spacing w:after="0"/>
              <w:rPr>
                <w:sz w:val="11"/>
                <w:szCs w:val="11"/>
                <w:color w:val="auto"/>
              </w:rPr>
            </w:pPr>
          </w:p>
        </w:tc>
        <w:tc>
          <w:tcPr>
            <w:tcW w:w="8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(4,442)</w:t>
            </w:r>
          </w:p>
        </w:tc>
        <w:tc>
          <w:tcPr>
            <w:tcW w:w="1080" w:type="dxa"/>
            <w:vAlign w:val="bottom"/>
          </w:tcPr>
          <w:p>
            <w:pPr>
              <w:jc w:val="right"/>
              <w:spacing w:after="0" w:line="128" w:lineRule="exact"/>
              <w:rPr>
                <w:sz w:val="20"/>
                <w:szCs w:val="20"/>
                <w:color w:val="auto"/>
              </w:rPr>
            </w:pPr>
            <w:r>
              <w:rPr>
                <w:rFonts w:ascii="Arial" w:cs="Arial" w:eastAsia="Arial" w:hAnsi="Arial"/>
                <w:sz w:val="12"/>
                <w:szCs w:val="12"/>
                <w:color w:val="auto"/>
              </w:rPr>
              <w:t>(23)</w:t>
            </w:r>
          </w:p>
        </w:tc>
        <w:tc>
          <w:tcPr>
            <w:tcW w:w="128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(4,465)</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16</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w:t>
            </w:r>
          </w:p>
        </w:tc>
        <w:tc>
          <w:tcPr>
            <w:tcW w:w="1040" w:type="dxa"/>
            <w:vAlign w:val="bottom"/>
            <w:tcBorders>
              <w:bottom w:val="single" w:sz="8" w:color="auto"/>
            </w:tcBorders>
          </w:tcPr>
          <w:p>
            <w:pPr>
              <w:spacing w:after="0"/>
              <w:rPr>
                <w:sz w:val="12"/>
                <w:szCs w:val="12"/>
                <w:color w:val="auto"/>
              </w:rPr>
            </w:pPr>
          </w:p>
        </w:tc>
      </w:tr>
      <w:tr>
        <w:trPr>
          <w:trHeight w:val="14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 net of reclassifications</w:t>
            </w:r>
          </w:p>
        </w:tc>
        <w:tc>
          <w:tcPr>
            <w:tcW w:w="1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3,126</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(4,426)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(4,449)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(1,323)</w:t>
            </w: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gains/(losses) on securities</w:t>
            </w:r>
          </w:p>
        </w:tc>
        <w:tc>
          <w:tcPr>
            <w:tcW w:w="1420" w:type="dxa"/>
            <w:vAlign w:val="bottom"/>
          </w:tcPr>
          <w:p>
            <w:pPr>
              <w:spacing w:after="0"/>
              <w:rPr>
                <w:sz w:val="11"/>
                <w:szCs w:val="11"/>
                <w:color w:val="auto"/>
              </w:rPr>
            </w:pPr>
          </w:p>
        </w:tc>
        <w:tc>
          <w:tcPr>
            <w:tcW w:w="820" w:type="dxa"/>
            <w:vAlign w:val="bottom"/>
          </w:tcPr>
          <w:p>
            <w:pPr>
              <w:jc w:val="right"/>
              <w:ind w:right="78"/>
              <w:spacing w:after="0" w:line="134" w:lineRule="exact"/>
              <w:rPr>
                <w:sz w:val="20"/>
                <w:szCs w:val="20"/>
                <w:color w:val="auto"/>
              </w:rPr>
            </w:pPr>
            <w:r>
              <w:rPr>
                <w:rFonts w:ascii="Arial" w:cs="Arial" w:eastAsia="Arial" w:hAnsi="Arial"/>
                <w:sz w:val="12"/>
                <w:szCs w:val="12"/>
                <w:color w:val="auto"/>
              </w:rPr>
              <w:t>383</w:t>
            </w:r>
          </w:p>
        </w:tc>
        <w:tc>
          <w:tcPr>
            <w:tcW w:w="1080" w:type="dxa"/>
            <w:vAlign w:val="bottom"/>
          </w:tcPr>
          <w:p>
            <w:pPr>
              <w:jc w:val="right"/>
              <w:spacing w:after="0" w:line="134" w:lineRule="exact"/>
              <w:rPr>
                <w:sz w:val="20"/>
                <w:szCs w:val="20"/>
                <w:color w:val="auto"/>
              </w:rPr>
            </w:pPr>
            <w:r>
              <w:rPr>
                <w:rFonts w:ascii="Arial" w:cs="Arial" w:eastAsia="Arial" w:hAnsi="Arial"/>
                <w:sz w:val="12"/>
                <w:szCs w:val="12"/>
                <w:color w:val="auto"/>
              </w:rPr>
              <w:t>(1)</w:t>
            </w:r>
          </w:p>
        </w:tc>
        <w:tc>
          <w:tcPr>
            <w:tcW w:w="128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382</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(114)</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41</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(73)</w:t>
            </w:r>
          </w:p>
        </w:tc>
        <w:tc>
          <w:tcPr>
            <w:tcW w:w="1040" w:type="dxa"/>
            <w:vAlign w:val="bottom"/>
            <w:tcBorders>
              <w:bottom w:val="single" w:sz="8" w:color="auto"/>
            </w:tcBorders>
          </w:tcPr>
          <w:p>
            <w:pPr>
              <w:spacing w:after="0"/>
              <w:rPr>
                <w:sz w:val="12"/>
                <w:szCs w:val="12"/>
                <w:color w:val="auto"/>
              </w:rPr>
            </w:pPr>
          </w:p>
        </w:tc>
      </w:tr>
      <w:tr>
        <w:trPr>
          <w:trHeight w:val="140"/>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Unrealised gains/(losses) on securities net of reclassifications</w:t>
            </w:r>
          </w:p>
        </w:tc>
        <w:tc>
          <w:tcPr>
            <w:tcW w:w="1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1,173</w:t>
            </w: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269</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40</w:t>
            </w:r>
          </w:p>
        </w:tc>
        <w:tc>
          <w:tcPr>
            <w:tcW w:w="12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309</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1,482</w:t>
            </w: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gains/(losses) on cash flow hedges</w:t>
            </w:r>
          </w:p>
        </w:tc>
        <w:tc>
          <w:tcPr>
            <w:tcW w:w="1420" w:type="dxa"/>
            <w:vAlign w:val="bottom"/>
          </w:tcPr>
          <w:p>
            <w:pPr>
              <w:spacing w:after="0"/>
              <w:rPr>
                <w:sz w:val="11"/>
                <w:szCs w:val="11"/>
                <w:color w:val="auto"/>
              </w:rPr>
            </w:pPr>
          </w:p>
        </w:tc>
        <w:tc>
          <w:tcPr>
            <w:tcW w:w="820" w:type="dxa"/>
            <w:vAlign w:val="bottom"/>
          </w:tcPr>
          <w:p>
            <w:pPr>
              <w:jc w:val="right"/>
              <w:ind w:right="18"/>
              <w:spacing w:after="0" w:line="134" w:lineRule="exact"/>
              <w:rPr>
                <w:sz w:val="20"/>
                <w:szCs w:val="20"/>
                <w:color w:val="auto"/>
              </w:rPr>
            </w:pPr>
            <w:r>
              <w:rPr>
                <w:rFonts w:ascii="Arial" w:cs="Arial" w:eastAsia="Arial" w:hAnsi="Arial"/>
                <w:sz w:val="12"/>
                <w:szCs w:val="12"/>
                <w:color w:val="auto"/>
              </w:rPr>
              <w:t>(413)</w:t>
            </w:r>
          </w:p>
        </w:tc>
        <w:tc>
          <w:tcPr>
            <w:tcW w:w="108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192</w:t>
            </w:r>
          </w:p>
        </w:tc>
        <w:tc>
          <w:tcPr>
            <w:tcW w:w="1280" w:type="dxa"/>
            <w:vAlign w:val="bottom"/>
          </w:tcPr>
          <w:p>
            <w:pPr>
              <w:jc w:val="right"/>
              <w:ind w:right="158"/>
              <w:spacing w:after="0" w:line="134" w:lineRule="exact"/>
              <w:rPr>
                <w:sz w:val="20"/>
                <w:szCs w:val="20"/>
                <w:color w:val="auto"/>
              </w:rPr>
            </w:pPr>
            <w:r>
              <w:rPr>
                <w:rFonts w:ascii="Arial" w:cs="Arial" w:eastAsia="Arial" w:hAnsi="Arial"/>
                <w:sz w:val="12"/>
                <w:szCs w:val="12"/>
                <w:color w:val="auto"/>
              </w:rPr>
              <w:t>(221)</w:t>
            </w: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 to income for the period</w:t>
            </w:r>
          </w:p>
        </w:tc>
        <w:tc>
          <w:tcPr>
            <w:tcW w:w="1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(5)</w:t>
            </w:r>
          </w:p>
        </w:tc>
        <w:tc>
          <w:tcPr>
            <w:tcW w:w="1040" w:type="dxa"/>
            <w:vAlign w:val="bottom"/>
            <w:tcBorders>
              <w:bottom w:val="single" w:sz="8" w:color="auto"/>
            </w:tcBorders>
          </w:tcPr>
          <w:p>
            <w:pPr>
              <w:spacing w:after="0"/>
              <w:rPr>
                <w:sz w:val="12"/>
                <w:szCs w:val="12"/>
                <w:color w:val="auto"/>
              </w:rPr>
            </w:pPr>
          </w:p>
        </w:tc>
      </w:tr>
      <w:tr>
        <w:trPr>
          <w:trHeight w:val="134"/>
        </w:trPr>
        <w:tc>
          <w:tcPr>
            <w:tcW w:w="3840" w:type="dxa"/>
            <w:vAlign w:val="bottom"/>
            <w:gridSpan w:val="2"/>
          </w:tcPr>
          <w:p>
            <w:pPr>
              <w:spacing w:after="0" w:line="134" w:lineRule="exact"/>
              <w:rPr>
                <w:sz w:val="20"/>
                <w:szCs w:val="20"/>
                <w:color w:val="auto"/>
              </w:rPr>
            </w:pPr>
            <w:r>
              <w:rPr>
                <w:rFonts w:ascii="Arial" w:cs="Arial" w:eastAsia="Arial" w:hAnsi="Arial"/>
                <w:sz w:val="12"/>
                <w:szCs w:val="12"/>
                <w:color w:val="auto"/>
              </w:rPr>
              <w:t>Unrealised gain/(losses) on cash flow hedges net of</w:t>
            </w:r>
          </w:p>
        </w:tc>
        <w:tc>
          <w:tcPr>
            <w:tcW w:w="1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9"/>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reclassifications</w:t>
            </w:r>
          </w:p>
        </w:tc>
        <w:tc>
          <w:tcPr>
            <w:tcW w:w="14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(157)</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(418)</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192</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(226)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(383)</w:t>
            </w:r>
          </w:p>
        </w:tc>
      </w:tr>
      <w:tr>
        <w:trPr>
          <w:trHeight w:val="146"/>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Total</w:t>
            </w:r>
          </w:p>
        </w:tc>
        <w:tc>
          <w:tcPr>
            <w:tcW w:w="14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4,142</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(4,575)</w:t>
            </w:r>
          </w:p>
        </w:tc>
        <w:tc>
          <w:tcPr>
            <w:tcW w:w="10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209</w:t>
            </w: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(4,366)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-1310640</wp:posOffset>
            </wp:positionV>
            <wp:extent cx="2723515" cy="262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723515" cy="2622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295910</wp:posOffset>
            </wp:positionV>
            <wp:extent cx="8255" cy="9302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93027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6540" w:type="dxa"/>
            <w:vAlign w:val="bottom"/>
            <w:shd w:val="clear" w:color="auto" w:fill="7DD0E3"/>
          </w:tcPr>
          <w:p>
            <w:pPr>
              <w:spacing w:after="0"/>
              <w:rPr>
                <w:sz w:val="12"/>
                <w:szCs w:val="12"/>
                <w:color w:val="auto"/>
              </w:rPr>
            </w:pPr>
          </w:p>
        </w:tc>
        <w:tc>
          <w:tcPr>
            <w:tcW w:w="680" w:type="dxa"/>
            <w:vAlign w:val="bottom"/>
            <w:shd w:val="clear" w:color="auto" w:fill="7DD0E3"/>
          </w:tcPr>
          <w:p>
            <w:pPr>
              <w:spacing w:after="0"/>
              <w:rPr>
                <w:sz w:val="12"/>
                <w:szCs w:val="12"/>
                <w:color w:val="auto"/>
              </w:rPr>
            </w:pPr>
          </w:p>
        </w:tc>
        <w:tc>
          <w:tcPr>
            <w:tcW w:w="1340" w:type="dxa"/>
            <w:vAlign w:val="bottom"/>
            <w:shd w:val="clear" w:color="auto" w:fill="7DD0E3"/>
          </w:tcPr>
          <w:p>
            <w:pPr>
              <w:spacing w:after="0"/>
              <w:rPr>
                <w:sz w:val="12"/>
                <w:szCs w:val="12"/>
                <w:color w:val="auto"/>
              </w:rPr>
            </w:pPr>
          </w:p>
        </w:tc>
        <w:tc>
          <w:tcPr>
            <w:tcW w:w="900" w:type="dxa"/>
            <w:vAlign w:val="bottom"/>
            <w:shd w:val="clear" w:color="auto" w:fill="7DD0E3"/>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654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34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2006</w:t>
            </w:r>
          </w:p>
        </w:tc>
        <w:tc>
          <w:tcPr>
            <w:tcW w:w="9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113"/>
        </w:trPr>
        <w:tc>
          <w:tcPr>
            <w:tcW w:w="20" w:type="dxa"/>
            <w:vAlign w:val="bottom"/>
          </w:tcPr>
          <w:p>
            <w:pPr>
              <w:spacing w:after="0"/>
              <w:rPr>
                <w:sz w:val="9"/>
                <w:szCs w:val="9"/>
                <w:color w:val="auto"/>
              </w:rPr>
            </w:pPr>
          </w:p>
        </w:tc>
        <w:tc>
          <w:tcPr>
            <w:tcW w:w="6540" w:type="dxa"/>
            <w:vAlign w:val="bottom"/>
          </w:tcPr>
          <w:p>
            <w:pPr>
              <w:spacing w:after="0" w:line="114" w:lineRule="exact"/>
              <w:rPr>
                <w:sz w:val="20"/>
                <w:szCs w:val="20"/>
                <w:color w:val="auto"/>
              </w:rPr>
            </w:pPr>
            <w:r>
              <w:rPr>
                <w:rFonts w:ascii="Arial" w:cs="Arial" w:eastAsia="Arial" w:hAnsi="Arial"/>
                <w:sz w:val="12"/>
                <w:szCs w:val="12"/>
                <w:color w:val="auto"/>
              </w:rPr>
              <w:t>Interim dividends paid: $1.405 per Class A share (2006: $1.225; 2005: $1.52)</w:t>
            </w:r>
            <w:r>
              <w:rPr>
                <w:rFonts w:ascii="Arial" w:cs="Arial" w:eastAsia="Arial" w:hAnsi="Arial"/>
                <w:sz w:val="12"/>
                <w:szCs w:val="12"/>
                <w:b w:val="1"/>
                <w:bCs w:val="1"/>
                <w:color w:val="auto"/>
              </w:rPr>
              <w:t>[A]</w:t>
            </w:r>
          </w:p>
        </w:tc>
        <w:tc>
          <w:tcPr>
            <w:tcW w:w="680" w:type="dxa"/>
            <w:vAlign w:val="bottom"/>
            <w:shd w:val="clear" w:color="auto" w:fill="E4E3E1"/>
          </w:tcPr>
          <w:p>
            <w:pPr>
              <w:jc w:val="right"/>
              <w:ind w:right="38"/>
              <w:spacing w:after="0" w:line="114" w:lineRule="exact"/>
              <w:rPr>
                <w:sz w:val="20"/>
                <w:szCs w:val="20"/>
                <w:color w:val="auto"/>
              </w:rPr>
            </w:pPr>
            <w:r>
              <w:rPr>
                <w:rFonts w:ascii="Arial" w:cs="Arial" w:eastAsia="Arial" w:hAnsi="Arial"/>
                <w:sz w:val="12"/>
                <w:szCs w:val="12"/>
                <w:color w:val="auto"/>
              </w:rPr>
              <w:t>5,154</w:t>
            </w:r>
          </w:p>
        </w:tc>
        <w:tc>
          <w:tcPr>
            <w:tcW w:w="1340" w:type="dxa"/>
            <w:vAlign w:val="bottom"/>
          </w:tcPr>
          <w:p>
            <w:pPr>
              <w:jc w:val="right"/>
              <w:ind w:right="258"/>
              <w:spacing w:after="0" w:line="114" w:lineRule="exact"/>
              <w:rPr>
                <w:sz w:val="20"/>
                <w:szCs w:val="20"/>
                <w:color w:val="auto"/>
              </w:rPr>
            </w:pPr>
            <w:r>
              <w:rPr>
                <w:rFonts w:ascii="Arial" w:cs="Arial" w:eastAsia="Arial" w:hAnsi="Arial"/>
                <w:sz w:val="12"/>
                <w:szCs w:val="12"/>
                <w:color w:val="auto"/>
              </w:rPr>
              <w:t>4,726</w:t>
            </w:r>
          </w:p>
        </w:tc>
        <w:tc>
          <w:tcPr>
            <w:tcW w:w="900" w:type="dxa"/>
            <w:vAlign w:val="bottom"/>
          </w:tcPr>
          <w:p>
            <w:pPr>
              <w:jc w:val="right"/>
              <w:ind w:right="38"/>
              <w:spacing w:after="0" w:line="114" w:lineRule="exact"/>
              <w:rPr>
                <w:sz w:val="20"/>
                <w:szCs w:val="20"/>
                <w:color w:val="auto"/>
              </w:rPr>
            </w:pPr>
            <w:r>
              <w:rPr>
                <w:rFonts w:ascii="Arial" w:cs="Arial" w:eastAsia="Arial" w:hAnsi="Arial"/>
                <w:sz w:val="12"/>
                <w:szCs w:val="12"/>
                <w:color w:val="auto"/>
              </w:rPr>
              <w:t>6,241</w:t>
            </w:r>
          </w:p>
        </w:tc>
      </w:tr>
      <w:tr>
        <w:trPr>
          <w:trHeight w:val="153"/>
        </w:trPr>
        <w:tc>
          <w:tcPr>
            <w:tcW w:w="6560" w:type="dxa"/>
            <w:vAlign w:val="bottom"/>
            <w:gridSpan w:val="2"/>
          </w:tcPr>
          <w:p>
            <w:pPr>
              <w:spacing w:after="0"/>
              <w:rPr>
                <w:sz w:val="20"/>
                <w:szCs w:val="20"/>
                <w:color w:val="auto"/>
              </w:rPr>
            </w:pPr>
            <w:r>
              <w:rPr>
                <w:rFonts w:ascii="Arial" w:cs="Arial" w:eastAsia="Arial" w:hAnsi="Arial"/>
                <w:sz w:val="12"/>
                <w:szCs w:val="12"/>
                <w:color w:val="auto"/>
              </w:rPr>
              <w:t>Interim dividends paid: $1.405 per Class B share (2006: $1.225; 2005: $1.55)</w:t>
            </w:r>
            <w:r>
              <w:rPr>
                <w:rFonts w:ascii="Arial" w:cs="Arial" w:eastAsia="Arial" w:hAnsi="Arial"/>
                <w:sz w:val="12"/>
                <w:szCs w:val="12"/>
                <w:b w:val="1"/>
                <w:bCs w:val="1"/>
                <w:color w:val="auto"/>
              </w:rPr>
              <w:t>[A]</w:t>
            </w:r>
          </w:p>
        </w:tc>
        <w:tc>
          <w:tcPr>
            <w:tcW w:w="6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3,847</w:t>
            </w:r>
          </w:p>
        </w:tc>
        <w:tc>
          <w:tcPr>
            <w:tcW w:w="1340" w:type="dxa"/>
            <w:vAlign w:val="bottom"/>
          </w:tcPr>
          <w:p>
            <w:pPr>
              <w:jc w:val="right"/>
              <w:ind w:right="258"/>
              <w:spacing w:after="0"/>
              <w:rPr>
                <w:sz w:val="20"/>
                <w:szCs w:val="20"/>
                <w:color w:val="auto"/>
              </w:rPr>
            </w:pPr>
            <w:r>
              <w:rPr>
                <w:rFonts w:ascii="Arial" w:cs="Arial" w:eastAsia="Arial" w:hAnsi="Arial"/>
                <w:sz w:val="12"/>
                <w:szCs w:val="12"/>
                <w:color w:val="auto"/>
              </w:rPr>
              <w:t>3,416</w:t>
            </w:r>
          </w:p>
        </w:tc>
        <w:tc>
          <w:tcPr>
            <w:tcW w:w="900" w:type="dxa"/>
            <w:vAlign w:val="bottom"/>
          </w:tcPr>
          <w:p>
            <w:pPr>
              <w:jc w:val="right"/>
              <w:ind w:right="38"/>
              <w:spacing w:after="0"/>
              <w:rPr>
                <w:sz w:val="20"/>
                <w:szCs w:val="20"/>
                <w:color w:val="auto"/>
              </w:rPr>
            </w:pPr>
            <w:r>
              <w:rPr>
                <w:rFonts w:ascii="Arial" w:cs="Arial" w:eastAsia="Arial" w:hAnsi="Arial"/>
                <w:sz w:val="12"/>
                <w:szCs w:val="12"/>
                <w:color w:val="auto"/>
              </w:rPr>
              <w:t>4,315</w:t>
            </w:r>
          </w:p>
        </w:tc>
      </w:tr>
      <w:tr>
        <w:trPr>
          <w:trHeight w:val="140"/>
        </w:trPr>
        <w:tc>
          <w:tcPr>
            <w:tcW w:w="20" w:type="dxa"/>
            <w:vAlign w:val="bottom"/>
          </w:tcPr>
          <w:p>
            <w:pPr>
              <w:spacing w:after="0"/>
              <w:rPr>
                <w:sz w:val="12"/>
                <w:szCs w:val="12"/>
                <w:color w:val="auto"/>
              </w:rPr>
            </w:pPr>
          </w:p>
        </w:tc>
        <w:tc>
          <w:tcPr>
            <w:tcW w:w="6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80" w:type="dxa"/>
            <w:vAlign w:val="bottom"/>
            <w:tcBorders>
              <w:top w:val="single" w:sz="8" w:color="auto"/>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9,001</w:t>
            </w:r>
          </w:p>
        </w:tc>
        <w:tc>
          <w:tcPr>
            <w:tcW w:w="13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2"/>
                <w:szCs w:val="12"/>
                <w:color w:val="auto"/>
              </w:rPr>
              <w:t>8,142</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10,556</w:t>
            </w:r>
          </w:p>
        </w:tc>
      </w:tr>
    </w:tbl>
    <w:p>
      <w:pPr>
        <w:spacing w:after="0" w:line="61" w:lineRule="exact"/>
        <w:rPr>
          <w:sz w:val="20"/>
          <w:szCs w:val="20"/>
          <w:color w:val="auto"/>
        </w:rPr>
      </w:pPr>
    </w:p>
    <w:p>
      <w:pPr>
        <w:ind w:left="260" w:hanging="253"/>
        <w:spacing w:after="0" w:line="249" w:lineRule="auto"/>
        <w:tabs>
          <w:tab w:leader="none" w:pos="260" w:val="left"/>
        </w:tabs>
        <w:numPr>
          <w:ilvl w:val="0"/>
          <w:numId w:val="141"/>
        </w:numPr>
        <w:rPr>
          <w:rFonts w:ascii="Arial" w:cs="Arial" w:eastAsia="Arial" w:hAnsi="Arial"/>
          <w:sz w:val="12"/>
          <w:szCs w:val="12"/>
          <w:color w:val="auto"/>
        </w:rPr>
      </w:pPr>
      <w:r>
        <w:rPr>
          <w:rFonts w:ascii="Arial" w:cs="Arial" w:eastAsia="Arial" w:hAnsi="Arial"/>
          <w:sz w:val="12"/>
          <w:szCs w:val="12"/>
          <w:color w:val="auto"/>
        </w:rPr>
        <w:t>Dividends for 2006 and 2005 were declared in euro and have been translated, for comparison purposes, to US dollars (based on the conversion of US dollar dividend in respect of American Depositary Receipts (ADR) in the applicable period; one ADR is equal to two ordinary shares).</w:t>
      </w:r>
    </w:p>
    <w:p>
      <w:pPr>
        <w:spacing w:after="0" w:line="74"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In addition, on January 31, 2008, the Directors proposed a further interim dividend in respect of 2007 of $0.36 per Class A share and $0.36 per Class B share, payable on March 12, 2008, which will absorb an estimated $2,283 million of shareholders’ funds.</w:t>
      </w:r>
    </w:p>
    <w:p>
      <w:pPr>
        <w:spacing w:after="0" w:line="200" w:lineRule="exact"/>
        <w:rPr>
          <w:sz w:val="20"/>
          <w:szCs w:val="20"/>
          <w:color w:val="auto"/>
        </w:rPr>
      </w:pPr>
    </w:p>
    <w:p>
      <w:pPr>
        <w:sectPr>
          <w:pgSz w:w="11900" w:h="16838" w:orient="portrait"/>
          <w:cols w:equalWidth="0" w:num="2">
            <w:col w:w="1220" w:space="720"/>
            <w:col w:w="948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154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386080</wp:posOffset>
            </wp:positionV>
            <wp:extent cx="7252970"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336550</wp:posOffset>
            </wp:positionV>
            <wp:extent cx="282575" cy="47872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82575" cy="478726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31</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w:t>
      </w:r>
    </w:p>
    <w:p>
      <w:pPr>
        <w:spacing w:after="0" w:line="238" w:lineRule="auto"/>
        <w:rPr>
          <w:sz w:val="20"/>
          <w:szCs w:val="20"/>
          <w:color w:val="auto"/>
        </w:rPr>
      </w:pPr>
      <w:r>
        <w:rPr>
          <w:rFonts w:ascii="Arial" w:cs="Arial" w:eastAsia="Arial" w:hAnsi="Arial"/>
          <w:sz w:val="14"/>
          <w:szCs w:val="14"/>
          <w:b w:val="1"/>
          <w:bCs w:val="1"/>
          <w:color w:val="auto"/>
        </w:rPr>
        <w:t>STATEMENT OF CASH</w:t>
      </w:r>
    </w:p>
    <w:p>
      <w:pPr>
        <w:spacing w:after="0"/>
        <w:rPr>
          <w:sz w:val="20"/>
          <w:szCs w:val="20"/>
          <w:color w:val="auto"/>
        </w:rPr>
      </w:pPr>
      <w:r>
        <w:rPr>
          <w:rFonts w:ascii="Arial" w:cs="Arial" w:eastAsia="Arial" w:hAnsi="Arial"/>
          <w:sz w:val="14"/>
          <w:szCs w:val="14"/>
          <w:b w:val="1"/>
          <w:bCs w:val="1"/>
          <w:color w:val="auto"/>
        </w:rPr>
        <w: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wp:posOffset>
            </wp:positionV>
            <wp:extent cx="8255" cy="30702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3070225"/>
                    </a:xfrm>
                    <a:prstGeom prst="rect">
                      <a:avLst/>
                    </a:prstGeom>
                    <a:noFill/>
                  </pic:spPr>
                </pic:pic>
              </a:graphicData>
            </a:graphic>
          </wp:anchor>
        </w:drawing>
      </w:r>
    </w:p>
    <w:p>
      <w:pPr>
        <w:ind w:left="320" w:right="1460"/>
        <w:spacing w:after="0" w:line="234" w:lineRule="auto"/>
        <w:rPr>
          <w:sz w:val="20"/>
          <w:szCs w:val="20"/>
          <w:color w:val="auto"/>
        </w:rPr>
      </w:pPr>
      <w:r>
        <w:rPr>
          <w:rFonts w:ascii="Arial" w:cs="Arial" w:eastAsia="Arial" w:hAnsi="Arial"/>
          <w:sz w:val="14"/>
          <w:szCs w:val="14"/>
          <w:color w:val="auto"/>
        </w:rPr>
        <w:t>The Consolidated Statement of Cash Flows reflects the cash flows arising from the activities of Royal Dutch Shell and its subsidiaries as measured in their own currencies, translated to dollars at quarterly average rates of exchange.</w:t>
      </w:r>
    </w:p>
    <w:p>
      <w:pPr>
        <w:spacing w:after="0" w:line="74" w:lineRule="exact"/>
        <w:rPr>
          <w:sz w:val="20"/>
          <w:szCs w:val="20"/>
          <w:color w:val="auto"/>
        </w:rPr>
      </w:pPr>
    </w:p>
    <w:p>
      <w:pPr>
        <w:ind w:left="320" w:right="1500"/>
        <w:spacing w:after="0" w:line="228" w:lineRule="auto"/>
        <w:rPr>
          <w:sz w:val="20"/>
          <w:szCs w:val="20"/>
          <w:color w:val="auto"/>
        </w:rPr>
      </w:pPr>
      <w:r>
        <w:rPr>
          <w:rFonts w:ascii="Arial" w:cs="Arial" w:eastAsia="Arial" w:hAnsi="Arial"/>
          <w:sz w:val="14"/>
          <w:szCs w:val="14"/>
          <w:color w:val="auto"/>
        </w:rPr>
        <w:t>Accordingly, the cash flows recorded in the Consolidated Statement of Cash Flows exclude both the currency translation differences which arise as a result of translating the assets and liabilities of non-dollar subsidiaries to dollars at year-end rates of exchange (except for those arising on cash and cash equivalents) and non-cash investing and financing activities. These currency translation differences and non-cash investing and financing activities must therefore be added to the cash flow movements at average rates in order to arrive at the movements derived from the Consolidated Balance Sheet.</w:t>
      </w:r>
    </w:p>
    <w:p>
      <w:pPr>
        <w:spacing w:after="0" w:line="87" w:lineRule="exact"/>
        <w:rPr>
          <w:sz w:val="20"/>
          <w:szCs w:val="20"/>
          <w:color w:val="auto"/>
        </w:rPr>
      </w:pPr>
    </w:p>
    <w:tbl>
      <w:tblPr>
        <w:tblLayout w:type="fixed"/>
        <w:tblInd w:w="320" w:type="dxa"/>
        <w:tblCellMar>
          <w:top w:w="0" w:type="dxa"/>
          <w:left w:w="0" w:type="dxa"/>
          <w:bottom w:w="0" w:type="dxa"/>
          <w:right w:w="0" w:type="dxa"/>
        </w:tblCellMar>
      </w:tblPr>
      <w:tr>
        <w:trPr>
          <w:trHeight w:val="139"/>
        </w:trPr>
        <w:tc>
          <w:tcPr>
            <w:tcW w:w="400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2007</w:t>
            </w:r>
          </w:p>
        </w:tc>
        <w:tc>
          <w:tcPr>
            <w:tcW w:w="1180" w:type="dxa"/>
            <w:vAlign w:val="bottom"/>
            <w:shd w:val="clear" w:color="auto" w:fill="7DD0E3"/>
          </w:tcPr>
          <w:p>
            <w:pPr>
              <w:spacing w:after="0"/>
              <w:rPr>
                <w:sz w:val="12"/>
                <w:szCs w:val="12"/>
                <w:color w:val="auto"/>
              </w:rPr>
            </w:pPr>
          </w:p>
        </w:tc>
        <w:tc>
          <w:tcPr>
            <w:tcW w:w="1260" w:type="dxa"/>
            <w:vAlign w:val="bottom"/>
            <w:shd w:val="clear" w:color="auto" w:fill="7DD0E3"/>
          </w:tcPr>
          <w:p>
            <w:pPr>
              <w:spacing w:after="0"/>
              <w:rPr>
                <w:sz w:val="12"/>
                <w:szCs w:val="12"/>
                <w:color w:val="auto"/>
              </w:rPr>
            </w:pPr>
          </w:p>
        </w:tc>
        <w:tc>
          <w:tcPr>
            <w:tcW w:w="1040" w:type="dxa"/>
            <w:vAlign w:val="bottom"/>
            <w:shd w:val="clear" w:color="auto" w:fill="7DD0E3"/>
          </w:tcPr>
          <w:p>
            <w:pPr>
              <w:spacing w:after="0"/>
              <w:rPr>
                <w:sz w:val="12"/>
                <w:szCs w:val="12"/>
                <w:color w:val="auto"/>
              </w:rPr>
            </w:pPr>
          </w:p>
        </w:tc>
        <w:tc>
          <w:tcPr>
            <w:tcW w:w="1060" w:type="dxa"/>
            <w:vAlign w:val="bottom"/>
            <w:shd w:val="clear" w:color="auto" w:fill="7DD0E3"/>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400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Movements</w:t>
            </w:r>
          </w:p>
        </w:tc>
        <w:tc>
          <w:tcPr>
            <w:tcW w:w="1260" w:type="dxa"/>
            <w:vAlign w:val="bottom"/>
            <w:shd w:val="clear" w:color="auto" w:fill="CECAC6"/>
          </w:tcPr>
          <w:p>
            <w:pPr>
              <w:spacing w:after="0"/>
              <w:rPr>
                <w:sz w:val="11"/>
                <w:szCs w:val="11"/>
                <w:color w:val="auto"/>
              </w:rPr>
            </w:pPr>
          </w:p>
        </w:tc>
        <w:tc>
          <w:tcPr>
            <w:tcW w:w="1040" w:type="dxa"/>
            <w:vAlign w:val="bottom"/>
            <w:shd w:val="clear" w:color="auto" w:fill="CECAC6"/>
          </w:tcPr>
          <w:p>
            <w:pPr>
              <w:spacing w:after="0"/>
              <w:rPr>
                <w:sz w:val="11"/>
                <w:szCs w:val="11"/>
                <w:color w:val="auto"/>
              </w:rPr>
            </w:pPr>
          </w:p>
        </w:tc>
        <w:tc>
          <w:tcPr>
            <w:tcW w:w="1060" w:type="dxa"/>
            <w:vAlign w:val="bottom"/>
            <w:shd w:val="clear" w:color="auto" w:fill="CECAC6"/>
          </w:tcPr>
          <w:p>
            <w:pPr>
              <w:spacing w:after="0"/>
              <w:rPr>
                <w:sz w:val="11"/>
                <w:szCs w:val="11"/>
                <w:color w:val="auto"/>
              </w:rPr>
            </w:pPr>
          </w:p>
        </w:tc>
      </w:tr>
      <w:tr>
        <w:trPr>
          <w:trHeight w:val="133"/>
        </w:trPr>
        <w:tc>
          <w:tcPr>
            <w:tcW w:w="400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derived from</w:t>
            </w:r>
          </w:p>
        </w:tc>
        <w:tc>
          <w:tcPr>
            <w:tcW w:w="126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Movements</w:t>
            </w:r>
          </w:p>
        </w:tc>
        <w:tc>
          <w:tcPr>
            <w:tcW w:w="1040" w:type="dxa"/>
            <w:vAlign w:val="bottom"/>
            <w:shd w:val="clear" w:color="auto" w:fill="CECAC6"/>
          </w:tcPr>
          <w:p>
            <w:pPr>
              <w:spacing w:after="0"/>
              <w:rPr>
                <w:sz w:val="11"/>
                <w:szCs w:val="11"/>
                <w:color w:val="auto"/>
              </w:rPr>
            </w:pP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Movements</w:t>
            </w:r>
          </w:p>
        </w:tc>
      </w:tr>
      <w:tr>
        <w:trPr>
          <w:trHeight w:val="133"/>
        </w:trPr>
        <w:tc>
          <w:tcPr>
            <w:tcW w:w="400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Consolidated</w:t>
            </w:r>
          </w:p>
        </w:tc>
        <w:tc>
          <w:tcPr>
            <w:tcW w:w="126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arising from</w:t>
            </w:r>
          </w:p>
        </w:tc>
        <w:tc>
          <w:tcPr>
            <w:tcW w:w="1040" w:type="dxa"/>
            <w:vAlign w:val="bottom"/>
            <w:shd w:val="clear" w:color="auto" w:fill="CECAC6"/>
          </w:tcPr>
          <w:p>
            <w:pPr>
              <w:spacing w:after="0"/>
              <w:rPr>
                <w:sz w:val="11"/>
                <w:szCs w:val="11"/>
                <w:color w:val="auto"/>
              </w:rPr>
            </w:pP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derived from</w:t>
            </w:r>
          </w:p>
        </w:tc>
      </w:tr>
      <w:tr>
        <w:trPr>
          <w:trHeight w:val="133"/>
        </w:trPr>
        <w:tc>
          <w:tcPr>
            <w:tcW w:w="400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Statement of</w:t>
            </w:r>
          </w:p>
        </w:tc>
        <w:tc>
          <w:tcPr>
            <w:tcW w:w="126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currency</w:t>
            </w:r>
          </w:p>
        </w:tc>
        <w:tc>
          <w:tcPr>
            <w:tcW w:w="104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Non-cash</w:t>
            </w: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Consolidated</w:t>
            </w:r>
          </w:p>
        </w:tc>
      </w:tr>
      <w:tr>
        <w:trPr>
          <w:trHeight w:val="139"/>
        </w:trPr>
        <w:tc>
          <w:tcPr>
            <w:tcW w:w="400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Cash Flows</w:t>
            </w:r>
          </w:p>
        </w:tc>
        <w:tc>
          <w:tcPr>
            <w:tcW w:w="12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translation</w:t>
            </w:r>
          </w:p>
        </w:tc>
        <w:tc>
          <w:tcPr>
            <w:tcW w:w="1040" w:type="dxa"/>
            <w:vAlign w:val="bottom"/>
            <w:shd w:val="clear" w:color="auto" w:fill="CECAC6"/>
          </w:tcPr>
          <w:p>
            <w:pPr>
              <w:jc w:val="right"/>
              <w:ind w:right="138"/>
              <w:spacing w:after="0"/>
              <w:rPr>
                <w:sz w:val="20"/>
                <w:szCs w:val="20"/>
                <w:color w:val="auto"/>
              </w:rPr>
            </w:pPr>
            <w:r>
              <w:rPr>
                <w:rFonts w:ascii="Arial" w:cs="Arial" w:eastAsia="Arial" w:hAnsi="Arial"/>
                <w:sz w:val="12"/>
                <w:szCs w:val="12"/>
                <w:color w:val="auto"/>
              </w:rPr>
              <w:t>movements</w:t>
            </w:r>
          </w:p>
        </w:tc>
        <w:tc>
          <w:tcPr>
            <w:tcW w:w="10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Balance Sheet</w:t>
            </w:r>
          </w:p>
        </w:tc>
      </w:tr>
      <w:tr>
        <w:trPr>
          <w:trHeight w:val="260"/>
        </w:trPr>
        <w:tc>
          <w:tcPr>
            <w:tcW w:w="4000" w:type="dxa"/>
            <w:vAlign w:val="bottom"/>
          </w:tcPr>
          <w:p>
            <w:pPr>
              <w:spacing w:after="0"/>
              <w:rPr>
                <w:sz w:val="20"/>
                <w:szCs w:val="20"/>
                <w:color w:val="auto"/>
              </w:rPr>
            </w:pPr>
            <w:r>
              <w:rPr>
                <w:rFonts w:ascii="Arial" w:cs="Arial" w:eastAsia="Arial" w:hAnsi="Arial"/>
                <w:sz w:val="12"/>
                <w:szCs w:val="12"/>
                <w:color w:val="auto"/>
              </w:rPr>
              <w:t>Intangible assets and property, plant and equipment</w:t>
            </w:r>
          </w:p>
        </w:tc>
        <w:tc>
          <w:tcPr>
            <w:tcW w:w="1180" w:type="dxa"/>
            <w:vAlign w:val="bottom"/>
          </w:tcPr>
          <w:p>
            <w:pPr>
              <w:jc w:val="right"/>
              <w:ind w:right="18"/>
              <w:spacing w:after="0"/>
              <w:rPr>
                <w:sz w:val="20"/>
                <w:szCs w:val="20"/>
                <w:color w:val="auto"/>
              </w:rPr>
            </w:pPr>
            <w:r>
              <w:rPr>
                <w:rFonts w:ascii="Arial" w:cs="Arial" w:eastAsia="Arial" w:hAnsi="Arial"/>
                <w:sz w:val="12"/>
                <w:szCs w:val="12"/>
                <w:color w:val="auto"/>
              </w:rPr>
              <w:t>5,412</w:t>
            </w:r>
          </w:p>
        </w:tc>
        <w:tc>
          <w:tcPr>
            <w:tcW w:w="1260" w:type="dxa"/>
            <w:vAlign w:val="bottom"/>
          </w:tcPr>
          <w:p>
            <w:pPr>
              <w:jc w:val="right"/>
              <w:ind w:right="198"/>
              <w:spacing w:after="0"/>
              <w:rPr>
                <w:sz w:val="20"/>
                <w:szCs w:val="20"/>
                <w:color w:val="auto"/>
              </w:rPr>
            </w:pPr>
            <w:r>
              <w:rPr>
                <w:rFonts w:ascii="Arial" w:cs="Arial" w:eastAsia="Arial" w:hAnsi="Arial"/>
                <w:sz w:val="12"/>
                <w:szCs w:val="12"/>
                <w:color w:val="auto"/>
              </w:rPr>
              <w:t>6,374</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(10,695)</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1,091</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Investments</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2,356</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554</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4,471</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7,381</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Deferred tax</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915</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(867)</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292</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340</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Other non-current assets</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1,989</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535</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(599)</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1,925</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Inventories</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7,038</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1,600</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(350)</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8,288</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Accounts receivable</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12,876</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2,386</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(692)</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14,570</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Cash and cash equivalents</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498</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156</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654</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Current debt</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481</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(157)</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324</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Accounts payable, accrued liabilities and other current liabilities</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(13,220)</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(3,143)</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2,115</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(14,248)</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Taxes payable</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(2,738)</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(850)</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(124)</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(3,712)</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Non-current debt</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(2,151)</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(699)</w:t>
            </w:r>
          </w:p>
        </w:tc>
        <w:tc>
          <w:tcPr>
            <w:tcW w:w="10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200</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(2,650)</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Other non-current liabilities</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(38)</w:t>
            </w:r>
          </w:p>
        </w:tc>
        <w:tc>
          <w:tcPr>
            <w:tcW w:w="12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(1,440)</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(1,462)</w:t>
            </w:r>
          </w:p>
        </w:tc>
        <w:tc>
          <w:tcPr>
            <w:tcW w:w="1060" w:type="dxa"/>
            <w:vAlign w:val="bottom"/>
          </w:tcPr>
          <w:p>
            <w:pPr>
              <w:jc w:val="right"/>
              <w:spacing w:after="0" w:line="133" w:lineRule="exact"/>
              <w:rPr>
                <w:sz w:val="20"/>
                <w:szCs w:val="20"/>
                <w:color w:val="auto"/>
              </w:rPr>
            </w:pPr>
            <w:r>
              <w:rPr>
                <w:rFonts w:ascii="Arial" w:cs="Arial" w:eastAsia="Arial" w:hAnsi="Arial"/>
                <w:sz w:val="12"/>
                <w:szCs w:val="12"/>
                <w:color w:val="auto"/>
              </w:rPr>
              <w:t>(2,940)</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Minority interest</w:t>
            </w:r>
          </w:p>
        </w:tc>
        <w:tc>
          <w:tcPr>
            <w:tcW w:w="11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6,960</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876</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(625)</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7,211</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Treasury shares</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(876)</w:t>
            </w:r>
          </w:p>
        </w:tc>
        <w:tc>
          <w:tcPr>
            <w:tcW w:w="126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(48)</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9"/>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items</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12,424</w:t>
            </w: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64</w:t>
            </w:r>
          </w:p>
        </w:tc>
        <w:tc>
          <w:tcPr>
            <w:tcW w:w="10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7,517</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r>
        <w:trPr>
          <w:trHeight w:val="140"/>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Income for the period</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31,926</w:t>
            </w:r>
          </w:p>
        </w:tc>
        <w:tc>
          <w:tcPr>
            <w:tcW w:w="1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40"/>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translation differences (see Note 29)</w:t>
            </w:r>
          </w:p>
        </w:tc>
        <w:tc>
          <w:tcPr>
            <w:tcW w:w="11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5,389</w:t>
            </w:r>
          </w:p>
        </w:tc>
        <w:tc>
          <w:tcPr>
            <w:tcW w:w="10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20"/>
        </w:trPr>
        <w:tc>
          <w:tcPr>
            <w:tcW w:w="4000" w:type="dxa"/>
            <w:vAlign w:val="bottom"/>
          </w:tcPr>
          <w:p>
            <w:pPr>
              <w:spacing w:after="0" w:line="120" w:lineRule="exact"/>
              <w:rPr>
                <w:sz w:val="20"/>
                <w:szCs w:val="20"/>
                <w:color w:val="auto"/>
              </w:rPr>
            </w:pPr>
            <w:r>
              <w:rPr>
                <w:rFonts w:ascii="Arial" w:cs="Arial" w:eastAsia="Arial" w:hAnsi="Arial"/>
                <w:sz w:val="12"/>
                <w:szCs w:val="12"/>
                <w:b w:val="1"/>
                <w:bCs w:val="1"/>
                <w:color w:val="auto"/>
              </w:rPr>
              <w:t>Movement in equity attributable to shareholders of Royal Dutch</w:t>
            </w:r>
          </w:p>
        </w:tc>
        <w:tc>
          <w:tcPr>
            <w:tcW w:w="1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60"/>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Shell</w:t>
            </w:r>
          </w:p>
        </w:tc>
        <w:tc>
          <w:tcPr>
            <w:tcW w:w="1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18,234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4960620</wp:posOffset>
            </wp:positionH>
            <wp:positionV relativeFrom="paragraph">
              <wp:posOffset>-2181225</wp:posOffset>
            </wp:positionV>
            <wp:extent cx="8255" cy="42291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657860</wp:posOffset>
            </wp:positionV>
            <wp:extent cx="7252970"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80"/>
          </w:cols>
          <w:pgMar w:left="240" w:top="415" w:right="13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580" w:type="dxa"/>
            <w:vAlign w:val="bottom"/>
            <w:gridSpan w:val="3"/>
          </w:tcPr>
          <w:p>
            <w:pPr>
              <w:spacing w:after="0"/>
              <w:rPr>
                <w:sz w:val="20"/>
                <w:szCs w:val="20"/>
                <w:color w:val="auto"/>
              </w:rPr>
            </w:pPr>
            <w:r>
              <w:rPr>
                <w:rFonts w:ascii="Arial" w:cs="Arial" w:eastAsia="Arial" w:hAnsi="Arial"/>
                <w:sz w:val="12"/>
                <w:szCs w:val="12"/>
                <w:color w:val="auto"/>
              </w:rPr>
              <w:t>NOTES TO THE CONSOLIDATED FINANCIAL STATEMENTS</w:t>
            </w: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940" w:type="dxa"/>
            <w:vAlign w:val="bottom"/>
            <w:vMerge w:val="restart"/>
          </w:tcPr>
          <w:p>
            <w:pPr>
              <w:spacing w:after="0"/>
              <w:rPr>
                <w:sz w:val="20"/>
                <w:szCs w:val="20"/>
                <w:color w:val="auto"/>
              </w:rPr>
            </w:pPr>
            <w:r>
              <w:rPr>
                <w:rFonts w:ascii="Arial" w:cs="Arial" w:eastAsia="Arial" w:hAnsi="Arial"/>
                <w:sz w:val="12"/>
                <w:szCs w:val="12"/>
                <w:b w:val="1"/>
                <w:bCs w:val="1"/>
                <w:i w:val="1"/>
                <w:iCs w:val="1"/>
                <w:color w:val="7DD0E0"/>
              </w:rPr>
              <w:t>Note 31 continued</w:t>
            </w:r>
          </w:p>
        </w:tc>
        <w:tc>
          <w:tcPr>
            <w:tcW w:w="20" w:type="dxa"/>
            <w:vAlign w:val="bottom"/>
            <w:vMerge w:val="restart"/>
          </w:tcPr>
          <w:p>
            <w:pPr>
              <w:spacing w:after="0"/>
              <w:rPr>
                <w:sz w:val="21"/>
                <w:szCs w:val="21"/>
                <w:color w:val="auto"/>
              </w:rPr>
            </w:pPr>
          </w:p>
        </w:tc>
        <w:tc>
          <w:tcPr>
            <w:tcW w:w="4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194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62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2006</w:t>
            </w:r>
          </w:p>
        </w:tc>
        <w:tc>
          <w:tcPr>
            <w:tcW w:w="1240" w:type="dxa"/>
            <w:vAlign w:val="bottom"/>
            <w:shd w:val="clear" w:color="auto" w:fill="7DD0E0"/>
          </w:tcPr>
          <w:p>
            <w:pPr>
              <w:spacing w:after="0"/>
              <w:rPr>
                <w:sz w:val="11"/>
                <w:szCs w:val="11"/>
                <w:color w:val="auto"/>
              </w:rPr>
            </w:pPr>
          </w:p>
        </w:tc>
        <w:tc>
          <w:tcPr>
            <w:tcW w:w="1360" w:type="dxa"/>
            <w:vAlign w:val="bottom"/>
            <w:shd w:val="clear" w:color="auto" w:fill="7DD0E0"/>
          </w:tcPr>
          <w:p>
            <w:pPr>
              <w:spacing w:after="0"/>
              <w:rPr>
                <w:sz w:val="11"/>
                <w:szCs w:val="11"/>
                <w:color w:val="auto"/>
              </w:rPr>
            </w:pPr>
          </w:p>
        </w:tc>
        <w:tc>
          <w:tcPr>
            <w:tcW w:w="1140" w:type="dxa"/>
            <w:vAlign w:val="bottom"/>
            <w:shd w:val="clear" w:color="auto" w:fill="7DD0E0"/>
          </w:tcPr>
          <w:p>
            <w:pPr>
              <w:spacing w:after="0"/>
              <w:rPr>
                <w:sz w:val="11"/>
                <w:szCs w:val="11"/>
                <w:color w:val="auto"/>
              </w:rPr>
            </w:pPr>
          </w:p>
        </w:tc>
        <w:tc>
          <w:tcPr>
            <w:tcW w:w="110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Movements</w:t>
            </w:r>
          </w:p>
        </w:tc>
        <w:tc>
          <w:tcPr>
            <w:tcW w:w="1360" w:type="dxa"/>
            <w:vAlign w:val="bottom"/>
            <w:shd w:val="clear" w:color="auto" w:fill="CECAC6"/>
          </w:tcPr>
          <w:p>
            <w:pPr>
              <w:spacing w:after="0"/>
              <w:rPr>
                <w:sz w:val="11"/>
                <w:szCs w:val="11"/>
                <w:color w:val="auto"/>
              </w:rPr>
            </w:pP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derived from</w:t>
            </w:r>
          </w:p>
        </w:tc>
        <w:tc>
          <w:tcPr>
            <w:tcW w:w="13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Movements</w:t>
            </w: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Movements</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Consolidated</w:t>
            </w:r>
          </w:p>
        </w:tc>
        <w:tc>
          <w:tcPr>
            <w:tcW w:w="13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arising from</w:t>
            </w: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derived from</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Statement of</w:t>
            </w:r>
          </w:p>
        </w:tc>
        <w:tc>
          <w:tcPr>
            <w:tcW w:w="13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currency</w:t>
            </w:r>
          </w:p>
        </w:tc>
        <w:tc>
          <w:tcPr>
            <w:tcW w:w="114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Non-cash</w:t>
            </w: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Consolidated</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shd w:val="clear" w:color="auto" w:fill="CECAC6"/>
          </w:tcPr>
          <w:p>
            <w:pPr>
              <w:spacing w:after="0"/>
              <w:rPr>
                <w:sz w:val="12"/>
                <w:szCs w:val="12"/>
                <w:color w:val="auto"/>
              </w:rPr>
            </w:pPr>
          </w:p>
        </w:tc>
        <w:tc>
          <w:tcPr>
            <w:tcW w:w="124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Cash Flows</w:t>
            </w:r>
          </w:p>
        </w:tc>
        <w:tc>
          <w:tcPr>
            <w:tcW w:w="136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translation</w:t>
            </w:r>
          </w:p>
        </w:tc>
        <w:tc>
          <w:tcPr>
            <w:tcW w:w="114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movements</w:t>
            </w:r>
          </w:p>
        </w:tc>
        <w:tc>
          <w:tcPr>
            <w:tcW w:w="11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Balance Sheet</w:t>
            </w: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Pr>
          <w:p>
            <w:pPr>
              <w:spacing w:after="0" w:line="128" w:lineRule="exact"/>
              <w:rPr>
                <w:sz w:val="20"/>
                <w:szCs w:val="20"/>
                <w:color w:val="auto"/>
              </w:rPr>
            </w:pPr>
            <w:r>
              <w:rPr>
                <w:rFonts w:ascii="Arial" w:cs="Arial" w:eastAsia="Arial" w:hAnsi="Arial"/>
                <w:sz w:val="12"/>
                <w:szCs w:val="12"/>
                <w:color w:val="auto"/>
              </w:rPr>
              <w:t>Intangible assets and property, plant and equipment</w:t>
            </w:r>
          </w:p>
        </w:tc>
        <w:tc>
          <w:tcPr>
            <w:tcW w:w="12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9,034</w:t>
            </w:r>
          </w:p>
        </w:tc>
        <w:tc>
          <w:tcPr>
            <w:tcW w:w="136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3,358</w:t>
            </w:r>
          </w:p>
        </w:tc>
        <w:tc>
          <w:tcPr>
            <w:tcW w:w="114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1,496</w:t>
            </w:r>
          </w:p>
        </w:tc>
        <w:tc>
          <w:tcPr>
            <w:tcW w:w="110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13,888</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Investments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1,772</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1,445</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1,439</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4,656</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Deferred tax</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(654)</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(442)</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(829)</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(1,925)</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Other non-current assets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1,315</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390</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1,112</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2,817</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Inventories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2,520</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958</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(39)</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3,439</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Accounts receivable</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(8,475)</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2,035</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(278)</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(6,718)</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Cash and cash equivalents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(2,906)</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178</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(2,728)</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Current debt</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148</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(869)</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(722)</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Accounts payable, accrued liabilities and current liabilities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8,536</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(1,627)</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(732)</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6,177</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Taxes payable</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4,293</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(691)</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(841)</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2,761</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Non-current debt</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(2,332)</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805</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(608)</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(2,135)</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Other non-current liabilities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(559)</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(1,354)</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(576)</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(2,489)</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Minority interest</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(1,145)</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(939)</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(135)</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(2,219)</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Treasury shares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(493)</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items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15,257</w:t>
            </w: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468</w:t>
            </w:r>
          </w:p>
        </w:tc>
        <w:tc>
          <w:tcPr>
            <w:tcW w:w="11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(8)</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Income for the period</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26,311</w:t>
            </w:r>
          </w:p>
        </w:tc>
        <w:tc>
          <w:tcPr>
            <w:tcW w:w="1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 (see Note 29)</w:t>
            </w:r>
          </w:p>
        </w:tc>
        <w:tc>
          <w:tcPr>
            <w:tcW w:w="1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3,715</w:t>
            </w: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Movement in equity attributable to shareholders of Royal Dutch Shell</w:t>
            </w:r>
          </w:p>
        </w:tc>
        <w:tc>
          <w:tcPr>
            <w:tcW w:w="1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14,802</w:t>
            </w:r>
          </w:p>
        </w:tc>
        <w:tc>
          <w:tcPr>
            <w:tcW w:w="0" w:type="dxa"/>
            <w:vAlign w:val="bottom"/>
          </w:tcPr>
          <w:p>
            <w:pPr>
              <w:spacing w:after="0"/>
              <w:rPr>
                <w:sz w:val="1"/>
                <w:szCs w:val="1"/>
                <w:color w:val="auto"/>
              </w:rPr>
            </w:pPr>
          </w:p>
        </w:tc>
      </w:tr>
      <w:tr>
        <w:trPr>
          <w:trHeight w:val="360"/>
        </w:trPr>
        <w:tc>
          <w:tcPr>
            <w:tcW w:w="19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462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2005</w:t>
            </w:r>
          </w:p>
        </w:tc>
        <w:tc>
          <w:tcPr>
            <w:tcW w:w="1240" w:type="dxa"/>
            <w:vAlign w:val="bottom"/>
            <w:shd w:val="clear" w:color="auto" w:fill="7DD0E0"/>
          </w:tcPr>
          <w:p>
            <w:pPr>
              <w:spacing w:after="0"/>
              <w:rPr>
                <w:sz w:val="11"/>
                <w:szCs w:val="11"/>
                <w:color w:val="auto"/>
              </w:rPr>
            </w:pPr>
          </w:p>
        </w:tc>
        <w:tc>
          <w:tcPr>
            <w:tcW w:w="1360" w:type="dxa"/>
            <w:vAlign w:val="bottom"/>
            <w:shd w:val="clear" w:color="auto" w:fill="7DD0E0"/>
          </w:tcPr>
          <w:p>
            <w:pPr>
              <w:spacing w:after="0"/>
              <w:rPr>
                <w:sz w:val="11"/>
                <w:szCs w:val="11"/>
                <w:color w:val="auto"/>
              </w:rPr>
            </w:pPr>
          </w:p>
        </w:tc>
        <w:tc>
          <w:tcPr>
            <w:tcW w:w="1140" w:type="dxa"/>
            <w:vAlign w:val="bottom"/>
            <w:shd w:val="clear" w:color="auto" w:fill="7DD0E0"/>
          </w:tcPr>
          <w:p>
            <w:pPr>
              <w:spacing w:after="0"/>
              <w:rPr>
                <w:sz w:val="11"/>
                <w:szCs w:val="11"/>
                <w:color w:val="auto"/>
              </w:rPr>
            </w:pPr>
          </w:p>
        </w:tc>
        <w:tc>
          <w:tcPr>
            <w:tcW w:w="1100" w:type="dxa"/>
            <w:vAlign w:val="bottom"/>
            <w:shd w:val="clear" w:color="auto" w:fill="7DD0E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Movements</w:t>
            </w:r>
          </w:p>
        </w:tc>
        <w:tc>
          <w:tcPr>
            <w:tcW w:w="1360" w:type="dxa"/>
            <w:vAlign w:val="bottom"/>
            <w:shd w:val="clear" w:color="auto" w:fill="CECAC6"/>
          </w:tcPr>
          <w:p>
            <w:pPr>
              <w:spacing w:after="0"/>
              <w:rPr>
                <w:sz w:val="11"/>
                <w:szCs w:val="11"/>
                <w:color w:val="auto"/>
              </w:rPr>
            </w:pP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derived from</w:t>
            </w:r>
          </w:p>
        </w:tc>
        <w:tc>
          <w:tcPr>
            <w:tcW w:w="13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Movements</w:t>
            </w: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Movements</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Consolidated</w:t>
            </w:r>
          </w:p>
        </w:tc>
        <w:tc>
          <w:tcPr>
            <w:tcW w:w="13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arising from</w:t>
            </w:r>
          </w:p>
        </w:tc>
        <w:tc>
          <w:tcPr>
            <w:tcW w:w="1140" w:type="dxa"/>
            <w:vAlign w:val="bottom"/>
            <w:shd w:val="clear" w:color="auto" w:fill="CECAC6"/>
          </w:tcPr>
          <w:p>
            <w:pPr>
              <w:spacing w:after="0"/>
              <w:rPr>
                <w:sz w:val="11"/>
                <w:szCs w:val="11"/>
                <w:color w:val="auto"/>
              </w:rPr>
            </w:pP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derived from</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shd w:val="clear" w:color="auto" w:fill="CECAC6"/>
          </w:tcPr>
          <w:p>
            <w:pPr>
              <w:spacing w:after="0"/>
              <w:rPr>
                <w:sz w:val="11"/>
                <w:szCs w:val="11"/>
                <w:color w:val="auto"/>
              </w:rPr>
            </w:pPr>
          </w:p>
        </w:tc>
        <w:tc>
          <w:tcPr>
            <w:tcW w:w="12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Statement of</w:t>
            </w:r>
          </w:p>
        </w:tc>
        <w:tc>
          <w:tcPr>
            <w:tcW w:w="136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currency</w:t>
            </w:r>
          </w:p>
        </w:tc>
        <w:tc>
          <w:tcPr>
            <w:tcW w:w="114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Non-cash</w:t>
            </w:r>
          </w:p>
        </w:tc>
        <w:tc>
          <w:tcPr>
            <w:tcW w:w="110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Consolidated</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shd w:val="clear" w:color="auto" w:fill="CECAC6"/>
          </w:tcPr>
          <w:p>
            <w:pPr>
              <w:spacing w:after="0"/>
              <w:rPr>
                <w:sz w:val="12"/>
                <w:szCs w:val="12"/>
                <w:color w:val="auto"/>
              </w:rPr>
            </w:pPr>
          </w:p>
        </w:tc>
        <w:tc>
          <w:tcPr>
            <w:tcW w:w="124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Cash Flows</w:t>
            </w:r>
          </w:p>
        </w:tc>
        <w:tc>
          <w:tcPr>
            <w:tcW w:w="136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translation</w:t>
            </w:r>
          </w:p>
        </w:tc>
        <w:tc>
          <w:tcPr>
            <w:tcW w:w="114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movements</w:t>
            </w:r>
          </w:p>
        </w:tc>
        <w:tc>
          <w:tcPr>
            <w:tcW w:w="11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Balance Sheet</w:t>
            </w:r>
          </w:p>
        </w:tc>
        <w:tc>
          <w:tcPr>
            <w:tcW w:w="0" w:type="dxa"/>
            <w:vAlign w:val="bottom"/>
          </w:tcPr>
          <w:p>
            <w:pPr>
              <w:spacing w:after="0"/>
              <w:rPr>
                <w:sz w:val="1"/>
                <w:szCs w:val="1"/>
                <w:color w:val="auto"/>
              </w:rPr>
            </w:pPr>
          </w:p>
        </w:tc>
      </w:tr>
      <w:tr>
        <w:trPr>
          <w:trHeight w:val="127"/>
        </w:trPr>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20" w:type="dxa"/>
            <w:vAlign w:val="bottom"/>
          </w:tcPr>
          <w:p>
            <w:pPr>
              <w:spacing w:after="0" w:line="128" w:lineRule="exact"/>
              <w:rPr>
                <w:sz w:val="20"/>
                <w:szCs w:val="20"/>
                <w:color w:val="auto"/>
              </w:rPr>
            </w:pPr>
            <w:r>
              <w:rPr>
                <w:rFonts w:ascii="Arial" w:cs="Arial" w:eastAsia="Arial" w:hAnsi="Arial"/>
                <w:sz w:val="12"/>
                <w:szCs w:val="12"/>
                <w:color w:val="auto"/>
              </w:rPr>
              <w:t>Intangible assets and property, plant and equipment</w:t>
            </w:r>
          </w:p>
        </w:tc>
        <w:tc>
          <w:tcPr>
            <w:tcW w:w="124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3,114</w:t>
            </w:r>
          </w:p>
        </w:tc>
        <w:tc>
          <w:tcPr>
            <w:tcW w:w="136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(3,595)</w:t>
            </w:r>
          </w:p>
        </w:tc>
        <w:tc>
          <w:tcPr>
            <w:tcW w:w="114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(57)</w:t>
            </w:r>
          </w:p>
        </w:tc>
        <w:tc>
          <w:tcPr>
            <w:tcW w:w="1100" w:type="dxa"/>
            <w:vAlign w:val="bottom"/>
          </w:tcPr>
          <w:p>
            <w:pPr>
              <w:jc w:val="right"/>
              <w:spacing w:after="0" w:line="128" w:lineRule="exact"/>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Investments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(2,306)</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237</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756</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(1,313)</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Deferred tax</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1,515</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784</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(132)</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2,167</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Other non-current assets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(1,806)</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(186)</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70</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(1,922)</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Inventories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5,329</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(892)</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(36)</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4,401</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Accounts receivable</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30,934</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(2,032)</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28,913</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Cash and cash equivalents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2,779</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(250)</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2,529</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Current debt</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821</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(150)</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(275)</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396</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Accounts payable, accrued liabilities and current liabilities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(31,301)</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405</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112</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(30,784)</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Taxes payable</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235</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831</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(790)</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276</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Non-current debt</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388</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826</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66</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1,280</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Other non-current liabilities</w:t>
            </w:r>
          </w:p>
        </w:tc>
        <w:tc>
          <w:tcPr>
            <w:tcW w:w="12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537</w:t>
            </w:r>
          </w:p>
        </w:tc>
        <w:tc>
          <w:tcPr>
            <w:tcW w:w="136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633</w:t>
            </w:r>
          </w:p>
        </w:tc>
        <w:tc>
          <w:tcPr>
            <w:tcW w:w="114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(34)</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Minority interest</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(850)</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(939)</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102</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(1,687)</w:t>
            </w:r>
          </w:p>
        </w:tc>
        <w:tc>
          <w:tcPr>
            <w:tcW w:w="0" w:type="dxa"/>
            <w:vAlign w:val="bottom"/>
          </w:tcPr>
          <w:p>
            <w:pPr>
              <w:spacing w:after="0"/>
              <w:rPr>
                <w:sz w:val="1"/>
                <w:szCs w:val="1"/>
                <w:color w:val="auto"/>
              </w:rPr>
            </w:pPr>
          </w:p>
        </w:tc>
      </w:tr>
      <w:tr>
        <w:trPr>
          <w:trHeight w:val="133"/>
        </w:trPr>
        <w:tc>
          <w:tcPr>
            <w:tcW w:w="1940" w:type="dxa"/>
            <w:vAlign w:val="bottom"/>
          </w:tcPr>
          <w:p>
            <w:pPr>
              <w:spacing w:after="0"/>
              <w:rPr>
                <w:sz w:val="11"/>
                <w:szCs w:val="11"/>
                <w:color w:val="auto"/>
              </w:rPr>
            </w:pPr>
          </w:p>
        </w:tc>
        <w:tc>
          <w:tcPr>
            <w:tcW w:w="4640" w:type="dxa"/>
            <w:vAlign w:val="bottom"/>
            <w:gridSpan w:val="2"/>
          </w:tcPr>
          <w:p>
            <w:pPr>
              <w:spacing w:after="0" w:line="133" w:lineRule="exact"/>
              <w:rPr>
                <w:sz w:val="20"/>
                <w:szCs w:val="20"/>
                <w:color w:val="auto"/>
              </w:rPr>
            </w:pPr>
            <w:r>
              <w:rPr>
                <w:rFonts w:ascii="Arial" w:cs="Arial" w:eastAsia="Arial" w:hAnsi="Arial"/>
                <w:sz w:val="12"/>
                <w:szCs w:val="12"/>
                <w:color w:val="auto"/>
              </w:rPr>
              <w:t>Treasury shares</w:t>
            </w:r>
          </w:p>
        </w:tc>
        <w:tc>
          <w:tcPr>
            <w:tcW w:w="1240" w:type="dxa"/>
            <w:vAlign w:val="bottom"/>
          </w:tcPr>
          <w:p>
            <w:pPr>
              <w:jc w:val="right"/>
              <w:spacing w:after="0" w:line="133" w:lineRule="exact"/>
              <w:rPr>
                <w:sz w:val="20"/>
                <w:szCs w:val="20"/>
                <w:color w:val="auto"/>
              </w:rPr>
            </w:pPr>
            <w:r>
              <w:rPr>
                <w:rFonts w:ascii="Arial" w:cs="Arial" w:eastAsia="Arial" w:hAnsi="Arial"/>
                <w:sz w:val="12"/>
                <w:szCs w:val="12"/>
                <w:color w:val="auto"/>
              </w:rPr>
              <w:t>(367)</w:t>
            </w:r>
          </w:p>
        </w:tc>
        <w:tc>
          <w:tcPr>
            <w:tcW w:w="13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(83)</w:t>
            </w:r>
          </w:p>
        </w:tc>
        <w:tc>
          <w:tcPr>
            <w:tcW w:w="11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13</w:t>
            </w:r>
          </w:p>
        </w:tc>
        <w:tc>
          <w:tcPr>
            <w:tcW w:w="11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Other items</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17,239</w:t>
            </w:r>
          </w:p>
        </w:tc>
        <w:tc>
          <w:tcPr>
            <w:tcW w:w="13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(38)</w:t>
            </w:r>
          </w:p>
        </w:tc>
        <w:tc>
          <w:tcPr>
            <w:tcW w:w="11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194</w:t>
            </w: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Income for the period</w:t>
            </w:r>
          </w:p>
        </w:tc>
        <w:tc>
          <w:tcPr>
            <w:tcW w:w="12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26,261</w:t>
            </w:r>
          </w:p>
        </w:tc>
        <w:tc>
          <w:tcPr>
            <w:tcW w:w="1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Currency translation differences (see Note 29)</w:t>
            </w:r>
          </w:p>
        </w:tc>
        <w:tc>
          <w:tcPr>
            <w:tcW w:w="1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(4,449)</w:t>
            </w: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Movement in equity attributable to shareholders of Royal Dutch Shell</w:t>
            </w:r>
          </w:p>
        </w:tc>
        <w:tc>
          <w:tcPr>
            <w:tcW w:w="12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-4448175</wp:posOffset>
            </wp:positionV>
            <wp:extent cx="8255" cy="52184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5218430"/>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-4338320</wp:posOffset>
            </wp:positionV>
            <wp:extent cx="8255" cy="42291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422910"/>
                    </a:xfrm>
                    <a:prstGeom prst="rect">
                      <a:avLst/>
                    </a:prstGeom>
                    <a:noFill/>
                  </pic:spPr>
                </pic:pic>
              </a:graphicData>
            </a:graphic>
          </wp:anchor>
        </w:drawing>
        <w:drawing>
          <wp:anchor simplePos="0" relativeHeight="251657728" behindDoc="1" locked="0" layoutInCell="0" allowOverlap="1">
            <wp:simplePos x="0" y="0"/>
            <wp:positionH relativeFrom="column">
              <wp:posOffset>6558915</wp:posOffset>
            </wp:positionH>
            <wp:positionV relativeFrom="paragraph">
              <wp:posOffset>-2012315</wp:posOffset>
            </wp:positionV>
            <wp:extent cx="8255" cy="42291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422910"/>
                    </a:xfrm>
                    <a:prstGeom prst="rect">
                      <a:avLst/>
                    </a:prstGeom>
                    <a:noFill/>
                  </pic:spPr>
                </pic:pic>
              </a:graphicData>
            </a:graphic>
          </wp:anchor>
        </w:drawing>
      </w:r>
    </w:p>
    <w:p>
      <w:pPr>
        <w:spacing w:after="0" w:line="81"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Other items in 2007 include dividends paid to shareholders of Royal Dutch Shell of $9.0 billion (2006: $8.1 billion; 2005: $10.6 billion), net repurchase of shares of</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4"/>
          <w:szCs w:val="14"/>
          <w:color w:val="auto"/>
        </w:rPr>
        <w:t>$4.4 billion (2006: $8.0 billion; 2005: $5.0 billion) and, in 2005, payments to former Royal Dutch shareholders of $1.7 billion.</w:t>
      </w:r>
    </w:p>
    <w:p>
      <w:pPr>
        <w:spacing w:after="0" w:line="80" w:lineRule="exact"/>
        <w:rPr>
          <w:sz w:val="20"/>
          <w:szCs w:val="20"/>
          <w:color w:val="auto"/>
        </w:rPr>
      </w:pPr>
    </w:p>
    <w:p>
      <w:pPr>
        <w:ind w:left="1940" w:right="180"/>
        <w:spacing w:after="0" w:line="247" w:lineRule="auto"/>
        <w:rPr>
          <w:sz w:val="20"/>
          <w:szCs w:val="20"/>
          <w:color w:val="auto"/>
        </w:rPr>
      </w:pPr>
      <w:r>
        <w:rPr>
          <w:rFonts w:ascii="Arial" w:cs="Arial" w:eastAsia="Arial" w:hAnsi="Arial"/>
          <w:sz w:val="14"/>
          <w:szCs w:val="14"/>
          <w:color w:val="auto"/>
        </w:rPr>
        <w:t>Non-cash movements in 2007 mainly relate to the impact on the Consolidated Balance Sheet of the change in accounting status of Sakhalin II (see Note 28) and the results of a review of the estimated provision for decommissioning and restoration (see Note 22).</w:t>
      </w:r>
    </w:p>
    <w:p>
      <w:pPr>
        <w:spacing w:after="0" w:line="68" w:lineRule="exact"/>
        <w:rPr>
          <w:sz w:val="20"/>
          <w:szCs w:val="20"/>
          <w:color w:val="auto"/>
        </w:rPr>
      </w:pPr>
    </w:p>
    <w:p>
      <w:pPr>
        <w:ind w:left="1940" w:right="300"/>
        <w:spacing w:after="0" w:line="247" w:lineRule="auto"/>
        <w:rPr>
          <w:sz w:val="20"/>
          <w:szCs w:val="20"/>
          <w:color w:val="auto"/>
        </w:rPr>
      </w:pPr>
      <w:r>
        <w:rPr>
          <w:rFonts w:ascii="Arial" w:cs="Arial" w:eastAsia="Arial" w:hAnsi="Arial"/>
          <w:sz w:val="14"/>
          <w:szCs w:val="14"/>
          <w:color w:val="auto"/>
        </w:rPr>
        <w:t>Non-cash movements in 2006 mainly relate to the impact on the Consolidated Balance Sheet of new finance leases, acquisitions and the results of a review of the estimated provision for decommissioning and restoration (see Note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156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2" w:name="page163"/>
    <w:bookmarkEnd w:id="16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32</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w:t>
      </w:r>
    </w:p>
    <w:p>
      <w:pPr>
        <w:spacing w:after="0"/>
        <w:rPr>
          <w:sz w:val="20"/>
          <w:szCs w:val="20"/>
          <w:color w:val="auto"/>
        </w:rPr>
      </w:pPr>
      <w:r>
        <w:rPr>
          <w:rFonts w:ascii="Arial" w:cs="Arial" w:eastAsia="Arial" w:hAnsi="Arial"/>
          <w:sz w:val="14"/>
          <w:szCs w:val="14"/>
          <w:b w:val="1"/>
          <w:bCs w:val="1"/>
          <w:color w:val="auto"/>
        </w:rPr>
        <w:t>PROCEEDINGS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Groundwater contamination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-107315</wp:posOffset>
            </wp:positionV>
            <wp:extent cx="8255" cy="57003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5700395"/>
                    </a:xfrm>
                    <a:prstGeom prst="rect">
                      <a:avLst/>
                    </a:prstGeom>
                    <a:noFill/>
                  </pic:spPr>
                </pic:pic>
              </a:graphicData>
            </a:graphic>
          </wp:anchor>
        </w:drawing>
      </w:r>
    </w:p>
    <w:p>
      <w:pPr>
        <w:spacing w:after="0" w:line="3"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Shell Oil Company (including subsidiaries and affiliates, referred to collectively as SOC), along with numerous other defendants, have been sued by public and quasi-public water purveyors, as well as governmental entities, alleging responsibility for groundwater contamination caused by releases of gasoline-containing oxygenate additives. Most of these suits assert various theories of liability, including product liability, and seek to recover actual damages, including clean-up costs. Some assert claims for punitive damages. As of December 31, 2007, there were 79 such suits pending against SOC and many other defendants (including major energy and refining companies). 72 of those matters have been consolidated for pre-trial proceedings in the US District Court for the Southern District of New York and seven are pending in other state and federal courts.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5495925</wp:posOffset>
            </wp:positionH>
            <wp:positionV relativeFrom="paragraph">
              <wp:posOffset>-558800</wp:posOffset>
            </wp:positionV>
            <wp:extent cx="282575" cy="8153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2575" cy="8153400"/>
                    </a:xfrm>
                    <a:prstGeom prst="rect">
                      <a:avLst/>
                    </a:prstGeom>
                    <a:noFill/>
                  </pic:spPr>
                </pic:pic>
              </a:graphicData>
            </a:graphic>
          </wp:anchor>
        </w:drawing>
      </w:r>
    </w:p>
    <w:p>
      <w:pPr>
        <w:spacing w:after="0" w:line="53"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SOC (including its subsidiaries and affiliates) and certain other defendants have entered into an agreement in principle with certain plaintiffs to settle 59 cases (53 of which are brought by public, quasi-public, or governmental water purveyors). Upon execution of the settlement agreement, the parties will seek court approval of the settlement and dismissal of all claims against SOC and others in the 59 cases. In the fourth quarter of 2007, management of the Shell group established a provision of $35.7 million, representing an amount approximating SOC’s share of the proposed settlement. Motiva Enterprises LLC, one-half of which is owned by subsidiaries of SOC, has established a provision of $27.2 million, representing an amount approximating Motiva’s share of the proposed settlement.</w:t>
      </w:r>
    </w:p>
    <w:p>
      <w:pPr>
        <w:spacing w:after="0" w:line="76"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If the settlement described above is approved, 26 water purveyor matters will remain. These matters are at a preliminary stage. Proceedings were effectively stayed in 24 of the cases and no discovery or other activity has occurred in them. In the other two cases, discovery has barely begun. Thus, the extent of alleged contamination and damages claimed as a result are not known. Further, it has not been determined whether product liability may be imposed and, if so, how liability might be apportioned among the many defendants or whether punitive damages might be available. At present, there are no deadlines for discovery, dispositive motions, or trials in any of the 26 cases that are not included in the settlement agreement in principle. A number of these matters assert damages from contamination threats, rather than actual contamination. Management of the Shell group believes that SOC has no liability in respect of threat-only claims. In 2007, SOC defended a suit brought by the Plainview (New York) Water District (Plainview) in which damages were sought for threats, but no actual damage, to water wells. After a multi-month trial, the Nassau County Supreme Court dismissed Plainview’s claims.</w:t>
      </w:r>
    </w:p>
    <w:p>
      <w:pPr>
        <w:spacing w:after="0" w:line="74"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In light of the foregoing, management of the Shell group does not currently believe that the outcome of the remaining oxygenate-related litigation pending as of December 31, 2007 will have a material impact on the Shell group.</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Recategorisation of hydrocarbon reserves</w:t>
      </w:r>
    </w:p>
    <w:p>
      <w:pPr>
        <w:spacing w:after="0" w:line="23" w:lineRule="exact"/>
        <w:rPr>
          <w:sz w:val="20"/>
          <w:szCs w:val="20"/>
          <w:color w:val="auto"/>
        </w:rPr>
      </w:pPr>
    </w:p>
    <w:p>
      <w:pPr>
        <w:ind w:right="100"/>
        <w:spacing w:after="0" w:line="226" w:lineRule="auto"/>
        <w:rPr>
          <w:sz w:val="20"/>
          <w:szCs w:val="20"/>
          <w:color w:val="auto"/>
        </w:rPr>
      </w:pPr>
      <w:r>
        <w:rPr>
          <w:rFonts w:ascii="Arial" w:cs="Arial" w:eastAsia="Arial" w:hAnsi="Arial"/>
          <w:sz w:val="14"/>
          <w:szCs w:val="14"/>
          <w:color w:val="auto"/>
        </w:rPr>
        <w:t>A consolidated shareholder class action pending in the US District Court in New Jersey alleges losses related to the 2004 recategorisations of certain hydrocarbon reserves. Lead plaintiffs are the Pennsylvania State Employees’ Retirement System and the Pennsylvania Public School Employees’ Retirement System. In addition, certain Dutch pension funds, and German and Luxembourg institutional shareholders filed two related actions that were consolidated with the existing class action for pre-trial purposes.</w:t>
      </w:r>
    </w:p>
    <w:p>
      <w:pPr>
        <w:spacing w:after="0" w:line="74"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Following dismissal of a number of original defendants in the class action, the remaining defendants are: Royal Dutch Petroleum Company (now merged into Shell Petroleum N.V.), The “Shell” Transport and Trading Company, plc (referred to collectively as Shell), PricewaterhouseCoopers LLP and KPMG Accountants N.V. Although the class action complaint was pled on behalf of a worldwide class of purchasers who purchased Shell shares during the period of April 8, 1999 through March 18, 2004 (the “Relevant Period”), the US District Court determined that it did not have jurisdiction over the claims of non-US purchasers and that decision became final on January 7, 2008.</w:t>
      </w:r>
    </w:p>
    <w:p>
      <w:pPr>
        <w:spacing w:after="0" w:line="70" w:lineRule="exact"/>
        <w:rPr>
          <w:sz w:val="20"/>
          <w:szCs w:val="20"/>
          <w:color w:val="auto"/>
        </w:rPr>
      </w:pPr>
    </w:p>
    <w:p>
      <w:pPr>
        <w:ind w:right="40"/>
        <w:spacing w:after="0" w:line="243" w:lineRule="auto"/>
        <w:rPr>
          <w:sz w:val="20"/>
          <w:szCs w:val="20"/>
          <w:color w:val="auto"/>
        </w:rPr>
      </w:pPr>
      <w:r>
        <w:rPr>
          <w:rFonts w:ascii="Arial" w:cs="Arial" w:eastAsia="Arial" w:hAnsi="Arial"/>
          <w:sz w:val="13"/>
          <w:szCs w:val="13"/>
          <w:color w:val="auto"/>
        </w:rPr>
        <w:t>On April 11, 2007, Shell reached a settlement of asserted and unasserted claims arising out of the recategorisation with representatives of purchasers who both resided and purchased Shell shares outside of the USA during the Relevant Period (Non-US Settlement). The parties to the Non-US Settlement include a shareholders’ foundation, certain of Shell’s institutional investors, and other shareholders’ rights organisations. The terms of the Non-US Settlement agreement principally include settlement relief of $352.6 million to be distributed to the non-US purchasers pursuant to a plan of distribution proposed in the Non-US Settlement, along with certain other relief. The Non-US Settlement agreement (and an amendment to it executed on February 27, 2008) was filed with the Amsterdam Court of Appeals, which has exclusive jurisdiction under Dutch law to determine whether the agreement should be declared binding to the non-US purchasers included within its terms.</w:t>
      </w:r>
    </w:p>
    <w:p>
      <w:pPr>
        <w:spacing w:after="0" w:line="73"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Non-US Settlement is subject to (i) a determination by the Amsterdam Court of Appeals whether to declare the settlement binding for all shareholders that it covers and (ii) agreed opt-out provisions. The Dutch Court has notified the parties to the Non-US Settlement that it currently plans to hold a hearing to address whether to issue a binding declaration regarding the Non-US Settlement either late in 2008 or early in 2009, but no hearing has yet been scheduled. Shell cannot predict how the Dutch court will rule on the request that it declare the settlement agreement to be binding on all stock purchasers covered by its terms. Nor can Shell predict how many covered purchasers will file defenses to the Non-US Settlement or exercise their opt-out right and ask to be excluded from the agreement should the Dutch court declare the agreement binding.</w:t>
      </w:r>
    </w:p>
    <w:p>
      <w:pPr>
        <w:spacing w:after="0" w:line="70"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On March 4, 2008, Shell reached an agreement in principle to settle the class action brought by the US purchasers (US Settlement), which complements the Non-US Settlement. The US Settlement is subject to specified conditions, including the execution of a definitive settlement agreement and securing the approvals of the Boards of Directors of the relevant Shell companies, the relevant governmental authorities of the State of Pennsylvania, and the US District Court in New Jersey. Among other things, the US Settlement provides to all persons and entities who purchased Shell shares on US markets and all US persons and entities who purchased Shell shares on non-US markets during the Relevant Period, the following relief: (i) settlement relief of $82.8 million to be distributed to US purchasers pursuant to the plan of distribution that plaintiffs in the US Settlement will prepare, (ii) interest on settlement amounts from April 1, 2008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-1534160</wp:posOffset>
            </wp:positionH>
            <wp:positionV relativeFrom="paragraph">
              <wp:posOffset>1976755</wp:posOffset>
            </wp:positionV>
            <wp:extent cx="7252970"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700" w:space="720"/>
            <w:col w:w="8540"/>
          </w:cols>
          <w:pgMar w:left="240" w:top="415" w:right="699" w:bottom="1440" w:gutter="0" w:footer="0" w:header="0"/>
        </w:sectPr>
      </w:pPr>
    </w:p>
    <w:bookmarkStart w:id="163" w:name="page164"/>
    <w:bookmarkEnd w:id="163"/>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0"/>
        </w:rPr>
        <w:t>Note 32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33</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GROUP</w:t>
      </w:r>
    </w:p>
    <w:p>
      <w:pPr>
        <w:spacing w:after="0"/>
        <w:rPr>
          <w:sz w:val="20"/>
          <w:szCs w:val="20"/>
          <w:color w:val="auto"/>
        </w:rPr>
      </w:pPr>
      <w:r>
        <w:rPr>
          <w:rFonts w:ascii="Arial" w:cs="Arial" w:eastAsia="Arial" w:hAnsi="Arial"/>
          <w:sz w:val="14"/>
          <w:szCs w:val="14"/>
          <w:b w:val="1"/>
          <w:bCs w:val="1"/>
          <w:color w:val="auto"/>
        </w:rPr>
        <w:t>AUDIT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34</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w:t>
      </w:r>
    </w:p>
    <w:p>
      <w:pPr>
        <w:spacing w:after="0"/>
        <w:rPr>
          <w:sz w:val="20"/>
          <w:szCs w:val="20"/>
          <w:color w:val="auto"/>
        </w:rPr>
      </w:pPr>
      <w:r>
        <w:rPr>
          <w:rFonts w:ascii="Arial" w:cs="Arial" w:eastAsia="Arial" w:hAnsi="Arial"/>
          <w:sz w:val="14"/>
          <w:szCs w:val="14"/>
          <w:b w:val="1"/>
          <w:bCs w:val="1"/>
          <w:color w:val="auto"/>
        </w:rPr>
        <w:t>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158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providing the same relief to participants in the Non-US Settlement), and (iii) the US purchasers and participants in the Non-US Settlement collectively would receive an additional payment of $35 million, divided in accordance with proportions determined in the two proposed settlements. Shell would also pay (i) US class counsel’s fees and expenses (subject to certain caps) upon application to and approval by the US District Court in New Jersey and (ii) the costs of administering the US Settlement. As with the Non-US Settlement, stock purchasers covered by the US Settlement will be allowed to opt-out of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-384810</wp:posOffset>
            </wp:positionV>
            <wp:extent cx="8255" cy="15055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1505585"/>
                    </a:xfrm>
                    <a:prstGeom prst="rect">
                      <a:avLst/>
                    </a:prstGeom>
                    <a:noFill/>
                  </pic:spPr>
                </pic:pic>
              </a:graphicData>
            </a:graphic>
          </wp:anchor>
        </w:drawing>
      </w:r>
    </w:p>
    <w:p>
      <w:pPr>
        <w:spacing w:after="0" w:line="47" w:lineRule="exact"/>
        <w:rPr>
          <w:sz w:val="20"/>
          <w:szCs w:val="20"/>
          <w:color w:val="auto"/>
        </w:rPr>
      </w:pPr>
    </w:p>
    <w:p>
      <w:pPr>
        <w:ind w:right="280"/>
        <w:spacing w:after="0" w:line="260" w:lineRule="auto"/>
        <w:rPr>
          <w:sz w:val="20"/>
          <w:szCs w:val="20"/>
          <w:color w:val="auto"/>
        </w:rPr>
      </w:pPr>
      <w:r>
        <w:rPr>
          <w:rFonts w:ascii="Arial" w:cs="Arial" w:eastAsia="Arial" w:hAnsi="Arial"/>
          <w:sz w:val="13"/>
          <w:szCs w:val="13"/>
          <w:color w:val="auto"/>
        </w:rPr>
        <w:t>Shell cannot predict whether the parties will be able to negotiate and execute a definitive settlement agreement. Nor can it predict – assuming a settlement agreement is executed – how (or when) the US District Court will rule on whether the settlement agreement should be approved or how many covered purchasers will object to the settlement or exercise their opt-out rights and ask to be excluded from the settlement.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2"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Shell subsidiaries are subject to a number of other loss contingencies arising out of litigation and claims brought by governmental and private parties, which are handled in the ordinary course of business. The operations and earnings of Shell subsidiaries continue, from time to time, to be affected to varying degrees by political, legislative, fiscal, and regulatory developments, including those relating to the protection of the environment and indigenous groups, in the countries in which they operate. The industries in which Shell subsidiaries are engaged are also subject to physical risks of various types. The nature and frequency of these developments and events, not all of which are covered by insurance, as well as their effect on future operations and earnings, are unpredictable.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PricewaterhouseCoopers LLP (PwC) became the sole auditors as of November 7, 2005. Prior to that date the audit was performed jointly with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-82550</wp:posOffset>
            </wp:positionV>
            <wp:extent cx="8255" cy="26301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263017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40" w:type="dxa"/>
            <w:vAlign w:val="bottom"/>
            <w:shd w:val="clear" w:color="auto" w:fill="7DD0E0"/>
          </w:tcPr>
          <w:p>
            <w:pPr>
              <w:ind w:left="80"/>
              <w:spacing w:after="0"/>
              <w:rPr>
                <w:sz w:val="20"/>
                <w:szCs w:val="20"/>
                <w:color w:val="auto"/>
              </w:rPr>
            </w:pPr>
            <w:r>
              <w:rPr>
                <w:rFonts w:ascii="Arial" w:cs="Arial" w:eastAsia="Arial" w:hAnsi="Arial"/>
                <w:sz w:val="12"/>
                <w:szCs w:val="12"/>
                <w:b w:val="1"/>
                <w:bCs w:val="1"/>
                <w:color w:val="auto"/>
              </w:rPr>
              <w:t>[A] REMUNERATION FOR SUPPLY OF SERVICES TO SUBSIDIARIES</w:t>
            </w:r>
          </w:p>
        </w:tc>
        <w:tc>
          <w:tcPr>
            <w:tcW w:w="820" w:type="dxa"/>
            <w:vAlign w:val="bottom"/>
            <w:shd w:val="clear" w:color="auto" w:fill="7DD0E0"/>
          </w:tcPr>
          <w:p>
            <w:pPr>
              <w:spacing w:after="0"/>
              <w:rPr>
                <w:sz w:val="13"/>
                <w:szCs w:val="13"/>
                <w:color w:val="auto"/>
              </w:rPr>
            </w:pPr>
          </w:p>
        </w:tc>
        <w:tc>
          <w:tcPr>
            <w:tcW w:w="280" w:type="dxa"/>
            <w:vAlign w:val="bottom"/>
            <w:shd w:val="clear" w:color="auto" w:fill="7DD0E0"/>
          </w:tcPr>
          <w:p>
            <w:pPr>
              <w:spacing w:after="0"/>
              <w:rPr>
                <w:sz w:val="13"/>
                <w:szCs w:val="13"/>
                <w:color w:val="auto"/>
              </w:rPr>
            </w:pPr>
          </w:p>
        </w:tc>
        <w:tc>
          <w:tcPr>
            <w:tcW w:w="1160" w:type="dxa"/>
            <w:vAlign w:val="bottom"/>
            <w:shd w:val="clear" w:color="auto" w:fill="7DD0E0"/>
          </w:tcPr>
          <w:p>
            <w:pPr>
              <w:spacing w:after="0"/>
              <w:rPr>
                <w:sz w:val="13"/>
                <w:szCs w:val="13"/>
                <w:color w:val="auto"/>
              </w:rPr>
            </w:pPr>
          </w:p>
        </w:tc>
        <w:tc>
          <w:tcPr>
            <w:tcW w:w="900" w:type="dxa"/>
            <w:vAlign w:val="bottom"/>
            <w:shd w:val="clear" w:color="auto" w:fill="7DD0E0"/>
          </w:tcPr>
          <w:p>
            <w:pPr>
              <w:spacing w:after="0"/>
              <w:rPr>
                <w:sz w:val="13"/>
                <w:szCs w:val="13"/>
                <w:color w:val="auto"/>
              </w:rPr>
            </w:pPr>
          </w:p>
        </w:tc>
        <w:tc>
          <w:tcPr>
            <w:tcW w:w="900" w:type="dxa"/>
            <w:vAlign w:val="bottom"/>
            <w:shd w:val="clear" w:color="auto" w:fill="7DD0E0"/>
          </w:tcPr>
          <w:p>
            <w:pPr>
              <w:spacing w:after="0"/>
              <w:rPr>
                <w:sz w:val="13"/>
                <w:szCs w:val="13"/>
                <w:color w:val="auto"/>
              </w:rPr>
            </w:pPr>
          </w:p>
        </w:tc>
        <w:tc>
          <w:tcPr>
            <w:tcW w:w="82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r>
      <w:tr>
        <w:trPr>
          <w:trHeight w:val="156"/>
        </w:trPr>
        <w:tc>
          <w:tcPr>
            <w:tcW w:w="4140" w:type="dxa"/>
            <w:vAlign w:val="bottom"/>
            <w:shd w:val="clear" w:color="auto" w:fill="CECAC6"/>
          </w:tcPr>
          <w:p>
            <w:pPr>
              <w:spacing w:after="0"/>
              <w:rPr>
                <w:sz w:val="13"/>
                <w:szCs w:val="13"/>
                <w:color w:val="auto"/>
              </w:rPr>
            </w:pPr>
          </w:p>
        </w:tc>
        <w:tc>
          <w:tcPr>
            <w:tcW w:w="110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2007</w:t>
            </w:r>
          </w:p>
        </w:tc>
        <w:tc>
          <w:tcPr>
            <w:tcW w:w="116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2006</w:t>
            </w:r>
          </w:p>
        </w:tc>
        <w:tc>
          <w:tcPr>
            <w:tcW w:w="900" w:type="dxa"/>
            <w:vAlign w:val="bottom"/>
            <w:shd w:val="clear" w:color="auto" w:fill="CECAC6"/>
          </w:tcPr>
          <w:p>
            <w:pPr>
              <w:spacing w:after="0"/>
              <w:rPr>
                <w:sz w:val="13"/>
                <w:szCs w:val="13"/>
                <w:color w:val="auto"/>
              </w:rPr>
            </w:pPr>
          </w:p>
        </w:tc>
        <w:tc>
          <w:tcPr>
            <w:tcW w:w="900" w:type="dxa"/>
            <w:vAlign w:val="bottom"/>
            <w:shd w:val="clear" w:color="auto" w:fill="CECAC6"/>
          </w:tcPr>
          <w:p>
            <w:pPr>
              <w:spacing w:after="0"/>
              <w:rPr>
                <w:sz w:val="13"/>
                <w:szCs w:val="13"/>
                <w:color w:val="auto"/>
              </w:rPr>
            </w:pPr>
          </w:p>
        </w:tc>
        <w:tc>
          <w:tcPr>
            <w:tcW w:w="8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r>
      <w:tr>
        <w:trPr>
          <w:trHeight w:val="177"/>
        </w:trPr>
        <w:tc>
          <w:tcPr>
            <w:tcW w:w="4140" w:type="dxa"/>
            <w:vAlign w:val="bottom"/>
            <w:shd w:val="clear" w:color="auto" w:fill="CECAC6"/>
          </w:tcPr>
          <w:p>
            <w:pPr>
              <w:spacing w:after="0"/>
              <w:rPr>
                <w:sz w:val="15"/>
                <w:szCs w:val="15"/>
                <w:color w:val="auto"/>
              </w:rPr>
            </w:pPr>
          </w:p>
        </w:tc>
        <w:tc>
          <w:tcPr>
            <w:tcW w:w="1100" w:type="dxa"/>
            <w:vAlign w:val="bottom"/>
            <w:gridSpan w:val="2"/>
            <w:shd w:val="clear" w:color="auto" w:fill="CECAC6"/>
          </w:tcPr>
          <w:p>
            <w:pPr>
              <w:jc w:val="right"/>
              <w:ind w:right="38"/>
              <w:spacing w:after="0"/>
              <w:rPr>
                <w:sz w:val="20"/>
                <w:szCs w:val="20"/>
                <w:color w:val="auto"/>
              </w:rPr>
            </w:pPr>
            <w:r>
              <w:rPr>
                <w:rFonts w:ascii="Arial" w:cs="Arial" w:eastAsia="Arial" w:hAnsi="Arial"/>
                <w:sz w:val="12"/>
                <w:szCs w:val="12"/>
                <w:color w:val="auto"/>
              </w:rPr>
              <w:t>PwC</w:t>
            </w:r>
          </w:p>
        </w:tc>
        <w:tc>
          <w:tcPr>
            <w:tcW w:w="116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PwC</w:t>
            </w:r>
          </w:p>
        </w:tc>
        <w:tc>
          <w:tcPr>
            <w:tcW w:w="90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PwC</w:t>
            </w:r>
          </w:p>
        </w:tc>
        <w:tc>
          <w:tcPr>
            <w:tcW w:w="9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KPMG</w:t>
            </w:r>
          </w:p>
        </w:tc>
        <w:tc>
          <w:tcPr>
            <w:tcW w:w="82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r>
      <w:tr>
        <w:trPr>
          <w:trHeight w:val="160"/>
        </w:trPr>
        <w:tc>
          <w:tcPr>
            <w:tcW w:w="4140" w:type="dxa"/>
            <w:vAlign w:val="bottom"/>
          </w:tcPr>
          <w:p>
            <w:pPr>
              <w:ind w:left="20"/>
              <w:spacing w:after="0"/>
              <w:rPr>
                <w:sz w:val="20"/>
                <w:szCs w:val="20"/>
                <w:color w:val="auto"/>
              </w:rPr>
            </w:pPr>
            <w:r>
              <w:rPr>
                <w:rFonts w:ascii="Arial" w:cs="Arial" w:eastAsia="Arial" w:hAnsi="Arial"/>
                <w:sz w:val="12"/>
                <w:szCs w:val="12"/>
                <w:color w:val="auto"/>
              </w:rPr>
              <w:t>Auditor remuneration</w:t>
            </w:r>
            <w:r>
              <w:rPr>
                <w:rFonts w:ascii="Arial" w:cs="Arial" w:eastAsia="Arial" w:hAnsi="Arial"/>
                <w:sz w:val="12"/>
                <w:szCs w:val="12"/>
                <w:b w:val="1"/>
                <w:bCs w:val="1"/>
                <w:color w:val="auto"/>
              </w:rPr>
              <w:t>[A]</w:t>
            </w:r>
          </w:p>
        </w:tc>
        <w:tc>
          <w:tcPr>
            <w:tcW w:w="820" w:type="dxa"/>
            <w:vAlign w:val="bottom"/>
          </w:tcPr>
          <w:p>
            <w:pPr>
              <w:spacing w:after="0"/>
              <w:rPr>
                <w:sz w:val="13"/>
                <w:szCs w:val="13"/>
                <w:color w:val="auto"/>
              </w:rPr>
            </w:pPr>
          </w:p>
        </w:tc>
        <w:tc>
          <w:tcPr>
            <w:tcW w:w="28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4</w:t>
            </w:r>
          </w:p>
        </w:tc>
        <w:tc>
          <w:tcPr>
            <w:tcW w:w="1160" w:type="dxa"/>
            <w:vAlign w:val="bottom"/>
          </w:tcPr>
          <w:p>
            <w:pPr>
              <w:jc w:val="right"/>
              <w:ind w:right="278"/>
              <w:spacing w:after="0"/>
              <w:rPr>
                <w:sz w:val="20"/>
                <w:szCs w:val="20"/>
                <w:color w:val="auto"/>
              </w:rPr>
            </w:pPr>
            <w:r>
              <w:rPr>
                <w:rFonts w:ascii="Arial" w:cs="Arial" w:eastAsia="Arial" w:hAnsi="Arial"/>
                <w:sz w:val="12"/>
                <w:szCs w:val="12"/>
                <w:color w:val="auto"/>
              </w:rPr>
              <w:t>4</w:t>
            </w:r>
          </w:p>
        </w:tc>
        <w:tc>
          <w:tcPr>
            <w:tcW w:w="900" w:type="dxa"/>
            <w:vAlign w:val="bottom"/>
          </w:tcPr>
          <w:p>
            <w:pPr>
              <w:jc w:val="right"/>
              <w:ind w:right="218"/>
              <w:spacing w:after="0"/>
              <w:rPr>
                <w:sz w:val="20"/>
                <w:szCs w:val="20"/>
                <w:color w:val="auto"/>
              </w:rPr>
            </w:pPr>
            <w:r>
              <w:rPr>
                <w:rFonts w:ascii="Arial" w:cs="Arial" w:eastAsia="Arial" w:hAnsi="Arial"/>
                <w:sz w:val="12"/>
                <w:szCs w:val="12"/>
                <w:color w:val="auto"/>
              </w:rPr>
              <w:t>3</w:t>
            </w:r>
          </w:p>
        </w:tc>
        <w:tc>
          <w:tcPr>
            <w:tcW w:w="900" w:type="dxa"/>
            <w:vAlign w:val="bottom"/>
          </w:tcPr>
          <w:p>
            <w:pPr>
              <w:jc w:val="right"/>
              <w:ind w:right="178"/>
              <w:spacing w:after="0"/>
              <w:rPr>
                <w:sz w:val="20"/>
                <w:szCs w:val="20"/>
                <w:color w:val="auto"/>
              </w:rPr>
            </w:pPr>
            <w:r>
              <w:rPr>
                <w:rFonts w:ascii="Arial" w:cs="Arial" w:eastAsia="Arial" w:hAnsi="Arial"/>
                <w:sz w:val="12"/>
                <w:szCs w:val="12"/>
                <w:color w:val="auto"/>
              </w:rPr>
              <w:t>1</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4</w:t>
            </w:r>
          </w:p>
        </w:tc>
      </w:tr>
      <w:tr>
        <w:trPr>
          <w:trHeight w:val="16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 xml:space="preserve">Audit of accounts of subsidiaries </w:t>
            </w:r>
            <w:r>
              <w:rPr>
                <w:rFonts w:ascii="Arial" w:cs="Arial" w:eastAsia="Arial" w:hAnsi="Arial"/>
                <w:sz w:val="12"/>
                <w:szCs w:val="12"/>
                <w:b w:val="1"/>
                <w:bCs w:val="1"/>
                <w:color w:val="auto"/>
              </w:rPr>
              <w:t>[B]</w:t>
            </w: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44</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48</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34</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43</w:t>
            </w:r>
          </w:p>
        </w:tc>
      </w:tr>
      <w:tr>
        <w:trPr>
          <w:trHeight w:val="191"/>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audit fees</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48</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52</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37</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10</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47</w:t>
            </w:r>
          </w:p>
        </w:tc>
      </w:tr>
      <w:tr>
        <w:trPr>
          <w:trHeight w:val="176"/>
        </w:trPr>
        <w:tc>
          <w:tcPr>
            <w:tcW w:w="4140" w:type="dxa"/>
            <w:vAlign w:val="bottom"/>
          </w:tcPr>
          <w:p>
            <w:pPr>
              <w:ind w:left="20"/>
              <w:spacing w:after="0"/>
              <w:rPr>
                <w:sz w:val="20"/>
                <w:szCs w:val="20"/>
                <w:color w:val="auto"/>
              </w:rPr>
            </w:pPr>
            <w:r>
              <w:rPr>
                <w:rFonts w:ascii="Arial" w:cs="Arial" w:eastAsia="Arial" w:hAnsi="Arial"/>
                <w:sz w:val="12"/>
                <w:szCs w:val="12"/>
                <w:b w:val="1"/>
                <w:bCs w:val="1"/>
                <w:color w:val="auto"/>
              </w:rPr>
              <w:t>Total audit-related services</w:t>
            </w:r>
          </w:p>
        </w:tc>
        <w:tc>
          <w:tcPr>
            <w:tcW w:w="820" w:type="dxa"/>
            <w:vAlign w:val="bottom"/>
          </w:tcPr>
          <w:p>
            <w:pPr>
              <w:spacing w:after="0"/>
              <w:rPr>
                <w:sz w:val="15"/>
                <w:szCs w:val="15"/>
                <w:color w:val="auto"/>
              </w:rPr>
            </w:pPr>
          </w:p>
        </w:tc>
        <w:tc>
          <w:tcPr>
            <w:tcW w:w="280" w:type="dxa"/>
            <w:vAlign w:val="bottom"/>
            <w:shd w:val="clear" w:color="auto" w:fill="E4E3E1"/>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5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services provided pursuant to legislation)</w:t>
            </w:r>
          </w:p>
        </w:tc>
        <w:tc>
          <w:tcPr>
            <w:tcW w:w="8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3</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15</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22</w:t>
            </w:r>
          </w:p>
        </w:tc>
      </w:tr>
      <w:tr>
        <w:trPr>
          <w:trHeight w:val="19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Taxation services [C]</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b w:val="1"/>
                <w:bCs w:val="1"/>
                <w:color w:val="auto"/>
                <w:w w:val="95"/>
              </w:rPr>
              <w:t>[D]</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w:t>
            </w:r>
          </w:p>
        </w:tc>
      </w:tr>
      <w:tr>
        <w:trPr>
          <w:trHeight w:val="19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Other services</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w:t>
            </w:r>
          </w:p>
        </w:tc>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w:t>
            </w:r>
          </w:p>
        </w:tc>
      </w:tr>
      <w:tr>
        <w:trPr>
          <w:trHeight w:val="202"/>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52</w:t>
            </w:r>
          </w:p>
        </w:tc>
        <w:tc>
          <w:tcPr>
            <w:tcW w:w="116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59</w:t>
            </w: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2835910</wp:posOffset>
            </wp:positionH>
            <wp:positionV relativeFrom="paragraph">
              <wp:posOffset>-1191895</wp:posOffset>
            </wp:positionV>
            <wp:extent cx="2892425" cy="2114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892425" cy="211455"/>
                    </a:xfrm>
                    <a:prstGeom prst="rect">
                      <a:avLst/>
                    </a:prstGeom>
                    <a:noFill/>
                  </pic:spPr>
                </pic:pic>
              </a:graphicData>
            </a:graphic>
          </wp:anchor>
        </w:drawing>
      </w:r>
    </w:p>
    <w:p>
      <w:pPr>
        <w:spacing w:after="0" w:line="67" w:lineRule="exact"/>
        <w:rPr>
          <w:sz w:val="20"/>
          <w:szCs w:val="20"/>
          <w:color w:val="auto"/>
        </w:rPr>
      </w:pPr>
    </w:p>
    <w:p>
      <w:pPr>
        <w:ind w:left="240" w:right="340" w:hanging="236"/>
        <w:spacing w:after="0" w:line="231" w:lineRule="auto"/>
        <w:tabs>
          <w:tab w:leader="none" w:pos="2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Audit of the Parent Company Financial Statements and the Consolidated Financial Statements of Royal Dutch Shell, including the audit of the Shell group consolidation returns.</w:t>
      </w:r>
    </w:p>
    <w:p>
      <w:pPr>
        <w:ind w:left="240" w:hanging="236"/>
        <w:spacing w:after="0" w:line="231" w:lineRule="auto"/>
        <w:tabs>
          <w:tab w:leader="none" w:pos="2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All other audit fees.</w:t>
      </w:r>
    </w:p>
    <w:p>
      <w:pPr>
        <w:ind w:left="240" w:hanging="236"/>
        <w:spacing w:after="0" w:line="231" w:lineRule="auto"/>
        <w:tabs>
          <w:tab w:leader="none" w:pos="2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Fees primarily for tax compliance.</w:t>
      </w:r>
    </w:p>
    <w:p>
      <w:pPr>
        <w:ind w:left="240" w:hanging="236"/>
        <w:spacing w:after="0"/>
        <w:tabs>
          <w:tab w:leader="none" w:pos="24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Less than $1 million.</w:t>
      </w:r>
    </w:p>
    <w:p>
      <w:pPr>
        <w:spacing w:after="0" w:line="201" w:lineRule="exact"/>
        <w:rPr>
          <w:sz w:val="20"/>
          <w:szCs w:val="20"/>
          <w:color w:val="auto"/>
        </w:rPr>
      </w:pPr>
    </w:p>
    <w:p>
      <w:pPr>
        <w:ind w:right="900" w:firstLine="4"/>
        <w:spacing w:after="0" w:line="243" w:lineRule="auto"/>
        <w:tabs>
          <w:tab w:leader="none" w:pos="237" w:val="left"/>
        </w:tabs>
        <w:numPr>
          <w:ilvl w:val="0"/>
          <w:numId w:val="143"/>
        </w:numPr>
        <w:rPr>
          <w:rFonts w:ascii="Arial" w:cs="Arial" w:eastAsia="Arial" w:hAnsi="Arial"/>
          <w:sz w:val="14"/>
          <w:szCs w:val="14"/>
          <w:b w:val="1"/>
          <w:bCs w:val="1"/>
          <w:color w:val="auto"/>
        </w:rPr>
      </w:pPr>
      <w:r>
        <w:rPr>
          <w:rFonts w:ascii="Arial" w:cs="Arial" w:eastAsia="Arial" w:hAnsi="Arial"/>
          <w:sz w:val="14"/>
          <w:szCs w:val="14"/>
          <w:b w:val="1"/>
          <w:bCs w:val="1"/>
          <w:color w:val="auto"/>
        </w:rPr>
        <w:t>REMUNERATION FOR SUPPLY OF SERVICES IN RELATION TO RETIREMENT BENEFIT PLANS FOR EMPLOYEES OF SUBSIDIARIES</w:t>
      </w:r>
    </w:p>
    <w:p>
      <w:pPr>
        <w:ind w:right="100"/>
        <w:spacing w:after="0" w:line="234" w:lineRule="auto"/>
        <w:rPr>
          <w:rFonts w:ascii="Arial" w:cs="Arial" w:eastAsia="Arial" w:hAnsi="Arial"/>
          <w:sz w:val="14"/>
          <w:szCs w:val="14"/>
          <w:b w:val="1"/>
          <w:bCs w:val="1"/>
          <w:color w:val="auto"/>
        </w:rPr>
      </w:pPr>
      <w:r>
        <w:rPr>
          <w:rFonts w:ascii="Arial" w:cs="Arial" w:eastAsia="Arial" w:hAnsi="Arial"/>
          <w:sz w:val="14"/>
          <w:szCs w:val="14"/>
          <w:color w:val="auto"/>
        </w:rPr>
        <w:t>During 2005, 2006 and 2007 PwC provided audit services to retirement benefit plans for employees of subsidiaries. Remuneration amounted to $1 million in 2007 (2006: $1 million; 2005: $1 million). Fees for services rendered by KPMG amounted to less than $0.5 million in 2005.</w:t>
      </w:r>
    </w:p>
    <w:p>
      <w:pPr>
        <w:spacing w:after="0" w:line="200" w:lineRule="exact"/>
        <w:rPr>
          <w:sz w:val="20"/>
          <w:szCs w:val="20"/>
          <w:color w:val="auto"/>
        </w:rPr>
      </w:pPr>
    </w:p>
    <w:p>
      <w:pPr>
        <w:spacing w:after="0" w:line="220"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Basic earnings per share amounts are calculated by dividing the income attributable to the shareholders of Royal Dutch Shell plc for the year by the weighted average number of Class A and B shares outstanding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-198120</wp:posOffset>
            </wp:positionV>
            <wp:extent cx="8255" cy="200469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2004695"/>
                    </a:xfrm>
                    <a:prstGeom prst="rect">
                      <a:avLst/>
                    </a:prstGeom>
                    <a:noFill/>
                  </pic:spPr>
                </pic:pic>
              </a:graphicData>
            </a:graphic>
          </wp:anchor>
        </w:drawing>
      </w:r>
    </w:p>
    <w:p>
      <w:pPr>
        <w:spacing w:after="0" w:line="48"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The diluted earnings per share is based on the same income figures. The weighted average number of shares outstanding during the year is adjusted for the number of shares related to share option schemes.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Earnings per share are identical for Class A and Class B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1956435</wp:posOffset>
            </wp:positionH>
            <wp:positionV relativeFrom="paragraph">
              <wp:posOffset>239395</wp:posOffset>
            </wp:positionV>
            <wp:extent cx="1877695" cy="8204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877695" cy="82042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40" w:type="dxa"/>
            <w:vAlign w:val="bottom"/>
            <w:shd w:val="clear" w:color="auto" w:fill="7DD0E0"/>
          </w:tcPr>
          <w:p>
            <w:pPr>
              <w:spacing w:after="0"/>
              <w:rPr>
                <w:sz w:val="13"/>
                <w:szCs w:val="13"/>
                <w:color w:val="auto"/>
              </w:rPr>
            </w:pPr>
          </w:p>
        </w:tc>
        <w:tc>
          <w:tcPr>
            <w:tcW w:w="860" w:type="dxa"/>
            <w:vAlign w:val="bottom"/>
            <w:shd w:val="clear" w:color="auto" w:fill="7DD0E0"/>
          </w:tcPr>
          <w:p>
            <w:pPr>
              <w:spacing w:after="0"/>
              <w:rPr>
                <w:sz w:val="13"/>
                <w:szCs w:val="13"/>
                <w:color w:val="auto"/>
              </w:rPr>
            </w:pPr>
          </w:p>
        </w:tc>
        <w:tc>
          <w:tcPr>
            <w:tcW w:w="1140" w:type="dxa"/>
            <w:vAlign w:val="bottom"/>
            <w:shd w:val="clear" w:color="auto" w:fill="7DD0E0"/>
          </w:tcPr>
          <w:p>
            <w:pPr>
              <w:spacing w:after="0"/>
              <w:rPr>
                <w:sz w:val="13"/>
                <w:szCs w:val="13"/>
                <w:color w:val="auto"/>
              </w:rPr>
            </w:pPr>
          </w:p>
        </w:tc>
        <w:tc>
          <w:tcPr>
            <w:tcW w:w="1460" w:type="dxa"/>
            <w:vAlign w:val="bottom"/>
            <w:shd w:val="clear" w:color="auto" w:fill="7DD0E0"/>
          </w:tcPr>
          <w:p>
            <w:pPr>
              <w:jc w:val="right"/>
              <w:ind w:right="198"/>
              <w:spacing w:after="0"/>
              <w:rPr>
                <w:sz w:val="20"/>
                <w:szCs w:val="20"/>
                <w:color w:val="auto"/>
              </w:rPr>
            </w:pPr>
            <w:r>
              <w:rPr>
                <w:rFonts w:ascii="Arial" w:cs="Arial" w:eastAsia="Arial" w:hAnsi="Arial"/>
                <w:sz w:val="12"/>
                <w:szCs w:val="12"/>
                <w:b w:val="1"/>
                <w:bCs w:val="1"/>
                <w:color w:val="auto"/>
              </w:rPr>
              <w:t>$ million</w:t>
            </w:r>
          </w:p>
        </w:tc>
        <w:tc>
          <w:tcPr>
            <w:tcW w:w="1460" w:type="dxa"/>
            <w:vAlign w:val="bottom"/>
            <w:shd w:val="clear" w:color="auto" w:fill="7DD0E0"/>
          </w:tcPr>
          <w:p>
            <w:pPr>
              <w:spacing w:after="0"/>
              <w:rPr>
                <w:sz w:val="13"/>
                <w:szCs w:val="13"/>
                <w:color w:val="auto"/>
              </w:rPr>
            </w:pPr>
          </w:p>
        </w:tc>
        <w:tc>
          <w:tcPr>
            <w:tcW w:w="1360" w:type="dxa"/>
            <w:vAlign w:val="bottom"/>
            <w:shd w:val="clear" w:color="auto" w:fill="7DD0E0"/>
          </w:tcPr>
          <w:p>
            <w:pPr>
              <w:spacing w:after="0"/>
              <w:rPr>
                <w:sz w:val="13"/>
                <w:szCs w:val="13"/>
                <w:color w:val="auto"/>
              </w:rPr>
            </w:pPr>
          </w:p>
        </w:tc>
      </w:tr>
      <w:tr>
        <w:trPr>
          <w:trHeight w:val="156"/>
        </w:trPr>
        <w:tc>
          <w:tcPr>
            <w:tcW w:w="2740" w:type="dxa"/>
            <w:vAlign w:val="bottom"/>
            <w:shd w:val="clear" w:color="auto" w:fill="CECAC6"/>
          </w:tcPr>
          <w:p>
            <w:pPr>
              <w:spacing w:after="0"/>
              <w:rPr>
                <w:sz w:val="13"/>
                <w:szCs w:val="13"/>
                <w:color w:val="auto"/>
              </w:rPr>
            </w:pPr>
          </w:p>
        </w:tc>
        <w:tc>
          <w:tcPr>
            <w:tcW w:w="860" w:type="dxa"/>
            <w:vAlign w:val="bottom"/>
            <w:shd w:val="clear" w:color="auto" w:fill="CECAC6"/>
          </w:tcPr>
          <w:p>
            <w:pPr>
              <w:spacing w:after="0"/>
              <w:rPr>
                <w:sz w:val="13"/>
                <w:szCs w:val="13"/>
                <w:color w:val="auto"/>
              </w:rPr>
            </w:pPr>
          </w:p>
        </w:tc>
        <w:tc>
          <w:tcPr>
            <w:tcW w:w="2600" w:type="dxa"/>
            <w:vAlign w:val="bottom"/>
            <w:gridSpan w:val="2"/>
            <w:shd w:val="clear" w:color="auto" w:fill="CECAC6"/>
          </w:tcPr>
          <w:p>
            <w:pPr>
              <w:jc w:val="right"/>
              <w:ind w:right="198"/>
              <w:spacing w:after="0"/>
              <w:rPr>
                <w:sz w:val="20"/>
                <w:szCs w:val="20"/>
                <w:color w:val="auto"/>
              </w:rPr>
            </w:pPr>
            <w:r>
              <w:rPr>
                <w:rFonts w:ascii="Arial" w:cs="Arial" w:eastAsia="Arial" w:hAnsi="Arial"/>
                <w:sz w:val="12"/>
                <w:szCs w:val="12"/>
                <w:color w:val="auto"/>
              </w:rPr>
              <w:t>Income attributable to shareholders of</w:t>
            </w:r>
          </w:p>
        </w:tc>
        <w:tc>
          <w:tcPr>
            <w:tcW w:w="1460" w:type="dxa"/>
            <w:vAlign w:val="bottom"/>
            <w:shd w:val="clear" w:color="auto" w:fill="CECAC6"/>
          </w:tcPr>
          <w:p>
            <w:pPr>
              <w:spacing w:after="0"/>
              <w:rPr>
                <w:sz w:val="13"/>
                <w:szCs w:val="13"/>
                <w:color w:val="auto"/>
              </w:rPr>
            </w:pPr>
          </w:p>
        </w:tc>
        <w:tc>
          <w:tcPr>
            <w:tcW w:w="1360" w:type="dxa"/>
            <w:vAlign w:val="bottom"/>
            <w:shd w:val="clear" w:color="auto" w:fill="CECAC6"/>
          </w:tcPr>
          <w:p>
            <w:pPr>
              <w:spacing w:after="0"/>
              <w:rPr>
                <w:sz w:val="13"/>
                <w:szCs w:val="13"/>
                <w:color w:val="auto"/>
              </w:rPr>
            </w:pPr>
          </w:p>
        </w:tc>
      </w:tr>
      <w:tr>
        <w:trPr>
          <w:trHeight w:val="160"/>
        </w:trPr>
        <w:tc>
          <w:tcPr>
            <w:tcW w:w="2740" w:type="dxa"/>
            <w:vAlign w:val="bottom"/>
            <w:shd w:val="clear" w:color="auto" w:fill="CECAC6"/>
          </w:tcPr>
          <w:p>
            <w:pPr>
              <w:spacing w:after="0"/>
              <w:rPr>
                <w:sz w:val="13"/>
                <w:szCs w:val="13"/>
                <w:color w:val="auto"/>
              </w:rPr>
            </w:pPr>
          </w:p>
        </w:tc>
        <w:tc>
          <w:tcPr>
            <w:tcW w:w="860" w:type="dxa"/>
            <w:vAlign w:val="bottom"/>
            <w:shd w:val="clear" w:color="auto" w:fill="CECAC6"/>
          </w:tcPr>
          <w:p>
            <w:pPr>
              <w:spacing w:after="0"/>
              <w:rPr>
                <w:sz w:val="13"/>
                <w:szCs w:val="13"/>
                <w:color w:val="auto"/>
              </w:rPr>
            </w:pPr>
          </w:p>
        </w:tc>
        <w:tc>
          <w:tcPr>
            <w:tcW w:w="1140" w:type="dxa"/>
            <w:vAlign w:val="bottom"/>
            <w:shd w:val="clear" w:color="auto" w:fill="CECAC6"/>
          </w:tcPr>
          <w:p>
            <w:pPr>
              <w:spacing w:after="0"/>
              <w:rPr>
                <w:sz w:val="13"/>
                <w:szCs w:val="13"/>
                <w:color w:val="auto"/>
              </w:rPr>
            </w:pPr>
          </w:p>
        </w:tc>
        <w:tc>
          <w:tcPr>
            <w:tcW w:w="14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Royal Dutch Shell plc</w:t>
            </w:r>
          </w:p>
        </w:tc>
        <w:tc>
          <w:tcPr>
            <w:tcW w:w="1460" w:type="dxa"/>
            <w:vAlign w:val="bottom"/>
            <w:shd w:val="clear" w:color="auto" w:fill="CECAC6"/>
          </w:tcPr>
          <w:p>
            <w:pPr>
              <w:spacing w:after="0"/>
              <w:rPr>
                <w:sz w:val="13"/>
                <w:szCs w:val="13"/>
                <w:color w:val="auto"/>
              </w:rPr>
            </w:pPr>
          </w:p>
        </w:tc>
        <w:tc>
          <w:tcPr>
            <w:tcW w:w="1360" w:type="dxa"/>
            <w:vAlign w:val="bottom"/>
            <w:shd w:val="clear" w:color="auto" w:fill="CECAC6"/>
          </w:tcPr>
          <w:p>
            <w:pPr>
              <w:spacing w:after="0"/>
              <w:rPr>
                <w:sz w:val="13"/>
                <w:szCs w:val="13"/>
                <w:color w:val="auto"/>
              </w:rPr>
            </w:pPr>
          </w:p>
        </w:tc>
      </w:tr>
      <w:tr>
        <w:trPr>
          <w:trHeight w:val="173"/>
        </w:trPr>
        <w:tc>
          <w:tcPr>
            <w:tcW w:w="2740" w:type="dxa"/>
            <w:vAlign w:val="bottom"/>
            <w:shd w:val="clear" w:color="auto" w:fill="CECAC6"/>
          </w:tcPr>
          <w:p>
            <w:pPr>
              <w:spacing w:after="0"/>
              <w:rPr>
                <w:sz w:val="15"/>
                <w:szCs w:val="15"/>
                <w:color w:val="auto"/>
              </w:rPr>
            </w:pPr>
          </w:p>
        </w:tc>
        <w:tc>
          <w:tcPr>
            <w:tcW w:w="860" w:type="dxa"/>
            <w:vAlign w:val="bottom"/>
            <w:shd w:val="clear" w:color="auto" w:fill="CECAC6"/>
          </w:tcPr>
          <w:p>
            <w:pPr>
              <w:spacing w:after="0"/>
              <w:rPr>
                <w:sz w:val="15"/>
                <w:szCs w:val="15"/>
                <w:color w:val="auto"/>
              </w:rPr>
            </w:pPr>
          </w:p>
        </w:tc>
        <w:tc>
          <w:tcPr>
            <w:tcW w:w="1140" w:type="dxa"/>
            <w:vAlign w:val="bottom"/>
            <w:shd w:val="clear" w:color="auto" w:fill="CECAC6"/>
          </w:tcPr>
          <w:p>
            <w:pPr>
              <w:spacing w:after="0"/>
              <w:rPr>
                <w:sz w:val="15"/>
                <w:szCs w:val="15"/>
                <w:color w:val="auto"/>
              </w:rPr>
            </w:pPr>
          </w:p>
        </w:tc>
        <w:tc>
          <w:tcPr>
            <w:tcW w:w="1460" w:type="dxa"/>
            <w:vAlign w:val="bottom"/>
            <w:shd w:val="clear" w:color="auto" w:fill="CECAC6"/>
          </w:tcPr>
          <w:p>
            <w:pPr>
              <w:spacing w:after="0"/>
              <w:rPr>
                <w:sz w:val="15"/>
                <w:szCs w:val="15"/>
                <w:color w:val="auto"/>
              </w:rPr>
            </w:pPr>
          </w:p>
        </w:tc>
        <w:tc>
          <w:tcPr>
            <w:tcW w:w="14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Basic weighted</w:t>
            </w:r>
          </w:p>
        </w:tc>
        <w:tc>
          <w:tcPr>
            <w:tcW w:w="13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Diluted weighted</w:t>
            </w:r>
          </w:p>
        </w:tc>
      </w:tr>
      <w:tr>
        <w:trPr>
          <w:trHeight w:val="160"/>
        </w:trPr>
        <w:tc>
          <w:tcPr>
            <w:tcW w:w="2740" w:type="dxa"/>
            <w:vAlign w:val="bottom"/>
            <w:shd w:val="clear" w:color="auto" w:fill="CECAC6"/>
          </w:tcPr>
          <w:p>
            <w:pPr>
              <w:spacing w:after="0"/>
              <w:rPr>
                <w:sz w:val="13"/>
                <w:szCs w:val="13"/>
                <w:color w:val="auto"/>
              </w:rPr>
            </w:pPr>
          </w:p>
        </w:tc>
        <w:tc>
          <w:tcPr>
            <w:tcW w:w="860" w:type="dxa"/>
            <w:vAlign w:val="bottom"/>
            <w:shd w:val="clear" w:color="auto" w:fill="CECAC6"/>
          </w:tcPr>
          <w:p>
            <w:pPr>
              <w:spacing w:after="0"/>
              <w:rPr>
                <w:sz w:val="13"/>
                <w:szCs w:val="13"/>
                <w:color w:val="auto"/>
              </w:rPr>
            </w:pPr>
          </w:p>
        </w:tc>
        <w:tc>
          <w:tcPr>
            <w:tcW w:w="1140" w:type="dxa"/>
            <w:vAlign w:val="bottom"/>
            <w:shd w:val="clear" w:color="auto" w:fill="CECAC6"/>
          </w:tcPr>
          <w:p>
            <w:pPr>
              <w:spacing w:after="0"/>
              <w:rPr>
                <w:sz w:val="13"/>
                <w:szCs w:val="13"/>
                <w:color w:val="auto"/>
              </w:rPr>
            </w:pPr>
          </w:p>
        </w:tc>
        <w:tc>
          <w:tcPr>
            <w:tcW w:w="1460" w:type="dxa"/>
            <w:vAlign w:val="bottom"/>
            <w:shd w:val="clear" w:color="auto" w:fill="CECAC6"/>
          </w:tcPr>
          <w:p>
            <w:pPr>
              <w:spacing w:after="0"/>
              <w:rPr>
                <w:sz w:val="13"/>
                <w:szCs w:val="13"/>
                <w:color w:val="auto"/>
              </w:rPr>
            </w:pPr>
          </w:p>
        </w:tc>
        <w:tc>
          <w:tcPr>
            <w:tcW w:w="14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average number of</w:t>
            </w:r>
          </w:p>
        </w:tc>
        <w:tc>
          <w:tcPr>
            <w:tcW w:w="13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average number of</w:t>
            </w:r>
          </w:p>
        </w:tc>
      </w:tr>
      <w:tr>
        <w:trPr>
          <w:trHeight w:val="160"/>
        </w:trPr>
        <w:tc>
          <w:tcPr>
            <w:tcW w:w="2740" w:type="dxa"/>
            <w:vAlign w:val="bottom"/>
            <w:shd w:val="clear" w:color="auto" w:fill="CECAC6"/>
          </w:tcPr>
          <w:p>
            <w:pPr>
              <w:spacing w:after="0"/>
              <w:rPr>
                <w:sz w:val="13"/>
                <w:szCs w:val="13"/>
                <w:color w:val="auto"/>
              </w:rPr>
            </w:pPr>
          </w:p>
        </w:tc>
        <w:tc>
          <w:tcPr>
            <w:tcW w:w="860" w:type="dxa"/>
            <w:vAlign w:val="bottom"/>
            <w:shd w:val="clear" w:color="auto" w:fill="CECAC6"/>
          </w:tcPr>
          <w:p>
            <w:pPr>
              <w:spacing w:after="0"/>
              <w:rPr>
                <w:sz w:val="13"/>
                <w:szCs w:val="13"/>
                <w:color w:val="auto"/>
              </w:rPr>
            </w:pPr>
          </w:p>
        </w:tc>
        <w:tc>
          <w:tcPr>
            <w:tcW w:w="11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Continuing</w:t>
            </w:r>
          </w:p>
        </w:tc>
        <w:tc>
          <w:tcPr>
            <w:tcW w:w="14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Discontinued</w:t>
            </w:r>
          </w:p>
        </w:tc>
        <w:tc>
          <w:tcPr>
            <w:tcW w:w="14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Class A and B</w:t>
            </w:r>
          </w:p>
        </w:tc>
        <w:tc>
          <w:tcPr>
            <w:tcW w:w="13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Class A and B</w:t>
            </w:r>
          </w:p>
        </w:tc>
      </w:tr>
      <w:tr>
        <w:trPr>
          <w:trHeight w:val="164"/>
        </w:trPr>
        <w:tc>
          <w:tcPr>
            <w:tcW w:w="2740" w:type="dxa"/>
            <w:vAlign w:val="bottom"/>
            <w:shd w:val="clear" w:color="auto" w:fill="CECAC6"/>
          </w:tcPr>
          <w:p>
            <w:pPr>
              <w:spacing w:after="0"/>
              <w:rPr>
                <w:sz w:val="14"/>
                <w:szCs w:val="14"/>
                <w:color w:val="auto"/>
              </w:rPr>
            </w:pPr>
          </w:p>
        </w:tc>
        <w:tc>
          <w:tcPr>
            <w:tcW w:w="8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c>
          <w:tcPr>
            <w:tcW w:w="11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operations</w:t>
            </w:r>
          </w:p>
        </w:tc>
        <w:tc>
          <w:tcPr>
            <w:tcW w:w="14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operations</w:t>
            </w:r>
          </w:p>
        </w:tc>
        <w:tc>
          <w:tcPr>
            <w:tcW w:w="14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shares</w:t>
            </w:r>
          </w:p>
        </w:tc>
        <w:tc>
          <w:tcPr>
            <w:tcW w:w="13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shares</w:t>
            </w:r>
          </w:p>
        </w:tc>
      </w:tr>
      <w:tr>
        <w:trPr>
          <w:trHeight w:val="316"/>
        </w:trPr>
        <w:tc>
          <w:tcPr>
            <w:tcW w:w="2740" w:type="dxa"/>
            <w:vAlign w:val="bottom"/>
          </w:tcPr>
          <w:p>
            <w:pPr>
              <w:jc w:val="right"/>
              <w:ind w:right="2378"/>
              <w:spacing w:after="0"/>
              <w:rPr>
                <w:sz w:val="20"/>
                <w:szCs w:val="20"/>
                <w:color w:val="auto"/>
              </w:rPr>
            </w:pPr>
            <w:r>
              <w:rPr>
                <w:rFonts w:ascii="Arial" w:cs="Arial" w:eastAsia="Arial" w:hAnsi="Arial"/>
                <w:sz w:val="12"/>
                <w:szCs w:val="12"/>
                <w:color w:val="auto"/>
              </w:rPr>
              <w:t>2007</w:t>
            </w:r>
          </w:p>
        </w:tc>
        <w:tc>
          <w:tcPr>
            <w:tcW w:w="860" w:type="dxa"/>
            <w:vAlign w:val="bottom"/>
          </w:tcPr>
          <w:p>
            <w:pPr>
              <w:jc w:val="right"/>
              <w:spacing w:after="0"/>
              <w:rPr>
                <w:sz w:val="20"/>
                <w:szCs w:val="20"/>
                <w:color w:val="auto"/>
              </w:rPr>
            </w:pPr>
            <w:r>
              <w:rPr>
                <w:rFonts w:ascii="Arial" w:cs="Arial" w:eastAsia="Arial" w:hAnsi="Arial"/>
                <w:sz w:val="12"/>
                <w:szCs w:val="12"/>
                <w:color w:val="auto"/>
              </w:rPr>
              <w:t>31,331</w:t>
            </w:r>
          </w:p>
        </w:tc>
        <w:tc>
          <w:tcPr>
            <w:tcW w:w="1140" w:type="dxa"/>
            <w:vAlign w:val="bottom"/>
          </w:tcPr>
          <w:p>
            <w:pPr>
              <w:jc w:val="right"/>
              <w:spacing w:after="0"/>
              <w:rPr>
                <w:sz w:val="20"/>
                <w:szCs w:val="20"/>
                <w:color w:val="auto"/>
              </w:rPr>
            </w:pPr>
            <w:r>
              <w:rPr>
                <w:rFonts w:ascii="Arial" w:cs="Arial" w:eastAsia="Arial" w:hAnsi="Arial"/>
                <w:sz w:val="12"/>
                <w:szCs w:val="12"/>
                <w:color w:val="auto"/>
              </w:rPr>
              <w:t>31,331</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58"/>
              <w:spacing w:after="0"/>
              <w:rPr>
                <w:sz w:val="20"/>
                <w:szCs w:val="20"/>
                <w:color w:val="auto"/>
              </w:rPr>
            </w:pPr>
            <w:r>
              <w:rPr>
                <w:rFonts w:ascii="Arial" w:cs="Arial" w:eastAsia="Arial" w:hAnsi="Arial"/>
                <w:sz w:val="12"/>
                <w:szCs w:val="12"/>
                <w:color w:val="auto"/>
              </w:rPr>
              <w:t>6,263,762,972</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6,283,759,171</w:t>
            </w:r>
          </w:p>
        </w:tc>
      </w:tr>
      <w:tr>
        <w:trPr>
          <w:trHeight w:val="160"/>
        </w:trPr>
        <w:tc>
          <w:tcPr>
            <w:tcW w:w="2740" w:type="dxa"/>
            <w:vAlign w:val="bottom"/>
          </w:tcPr>
          <w:p>
            <w:pPr>
              <w:jc w:val="right"/>
              <w:ind w:right="2378"/>
              <w:spacing w:after="0"/>
              <w:rPr>
                <w:sz w:val="20"/>
                <w:szCs w:val="20"/>
                <w:color w:val="auto"/>
              </w:rPr>
            </w:pPr>
            <w:r>
              <w:rPr>
                <w:rFonts w:ascii="Arial" w:cs="Arial" w:eastAsia="Arial" w:hAnsi="Arial"/>
                <w:sz w:val="12"/>
                <w:szCs w:val="12"/>
                <w:color w:val="auto"/>
              </w:rPr>
              <w:t>2006</w:t>
            </w:r>
          </w:p>
        </w:tc>
        <w:tc>
          <w:tcPr>
            <w:tcW w:w="860" w:type="dxa"/>
            <w:vAlign w:val="bottom"/>
          </w:tcPr>
          <w:p>
            <w:pPr>
              <w:jc w:val="right"/>
              <w:spacing w:after="0"/>
              <w:rPr>
                <w:sz w:val="20"/>
                <w:szCs w:val="20"/>
                <w:color w:val="auto"/>
              </w:rPr>
            </w:pPr>
            <w:r>
              <w:rPr>
                <w:rFonts w:ascii="Arial" w:cs="Arial" w:eastAsia="Arial" w:hAnsi="Arial"/>
                <w:sz w:val="12"/>
                <w:szCs w:val="12"/>
                <w:color w:val="auto"/>
              </w:rPr>
              <w:t>25,442</w:t>
            </w:r>
          </w:p>
        </w:tc>
        <w:tc>
          <w:tcPr>
            <w:tcW w:w="1140" w:type="dxa"/>
            <w:vAlign w:val="bottom"/>
          </w:tcPr>
          <w:p>
            <w:pPr>
              <w:jc w:val="right"/>
              <w:spacing w:after="0"/>
              <w:rPr>
                <w:sz w:val="20"/>
                <w:szCs w:val="20"/>
                <w:color w:val="auto"/>
              </w:rPr>
            </w:pPr>
            <w:r>
              <w:rPr>
                <w:rFonts w:ascii="Arial" w:cs="Arial" w:eastAsia="Arial" w:hAnsi="Arial"/>
                <w:sz w:val="12"/>
                <w:szCs w:val="12"/>
                <w:color w:val="auto"/>
              </w:rPr>
              <w:t>25,442</w:t>
            </w:r>
          </w:p>
        </w:tc>
        <w:tc>
          <w:tcPr>
            <w:tcW w:w="14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158"/>
              <w:spacing w:after="0"/>
              <w:rPr>
                <w:sz w:val="20"/>
                <w:szCs w:val="20"/>
                <w:color w:val="auto"/>
              </w:rPr>
            </w:pPr>
            <w:r>
              <w:rPr>
                <w:rFonts w:ascii="Arial" w:cs="Arial" w:eastAsia="Arial" w:hAnsi="Arial"/>
                <w:sz w:val="12"/>
                <w:szCs w:val="12"/>
                <w:color w:val="auto"/>
              </w:rPr>
              <w:t>6,413,384,207</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6,439,977,316</w:t>
            </w:r>
          </w:p>
        </w:tc>
      </w:tr>
      <w:tr>
        <w:trPr>
          <w:trHeight w:val="160"/>
        </w:trPr>
        <w:tc>
          <w:tcPr>
            <w:tcW w:w="2740" w:type="dxa"/>
            <w:vAlign w:val="bottom"/>
          </w:tcPr>
          <w:p>
            <w:pPr>
              <w:jc w:val="right"/>
              <w:ind w:right="2378"/>
              <w:spacing w:after="0"/>
              <w:rPr>
                <w:sz w:val="20"/>
                <w:szCs w:val="20"/>
                <w:color w:val="auto"/>
              </w:rPr>
            </w:pPr>
            <w:r>
              <w:rPr>
                <w:rFonts w:ascii="Arial" w:cs="Arial" w:eastAsia="Arial" w:hAnsi="Arial"/>
                <w:sz w:val="12"/>
                <w:szCs w:val="12"/>
                <w:color w:val="auto"/>
              </w:rPr>
              <w:t>2005</w:t>
            </w:r>
          </w:p>
        </w:tc>
        <w:tc>
          <w:tcPr>
            <w:tcW w:w="860" w:type="dxa"/>
            <w:vAlign w:val="bottom"/>
          </w:tcPr>
          <w:p>
            <w:pPr>
              <w:jc w:val="right"/>
              <w:spacing w:after="0"/>
              <w:rPr>
                <w:sz w:val="20"/>
                <w:szCs w:val="20"/>
                <w:color w:val="auto"/>
              </w:rPr>
            </w:pPr>
            <w:r>
              <w:rPr>
                <w:rFonts w:ascii="Arial" w:cs="Arial" w:eastAsia="Arial" w:hAnsi="Arial"/>
                <w:sz w:val="12"/>
                <w:szCs w:val="12"/>
                <w:color w:val="auto"/>
              </w:rPr>
              <w:t>25,311</w:t>
            </w:r>
          </w:p>
        </w:tc>
        <w:tc>
          <w:tcPr>
            <w:tcW w:w="1140" w:type="dxa"/>
            <w:vAlign w:val="bottom"/>
          </w:tcPr>
          <w:p>
            <w:pPr>
              <w:jc w:val="right"/>
              <w:spacing w:after="0"/>
              <w:rPr>
                <w:sz w:val="20"/>
                <w:szCs w:val="20"/>
                <w:color w:val="auto"/>
              </w:rPr>
            </w:pPr>
            <w:r>
              <w:rPr>
                <w:rFonts w:ascii="Arial" w:cs="Arial" w:eastAsia="Arial" w:hAnsi="Arial"/>
                <w:sz w:val="12"/>
                <w:szCs w:val="12"/>
                <w:color w:val="auto"/>
              </w:rPr>
              <w:t>25,618</w:t>
            </w:r>
          </w:p>
        </w:tc>
        <w:tc>
          <w:tcPr>
            <w:tcW w:w="1460" w:type="dxa"/>
            <w:vAlign w:val="bottom"/>
          </w:tcPr>
          <w:p>
            <w:pPr>
              <w:jc w:val="right"/>
              <w:ind w:right="118"/>
              <w:spacing w:after="0"/>
              <w:rPr>
                <w:sz w:val="20"/>
                <w:szCs w:val="20"/>
                <w:color w:val="auto"/>
              </w:rPr>
            </w:pPr>
            <w:r>
              <w:rPr>
                <w:rFonts w:ascii="Arial" w:cs="Arial" w:eastAsia="Arial" w:hAnsi="Arial"/>
                <w:sz w:val="12"/>
                <w:szCs w:val="12"/>
                <w:color w:val="auto"/>
              </w:rPr>
              <w:t>(307 )</w:t>
            </w:r>
          </w:p>
        </w:tc>
        <w:tc>
          <w:tcPr>
            <w:tcW w:w="1460" w:type="dxa"/>
            <w:vAlign w:val="bottom"/>
          </w:tcPr>
          <w:p>
            <w:pPr>
              <w:jc w:val="right"/>
              <w:ind w:right="158"/>
              <w:spacing w:after="0"/>
              <w:rPr>
                <w:sz w:val="20"/>
                <w:szCs w:val="20"/>
                <w:color w:val="auto"/>
              </w:rPr>
            </w:pPr>
            <w:r>
              <w:rPr>
                <w:rFonts w:ascii="Arial" w:cs="Arial" w:eastAsia="Arial" w:hAnsi="Arial"/>
                <w:sz w:val="12"/>
                <w:szCs w:val="12"/>
                <w:color w:val="auto"/>
              </w:rPr>
              <w:t>6,674,179,767</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6,694,427,705</w:t>
            </w:r>
          </w:p>
        </w:tc>
      </w:tr>
      <w:tr>
        <w:trPr>
          <w:trHeight w:val="51"/>
        </w:trPr>
        <w:tc>
          <w:tcPr>
            <w:tcW w:w="27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1511935</wp:posOffset>
            </wp:positionV>
            <wp:extent cx="7252970"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680" w:space="720"/>
            <w:col w:w="9020"/>
          </w:cols>
          <w:pgMar w:left="240" w:top="415" w:right="239" w:bottom="1440" w:gutter="0" w:footer="0" w:header="0"/>
        </w:sectPr>
      </w:pPr>
    </w:p>
    <w:bookmarkStart w:id="164" w:name="page165"/>
    <w:bookmarkEnd w:id="16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7DD0E0"/>
        </w:rPr>
        <w:t>35</w:t>
      </w:r>
    </w:p>
    <w:p>
      <w:pPr>
        <w:spacing w:after="0" w:line="20"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b w:val="1"/>
          <w:bCs w:val="1"/>
          <w:color w:val="auto"/>
        </w:rPr>
        <w:t>OIL AND GAS EXPLORATION AND PRODUCTION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The information below reflects the change in 2007 in the accounting treatment of Sakhalin II (included in Middle East, Russia, CIS) from a subsidiary to an equity-accounted investment (see Note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-198120</wp:posOffset>
            </wp:positionV>
            <wp:extent cx="8255" cy="58953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5895340"/>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-62865</wp:posOffset>
            </wp:positionV>
            <wp:extent cx="282575" cy="76034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82575" cy="76034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CAPITALISED COSTS</w:t>
      </w:r>
    </w:p>
    <w:p>
      <w:pPr>
        <w:spacing w:after="0" w:line="6" w:lineRule="exact"/>
        <w:rPr>
          <w:sz w:val="20"/>
          <w:szCs w:val="20"/>
          <w:color w:val="auto"/>
        </w:rPr>
      </w:pPr>
    </w:p>
    <w:p>
      <w:pPr>
        <w:ind w:right="60"/>
        <w:spacing w:after="0" w:line="246" w:lineRule="auto"/>
        <w:rPr>
          <w:sz w:val="20"/>
          <w:szCs w:val="20"/>
          <w:color w:val="auto"/>
        </w:rPr>
      </w:pPr>
      <w:r>
        <w:rPr>
          <w:rFonts w:ascii="Arial" w:cs="Arial" w:eastAsia="Arial" w:hAnsi="Arial"/>
          <w:sz w:val="13"/>
          <w:szCs w:val="13"/>
          <w:color w:val="auto"/>
        </w:rPr>
        <w:t>The aggregate amount of property, plant and equipment and intangible assets of subsidiaries relating to oil and gas exploration and production activities and the aggregate amount of the related depreciation, depletion and amortisation at December 31, are shown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7000" w:type="dxa"/>
            <w:vAlign w:val="bottom"/>
            <w:shd w:val="clear" w:color="auto" w:fill="7DD0E0"/>
          </w:tcPr>
          <w:p>
            <w:pPr>
              <w:spacing w:after="0"/>
              <w:rPr>
                <w:sz w:val="12"/>
                <w:szCs w:val="12"/>
                <w:color w:val="auto"/>
              </w:rPr>
            </w:pPr>
          </w:p>
        </w:tc>
        <w:tc>
          <w:tcPr>
            <w:tcW w:w="620" w:type="dxa"/>
            <w:vAlign w:val="bottom"/>
            <w:shd w:val="clear" w:color="auto" w:fill="7DD0E0"/>
          </w:tcPr>
          <w:p>
            <w:pPr>
              <w:spacing w:after="0"/>
              <w:rPr>
                <w:sz w:val="12"/>
                <w:szCs w:val="12"/>
                <w:color w:val="auto"/>
              </w:rPr>
            </w:pPr>
          </w:p>
        </w:tc>
        <w:tc>
          <w:tcPr>
            <w:tcW w:w="1040" w:type="dxa"/>
            <w:vAlign w:val="bottom"/>
            <w:shd w:val="clear" w:color="auto" w:fill="7DD0E0"/>
          </w:tcPr>
          <w:p>
            <w:pPr>
              <w:jc w:val="right"/>
              <w:ind w:right="18"/>
              <w:spacing w:after="0"/>
              <w:rPr>
                <w:sz w:val="20"/>
                <w:szCs w:val="20"/>
                <w:color w:val="auto"/>
              </w:rPr>
            </w:pPr>
            <w:r>
              <w:rPr>
                <w:rFonts w:ascii="Arial" w:cs="Arial" w:eastAsia="Arial" w:hAnsi="Arial"/>
                <w:sz w:val="12"/>
                <w:szCs w:val="12"/>
                <w:b w:val="1"/>
                <w:bCs w:val="1"/>
                <w:color w:val="auto"/>
              </w:rPr>
              <w:t>$ million</w:t>
            </w:r>
          </w:p>
        </w:tc>
      </w:tr>
      <w:tr>
        <w:trPr>
          <w:trHeight w:val="133"/>
        </w:trPr>
        <w:tc>
          <w:tcPr>
            <w:tcW w:w="20" w:type="dxa"/>
            <w:vAlign w:val="bottom"/>
          </w:tcPr>
          <w:p>
            <w:pPr>
              <w:spacing w:after="0"/>
              <w:rPr>
                <w:sz w:val="11"/>
                <w:szCs w:val="11"/>
                <w:color w:val="auto"/>
              </w:rPr>
            </w:pPr>
          </w:p>
        </w:tc>
        <w:tc>
          <w:tcPr>
            <w:tcW w:w="7000" w:type="dxa"/>
            <w:vAlign w:val="bottom"/>
            <w:shd w:val="clear" w:color="auto" w:fill="D8D2C9"/>
          </w:tcPr>
          <w:p>
            <w:pPr>
              <w:spacing w:after="0"/>
              <w:rPr>
                <w:sz w:val="11"/>
                <w:szCs w:val="11"/>
                <w:color w:val="auto"/>
              </w:rPr>
            </w:pPr>
          </w:p>
        </w:tc>
        <w:tc>
          <w:tcPr>
            <w:tcW w:w="620" w:type="dxa"/>
            <w:vAlign w:val="bottom"/>
            <w:shd w:val="clear" w:color="auto" w:fill="D8D2C9"/>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040" w:type="dxa"/>
            <w:vAlign w:val="bottom"/>
            <w:shd w:val="clear" w:color="auto" w:fill="D8D2C9"/>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13"/>
        </w:trPr>
        <w:tc>
          <w:tcPr>
            <w:tcW w:w="20" w:type="dxa"/>
            <w:vAlign w:val="bottom"/>
          </w:tcPr>
          <w:p>
            <w:pPr>
              <w:spacing w:after="0"/>
              <w:rPr>
                <w:sz w:val="9"/>
                <w:szCs w:val="9"/>
                <w:color w:val="auto"/>
              </w:rPr>
            </w:pPr>
          </w:p>
        </w:tc>
        <w:tc>
          <w:tcPr>
            <w:tcW w:w="7000" w:type="dxa"/>
            <w:vAlign w:val="bottom"/>
          </w:tcPr>
          <w:p>
            <w:pPr>
              <w:spacing w:after="0" w:line="114" w:lineRule="exact"/>
              <w:rPr>
                <w:sz w:val="20"/>
                <w:szCs w:val="20"/>
                <w:color w:val="auto"/>
              </w:rPr>
            </w:pPr>
            <w:r>
              <w:rPr>
                <w:rFonts w:ascii="Arial" w:cs="Arial" w:eastAsia="Arial" w:hAnsi="Arial"/>
                <w:sz w:val="12"/>
                <w:szCs w:val="12"/>
                <w:b w:val="1"/>
                <w:bCs w:val="1"/>
                <w:color w:val="auto"/>
              </w:rPr>
              <w:t>Cost</w:t>
            </w:r>
          </w:p>
        </w:tc>
        <w:tc>
          <w:tcPr>
            <w:tcW w:w="620" w:type="dxa"/>
            <w:vAlign w:val="bottom"/>
            <w:shd w:val="clear" w:color="auto" w:fill="EAE7E2"/>
          </w:tcPr>
          <w:p>
            <w:pPr>
              <w:spacing w:after="0"/>
              <w:rPr>
                <w:sz w:val="9"/>
                <w:szCs w:val="9"/>
                <w:color w:val="auto"/>
              </w:rPr>
            </w:pPr>
          </w:p>
        </w:tc>
        <w:tc>
          <w:tcPr>
            <w:tcW w:w="1040" w:type="dxa"/>
            <w:vAlign w:val="bottom"/>
          </w:tcPr>
          <w:p>
            <w:pPr>
              <w:spacing w:after="0"/>
              <w:rPr>
                <w:sz w:val="9"/>
                <w:szCs w:val="9"/>
                <w:color w:val="auto"/>
              </w:rPr>
            </w:pPr>
          </w:p>
        </w:tc>
      </w:tr>
      <w:tr>
        <w:trPr>
          <w:trHeight w:val="147"/>
        </w:trPr>
        <w:tc>
          <w:tcPr>
            <w:tcW w:w="7020" w:type="dxa"/>
            <w:vAlign w:val="bottom"/>
            <w:gridSpan w:val="2"/>
          </w:tcPr>
          <w:p>
            <w:pPr>
              <w:spacing w:after="0"/>
              <w:rPr>
                <w:sz w:val="20"/>
                <w:szCs w:val="20"/>
                <w:color w:val="auto"/>
              </w:rPr>
            </w:pPr>
            <w:r>
              <w:rPr>
                <w:rFonts w:ascii="Arial" w:cs="Arial" w:eastAsia="Arial" w:hAnsi="Arial"/>
                <w:sz w:val="12"/>
                <w:szCs w:val="12"/>
                <w:color w:val="auto"/>
              </w:rPr>
              <w:t>Proved properties</w:t>
            </w:r>
            <w:r>
              <w:rPr>
                <w:rFonts w:ascii="Arial" w:cs="Arial" w:eastAsia="Arial" w:hAnsi="Arial"/>
                <w:sz w:val="12"/>
                <w:szCs w:val="12"/>
                <w:b w:val="1"/>
                <w:bCs w:val="1"/>
                <w:color w:val="auto"/>
              </w:rPr>
              <w:t>[A]</w:t>
            </w:r>
          </w:p>
        </w:tc>
        <w:tc>
          <w:tcPr>
            <w:tcW w:w="620" w:type="dxa"/>
            <w:vAlign w:val="bottom"/>
            <w:shd w:val="clear" w:color="auto" w:fill="EAE7E2"/>
          </w:tcPr>
          <w:p>
            <w:pPr>
              <w:jc w:val="right"/>
              <w:ind w:right="18"/>
              <w:spacing w:after="0"/>
              <w:rPr>
                <w:sz w:val="20"/>
                <w:szCs w:val="20"/>
                <w:color w:val="auto"/>
              </w:rPr>
            </w:pPr>
            <w:r>
              <w:rPr>
                <w:rFonts w:ascii="Arial" w:cs="Arial" w:eastAsia="Arial" w:hAnsi="Arial"/>
                <w:sz w:val="12"/>
                <w:szCs w:val="12"/>
                <w:color w:val="auto"/>
                <w:shd w:val="clear" w:color="auto" w:fill="EAE7E2"/>
              </w:rPr>
              <w:t>122,572</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117,496</w:t>
            </w:r>
          </w:p>
        </w:tc>
      </w:tr>
      <w:tr>
        <w:trPr>
          <w:trHeight w:val="133"/>
        </w:trPr>
        <w:tc>
          <w:tcPr>
            <w:tcW w:w="7020" w:type="dxa"/>
            <w:vAlign w:val="bottom"/>
            <w:gridSpan w:val="2"/>
          </w:tcPr>
          <w:p>
            <w:pPr>
              <w:spacing w:after="0" w:line="133" w:lineRule="exact"/>
              <w:rPr>
                <w:sz w:val="20"/>
                <w:szCs w:val="20"/>
                <w:color w:val="auto"/>
              </w:rPr>
            </w:pPr>
            <w:r>
              <w:rPr>
                <w:rFonts w:ascii="Arial" w:cs="Arial" w:eastAsia="Arial" w:hAnsi="Arial"/>
                <w:sz w:val="12"/>
                <w:szCs w:val="12"/>
                <w:color w:val="auto"/>
              </w:rPr>
              <w:t>Unproved properties</w:t>
            </w:r>
          </w:p>
        </w:tc>
        <w:tc>
          <w:tcPr>
            <w:tcW w:w="620" w:type="dxa"/>
            <w:vAlign w:val="bottom"/>
            <w:shd w:val="clear" w:color="auto" w:fill="EAE7E2"/>
          </w:tcPr>
          <w:p>
            <w:pPr>
              <w:jc w:val="right"/>
              <w:ind w:right="18"/>
              <w:spacing w:after="0" w:line="133" w:lineRule="exact"/>
              <w:rPr>
                <w:sz w:val="20"/>
                <w:szCs w:val="20"/>
                <w:color w:val="auto"/>
              </w:rPr>
            </w:pPr>
            <w:r>
              <w:rPr>
                <w:rFonts w:ascii="Arial" w:cs="Arial" w:eastAsia="Arial" w:hAnsi="Arial"/>
                <w:sz w:val="12"/>
                <w:szCs w:val="12"/>
                <w:color w:val="auto"/>
              </w:rPr>
              <w:t>11,312</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8,910</w:t>
            </w:r>
          </w:p>
        </w:tc>
      </w:tr>
      <w:tr>
        <w:trPr>
          <w:trHeight w:val="139"/>
        </w:trPr>
        <w:tc>
          <w:tcPr>
            <w:tcW w:w="7020" w:type="dxa"/>
            <w:vAlign w:val="bottom"/>
            <w:gridSpan w:val="2"/>
          </w:tcPr>
          <w:p>
            <w:pPr>
              <w:spacing w:after="0"/>
              <w:rPr>
                <w:sz w:val="20"/>
                <w:szCs w:val="20"/>
                <w:color w:val="auto"/>
              </w:rPr>
            </w:pPr>
            <w:r>
              <w:rPr>
                <w:rFonts w:ascii="Arial" w:cs="Arial" w:eastAsia="Arial" w:hAnsi="Arial"/>
                <w:sz w:val="12"/>
                <w:szCs w:val="12"/>
                <w:color w:val="auto"/>
              </w:rPr>
              <w:t>Support equipment and facilities</w:t>
            </w:r>
          </w:p>
        </w:tc>
        <w:tc>
          <w:tcPr>
            <w:tcW w:w="620" w:type="dxa"/>
            <w:vAlign w:val="bottom"/>
            <w:shd w:val="clear" w:color="auto" w:fill="EAE7E2"/>
          </w:tcPr>
          <w:p>
            <w:pPr>
              <w:jc w:val="right"/>
              <w:ind w:right="18"/>
              <w:spacing w:after="0"/>
              <w:rPr>
                <w:sz w:val="20"/>
                <w:szCs w:val="20"/>
                <w:color w:val="auto"/>
              </w:rPr>
            </w:pPr>
            <w:r>
              <w:rPr>
                <w:rFonts w:ascii="Arial" w:cs="Arial" w:eastAsia="Arial" w:hAnsi="Arial"/>
                <w:sz w:val="12"/>
                <w:szCs w:val="12"/>
                <w:color w:val="auto"/>
              </w:rPr>
              <w:t>5,156</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5,132</w:t>
            </w:r>
          </w:p>
        </w:tc>
      </w:tr>
      <w:tr>
        <w:trPr>
          <w:trHeight w:val="140"/>
        </w:trPr>
        <w:tc>
          <w:tcPr>
            <w:tcW w:w="20" w:type="dxa"/>
            <w:vAlign w:val="bottom"/>
          </w:tcPr>
          <w:p>
            <w:pPr>
              <w:spacing w:after="0"/>
              <w:rPr>
                <w:sz w:val="12"/>
                <w:szCs w:val="12"/>
                <w:color w:val="auto"/>
              </w:rPr>
            </w:pPr>
          </w:p>
        </w:tc>
        <w:tc>
          <w:tcPr>
            <w:tcW w:w="70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shd w:val="clear" w:color="auto" w:fill="EAE7E2"/>
          </w:tcPr>
          <w:p>
            <w:pPr>
              <w:jc w:val="right"/>
              <w:ind w:right="18"/>
              <w:spacing w:after="0"/>
              <w:rPr>
                <w:sz w:val="20"/>
                <w:szCs w:val="20"/>
                <w:color w:val="auto"/>
              </w:rPr>
            </w:pPr>
            <w:r>
              <w:rPr>
                <w:rFonts w:ascii="Arial" w:cs="Arial" w:eastAsia="Arial" w:hAnsi="Arial"/>
                <w:sz w:val="12"/>
                <w:szCs w:val="12"/>
                <w:color w:val="auto"/>
              </w:rPr>
              <w:t>139,040</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131,538</w:t>
            </w:r>
          </w:p>
        </w:tc>
      </w:tr>
      <w:tr>
        <w:trPr>
          <w:trHeight w:val="120"/>
        </w:trPr>
        <w:tc>
          <w:tcPr>
            <w:tcW w:w="20" w:type="dxa"/>
            <w:vAlign w:val="bottom"/>
          </w:tcPr>
          <w:p>
            <w:pPr>
              <w:spacing w:after="0"/>
              <w:rPr>
                <w:sz w:val="10"/>
                <w:szCs w:val="10"/>
                <w:color w:val="auto"/>
              </w:rPr>
            </w:pPr>
          </w:p>
        </w:tc>
        <w:tc>
          <w:tcPr>
            <w:tcW w:w="7000" w:type="dxa"/>
            <w:vAlign w:val="bottom"/>
          </w:tcPr>
          <w:p>
            <w:pPr>
              <w:spacing w:after="0" w:line="120" w:lineRule="exact"/>
              <w:rPr>
                <w:sz w:val="20"/>
                <w:szCs w:val="20"/>
                <w:color w:val="auto"/>
              </w:rPr>
            </w:pPr>
            <w:r>
              <w:rPr>
                <w:rFonts w:ascii="Arial" w:cs="Arial" w:eastAsia="Arial" w:hAnsi="Arial"/>
                <w:sz w:val="12"/>
                <w:szCs w:val="12"/>
                <w:b w:val="1"/>
                <w:bCs w:val="1"/>
                <w:color w:val="auto"/>
              </w:rPr>
              <w:t>Depreciation</w:t>
            </w:r>
          </w:p>
        </w:tc>
        <w:tc>
          <w:tcPr>
            <w:tcW w:w="620" w:type="dxa"/>
            <w:vAlign w:val="bottom"/>
            <w:shd w:val="clear" w:color="auto" w:fill="EAE7E2"/>
          </w:tcPr>
          <w:p>
            <w:pPr>
              <w:spacing w:after="0"/>
              <w:rPr>
                <w:sz w:val="10"/>
                <w:szCs w:val="10"/>
                <w:color w:val="auto"/>
              </w:rPr>
            </w:pPr>
          </w:p>
        </w:tc>
        <w:tc>
          <w:tcPr>
            <w:tcW w:w="1040" w:type="dxa"/>
            <w:vAlign w:val="bottom"/>
          </w:tcPr>
          <w:p>
            <w:pPr>
              <w:spacing w:after="0"/>
              <w:rPr>
                <w:sz w:val="10"/>
                <w:szCs w:val="10"/>
                <w:color w:val="auto"/>
              </w:rPr>
            </w:pPr>
          </w:p>
        </w:tc>
      </w:tr>
      <w:tr>
        <w:trPr>
          <w:trHeight w:val="147"/>
        </w:trPr>
        <w:tc>
          <w:tcPr>
            <w:tcW w:w="7020" w:type="dxa"/>
            <w:vAlign w:val="bottom"/>
            <w:gridSpan w:val="2"/>
          </w:tcPr>
          <w:p>
            <w:pPr>
              <w:spacing w:after="0"/>
              <w:rPr>
                <w:sz w:val="20"/>
                <w:szCs w:val="20"/>
                <w:color w:val="auto"/>
              </w:rPr>
            </w:pPr>
            <w:r>
              <w:rPr>
                <w:rFonts w:ascii="Arial" w:cs="Arial" w:eastAsia="Arial" w:hAnsi="Arial"/>
                <w:sz w:val="12"/>
                <w:szCs w:val="12"/>
                <w:color w:val="auto"/>
              </w:rPr>
              <w:t>Proved properties</w:t>
            </w:r>
            <w:r>
              <w:rPr>
                <w:rFonts w:ascii="Arial" w:cs="Arial" w:eastAsia="Arial" w:hAnsi="Arial"/>
                <w:sz w:val="12"/>
                <w:szCs w:val="12"/>
                <w:b w:val="1"/>
                <w:bCs w:val="1"/>
                <w:color w:val="auto"/>
              </w:rPr>
              <w:t>[A]</w:t>
            </w:r>
          </w:p>
        </w:tc>
        <w:tc>
          <w:tcPr>
            <w:tcW w:w="620" w:type="dxa"/>
            <w:vAlign w:val="bottom"/>
            <w:shd w:val="clear" w:color="auto" w:fill="EAE7E2"/>
          </w:tcPr>
          <w:p>
            <w:pPr>
              <w:jc w:val="right"/>
              <w:ind w:right="18"/>
              <w:spacing w:after="0"/>
              <w:rPr>
                <w:sz w:val="20"/>
                <w:szCs w:val="20"/>
                <w:color w:val="auto"/>
              </w:rPr>
            </w:pPr>
            <w:r>
              <w:rPr>
                <w:rFonts w:ascii="Arial" w:cs="Arial" w:eastAsia="Arial" w:hAnsi="Arial"/>
                <w:sz w:val="12"/>
                <w:szCs w:val="12"/>
                <w:color w:val="auto"/>
              </w:rPr>
              <w:t>80,369</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69,433</w:t>
            </w:r>
          </w:p>
        </w:tc>
      </w:tr>
      <w:tr>
        <w:trPr>
          <w:trHeight w:val="133"/>
        </w:trPr>
        <w:tc>
          <w:tcPr>
            <w:tcW w:w="7020" w:type="dxa"/>
            <w:vAlign w:val="bottom"/>
            <w:gridSpan w:val="2"/>
          </w:tcPr>
          <w:p>
            <w:pPr>
              <w:spacing w:after="0" w:line="133" w:lineRule="exact"/>
              <w:rPr>
                <w:sz w:val="20"/>
                <w:szCs w:val="20"/>
                <w:color w:val="auto"/>
              </w:rPr>
            </w:pPr>
            <w:r>
              <w:rPr>
                <w:rFonts w:ascii="Arial" w:cs="Arial" w:eastAsia="Arial" w:hAnsi="Arial"/>
                <w:sz w:val="12"/>
                <w:szCs w:val="12"/>
                <w:color w:val="auto"/>
              </w:rPr>
              <w:t>Unproved properties</w:t>
            </w:r>
          </w:p>
        </w:tc>
        <w:tc>
          <w:tcPr>
            <w:tcW w:w="620" w:type="dxa"/>
            <w:vAlign w:val="bottom"/>
            <w:shd w:val="clear" w:color="auto" w:fill="EAE7E2"/>
          </w:tcPr>
          <w:p>
            <w:pPr>
              <w:jc w:val="right"/>
              <w:ind w:right="18"/>
              <w:spacing w:after="0" w:line="133" w:lineRule="exact"/>
              <w:rPr>
                <w:sz w:val="20"/>
                <w:szCs w:val="20"/>
                <w:color w:val="auto"/>
              </w:rPr>
            </w:pPr>
            <w:r>
              <w:rPr>
                <w:rFonts w:ascii="Arial" w:cs="Arial" w:eastAsia="Arial" w:hAnsi="Arial"/>
                <w:sz w:val="12"/>
                <w:szCs w:val="12"/>
                <w:color w:val="auto"/>
              </w:rPr>
              <w:t>1,678</w:t>
            </w:r>
          </w:p>
        </w:tc>
        <w:tc>
          <w:tcPr>
            <w:tcW w:w="10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1,633</w:t>
            </w:r>
          </w:p>
        </w:tc>
      </w:tr>
      <w:tr>
        <w:trPr>
          <w:trHeight w:val="139"/>
        </w:trPr>
        <w:tc>
          <w:tcPr>
            <w:tcW w:w="7020" w:type="dxa"/>
            <w:vAlign w:val="bottom"/>
            <w:gridSpan w:val="2"/>
          </w:tcPr>
          <w:p>
            <w:pPr>
              <w:spacing w:after="0"/>
              <w:rPr>
                <w:sz w:val="20"/>
                <w:szCs w:val="20"/>
                <w:color w:val="auto"/>
              </w:rPr>
            </w:pPr>
            <w:r>
              <w:rPr>
                <w:rFonts w:ascii="Arial" w:cs="Arial" w:eastAsia="Arial" w:hAnsi="Arial"/>
                <w:sz w:val="12"/>
                <w:szCs w:val="12"/>
                <w:color w:val="auto"/>
              </w:rPr>
              <w:t>Support equipment and facilities</w:t>
            </w:r>
          </w:p>
        </w:tc>
        <w:tc>
          <w:tcPr>
            <w:tcW w:w="620" w:type="dxa"/>
            <w:vAlign w:val="bottom"/>
            <w:shd w:val="clear" w:color="auto" w:fill="EAE7E2"/>
          </w:tcPr>
          <w:p>
            <w:pPr>
              <w:jc w:val="right"/>
              <w:ind w:right="18"/>
              <w:spacing w:after="0"/>
              <w:rPr>
                <w:sz w:val="20"/>
                <w:szCs w:val="20"/>
                <w:color w:val="auto"/>
              </w:rPr>
            </w:pPr>
            <w:r>
              <w:rPr>
                <w:rFonts w:ascii="Arial" w:cs="Arial" w:eastAsia="Arial" w:hAnsi="Arial"/>
                <w:sz w:val="12"/>
                <w:szCs w:val="12"/>
                <w:color w:val="auto"/>
              </w:rPr>
              <w:t>2,668</w:t>
            </w:r>
          </w:p>
        </w:tc>
        <w:tc>
          <w:tcPr>
            <w:tcW w:w="1040" w:type="dxa"/>
            <w:vAlign w:val="bottom"/>
          </w:tcPr>
          <w:p>
            <w:pPr>
              <w:jc w:val="right"/>
              <w:ind w:right="18"/>
              <w:spacing w:after="0"/>
              <w:rPr>
                <w:sz w:val="20"/>
                <w:szCs w:val="20"/>
                <w:color w:val="auto"/>
              </w:rPr>
            </w:pPr>
            <w:r>
              <w:rPr>
                <w:rFonts w:ascii="Arial" w:cs="Arial" w:eastAsia="Arial" w:hAnsi="Arial"/>
                <w:sz w:val="12"/>
                <w:szCs w:val="12"/>
                <w:color w:val="auto"/>
              </w:rPr>
              <w:t>2,401</w:t>
            </w:r>
          </w:p>
        </w:tc>
      </w:tr>
      <w:tr>
        <w:trPr>
          <w:trHeight w:val="140"/>
        </w:trPr>
        <w:tc>
          <w:tcPr>
            <w:tcW w:w="20" w:type="dxa"/>
            <w:vAlign w:val="bottom"/>
          </w:tcPr>
          <w:p>
            <w:pPr>
              <w:spacing w:after="0"/>
              <w:rPr>
                <w:sz w:val="12"/>
                <w:szCs w:val="12"/>
                <w:color w:val="auto"/>
              </w:rPr>
            </w:pPr>
          </w:p>
        </w:tc>
        <w:tc>
          <w:tcPr>
            <w:tcW w:w="70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shd w:val="clear" w:color="auto" w:fill="EAE7E2"/>
          </w:tcPr>
          <w:p>
            <w:pPr>
              <w:jc w:val="right"/>
              <w:ind w:right="18"/>
              <w:spacing w:after="0"/>
              <w:rPr>
                <w:sz w:val="20"/>
                <w:szCs w:val="20"/>
                <w:color w:val="auto"/>
              </w:rPr>
            </w:pPr>
            <w:r>
              <w:rPr>
                <w:rFonts w:ascii="Arial" w:cs="Arial" w:eastAsia="Arial" w:hAnsi="Arial"/>
                <w:sz w:val="12"/>
                <w:szCs w:val="12"/>
                <w:color w:val="auto"/>
              </w:rPr>
              <w:t>84,715</w:t>
            </w:r>
          </w:p>
        </w:tc>
        <w:tc>
          <w:tcPr>
            <w:tcW w:w="10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2"/>
                <w:szCs w:val="12"/>
                <w:color w:val="auto"/>
              </w:rPr>
              <w:t>73,467</w:t>
            </w:r>
          </w:p>
        </w:tc>
      </w:tr>
      <w:tr>
        <w:trPr>
          <w:trHeight w:val="146"/>
        </w:trPr>
        <w:tc>
          <w:tcPr>
            <w:tcW w:w="20" w:type="dxa"/>
            <w:vAlign w:val="bottom"/>
          </w:tcPr>
          <w:p>
            <w:pPr>
              <w:spacing w:after="0"/>
              <w:rPr>
                <w:sz w:val="12"/>
                <w:szCs w:val="12"/>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Net capitalised costs</w:t>
            </w:r>
          </w:p>
        </w:tc>
        <w:tc>
          <w:tcPr>
            <w:tcW w:w="620" w:type="dxa"/>
            <w:vAlign w:val="bottom"/>
            <w:tcBorders>
              <w:bottom w:val="single" w:sz="8" w:color="auto"/>
            </w:tcBorders>
            <w:shd w:val="clear" w:color="auto" w:fill="EAE7E2"/>
          </w:tcPr>
          <w:p>
            <w:pPr>
              <w:jc w:val="right"/>
              <w:ind w:right="18"/>
              <w:spacing w:after="0"/>
              <w:rPr>
                <w:sz w:val="20"/>
                <w:szCs w:val="20"/>
                <w:color w:val="auto"/>
              </w:rPr>
            </w:pPr>
            <w:r>
              <w:rPr>
                <w:rFonts w:ascii="Arial" w:cs="Arial" w:eastAsia="Arial" w:hAnsi="Arial"/>
                <w:sz w:val="12"/>
                <w:szCs w:val="12"/>
                <w:color w:val="auto"/>
              </w:rPr>
              <w:t>54,325</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58,071</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[A]  Includes capitalised asset retirement costs and related depreciation.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Shell share of equity-accounted investments’ net capitalised costs was $14,949 million at December 31, 2007 (2006: $8,876 million).</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 COSTS INCURRED</w:t>
      </w:r>
    </w:p>
    <w:p>
      <w:pPr>
        <w:spacing w:after="0" w:line="6"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Costs incurred by subsidiaries during the year in oil and gas property acquisition, exploration and development activities, whether capitalised or charged to income currently, are shown in the table below. Development costs exclude costs of acquiring support equipment and facilities, but include depreciation thereon.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960" w:type="dxa"/>
            <w:vAlign w:val="bottom"/>
            <w:shd w:val="clear" w:color="auto" w:fill="7DD0E0"/>
          </w:tcPr>
          <w:p>
            <w:pPr>
              <w:spacing w:after="0"/>
              <w:rPr>
                <w:sz w:val="20"/>
                <w:szCs w:val="20"/>
                <w:color w:val="auto"/>
              </w:rPr>
            </w:pPr>
            <w:r>
              <w:rPr>
                <w:rFonts w:ascii="Arial" w:cs="Arial" w:eastAsia="Arial" w:hAnsi="Arial"/>
                <w:sz w:val="12"/>
                <w:szCs w:val="12"/>
                <w:b w:val="1"/>
                <w:bCs w:val="1"/>
                <w:color w:val="auto"/>
              </w:rPr>
              <w:t>2007</w:t>
            </w:r>
          </w:p>
        </w:tc>
        <w:tc>
          <w:tcPr>
            <w:tcW w:w="1060" w:type="dxa"/>
            <w:vAlign w:val="bottom"/>
            <w:shd w:val="clear" w:color="auto" w:fill="7DD0E0"/>
          </w:tcPr>
          <w:p>
            <w:pPr>
              <w:spacing w:after="0"/>
              <w:rPr>
                <w:sz w:val="12"/>
                <w:szCs w:val="12"/>
                <w:color w:val="auto"/>
              </w:rPr>
            </w:pPr>
          </w:p>
        </w:tc>
        <w:tc>
          <w:tcPr>
            <w:tcW w:w="1000" w:type="dxa"/>
            <w:vAlign w:val="bottom"/>
            <w:shd w:val="clear" w:color="auto" w:fill="7DD0E0"/>
          </w:tcPr>
          <w:p>
            <w:pPr>
              <w:spacing w:after="0"/>
              <w:rPr>
                <w:sz w:val="12"/>
                <w:szCs w:val="12"/>
                <w:color w:val="auto"/>
              </w:rPr>
            </w:pPr>
          </w:p>
        </w:tc>
        <w:tc>
          <w:tcPr>
            <w:tcW w:w="860" w:type="dxa"/>
            <w:vAlign w:val="bottom"/>
            <w:shd w:val="clear" w:color="auto" w:fill="7DD0E0"/>
          </w:tcPr>
          <w:p>
            <w:pPr>
              <w:spacing w:after="0"/>
              <w:rPr>
                <w:sz w:val="12"/>
                <w:szCs w:val="12"/>
                <w:color w:val="auto"/>
              </w:rPr>
            </w:pPr>
          </w:p>
        </w:tc>
        <w:tc>
          <w:tcPr>
            <w:tcW w:w="1200" w:type="dxa"/>
            <w:vAlign w:val="bottom"/>
            <w:shd w:val="clear" w:color="auto" w:fill="7DD0E0"/>
          </w:tcPr>
          <w:p>
            <w:pPr>
              <w:spacing w:after="0"/>
              <w:rPr>
                <w:sz w:val="12"/>
                <w:szCs w:val="12"/>
                <w:color w:val="auto"/>
              </w:rPr>
            </w:pPr>
          </w:p>
        </w:tc>
        <w:tc>
          <w:tcPr>
            <w:tcW w:w="940" w:type="dxa"/>
            <w:vAlign w:val="bottom"/>
            <w:shd w:val="clear" w:color="auto" w:fill="7DD0E0"/>
          </w:tcPr>
          <w:p>
            <w:pPr>
              <w:spacing w:after="0"/>
              <w:rPr>
                <w:sz w:val="12"/>
                <w:szCs w:val="12"/>
                <w:color w:val="auto"/>
              </w:rPr>
            </w:pPr>
          </w:p>
        </w:tc>
        <w:tc>
          <w:tcPr>
            <w:tcW w:w="880" w:type="dxa"/>
            <w:vAlign w:val="bottom"/>
            <w:shd w:val="clear" w:color="auto" w:fill="7DD0E0"/>
          </w:tcPr>
          <w:p>
            <w:pPr>
              <w:spacing w:after="0"/>
              <w:rPr>
                <w:sz w:val="12"/>
                <w:szCs w:val="12"/>
                <w:color w:val="auto"/>
              </w:rPr>
            </w:pPr>
          </w:p>
        </w:tc>
        <w:tc>
          <w:tcPr>
            <w:tcW w:w="760" w:type="dxa"/>
            <w:vAlign w:val="bottom"/>
            <w:shd w:val="clear" w:color="auto" w:fill="7DD0E0"/>
          </w:tcPr>
          <w:p>
            <w:pPr>
              <w:jc w:val="right"/>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60" w:type="dxa"/>
            <w:vAlign w:val="bottom"/>
            <w:shd w:val="clear" w:color="auto" w:fill="D8D2C9"/>
          </w:tcPr>
          <w:p>
            <w:pPr>
              <w:spacing w:after="0"/>
              <w:rPr>
                <w:sz w:val="12"/>
                <w:szCs w:val="12"/>
                <w:color w:val="auto"/>
              </w:rPr>
            </w:pPr>
          </w:p>
        </w:tc>
        <w:tc>
          <w:tcPr>
            <w:tcW w:w="1060" w:type="dxa"/>
            <w:vAlign w:val="bottom"/>
            <w:shd w:val="clear" w:color="auto" w:fill="D8D2C9"/>
          </w:tcPr>
          <w:p>
            <w:pPr>
              <w:spacing w:after="0"/>
              <w:rPr>
                <w:sz w:val="12"/>
                <w:szCs w:val="12"/>
                <w:color w:val="auto"/>
              </w:rPr>
            </w:pPr>
          </w:p>
        </w:tc>
        <w:tc>
          <w:tcPr>
            <w:tcW w:w="1000" w:type="dxa"/>
            <w:vAlign w:val="bottom"/>
            <w:shd w:val="clear" w:color="auto" w:fill="D8D2C9"/>
          </w:tcPr>
          <w:p>
            <w:pPr>
              <w:spacing w:after="0"/>
              <w:rPr>
                <w:sz w:val="12"/>
                <w:szCs w:val="12"/>
                <w:color w:val="auto"/>
              </w:rPr>
            </w:pPr>
          </w:p>
        </w:tc>
        <w:tc>
          <w:tcPr>
            <w:tcW w:w="2060" w:type="dxa"/>
            <w:vAlign w:val="bottom"/>
            <w:gridSpan w:val="2"/>
            <w:shd w:val="clear" w:color="auto" w:fill="D8D2C9"/>
          </w:tcPr>
          <w:p>
            <w:pPr>
              <w:jc w:val="right"/>
              <w:ind w:right="238"/>
              <w:spacing w:after="0"/>
              <w:rPr>
                <w:sz w:val="20"/>
                <w:szCs w:val="20"/>
                <w:color w:val="auto"/>
              </w:rPr>
            </w:pPr>
            <w:r>
              <w:rPr>
                <w:rFonts w:ascii="Arial" w:cs="Arial" w:eastAsia="Arial" w:hAnsi="Arial"/>
                <w:sz w:val="12"/>
                <w:szCs w:val="12"/>
                <w:color w:val="auto"/>
              </w:rPr>
              <w:t>Eastern Hemisphere</w:t>
            </w:r>
          </w:p>
        </w:tc>
        <w:tc>
          <w:tcPr>
            <w:tcW w:w="1820" w:type="dxa"/>
            <w:vAlign w:val="bottom"/>
            <w:gridSpan w:val="2"/>
            <w:shd w:val="clear" w:color="auto" w:fill="D8D2C9"/>
          </w:tcPr>
          <w:p>
            <w:pPr>
              <w:jc w:val="right"/>
              <w:ind w:right="198"/>
              <w:spacing w:after="0"/>
              <w:rPr>
                <w:sz w:val="20"/>
                <w:szCs w:val="20"/>
                <w:color w:val="auto"/>
              </w:rPr>
            </w:pPr>
            <w:r>
              <w:rPr>
                <w:rFonts w:ascii="Arial" w:cs="Arial" w:eastAsia="Arial" w:hAnsi="Arial"/>
                <w:sz w:val="12"/>
                <w:szCs w:val="12"/>
                <w:color w:val="auto"/>
              </w:rPr>
              <w:t>Western Hemisphere</w:t>
            </w:r>
          </w:p>
        </w:tc>
        <w:tc>
          <w:tcPr>
            <w:tcW w:w="760" w:type="dxa"/>
            <w:vAlign w:val="bottom"/>
            <w:shd w:val="clear" w:color="auto" w:fill="D8D2C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D8D2C9"/>
          </w:tcPr>
          <w:p>
            <w:pPr>
              <w:spacing w:after="0"/>
              <w:rPr>
                <w:sz w:val="11"/>
                <w:szCs w:val="11"/>
                <w:color w:val="auto"/>
              </w:rPr>
            </w:pPr>
          </w:p>
        </w:tc>
        <w:tc>
          <w:tcPr>
            <w:tcW w:w="1060" w:type="dxa"/>
            <w:vAlign w:val="bottom"/>
            <w:shd w:val="clear" w:color="auto" w:fill="D8D2C9"/>
          </w:tcPr>
          <w:p>
            <w:pPr>
              <w:spacing w:after="0"/>
              <w:rPr>
                <w:sz w:val="11"/>
                <w:szCs w:val="11"/>
                <w:color w:val="auto"/>
              </w:rPr>
            </w:pPr>
          </w:p>
        </w:tc>
        <w:tc>
          <w:tcPr>
            <w:tcW w:w="1000" w:type="dxa"/>
            <w:vAlign w:val="bottom"/>
            <w:shd w:val="clear" w:color="auto" w:fill="D8D2C9"/>
          </w:tcPr>
          <w:p>
            <w:pPr>
              <w:spacing w:after="0"/>
              <w:rPr>
                <w:sz w:val="11"/>
                <w:szCs w:val="11"/>
                <w:color w:val="auto"/>
              </w:rPr>
            </w:pPr>
          </w:p>
        </w:tc>
        <w:tc>
          <w:tcPr>
            <w:tcW w:w="860" w:type="dxa"/>
            <w:vAlign w:val="bottom"/>
            <w:shd w:val="clear" w:color="auto" w:fill="D8D2C9"/>
          </w:tcPr>
          <w:p>
            <w:pPr>
              <w:spacing w:after="0"/>
              <w:rPr>
                <w:sz w:val="11"/>
                <w:szCs w:val="11"/>
                <w:color w:val="auto"/>
              </w:rPr>
            </w:pPr>
          </w:p>
        </w:tc>
        <w:tc>
          <w:tcPr>
            <w:tcW w:w="1200" w:type="dxa"/>
            <w:vAlign w:val="bottom"/>
            <w:shd w:val="clear" w:color="auto" w:fill="D8D2C9"/>
          </w:tcPr>
          <w:p>
            <w:pPr>
              <w:jc w:val="right"/>
              <w:ind w:right="238"/>
              <w:spacing w:after="0" w:line="133" w:lineRule="exact"/>
              <w:rPr>
                <w:sz w:val="20"/>
                <w:szCs w:val="20"/>
                <w:color w:val="auto"/>
              </w:rPr>
            </w:pPr>
            <w:r>
              <w:rPr>
                <w:rFonts w:ascii="Arial" w:cs="Arial" w:eastAsia="Arial" w:hAnsi="Arial"/>
                <w:sz w:val="12"/>
                <w:szCs w:val="12"/>
                <w:color w:val="auto"/>
              </w:rPr>
              <w:t>Middle East,</w:t>
            </w:r>
          </w:p>
        </w:tc>
        <w:tc>
          <w:tcPr>
            <w:tcW w:w="940" w:type="dxa"/>
            <w:vAlign w:val="bottom"/>
            <w:shd w:val="clear" w:color="auto" w:fill="D8D2C9"/>
          </w:tcPr>
          <w:p>
            <w:pPr>
              <w:spacing w:after="0"/>
              <w:rPr>
                <w:sz w:val="11"/>
                <w:szCs w:val="11"/>
                <w:color w:val="auto"/>
              </w:rPr>
            </w:pPr>
          </w:p>
        </w:tc>
        <w:tc>
          <w:tcPr>
            <w:tcW w:w="880" w:type="dxa"/>
            <w:vAlign w:val="bottom"/>
            <w:shd w:val="clear" w:color="auto" w:fill="D8D2C9"/>
          </w:tcPr>
          <w:p>
            <w:pPr>
              <w:spacing w:after="0"/>
              <w:rPr>
                <w:sz w:val="11"/>
                <w:szCs w:val="11"/>
                <w:color w:val="auto"/>
              </w:rPr>
            </w:pPr>
          </w:p>
        </w:tc>
        <w:tc>
          <w:tcPr>
            <w:tcW w:w="760" w:type="dxa"/>
            <w:vAlign w:val="bottom"/>
            <w:shd w:val="clear" w:color="auto" w:fill="D8D2C9"/>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shd w:val="clear" w:color="auto" w:fill="D8D2C9"/>
          </w:tcPr>
          <w:p>
            <w:pPr>
              <w:spacing w:after="0"/>
              <w:rPr>
                <w:sz w:val="10"/>
                <w:szCs w:val="10"/>
                <w:color w:val="auto"/>
              </w:rPr>
            </w:pPr>
          </w:p>
        </w:tc>
        <w:tc>
          <w:tcPr>
            <w:tcW w:w="1060" w:type="dxa"/>
            <w:vAlign w:val="bottom"/>
            <w:shd w:val="clear" w:color="auto" w:fill="D8D2C9"/>
          </w:tcPr>
          <w:p>
            <w:pPr>
              <w:spacing w:after="0"/>
              <w:rPr>
                <w:sz w:val="10"/>
                <w:szCs w:val="10"/>
                <w:color w:val="auto"/>
              </w:rPr>
            </w:pPr>
          </w:p>
        </w:tc>
        <w:tc>
          <w:tcPr>
            <w:tcW w:w="1000" w:type="dxa"/>
            <w:vAlign w:val="bottom"/>
            <w:shd w:val="clear" w:color="auto" w:fill="D8D2C9"/>
          </w:tcPr>
          <w:p>
            <w:pPr>
              <w:spacing w:after="0"/>
              <w:rPr>
                <w:sz w:val="10"/>
                <w:szCs w:val="10"/>
                <w:color w:val="auto"/>
              </w:rPr>
            </w:pPr>
          </w:p>
        </w:tc>
        <w:tc>
          <w:tcPr>
            <w:tcW w:w="860" w:type="dxa"/>
            <w:vAlign w:val="bottom"/>
            <w:shd w:val="clear" w:color="auto" w:fill="D8D2C9"/>
          </w:tcPr>
          <w:p>
            <w:pPr>
              <w:jc w:val="right"/>
              <w:ind w:right="138"/>
              <w:spacing w:after="0" w:line="120" w:lineRule="exact"/>
              <w:rPr>
                <w:sz w:val="20"/>
                <w:szCs w:val="20"/>
                <w:color w:val="auto"/>
              </w:rPr>
            </w:pPr>
            <w:r>
              <w:rPr>
                <w:rFonts w:ascii="Arial" w:cs="Arial" w:eastAsia="Arial" w:hAnsi="Arial"/>
                <w:sz w:val="12"/>
                <w:szCs w:val="12"/>
                <w:color w:val="auto"/>
              </w:rPr>
              <w:t>Asia</w:t>
            </w:r>
          </w:p>
        </w:tc>
        <w:tc>
          <w:tcPr>
            <w:tcW w:w="1200" w:type="dxa"/>
            <w:vAlign w:val="bottom"/>
            <w:shd w:val="clear" w:color="auto" w:fill="D8D2C9"/>
          </w:tcPr>
          <w:p>
            <w:pPr>
              <w:jc w:val="right"/>
              <w:ind w:right="238"/>
              <w:spacing w:after="0" w:line="120" w:lineRule="exact"/>
              <w:rPr>
                <w:sz w:val="20"/>
                <w:szCs w:val="20"/>
                <w:color w:val="auto"/>
              </w:rPr>
            </w:pPr>
            <w:r>
              <w:rPr>
                <w:rFonts w:ascii="Arial" w:cs="Arial" w:eastAsia="Arial" w:hAnsi="Arial"/>
                <w:sz w:val="12"/>
                <w:szCs w:val="12"/>
                <w:color w:val="auto"/>
              </w:rPr>
              <w:t>Russia,</w:t>
            </w:r>
          </w:p>
        </w:tc>
        <w:tc>
          <w:tcPr>
            <w:tcW w:w="940" w:type="dxa"/>
            <w:vAlign w:val="bottom"/>
            <w:shd w:val="clear" w:color="auto" w:fill="D8D2C9"/>
          </w:tcPr>
          <w:p>
            <w:pPr>
              <w:spacing w:after="0"/>
              <w:rPr>
                <w:sz w:val="10"/>
                <w:szCs w:val="10"/>
                <w:color w:val="auto"/>
              </w:rPr>
            </w:pPr>
          </w:p>
        </w:tc>
        <w:tc>
          <w:tcPr>
            <w:tcW w:w="880" w:type="dxa"/>
            <w:vAlign w:val="bottom"/>
            <w:shd w:val="clear" w:color="auto" w:fill="D8D2C9"/>
          </w:tcPr>
          <w:p>
            <w:pPr>
              <w:spacing w:after="0"/>
              <w:rPr>
                <w:sz w:val="10"/>
                <w:szCs w:val="10"/>
                <w:color w:val="auto"/>
              </w:rPr>
            </w:pPr>
          </w:p>
        </w:tc>
        <w:tc>
          <w:tcPr>
            <w:tcW w:w="760" w:type="dxa"/>
            <w:vAlign w:val="bottom"/>
            <w:shd w:val="clear" w:color="auto" w:fill="D8D2C9"/>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D8D2C9"/>
          </w:tcPr>
          <w:p>
            <w:pPr>
              <w:spacing w:after="0"/>
              <w:rPr>
                <w:sz w:val="13"/>
                <w:szCs w:val="13"/>
                <w:color w:val="auto"/>
              </w:rPr>
            </w:pPr>
          </w:p>
        </w:tc>
        <w:tc>
          <w:tcPr>
            <w:tcW w:w="1060" w:type="dxa"/>
            <w:vAlign w:val="bottom"/>
            <w:shd w:val="clear" w:color="auto" w:fill="D8D2C9"/>
          </w:tcPr>
          <w:p>
            <w:pPr>
              <w:jc w:val="right"/>
              <w:ind w:right="158"/>
              <w:spacing w:after="0"/>
              <w:rPr>
                <w:sz w:val="20"/>
                <w:szCs w:val="20"/>
                <w:color w:val="auto"/>
              </w:rPr>
            </w:pPr>
            <w:r>
              <w:rPr>
                <w:rFonts w:ascii="Arial" w:cs="Arial" w:eastAsia="Arial" w:hAnsi="Arial"/>
                <w:sz w:val="12"/>
                <w:szCs w:val="12"/>
                <w:color w:val="auto"/>
              </w:rPr>
              <w:t>Europe</w:t>
            </w:r>
          </w:p>
        </w:tc>
        <w:tc>
          <w:tcPr>
            <w:tcW w:w="100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860" w:type="dxa"/>
            <w:vAlign w:val="bottom"/>
            <w:shd w:val="clear" w:color="auto" w:fill="D8D2C9"/>
          </w:tcPr>
          <w:p>
            <w:pPr>
              <w:jc w:val="right"/>
              <w:ind w:right="138"/>
              <w:spacing w:after="0"/>
              <w:rPr>
                <w:sz w:val="20"/>
                <w:szCs w:val="20"/>
                <w:color w:val="auto"/>
              </w:rPr>
            </w:pPr>
            <w:r>
              <w:rPr>
                <w:rFonts w:ascii="Arial" w:cs="Arial" w:eastAsia="Arial" w:hAnsi="Arial"/>
                <w:sz w:val="12"/>
                <w:szCs w:val="12"/>
                <w:color w:val="auto"/>
              </w:rPr>
              <w:t>Pacific</w:t>
            </w:r>
          </w:p>
        </w:tc>
        <w:tc>
          <w:tcPr>
            <w:tcW w:w="1200" w:type="dxa"/>
            <w:vAlign w:val="bottom"/>
            <w:shd w:val="clear" w:color="auto" w:fill="D8D2C9"/>
          </w:tcPr>
          <w:p>
            <w:pPr>
              <w:jc w:val="right"/>
              <w:ind w:right="23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[C]</w:t>
            </w:r>
          </w:p>
        </w:tc>
        <w:tc>
          <w:tcPr>
            <w:tcW w:w="94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USA</w:t>
            </w:r>
          </w:p>
        </w:tc>
        <w:tc>
          <w:tcPr>
            <w:tcW w:w="88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D8D2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60" w:type="dxa"/>
            <w:vAlign w:val="bottom"/>
          </w:tcPr>
          <w:p>
            <w:pPr>
              <w:spacing w:after="0" w:line="128" w:lineRule="exact"/>
              <w:rPr>
                <w:sz w:val="20"/>
                <w:szCs w:val="20"/>
                <w:color w:val="auto"/>
              </w:rPr>
            </w:pPr>
            <w:r>
              <w:rPr>
                <w:rFonts w:ascii="Arial" w:cs="Arial" w:eastAsia="Arial" w:hAnsi="Arial"/>
                <w:sz w:val="12"/>
                <w:szCs w:val="12"/>
                <w:color w:val="auto"/>
              </w:rPr>
              <w:t>Acquisition of properties</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Unproved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119</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7</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5</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611</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65</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807</w:t>
            </w:r>
          </w:p>
        </w:tc>
        <w:tc>
          <w:tcPr>
            <w:tcW w:w="0" w:type="dxa"/>
            <w:vAlign w:val="bottom"/>
          </w:tcPr>
          <w:p>
            <w:pPr>
              <w:spacing w:after="0"/>
              <w:rPr>
                <w:sz w:val="1"/>
                <w:szCs w:val="1"/>
                <w:color w:val="auto"/>
              </w:rPr>
            </w:pPr>
          </w:p>
        </w:tc>
      </w:tr>
      <w:tr>
        <w:trPr>
          <w:trHeight w:val="119"/>
        </w:trPr>
        <w:tc>
          <w:tcPr>
            <w:tcW w:w="1980" w:type="dxa"/>
            <w:vAlign w:val="bottom"/>
            <w:gridSpan w:val="2"/>
          </w:tcPr>
          <w:p>
            <w:pPr>
              <w:spacing w:after="0" w:line="120" w:lineRule="exact"/>
              <w:rPr>
                <w:sz w:val="20"/>
                <w:szCs w:val="20"/>
                <w:color w:val="auto"/>
              </w:rPr>
            </w:pPr>
            <w:r>
              <w:rPr>
                <w:rFonts w:ascii="Arial" w:cs="Arial" w:eastAsia="Arial" w:hAnsi="Arial"/>
                <w:sz w:val="12"/>
                <w:szCs w:val="12"/>
                <w:color w:val="auto"/>
              </w:rPr>
              <w:t>Exploration</w:t>
            </w:r>
          </w:p>
        </w:tc>
        <w:tc>
          <w:tcPr>
            <w:tcW w:w="1060" w:type="dxa"/>
            <w:vAlign w:val="bottom"/>
          </w:tcPr>
          <w:p>
            <w:pPr>
              <w:jc w:val="right"/>
              <w:ind w:right="158"/>
              <w:spacing w:after="0" w:line="120" w:lineRule="exact"/>
              <w:rPr>
                <w:sz w:val="20"/>
                <w:szCs w:val="20"/>
                <w:color w:val="auto"/>
              </w:rPr>
            </w:pPr>
            <w:r>
              <w:rPr>
                <w:rFonts w:ascii="Arial" w:cs="Arial" w:eastAsia="Arial" w:hAnsi="Arial"/>
                <w:sz w:val="12"/>
                <w:szCs w:val="12"/>
                <w:color w:val="auto"/>
              </w:rPr>
              <w:t>479</w:t>
            </w:r>
          </w:p>
        </w:tc>
        <w:tc>
          <w:tcPr>
            <w:tcW w:w="100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388</w:t>
            </w:r>
          </w:p>
        </w:tc>
        <w:tc>
          <w:tcPr>
            <w:tcW w:w="860" w:type="dxa"/>
            <w:vAlign w:val="bottom"/>
          </w:tcPr>
          <w:p>
            <w:pPr>
              <w:jc w:val="right"/>
              <w:ind w:right="138"/>
              <w:spacing w:after="0" w:line="120" w:lineRule="exact"/>
              <w:rPr>
                <w:sz w:val="20"/>
                <w:szCs w:val="20"/>
                <w:color w:val="auto"/>
              </w:rPr>
            </w:pPr>
            <w:r>
              <w:rPr>
                <w:rFonts w:ascii="Arial" w:cs="Arial" w:eastAsia="Arial" w:hAnsi="Arial"/>
                <w:sz w:val="12"/>
                <w:szCs w:val="12"/>
                <w:color w:val="auto"/>
              </w:rPr>
              <w:t>419</w:t>
            </w:r>
          </w:p>
        </w:tc>
        <w:tc>
          <w:tcPr>
            <w:tcW w:w="1200" w:type="dxa"/>
            <w:vAlign w:val="bottom"/>
          </w:tcPr>
          <w:p>
            <w:pPr>
              <w:jc w:val="right"/>
              <w:ind w:right="238"/>
              <w:spacing w:after="0" w:line="120" w:lineRule="exact"/>
              <w:rPr>
                <w:sz w:val="20"/>
                <w:szCs w:val="20"/>
                <w:color w:val="auto"/>
              </w:rPr>
            </w:pPr>
            <w:r>
              <w:rPr>
                <w:rFonts w:ascii="Arial" w:cs="Arial" w:eastAsia="Arial" w:hAnsi="Arial"/>
                <w:sz w:val="12"/>
                <w:szCs w:val="12"/>
                <w:color w:val="auto"/>
              </w:rPr>
              <w:t>434</w:t>
            </w:r>
          </w:p>
        </w:tc>
        <w:tc>
          <w:tcPr>
            <w:tcW w:w="94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1,066</w:t>
            </w:r>
          </w:p>
        </w:tc>
        <w:tc>
          <w:tcPr>
            <w:tcW w:w="880" w:type="dxa"/>
            <w:vAlign w:val="bottom"/>
          </w:tcPr>
          <w:p>
            <w:pPr>
              <w:jc w:val="right"/>
              <w:ind w:right="198"/>
              <w:spacing w:after="0" w:line="120" w:lineRule="exact"/>
              <w:rPr>
                <w:sz w:val="20"/>
                <w:szCs w:val="20"/>
                <w:color w:val="auto"/>
              </w:rPr>
            </w:pPr>
            <w:r>
              <w:rPr>
                <w:rFonts w:ascii="Arial" w:cs="Arial" w:eastAsia="Arial" w:hAnsi="Arial"/>
                <w:sz w:val="12"/>
                <w:szCs w:val="12"/>
                <w:color w:val="auto"/>
              </w:rPr>
              <w:t>423</w:t>
            </w:r>
          </w:p>
        </w:tc>
        <w:tc>
          <w:tcPr>
            <w:tcW w:w="7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3,209</w:t>
            </w:r>
          </w:p>
        </w:tc>
        <w:tc>
          <w:tcPr>
            <w:tcW w:w="0" w:type="dxa"/>
            <w:vAlign w:val="bottom"/>
          </w:tcPr>
          <w:p>
            <w:pPr>
              <w:spacing w:after="0"/>
              <w:rPr>
                <w:sz w:val="1"/>
                <w:szCs w:val="1"/>
                <w:color w:val="auto"/>
              </w:rPr>
            </w:pPr>
          </w:p>
        </w:tc>
      </w:tr>
      <w:tr>
        <w:trPr>
          <w:trHeight w:val="16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 xml:space="preserve">Development </w:t>
            </w:r>
            <w:r>
              <w:rPr>
                <w:rFonts w:ascii="Arial" w:cs="Arial" w:eastAsia="Arial" w:hAnsi="Arial"/>
                <w:sz w:val="12"/>
                <w:szCs w:val="12"/>
                <w:b w:val="1"/>
                <w:bCs w:val="1"/>
                <w:color w:val="auto"/>
              </w:rPr>
              <w:t>[A]</w:t>
            </w: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3,285</w:t>
            </w: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2,108</w:t>
            </w: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836</w:t>
            </w: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2,966</w:t>
            </w: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2,315</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1,015</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12,525</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96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2006</w:t>
            </w:r>
          </w:p>
        </w:tc>
        <w:tc>
          <w:tcPr>
            <w:tcW w:w="106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1200" w:type="dxa"/>
            <w:vAlign w:val="bottom"/>
            <w:shd w:val="clear" w:color="auto" w:fill="7DD0E0"/>
          </w:tcPr>
          <w:p>
            <w:pPr>
              <w:spacing w:after="0"/>
              <w:rPr>
                <w:sz w:val="11"/>
                <w:szCs w:val="11"/>
                <w:color w:val="auto"/>
              </w:rPr>
            </w:pPr>
          </w:p>
        </w:tc>
        <w:tc>
          <w:tcPr>
            <w:tcW w:w="940" w:type="dxa"/>
            <w:vAlign w:val="bottom"/>
            <w:shd w:val="clear" w:color="auto" w:fill="7DD0E0"/>
          </w:tcPr>
          <w:p>
            <w:pPr>
              <w:spacing w:after="0"/>
              <w:rPr>
                <w:sz w:val="11"/>
                <w:szCs w:val="11"/>
                <w:color w:val="auto"/>
              </w:rPr>
            </w:pPr>
          </w:p>
        </w:tc>
        <w:tc>
          <w:tcPr>
            <w:tcW w:w="880" w:type="dxa"/>
            <w:vAlign w:val="bottom"/>
            <w:shd w:val="clear" w:color="auto" w:fill="7DD0E0"/>
          </w:tcPr>
          <w:p>
            <w:pPr>
              <w:spacing w:after="0"/>
              <w:rPr>
                <w:sz w:val="11"/>
                <w:szCs w:val="11"/>
                <w:color w:val="auto"/>
              </w:rPr>
            </w:pPr>
          </w:p>
        </w:tc>
        <w:tc>
          <w:tcPr>
            <w:tcW w:w="760" w:type="dxa"/>
            <w:vAlign w:val="bottom"/>
            <w:shd w:val="clear" w:color="auto" w:fill="7DD0E0"/>
          </w:tcPr>
          <w:p>
            <w:pPr>
              <w:jc w:val="right"/>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60" w:type="dxa"/>
            <w:vAlign w:val="bottom"/>
            <w:shd w:val="clear" w:color="auto" w:fill="D8D2C9"/>
          </w:tcPr>
          <w:p>
            <w:pPr>
              <w:spacing w:after="0"/>
              <w:rPr>
                <w:sz w:val="12"/>
                <w:szCs w:val="12"/>
                <w:color w:val="auto"/>
              </w:rPr>
            </w:pPr>
          </w:p>
        </w:tc>
        <w:tc>
          <w:tcPr>
            <w:tcW w:w="1060" w:type="dxa"/>
            <w:vAlign w:val="bottom"/>
            <w:shd w:val="clear" w:color="auto" w:fill="D8D2C9"/>
          </w:tcPr>
          <w:p>
            <w:pPr>
              <w:spacing w:after="0"/>
              <w:rPr>
                <w:sz w:val="12"/>
                <w:szCs w:val="12"/>
                <w:color w:val="auto"/>
              </w:rPr>
            </w:pPr>
          </w:p>
        </w:tc>
        <w:tc>
          <w:tcPr>
            <w:tcW w:w="1000" w:type="dxa"/>
            <w:vAlign w:val="bottom"/>
            <w:shd w:val="clear" w:color="auto" w:fill="D8D2C9"/>
          </w:tcPr>
          <w:p>
            <w:pPr>
              <w:spacing w:after="0"/>
              <w:rPr>
                <w:sz w:val="12"/>
                <w:szCs w:val="12"/>
                <w:color w:val="auto"/>
              </w:rPr>
            </w:pPr>
          </w:p>
        </w:tc>
        <w:tc>
          <w:tcPr>
            <w:tcW w:w="2060" w:type="dxa"/>
            <w:vAlign w:val="bottom"/>
            <w:gridSpan w:val="2"/>
            <w:shd w:val="clear" w:color="auto" w:fill="D8D2C9"/>
          </w:tcPr>
          <w:p>
            <w:pPr>
              <w:jc w:val="right"/>
              <w:ind w:right="238"/>
              <w:spacing w:after="0"/>
              <w:rPr>
                <w:sz w:val="20"/>
                <w:szCs w:val="20"/>
                <w:color w:val="auto"/>
              </w:rPr>
            </w:pPr>
            <w:r>
              <w:rPr>
                <w:rFonts w:ascii="Arial" w:cs="Arial" w:eastAsia="Arial" w:hAnsi="Arial"/>
                <w:sz w:val="12"/>
                <w:szCs w:val="12"/>
                <w:color w:val="auto"/>
              </w:rPr>
              <w:t>Eastern Hemisphere</w:t>
            </w:r>
          </w:p>
        </w:tc>
        <w:tc>
          <w:tcPr>
            <w:tcW w:w="1820" w:type="dxa"/>
            <w:vAlign w:val="bottom"/>
            <w:gridSpan w:val="2"/>
            <w:shd w:val="clear" w:color="auto" w:fill="D8D2C9"/>
          </w:tcPr>
          <w:p>
            <w:pPr>
              <w:jc w:val="right"/>
              <w:ind w:right="198"/>
              <w:spacing w:after="0"/>
              <w:rPr>
                <w:sz w:val="20"/>
                <w:szCs w:val="20"/>
                <w:color w:val="auto"/>
              </w:rPr>
            </w:pPr>
            <w:r>
              <w:rPr>
                <w:rFonts w:ascii="Arial" w:cs="Arial" w:eastAsia="Arial" w:hAnsi="Arial"/>
                <w:sz w:val="12"/>
                <w:szCs w:val="12"/>
                <w:color w:val="auto"/>
              </w:rPr>
              <w:t>Western Hemisphere</w:t>
            </w:r>
          </w:p>
        </w:tc>
        <w:tc>
          <w:tcPr>
            <w:tcW w:w="760" w:type="dxa"/>
            <w:vAlign w:val="bottom"/>
            <w:shd w:val="clear" w:color="auto" w:fill="D8D2C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D8D2C9"/>
          </w:tcPr>
          <w:p>
            <w:pPr>
              <w:spacing w:after="0"/>
              <w:rPr>
                <w:sz w:val="11"/>
                <w:szCs w:val="11"/>
                <w:color w:val="auto"/>
              </w:rPr>
            </w:pPr>
          </w:p>
        </w:tc>
        <w:tc>
          <w:tcPr>
            <w:tcW w:w="1060" w:type="dxa"/>
            <w:vAlign w:val="bottom"/>
            <w:shd w:val="clear" w:color="auto" w:fill="D8D2C9"/>
          </w:tcPr>
          <w:p>
            <w:pPr>
              <w:spacing w:after="0"/>
              <w:rPr>
                <w:sz w:val="11"/>
                <w:szCs w:val="11"/>
                <w:color w:val="auto"/>
              </w:rPr>
            </w:pPr>
          </w:p>
        </w:tc>
        <w:tc>
          <w:tcPr>
            <w:tcW w:w="1000" w:type="dxa"/>
            <w:vAlign w:val="bottom"/>
            <w:shd w:val="clear" w:color="auto" w:fill="D8D2C9"/>
          </w:tcPr>
          <w:p>
            <w:pPr>
              <w:spacing w:after="0"/>
              <w:rPr>
                <w:sz w:val="11"/>
                <w:szCs w:val="11"/>
                <w:color w:val="auto"/>
              </w:rPr>
            </w:pPr>
          </w:p>
        </w:tc>
        <w:tc>
          <w:tcPr>
            <w:tcW w:w="860" w:type="dxa"/>
            <w:vAlign w:val="bottom"/>
            <w:shd w:val="clear" w:color="auto" w:fill="D8D2C9"/>
          </w:tcPr>
          <w:p>
            <w:pPr>
              <w:spacing w:after="0"/>
              <w:rPr>
                <w:sz w:val="11"/>
                <w:szCs w:val="11"/>
                <w:color w:val="auto"/>
              </w:rPr>
            </w:pPr>
          </w:p>
        </w:tc>
        <w:tc>
          <w:tcPr>
            <w:tcW w:w="1200" w:type="dxa"/>
            <w:vAlign w:val="bottom"/>
            <w:shd w:val="clear" w:color="auto" w:fill="D8D2C9"/>
          </w:tcPr>
          <w:p>
            <w:pPr>
              <w:jc w:val="right"/>
              <w:ind w:right="238"/>
              <w:spacing w:after="0" w:line="133" w:lineRule="exact"/>
              <w:rPr>
                <w:sz w:val="20"/>
                <w:szCs w:val="20"/>
                <w:color w:val="auto"/>
              </w:rPr>
            </w:pPr>
            <w:r>
              <w:rPr>
                <w:rFonts w:ascii="Arial" w:cs="Arial" w:eastAsia="Arial" w:hAnsi="Arial"/>
                <w:sz w:val="12"/>
                <w:szCs w:val="12"/>
                <w:color w:val="auto"/>
              </w:rPr>
              <w:t>Middle East,</w:t>
            </w:r>
          </w:p>
        </w:tc>
        <w:tc>
          <w:tcPr>
            <w:tcW w:w="940" w:type="dxa"/>
            <w:vAlign w:val="bottom"/>
            <w:shd w:val="clear" w:color="auto" w:fill="D8D2C9"/>
          </w:tcPr>
          <w:p>
            <w:pPr>
              <w:spacing w:after="0"/>
              <w:rPr>
                <w:sz w:val="11"/>
                <w:szCs w:val="11"/>
                <w:color w:val="auto"/>
              </w:rPr>
            </w:pPr>
          </w:p>
        </w:tc>
        <w:tc>
          <w:tcPr>
            <w:tcW w:w="880" w:type="dxa"/>
            <w:vAlign w:val="bottom"/>
            <w:shd w:val="clear" w:color="auto" w:fill="D8D2C9"/>
          </w:tcPr>
          <w:p>
            <w:pPr>
              <w:spacing w:after="0"/>
              <w:rPr>
                <w:sz w:val="11"/>
                <w:szCs w:val="11"/>
                <w:color w:val="auto"/>
              </w:rPr>
            </w:pPr>
          </w:p>
        </w:tc>
        <w:tc>
          <w:tcPr>
            <w:tcW w:w="760" w:type="dxa"/>
            <w:vAlign w:val="bottom"/>
            <w:shd w:val="clear" w:color="auto" w:fill="D8D2C9"/>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shd w:val="clear" w:color="auto" w:fill="D8D2C9"/>
          </w:tcPr>
          <w:p>
            <w:pPr>
              <w:spacing w:after="0"/>
              <w:rPr>
                <w:sz w:val="10"/>
                <w:szCs w:val="10"/>
                <w:color w:val="auto"/>
              </w:rPr>
            </w:pPr>
          </w:p>
        </w:tc>
        <w:tc>
          <w:tcPr>
            <w:tcW w:w="1060" w:type="dxa"/>
            <w:vAlign w:val="bottom"/>
            <w:shd w:val="clear" w:color="auto" w:fill="D8D2C9"/>
          </w:tcPr>
          <w:p>
            <w:pPr>
              <w:spacing w:after="0"/>
              <w:rPr>
                <w:sz w:val="10"/>
                <w:szCs w:val="10"/>
                <w:color w:val="auto"/>
              </w:rPr>
            </w:pPr>
          </w:p>
        </w:tc>
        <w:tc>
          <w:tcPr>
            <w:tcW w:w="1000" w:type="dxa"/>
            <w:vAlign w:val="bottom"/>
            <w:shd w:val="clear" w:color="auto" w:fill="D8D2C9"/>
          </w:tcPr>
          <w:p>
            <w:pPr>
              <w:spacing w:after="0"/>
              <w:rPr>
                <w:sz w:val="10"/>
                <w:szCs w:val="10"/>
                <w:color w:val="auto"/>
              </w:rPr>
            </w:pPr>
          </w:p>
        </w:tc>
        <w:tc>
          <w:tcPr>
            <w:tcW w:w="860" w:type="dxa"/>
            <w:vAlign w:val="bottom"/>
            <w:shd w:val="clear" w:color="auto" w:fill="D8D2C9"/>
          </w:tcPr>
          <w:p>
            <w:pPr>
              <w:jc w:val="right"/>
              <w:ind w:right="138"/>
              <w:spacing w:after="0" w:line="120" w:lineRule="exact"/>
              <w:rPr>
                <w:sz w:val="20"/>
                <w:szCs w:val="20"/>
                <w:color w:val="auto"/>
              </w:rPr>
            </w:pPr>
            <w:r>
              <w:rPr>
                <w:rFonts w:ascii="Arial" w:cs="Arial" w:eastAsia="Arial" w:hAnsi="Arial"/>
                <w:sz w:val="12"/>
                <w:szCs w:val="12"/>
                <w:color w:val="auto"/>
              </w:rPr>
              <w:t>Asia</w:t>
            </w:r>
          </w:p>
        </w:tc>
        <w:tc>
          <w:tcPr>
            <w:tcW w:w="1200" w:type="dxa"/>
            <w:vAlign w:val="bottom"/>
            <w:shd w:val="clear" w:color="auto" w:fill="D8D2C9"/>
          </w:tcPr>
          <w:p>
            <w:pPr>
              <w:jc w:val="right"/>
              <w:ind w:right="238"/>
              <w:spacing w:after="0" w:line="120" w:lineRule="exact"/>
              <w:rPr>
                <w:sz w:val="20"/>
                <w:szCs w:val="20"/>
                <w:color w:val="auto"/>
              </w:rPr>
            </w:pPr>
            <w:r>
              <w:rPr>
                <w:rFonts w:ascii="Arial" w:cs="Arial" w:eastAsia="Arial" w:hAnsi="Arial"/>
                <w:sz w:val="12"/>
                <w:szCs w:val="12"/>
                <w:color w:val="auto"/>
              </w:rPr>
              <w:t>Russia,</w:t>
            </w:r>
          </w:p>
        </w:tc>
        <w:tc>
          <w:tcPr>
            <w:tcW w:w="940" w:type="dxa"/>
            <w:vAlign w:val="bottom"/>
            <w:shd w:val="clear" w:color="auto" w:fill="D8D2C9"/>
          </w:tcPr>
          <w:p>
            <w:pPr>
              <w:spacing w:after="0"/>
              <w:rPr>
                <w:sz w:val="10"/>
                <w:szCs w:val="10"/>
                <w:color w:val="auto"/>
              </w:rPr>
            </w:pPr>
          </w:p>
        </w:tc>
        <w:tc>
          <w:tcPr>
            <w:tcW w:w="880" w:type="dxa"/>
            <w:vAlign w:val="bottom"/>
            <w:shd w:val="clear" w:color="auto" w:fill="D8D2C9"/>
          </w:tcPr>
          <w:p>
            <w:pPr>
              <w:spacing w:after="0"/>
              <w:rPr>
                <w:sz w:val="10"/>
                <w:szCs w:val="10"/>
                <w:color w:val="auto"/>
              </w:rPr>
            </w:pPr>
          </w:p>
        </w:tc>
        <w:tc>
          <w:tcPr>
            <w:tcW w:w="760" w:type="dxa"/>
            <w:vAlign w:val="bottom"/>
            <w:shd w:val="clear" w:color="auto" w:fill="D8D2C9"/>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D8D2C9"/>
          </w:tcPr>
          <w:p>
            <w:pPr>
              <w:spacing w:after="0"/>
              <w:rPr>
                <w:sz w:val="13"/>
                <w:szCs w:val="13"/>
                <w:color w:val="auto"/>
              </w:rPr>
            </w:pPr>
          </w:p>
        </w:tc>
        <w:tc>
          <w:tcPr>
            <w:tcW w:w="1060" w:type="dxa"/>
            <w:vAlign w:val="bottom"/>
            <w:shd w:val="clear" w:color="auto" w:fill="D8D2C9"/>
          </w:tcPr>
          <w:p>
            <w:pPr>
              <w:jc w:val="right"/>
              <w:ind w:right="158"/>
              <w:spacing w:after="0"/>
              <w:rPr>
                <w:sz w:val="20"/>
                <w:szCs w:val="20"/>
                <w:color w:val="auto"/>
              </w:rPr>
            </w:pPr>
            <w:r>
              <w:rPr>
                <w:rFonts w:ascii="Arial" w:cs="Arial" w:eastAsia="Arial" w:hAnsi="Arial"/>
                <w:sz w:val="12"/>
                <w:szCs w:val="12"/>
                <w:color w:val="auto"/>
              </w:rPr>
              <w:t>Europe</w:t>
            </w:r>
          </w:p>
        </w:tc>
        <w:tc>
          <w:tcPr>
            <w:tcW w:w="100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860" w:type="dxa"/>
            <w:vAlign w:val="bottom"/>
            <w:shd w:val="clear" w:color="auto" w:fill="D8D2C9"/>
          </w:tcPr>
          <w:p>
            <w:pPr>
              <w:jc w:val="right"/>
              <w:ind w:right="138"/>
              <w:spacing w:after="0"/>
              <w:rPr>
                <w:sz w:val="20"/>
                <w:szCs w:val="20"/>
                <w:color w:val="auto"/>
              </w:rPr>
            </w:pPr>
            <w:r>
              <w:rPr>
                <w:rFonts w:ascii="Arial" w:cs="Arial" w:eastAsia="Arial" w:hAnsi="Arial"/>
                <w:sz w:val="12"/>
                <w:szCs w:val="12"/>
                <w:color w:val="auto"/>
              </w:rPr>
              <w:t>Pacific</w:t>
            </w:r>
          </w:p>
        </w:tc>
        <w:tc>
          <w:tcPr>
            <w:tcW w:w="1200" w:type="dxa"/>
            <w:vAlign w:val="bottom"/>
            <w:shd w:val="clear" w:color="auto" w:fill="D8D2C9"/>
          </w:tcPr>
          <w:p>
            <w:pPr>
              <w:jc w:val="right"/>
              <w:ind w:right="23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[C]</w:t>
            </w:r>
          </w:p>
        </w:tc>
        <w:tc>
          <w:tcPr>
            <w:tcW w:w="94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USA</w:t>
            </w:r>
          </w:p>
        </w:tc>
        <w:tc>
          <w:tcPr>
            <w:tcW w:w="88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D8D2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60" w:type="dxa"/>
            <w:vAlign w:val="bottom"/>
          </w:tcPr>
          <w:p>
            <w:pPr>
              <w:spacing w:after="0" w:line="128" w:lineRule="exact"/>
              <w:rPr>
                <w:sz w:val="20"/>
                <w:szCs w:val="20"/>
                <w:color w:val="auto"/>
              </w:rPr>
            </w:pPr>
            <w:r>
              <w:rPr>
                <w:rFonts w:ascii="Arial" w:cs="Arial" w:eastAsia="Arial" w:hAnsi="Arial"/>
                <w:sz w:val="12"/>
                <w:szCs w:val="12"/>
                <w:color w:val="auto"/>
              </w:rPr>
              <w:t>Acquisition of properties</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5</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21</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474</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503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Unproved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20</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48</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17</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103</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3,053</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3,247</w:t>
            </w:r>
          </w:p>
        </w:tc>
        <w:tc>
          <w:tcPr>
            <w:tcW w:w="0" w:type="dxa"/>
            <w:vAlign w:val="bottom"/>
          </w:tcPr>
          <w:p>
            <w:pPr>
              <w:spacing w:after="0"/>
              <w:rPr>
                <w:sz w:val="1"/>
                <w:szCs w:val="1"/>
                <w:color w:val="auto"/>
              </w:rPr>
            </w:pPr>
          </w:p>
        </w:tc>
      </w:tr>
      <w:tr>
        <w:trPr>
          <w:trHeight w:val="119"/>
        </w:trPr>
        <w:tc>
          <w:tcPr>
            <w:tcW w:w="1980" w:type="dxa"/>
            <w:vAlign w:val="bottom"/>
            <w:gridSpan w:val="2"/>
          </w:tcPr>
          <w:p>
            <w:pPr>
              <w:spacing w:after="0" w:line="120" w:lineRule="exact"/>
              <w:rPr>
                <w:sz w:val="20"/>
                <w:szCs w:val="20"/>
                <w:color w:val="auto"/>
              </w:rPr>
            </w:pPr>
            <w:r>
              <w:rPr>
                <w:rFonts w:ascii="Arial" w:cs="Arial" w:eastAsia="Arial" w:hAnsi="Arial"/>
                <w:sz w:val="12"/>
                <w:szCs w:val="12"/>
                <w:color w:val="auto"/>
              </w:rPr>
              <w:t>Exploration</w:t>
            </w:r>
          </w:p>
        </w:tc>
        <w:tc>
          <w:tcPr>
            <w:tcW w:w="1060" w:type="dxa"/>
            <w:vAlign w:val="bottom"/>
          </w:tcPr>
          <w:p>
            <w:pPr>
              <w:jc w:val="right"/>
              <w:ind w:right="158"/>
              <w:spacing w:after="0" w:line="120" w:lineRule="exact"/>
              <w:rPr>
                <w:sz w:val="20"/>
                <w:szCs w:val="20"/>
                <w:color w:val="auto"/>
              </w:rPr>
            </w:pPr>
            <w:r>
              <w:rPr>
                <w:rFonts w:ascii="Arial" w:cs="Arial" w:eastAsia="Arial" w:hAnsi="Arial"/>
                <w:sz w:val="12"/>
                <w:szCs w:val="12"/>
                <w:color w:val="auto"/>
              </w:rPr>
              <w:t>327</w:t>
            </w:r>
          </w:p>
        </w:tc>
        <w:tc>
          <w:tcPr>
            <w:tcW w:w="100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503</w:t>
            </w:r>
          </w:p>
        </w:tc>
        <w:tc>
          <w:tcPr>
            <w:tcW w:w="860" w:type="dxa"/>
            <w:vAlign w:val="bottom"/>
          </w:tcPr>
          <w:p>
            <w:pPr>
              <w:jc w:val="right"/>
              <w:ind w:right="138"/>
              <w:spacing w:after="0" w:line="120" w:lineRule="exact"/>
              <w:rPr>
                <w:sz w:val="20"/>
                <w:szCs w:val="20"/>
                <w:color w:val="auto"/>
              </w:rPr>
            </w:pPr>
            <w:r>
              <w:rPr>
                <w:rFonts w:ascii="Arial" w:cs="Arial" w:eastAsia="Arial" w:hAnsi="Arial"/>
                <w:sz w:val="12"/>
                <w:szCs w:val="12"/>
                <w:color w:val="auto"/>
              </w:rPr>
              <w:t>289</w:t>
            </w:r>
          </w:p>
        </w:tc>
        <w:tc>
          <w:tcPr>
            <w:tcW w:w="1200" w:type="dxa"/>
            <w:vAlign w:val="bottom"/>
          </w:tcPr>
          <w:p>
            <w:pPr>
              <w:jc w:val="right"/>
              <w:ind w:right="238"/>
              <w:spacing w:after="0" w:line="120" w:lineRule="exact"/>
              <w:rPr>
                <w:sz w:val="20"/>
                <w:szCs w:val="20"/>
                <w:color w:val="auto"/>
              </w:rPr>
            </w:pPr>
            <w:r>
              <w:rPr>
                <w:rFonts w:ascii="Arial" w:cs="Arial" w:eastAsia="Arial" w:hAnsi="Arial"/>
                <w:sz w:val="12"/>
                <w:szCs w:val="12"/>
                <w:color w:val="auto"/>
              </w:rPr>
              <w:t>242</w:t>
            </w:r>
          </w:p>
        </w:tc>
        <w:tc>
          <w:tcPr>
            <w:tcW w:w="94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730</w:t>
            </w:r>
          </w:p>
        </w:tc>
        <w:tc>
          <w:tcPr>
            <w:tcW w:w="880" w:type="dxa"/>
            <w:vAlign w:val="bottom"/>
          </w:tcPr>
          <w:p>
            <w:pPr>
              <w:jc w:val="right"/>
              <w:ind w:right="198"/>
              <w:spacing w:after="0" w:line="120" w:lineRule="exact"/>
              <w:rPr>
                <w:sz w:val="20"/>
                <w:szCs w:val="20"/>
                <w:color w:val="auto"/>
              </w:rPr>
            </w:pPr>
            <w:r>
              <w:rPr>
                <w:rFonts w:ascii="Arial" w:cs="Arial" w:eastAsia="Arial" w:hAnsi="Arial"/>
                <w:sz w:val="12"/>
                <w:szCs w:val="12"/>
                <w:color w:val="auto"/>
              </w:rPr>
              <w:t>417</w:t>
            </w:r>
          </w:p>
        </w:tc>
        <w:tc>
          <w:tcPr>
            <w:tcW w:w="7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2,508</w:t>
            </w:r>
          </w:p>
        </w:tc>
        <w:tc>
          <w:tcPr>
            <w:tcW w:w="0" w:type="dxa"/>
            <w:vAlign w:val="bottom"/>
          </w:tcPr>
          <w:p>
            <w:pPr>
              <w:spacing w:after="0"/>
              <w:rPr>
                <w:sz w:val="1"/>
                <w:szCs w:val="1"/>
                <w:color w:val="auto"/>
              </w:rPr>
            </w:pPr>
          </w:p>
        </w:tc>
      </w:tr>
      <w:tr>
        <w:trPr>
          <w:trHeight w:val="16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Development</w:t>
            </w:r>
            <w:r>
              <w:rPr>
                <w:rFonts w:ascii="Arial" w:cs="Arial" w:eastAsia="Arial" w:hAnsi="Arial"/>
                <w:sz w:val="12"/>
                <w:szCs w:val="12"/>
                <w:b w:val="1"/>
                <w:bCs w:val="1"/>
                <w:color w:val="auto"/>
              </w:rPr>
              <w:t>[A]</w:t>
            </w: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3,254</w:t>
            </w: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1,758</w:t>
            </w: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926</w:t>
            </w: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3,889</w:t>
            </w: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1,719</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973</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12,519</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1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960" w:type="dxa"/>
            <w:vAlign w:val="bottom"/>
            <w:shd w:val="clear" w:color="auto" w:fill="7DD0E0"/>
          </w:tcPr>
          <w:p>
            <w:pPr>
              <w:spacing w:after="0" w:line="133" w:lineRule="exact"/>
              <w:rPr>
                <w:sz w:val="20"/>
                <w:szCs w:val="20"/>
                <w:color w:val="auto"/>
              </w:rPr>
            </w:pPr>
            <w:r>
              <w:rPr>
                <w:rFonts w:ascii="Arial" w:cs="Arial" w:eastAsia="Arial" w:hAnsi="Arial"/>
                <w:sz w:val="12"/>
                <w:szCs w:val="12"/>
                <w:b w:val="1"/>
                <w:bCs w:val="1"/>
                <w:color w:val="auto"/>
              </w:rPr>
              <w:t>2005</w:t>
            </w:r>
          </w:p>
        </w:tc>
        <w:tc>
          <w:tcPr>
            <w:tcW w:w="1060" w:type="dxa"/>
            <w:vAlign w:val="bottom"/>
            <w:shd w:val="clear" w:color="auto" w:fill="7DD0E0"/>
          </w:tcPr>
          <w:p>
            <w:pPr>
              <w:spacing w:after="0"/>
              <w:rPr>
                <w:sz w:val="11"/>
                <w:szCs w:val="11"/>
                <w:color w:val="auto"/>
              </w:rPr>
            </w:pPr>
          </w:p>
        </w:tc>
        <w:tc>
          <w:tcPr>
            <w:tcW w:w="1000" w:type="dxa"/>
            <w:vAlign w:val="bottom"/>
            <w:shd w:val="clear" w:color="auto" w:fill="7DD0E0"/>
          </w:tcPr>
          <w:p>
            <w:pPr>
              <w:spacing w:after="0"/>
              <w:rPr>
                <w:sz w:val="11"/>
                <w:szCs w:val="11"/>
                <w:color w:val="auto"/>
              </w:rPr>
            </w:pPr>
          </w:p>
        </w:tc>
        <w:tc>
          <w:tcPr>
            <w:tcW w:w="860" w:type="dxa"/>
            <w:vAlign w:val="bottom"/>
            <w:shd w:val="clear" w:color="auto" w:fill="7DD0E0"/>
          </w:tcPr>
          <w:p>
            <w:pPr>
              <w:spacing w:after="0"/>
              <w:rPr>
                <w:sz w:val="11"/>
                <w:szCs w:val="11"/>
                <w:color w:val="auto"/>
              </w:rPr>
            </w:pPr>
          </w:p>
        </w:tc>
        <w:tc>
          <w:tcPr>
            <w:tcW w:w="1200" w:type="dxa"/>
            <w:vAlign w:val="bottom"/>
            <w:shd w:val="clear" w:color="auto" w:fill="7DD0E0"/>
          </w:tcPr>
          <w:p>
            <w:pPr>
              <w:spacing w:after="0"/>
              <w:rPr>
                <w:sz w:val="11"/>
                <w:szCs w:val="11"/>
                <w:color w:val="auto"/>
              </w:rPr>
            </w:pPr>
          </w:p>
        </w:tc>
        <w:tc>
          <w:tcPr>
            <w:tcW w:w="940" w:type="dxa"/>
            <w:vAlign w:val="bottom"/>
            <w:shd w:val="clear" w:color="auto" w:fill="7DD0E0"/>
          </w:tcPr>
          <w:p>
            <w:pPr>
              <w:spacing w:after="0"/>
              <w:rPr>
                <w:sz w:val="11"/>
                <w:szCs w:val="11"/>
                <w:color w:val="auto"/>
              </w:rPr>
            </w:pPr>
          </w:p>
        </w:tc>
        <w:tc>
          <w:tcPr>
            <w:tcW w:w="880" w:type="dxa"/>
            <w:vAlign w:val="bottom"/>
            <w:shd w:val="clear" w:color="auto" w:fill="7DD0E0"/>
          </w:tcPr>
          <w:p>
            <w:pPr>
              <w:spacing w:after="0"/>
              <w:rPr>
                <w:sz w:val="11"/>
                <w:szCs w:val="11"/>
                <w:color w:val="auto"/>
              </w:rPr>
            </w:pPr>
          </w:p>
        </w:tc>
        <w:tc>
          <w:tcPr>
            <w:tcW w:w="760" w:type="dxa"/>
            <w:vAlign w:val="bottom"/>
            <w:shd w:val="clear" w:color="auto" w:fill="7DD0E0"/>
          </w:tcPr>
          <w:p>
            <w:pPr>
              <w:jc w:val="right"/>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960" w:type="dxa"/>
            <w:vAlign w:val="bottom"/>
            <w:shd w:val="clear" w:color="auto" w:fill="D8D2C9"/>
          </w:tcPr>
          <w:p>
            <w:pPr>
              <w:spacing w:after="0"/>
              <w:rPr>
                <w:sz w:val="12"/>
                <w:szCs w:val="12"/>
                <w:color w:val="auto"/>
              </w:rPr>
            </w:pPr>
          </w:p>
        </w:tc>
        <w:tc>
          <w:tcPr>
            <w:tcW w:w="1060" w:type="dxa"/>
            <w:vAlign w:val="bottom"/>
            <w:shd w:val="clear" w:color="auto" w:fill="D8D2C9"/>
          </w:tcPr>
          <w:p>
            <w:pPr>
              <w:spacing w:after="0"/>
              <w:rPr>
                <w:sz w:val="12"/>
                <w:szCs w:val="12"/>
                <w:color w:val="auto"/>
              </w:rPr>
            </w:pPr>
          </w:p>
        </w:tc>
        <w:tc>
          <w:tcPr>
            <w:tcW w:w="1000" w:type="dxa"/>
            <w:vAlign w:val="bottom"/>
            <w:shd w:val="clear" w:color="auto" w:fill="D8D2C9"/>
          </w:tcPr>
          <w:p>
            <w:pPr>
              <w:spacing w:after="0"/>
              <w:rPr>
                <w:sz w:val="12"/>
                <w:szCs w:val="12"/>
                <w:color w:val="auto"/>
              </w:rPr>
            </w:pPr>
          </w:p>
        </w:tc>
        <w:tc>
          <w:tcPr>
            <w:tcW w:w="2060" w:type="dxa"/>
            <w:vAlign w:val="bottom"/>
            <w:gridSpan w:val="2"/>
            <w:shd w:val="clear" w:color="auto" w:fill="D8D2C9"/>
          </w:tcPr>
          <w:p>
            <w:pPr>
              <w:jc w:val="right"/>
              <w:ind w:right="238"/>
              <w:spacing w:after="0"/>
              <w:rPr>
                <w:sz w:val="20"/>
                <w:szCs w:val="20"/>
                <w:color w:val="auto"/>
              </w:rPr>
            </w:pPr>
            <w:r>
              <w:rPr>
                <w:rFonts w:ascii="Arial" w:cs="Arial" w:eastAsia="Arial" w:hAnsi="Arial"/>
                <w:sz w:val="12"/>
                <w:szCs w:val="12"/>
                <w:color w:val="auto"/>
              </w:rPr>
              <w:t>Eastern Hemisphere</w:t>
            </w:r>
          </w:p>
        </w:tc>
        <w:tc>
          <w:tcPr>
            <w:tcW w:w="1820" w:type="dxa"/>
            <w:vAlign w:val="bottom"/>
            <w:gridSpan w:val="2"/>
            <w:shd w:val="clear" w:color="auto" w:fill="D8D2C9"/>
          </w:tcPr>
          <w:p>
            <w:pPr>
              <w:jc w:val="right"/>
              <w:ind w:right="198"/>
              <w:spacing w:after="0"/>
              <w:rPr>
                <w:sz w:val="20"/>
                <w:szCs w:val="20"/>
                <w:color w:val="auto"/>
              </w:rPr>
            </w:pPr>
            <w:r>
              <w:rPr>
                <w:rFonts w:ascii="Arial" w:cs="Arial" w:eastAsia="Arial" w:hAnsi="Arial"/>
                <w:sz w:val="12"/>
                <w:szCs w:val="12"/>
                <w:color w:val="auto"/>
              </w:rPr>
              <w:t>Western Hemisphere</w:t>
            </w:r>
          </w:p>
        </w:tc>
        <w:tc>
          <w:tcPr>
            <w:tcW w:w="760" w:type="dxa"/>
            <w:vAlign w:val="bottom"/>
            <w:shd w:val="clear" w:color="auto" w:fill="D8D2C9"/>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shd w:val="clear" w:color="auto" w:fill="D8D2C9"/>
          </w:tcPr>
          <w:p>
            <w:pPr>
              <w:spacing w:after="0"/>
              <w:rPr>
                <w:sz w:val="11"/>
                <w:szCs w:val="11"/>
                <w:color w:val="auto"/>
              </w:rPr>
            </w:pPr>
          </w:p>
        </w:tc>
        <w:tc>
          <w:tcPr>
            <w:tcW w:w="1060" w:type="dxa"/>
            <w:vAlign w:val="bottom"/>
            <w:shd w:val="clear" w:color="auto" w:fill="D8D2C9"/>
          </w:tcPr>
          <w:p>
            <w:pPr>
              <w:spacing w:after="0"/>
              <w:rPr>
                <w:sz w:val="11"/>
                <w:szCs w:val="11"/>
                <w:color w:val="auto"/>
              </w:rPr>
            </w:pPr>
          </w:p>
        </w:tc>
        <w:tc>
          <w:tcPr>
            <w:tcW w:w="1000" w:type="dxa"/>
            <w:vAlign w:val="bottom"/>
            <w:shd w:val="clear" w:color="auto" w:fill="D8D2C9"/>
          </w:tcPr>
          <w:p>
            <w:pPr>
              <w:spacing w:after="0"/>
              <w:rPr>
                <w:sz w:val="11"/>
                <w:szCs w:val="11"/>
                <w:color w:val="auto"/>
              </w:rPr>
            </w:pPr>
          </w:p>
        </w:tc>
        <w:tc>
          <w:tcPr>
            <w:tcW w:w="860" w:type="dxa"/>
            <w:vAlign w:val="bottom"/>
            <w:shd w:val="clear" w:color="auto" w:fill="D8D2C9"/>
          </w:tcPr>
          <w:p>
            <w:pPr>
              <w:spacing w:after="0"/>
              <w:rPr>
                <w:sz w:val="11"/>
                <w:szCs w:val="11"/>
                <w:color w:val="auto"/>
              </w:rPr>
            </w:pPr>
          </w:p>
        </w:tc>
        <w:tc>
          <w:tcPr>
            <w:tcW w:w="1200" w:type="dxa"/>
            <w:vAlign w:val="bottom"/>
            <w:shd w:val="clear" w:color="auto" w:fill="D8D2C9"/>
          </w:tcPr>
          <w:p>
            <w:pPr>
              <w:jc w:val="right"/>
              <w:ind w:right="238"/>
              <w:spacing w:after="0" w:line="133" w:lineRule="exact"/>
              <w:rPr>
                <w:sz w:val="20"/>
                <w:szCs w:val="20"/>
                <w:color w:val="auto"/>
              </w:rPr>
            </w:pPr>
            <w:r>
              <w:rPr>
                <w:rFonts w:ascii="Arial" w:cs="Arial" w:eastAsia="Arial" w:hAnsi="Arial"/>
                <w:sz w:val="12"/>
                <w:szCs w:val="12"/>
                <w:color w:val="auto"/>
              </w:rPr>
              <w:t>Middle East,</w:t>
            </w:r>
          </w:p>
        </w:tc>
        <w:tc>
          <w:tcPr>
            <w:tcW w:w="940" w:type="dxa"/>
            <w:vAlign w:val="bottom"/>
            <w:shd w:val="clear" w:color="auto" w:fill="D8D2C9"/>
          </w:tcPr>
          <w:p>
            <w:pPr>
              <w:spacing w:after="0"/>
              <w:rPr>
                <w:sz w:val="11"/>
                <w:szCs w:val="11"/>
                <w:color w:val="auto"/>
              </w:rPr>
            </w:pPr>
          </w:p>
        </w:tc>
        <w:tc>
          <w:tcPr>
            <w:tcW w:w="880" w:type="dxa"/>
            <w:vAlign w:val="bottom"/>
            <w:shd w:val="clear" w:color="auto" w:fill="D8D2C9"/>
          </w:tcPr>
          <w:p>
            <w:pPr>
              <w:spacing w:after="0"/>
              <w:rPr>
                <w:sz w:val="11"/>
                <w:szCs w:val="11"/>
                <w:color w:val="auto"/>
              </w:rPr>
            </w:pPr>
          </w:p>
        </w:tc>
        <w:tc>
          <w:tcPr>
            <w:tcW w:w="760" w:type="dxa"/>
            <w:vAlign w:val="bottom"/>
            <w:shd w:val="clear" w:color="auto" w:fill="D8D2C9"/>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60" w:type="dxa"/>
            <w:vAlign w:val="bottom"/>
            <w:shd w:val="clear" w:color="auto" w:fill="D8D2C9"/>
          </w:tcPr>
          <w:p>
            <w:pPr>
              <w:spacing w:after="0"/>
              <w:rPr>
                <w:sz w:val="10"/>
                <w:szCs w:val="10"/>
                <w:color w:val="auto"/>
              </w:rPr>
            </w:pPr>
          </w:p>
        </w:tc>
        <w:tc>
          <w:tcPr>
            <w:tcW w:w="1060" w:type="dxa"/>
            <w:vAlign w:val="bottom"/>
            <w:shd w:val="clear" w:color="auto" w:fill="D8D2C9"/>
          </w:tcPr>
          <w:p>
            <w:pPr>
              <w:spacing w:after="0"/>
              <w:rPr>
                <w:sz w:val="10"/>
                <w:szCs w:val="10"/>
                <w:color w:val="auto"/>
              </w:rPr>
            </w:pPr>
          </w:p>
        </w:tc>
        <w:tc>
          <w:tcPr>
            <w:tcW w:w="1000" w:type="dxa"/>
            <w:vAlign w:val="bottom"/>
            <w:shd w:val="clear" w:color="auto" w:fill="D8D2C9"/>
          </w:tcPr>
          <w:p>
            <w:pPr>
              <w:spacing w:after="0"/>
              <w:rPr>
                <w:sz w:val="10"/>
                <w:szCs w:val="10"/>
                <w:color w:val="auto"/>
              </w:rPr>
            </w:pPr>
          </w:p>
        </w:tc>
        <w:tc>
          <w:tcPr>
            <w:tcW w:w="860" w:type="dxa"/>
            <w:vAlign w:val="bottom"/>
            <w:shd w:val="clear" w:color="auto" w:fill="D8D2C9"/>
          </w:tcPr>
          <w:p>
            <w:pPr>
              <w:jc w:val="right"/>
              <w:ind w:right="138"/>
              <w:spacing w:after="0" w:line="120" w:lineRule="exact"/>
              <w:rPr>
                <w:sz w:val="20"/>
                <w:szCs w:val="20"/>
                <w:color w:val="auto"/>
              </w:rPr>
            </w:pPr>
            <w:r>
              <w:rPr>
                <w:rFonts w:ascii="Arial" w:cs="Arial" w:eastAsia="Arial" w:hAnsi="Arial"/>
                <w:sz w:val="12"/>
                <w:szCs w:val="12"/>
                <w:color w:val="auto"/>
              </w:rPr>
              <w:t>Asia</w:t>
            </w:r>
          </w:p>
        </w:tc>
        <w:tc>
          <w:tcPr>
            <w:tcW w:w="1200" w:type="dxa"/>
            <w:vAlign w:val="bottom"/>
            <w:shd w:val="clear" w:color="auto" w:fill="D8D2C9"/>
          </w:tcPr>
          <w:p>
            <w:pPr>
              <w:jc w:val="right"/>
              <w:ind w:right="238"/>
              <w:spacing w:after="0" w:line="120" w:lineRule="exact"/>
              <w:rPr>
                <w:sz w:val="20"/>
                <w:szCs w:val="20"/>
                <w:color w:val="auto"/>
              </w:rPr>
            </w:pPr>
            <w:r>
              <w:rPr>
                <w:rFonts w:ascii="Arial" w:cs="Arial" w:eastAsia="Arial" w:hAnsi="Arial"/>
                <w:sz w:val="12"/>
                <w:szCs w:val="12"/>
                <w:color w:val="auto"/>
              </w:rPr>
              <w:t>Russia,</w:t>
            </w:r>
          </w:p>
        </w:tc>
        <w:tc>
          <w:tcPr>
            <w:tcW w:w="940" w:type="dxa"/>
            <w:vAlign w:val="bottom"/>
            <w:shd w:val="clear" w:color="auto" w:fill="D8D2C9"/>
          </w:tcPr>
          <w:p>
            <w:pPr>
              <w:spacing w:after="0"/>
              <w:rPr>
                <w:sz w:val="10"/>
                <w:szCs w:val="10"/>
                <w:color w:val="auto"/>
              </w:rPr>
            </w:pPr>
          </w:p>
        </w:tc>
        <w:tc>
          <w:tcPr>
            <w:tcW w:w="880" w:type="dxa"/>
            <w:vAlign w:val="bottom"/>
            <w:shd w:val="clear" w:color="auto" w:fill="D8D2C9"/>
          </w:tcPr>
          <w:p>
            <w:pPr>
              <w:spacing w:after="0"/>
              <w:rPr>
                <w:sz w:val="10"/>
                <w:szCs w:val="10"/>
                <w:color w:val="auto"/>
              </w:rPr>
            </w:pPr>
          </w:p>
        </w:tc>
        <w:tc>
          <w:tcPr>
            <w:tcW w:w="760" w:type="dxa"/>
            <w:vAlign w:val="bottom"/>
            <w:shd w:val="clear" w:color="auto" w:fill="D8D2C9"/>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60" w:type="dxa"/>
            <w:vAlign w:val="bottom"/>
            <w:shd w:val="clear" w:color="auto" w:fill="D8D2C9"/>
          </w:tcPr>
          <w:p>
            <w:pPr>
              <w:spacing w:after="0"/>
              <w:rPr>
                <w:sz w:val="13"/>
                <w:szCs w:val="13"/>
                <w:color w:val="auto"/>
              </w:rPr>
            </w:pPr>
          </w:p>
        </w:tc>
        <w:tc>
          <w:tcPr>
            <w:tcW w:w="1060" w:type="dxa"/>
            <w:vAlign w:val="bottom"/>
            <w:shd w:val="clear" w:color="auto" w:fill="D8D2C9"/>
          </w:tcPr>
          <w:p>
            <w:pPr>
              <w:jc w:val="right"/>
              <w:ind w:right="158"/>
              <w:spacing w:after="0"/>
              <w:rPr>
                <w:sz w:val="20"/>
                <w:szCs w:val="20"/>
                <w:color w:val="auto"/>
              </w:rPr>
            </w:pPr>
            <w:r>
              <w:rPr>
                <w:rFonts w:ascii="Arial" w:cs="Arial" w:eastAsia="Arial" w:hAnsi="Arial"/>
                <w:sz w:val="12"/>
                <w:szCs w:val="12"/>
                <w:color w:val="auto"/>
              </w:rPr>
              <w:t>Europe</w:t>
            </w:r>
          </w:p>
        </w:tc>
        <w:tc>
          <w:tcPr>
            <w:tcW w:w="100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[B]</w:t>
            </w:r>
          </w:p>
        </w:tc>
        <w:tc>
          <w:tcPr>
            <w:tcW w:w="860" w:type="dxa"/>
            <w:vAlign w:val="bottom"/>
            <w:shd w:val="clear" w:color="auto" w:fill="D8D2C9"/>
          </w:tcPr>
          <w:p>
            <w:pPr>
              <w:jc w:val="right"/>
              <w:ind w:right="138"/>
              <w:spacing w:after="0"/>
              <w:rPr>
                <w:sz w:val="20"/>
                <w:szCs w:val="20"/>
                <w:color w:val="auto"/>
              </w:rPr>
            </w:pPr>
            <w:r>
              <w:rPr>
                <w:rFonts w:ascii="Arial" w:cs="Arial" w:eastAsia="Arial" w:hAnsi="Arial"/>
                <w:sz w:val="12"/>
                <w:szCs w:val="12"/>
                <w:color w:val="auto"/>
              </w:rPr>
              <w:t>Pacific</w:t>
            </w:r>
          </w:p>
        </w:tc>
        <w:tc>
          <w:tcPr>
            <w:tcW w:w="1200" w:type="dxa"/>
            <w:vAlign w:val="bottom"/>
            <w:shd w:val="clear" w:color="auto" w:fill="D8D2C9"/>
          </w:tcPr>
          <w:p>
            <w:pPr>
              <w:jc w:val="right"/>
              <w:ind w:right="23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[C]</w:t>
            </w:r>
          </w:p>
        </w:tc>
        <w:tc>
          <w:tcPr>
            <w:tcW w:w="94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USA</w:t>
            </w:r>
          </w:p>
        </w:tc>
        <w:tc>
          <w:tcPr>
            <w:tcW w:w="88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Other</w:t>
            </w:r>
          </w:p>
        </w:tc>
        <w:tc>
          <w:tcPr>
            <w:tcW w:w="760" w:type="dxa"/>
            <w:vAlign w:val="bottom"/>
            <w:shd w:val="clear" w:color="auto" w:fill="D8D2C9"/>
          </w:tcPr>
          <w:p>
            <w:pPr>
              <w:jc w:val="right"/>
              <w:ind w:right="18"/>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60" w:type="dxa"/>
            <w:vAlign w:val="bottom"/>
          </w:tcPr>
          <w:p>
            <w:pPr>
              <w:spacing w:after="0" w:line="128" w:lineRule="exact"/>
              <w:rPr>
                <w:sz w:val="20"/>
                <w:szCs w:val="20"/>
                <w:color w:val="auto"/>
              </w:rPr>
            </w:pPr>
            <w:r>
              <w:rPr>
                <w:rFonts w:ascii="Arial" w:cs="Arial" w:eastAsia="Arial" w:hAnsi="Arial"/>
                <w:sz w:val="12"/>
                <w:szCs w:val="12"/>
                <w:color w:val="auto"/>
              </w:rPr>
              <w:t>Acquisition of properties</w:t>
            </w: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68</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63</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29</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960" w:type="dxa"/>
            <w:vAlign w:val="bottom"/>
          </w:tcPr>
          <w:p>
            <w:pPr>
              <w:ind w:left="180"/>
              <w:spacing w:after="0" w:line="133" w:lineRule="exact"/>
              <w:rPr>
                <w:sz w:val="20"/>
                <w:szCs w:val="20"/>
                <w:color w:val="auto"/>
              </w:rPr>
            </w:pPr>
            <w:r>
              <w:rPr>
                <w:rFonts w:ascii="Arial" w:cs="Arial" w:eastAsia="Arial" w:hAnsi="Arial"/>
                <w:sz w:val="12"/>
                <w:szCs w:val="12"/>
                <w:color w:val="auto"/>
              </w:rPr>
              <w:t>Unproved</w:t>
            </w:r>
          </w:p>
        </w:tc>
        <w:tc>
          <w:tcPr>
            <w:tcW w:w="10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10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54</w:t>
            </w:r>
          </w:p>
        </w:tc>
        <w:tc>
          <w:tcPr>
            <w:tcW w:w="8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217</w:t>
            </w:r>
          </w:p>
        </w:tc>
        <w:tc>
          <w:tcPr>
            <w:tcW w:w="12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17</w:t>
            </w:r>
          </w:p>
        </w:tc>
        <w:tc>
          <w:tcPr>
            <w:tcW w:w="9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130</w:t>
            </w:r>
          </w:p>
        </w:tc>
        <w:tc>
          <w:tcPr>
            <w:tcW w:w="8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231</w:t>
            </w:r>
          </w:p>
        </w:tc>
        <w:tc>
          <w:tcPr>
            <w:tcW w:w="7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19"/>
        </w:trPr>
        <w:tc>
          <w:tcPr>
            <w:tcW w:w="1980" w:type="dxa"/>
            <w:vAlign w:val="bottom"/>
            <w:gridSpan w:val="2"/>
          </w:tcPr>
          <w:p>
            <w:pPr>
              <w:spacing w:after="0" w:line="120" w:lineRule="exact"/>
              <w:rPr>
                <w:sz w:val="20"/>
                <w:szCs w:val="20"/>
                <w:color w:val="auto"/>
              </w:rPr>
            </w:pPr>
            <w:r>
              <w:rPr>
                <w:rFonts w:ascii="Arial" w:cs="Arial" w:eastAsia="Arial" w:hAnsi="Arial"/>
                <w:sz w:val="12"/>
                <w:szCs w:val="12"/>
                <w:color w:val="auto"/>
              </w:rPr>
              <w:t>Exploration</w:t>
            </w:r>
          </w:p>
        </w:tc>
        <w:tc>
          <w:tcPr>
            <w:tcW w:w="1060" w:type="dxa"/>
            <w:vAlign w:val="bottom"/>
          </w:tcPr>
          <w:p>
            <w:pPr>
              <w:jc w:val="right"/>
              <w:ind w:right="158"/>
              <w:spacing w:after="0" w:line="120" w:lineRule="exact"/>
              <w:rPr>
                <w:sz w:val="20"/>
                <w:szCs w:val="20"/>
                <w:color w:val="auto"/>
              </w:rPr>
            </w:pPr>
            <w:r>
              <w:rPr>
                <w:rFonts w:ascii="Arial" w:cs="Arial" w:eastAsia="Arial" w:hAnsi="Arial"/>
                <w:sz w:val="12"/>
                <w:szCs w:val="12"/>
                <w:color w:val="auto"/>
              </w:rPr>
              <w:t>176</w:t>
            </w:r>
          </w:p>
        </w:tc>
        <w:tc>
          <w:tcPr>
            <w:tcW w:w="1000" w:type="dxa"/>
            <w:vAlign w:val="bottom"/>
          </w:tcPr>
          <w:p>
            <w:pPr>
              <w:jc w:val="right"/>
              <w:ind w:right="218"/>
              <w:spacing w:after="0" w:line="120" w:lineRule="exact"/>
              <w:rPr>
                <w:sz w:val="20"/>
                <w:szCs w:val="20"/>
                <w:color w:val="auto"/>
              </w:rPr>
            </w:pPr>
            <w:r>
              <w:rPr>
                <w:rFonts w:ascii="Arial" w:cs="Arial" w:eastAsia="Arial" w:hAnsi="Arial"/>
                <w:sz w:val="12"/>
                <w:szCs w:val="12"/>
                <w:color w:val="auto"/>
              </w:rPr>
              <w:t>316</w:t>
            </w:r>
          </w:p>
        </w:tc>
        <w:tc>
          <w:tcPr>
            <w:tcW w:w="860" w:type="dxa"/>
            <w:vAlign w:val="bottom"/>
          </w:tcPr>
          <w:p>
            <w:pPr>
              <w:jc w:val="right"/>
              <w:ind w:right="138"/>
              <w:spacing w:after="0" w:line="120" w:lineRule="exact"/>
              <w:rPr>
                <w:sz w:val="20"/>
                <w:szCs w:val="20"/>
                <w:color w:val="auto"/>
              </w:rPr>
            </w:pPr>
            <w:r>
              <w:rPr>
                <w:rFonts w:ascii="Arial" w:cs="Arial" w:eastAsia="Arial" w:hAnsi="Arial"/>
                <w:sz w:val="12"/>
                <w:szCs w:val="12"/>
                <w:color w:val="auto"/>
              </w:rPr>
              <w:t>121</w:t>
            </w:r>
          </w:p>
        </w:tc>
        <w:tc>
          <w:tcPr>
            <w:tcW w:w="1200" w:type="dxa"/>
            <w:vAlign w:val="bottom"/>
          </w:tcPr>
          <w:p>
            <w:pPr>
              <w:jc w:val="right"/>
              <w:ind w:right="238"/>
              <w:spacing w:after="0" w:line="120" w:lineRule="exact"/>
              <w:rPr>
                <w:sz w:val="20"/>
                <w:szCs w:val="20"/>
                <w:color w:val="auto"/>
              </w:rPr>
            </w:pPr>
            <w:r>
              <w:rPr>
                <w:rFonts w:ascii="Arial" w:cs="Arial" w:eastAsia="Arial" w:hAnsi="Arial"/>
                <w:sz w:val="12"/>
                <w:szCs w:val="12"/>
                <w:color w:val="auto"/>
              </w:rPr>
              <w:t>108</w:t>
            </w:r>
          </w:p>
        </w:tc>
        <w:tc>
          <w:tcPr>
            <w:tcW w:w="94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430</w:t>
            </w:r>
          </w:p>
        </w:tc>
        <w:tc>
          <w:tcPr>
            <w:tcW w:w="880" w:type="dxa"/>
            <w:vAlign w:val="bottom"/>
          </w:tcPr>
          <w:p>
            <w:pPr>
              <w:jc w:val="right"/>
              <w:ind w:right="198"/>
              <w:spacing w:after="0" w:line="120" w:lineRule="exact"/>
              <w:rPr>
                <w:sz w:val="20"/>
                <w:szCs w:val="20"/>
                <w:color w:val="auto"/>
              </w:rPr>
            </w:pPr>
            <w:r>
              <w:rPr>
                <w:rFonts w:ascii="Arial" w:cs="Arial" w:eastAsia="Arial" w:hAnsi="Arial"/>
                <w:sz w:val="12"/>
                <w:szCs w:val="12"/>
                <w:color w:val="auto"/>
              </w:rPr>
              <w:t>266</w:t>
            </w:r>
          </w:p>
        </w:tc>
        <w:tc>
          <w:tcPr>
            <w:tcW w:w="760" w:type="dxa"/>
            <w:vAlign w:val="bottom"/>
          </w:tcPr>
          <w:p>
            <w:pPr>
              <w:jc w:val="right"/>
              <w:ind w:right="18"/>
              <w:spacing w:after="0" w:line="120" w:lineRule="exact"/>
              <w:rPr>
                <w:sz w:val="20"/>
                <w:szCs w:val="20"/>
                <w:color w:val="auto"/>
              </w:rPr>
            </w:pPr>
            <w:r>
              <w:rPr>
                <w:rFonts w:ascii="Arial" w:cs="Arial" w:eastAsia="Arial" w:hAnsi="Arial"/>
                <w:sz w:val="12"/>
                <w:szCs w:val="12"/>
                <w:color w:val="auto"/>
              </w:rPr>
              <w:t>1,417</w:t>
            </w:r>
          </w:p>
        </w:tc>
        <w:tc>
          <w:tcPr>
            <w:tcW w:w="0" w:type="dxa"/>
            <w:vAlign w:val="bottom"/>
          </w:tcPr>
          <w:p>
            <w:pPr>
              <w:spacing w:after="0"/>
              <w:rPr>
                <w:sz w:val="1"/>
                <w:szCs w:val="1"/>
                <w:color w:val="auto"/>
              </w:rPr>
            </w:pPr>
          </w:p>
        </w:tc>
      </w:tr>
      <w:tr>
        <w:trPr>
          <w:trHeight w:val="16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Development</w:t>
            </w:r>
            <w:r>
              <w:rPr>
                <w:rFonts w:ascii="Arial" w:cs="Arial" w:eastAsia="Arial" w:hAnsi="Arial"/>
                <w:sz w:val="12"/>
                <w:szCs w:val="12"/>
                <w:b w:val="1"/>
                <w:bCs w:val="1"/>
                <w:color w:val="auto"/>
              </w:rPr>
              <w:t>[A]</w:t>
            </w:r>
          </w:p>
        </w:tc>
        <w:tc>
          <w:tcPr>
            <w:tcW w:w="10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1,850</w:t>
            </w:r>
          </w:p>
        </w:tc>
        <w:tc>
          <w:tcPr>
            <w:tcW w:w="10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1,633</w:t>
            </w:r>
          </w:p>
        </w:tc>
        <w:tc>
          <w:tcPr>
            <w:tcW w:w="8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791</w:t>
            </w:r>
          </w:p>
        </w:tc>
        <w:tc>
          <w:tcPr>
            <w:tcW w:w="12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3,558</w:t>
            </w: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773</w:t>
            </w:r>
          </w:p>
        </w:tc>
        <w:tc>
          <w:tcPr>
            <w:tcW w:w="8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554</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9,159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-2815590</wp:posOffset>
            </wp:positionV>
            <wp:extent cx="3561080" cy="769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561080" cy="76962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-1800860</wp:posOffset>
            </wp:positionV>
            <wp:extent cx="3561080" cy="769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561080" cy="76962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-786130</wp:posOffset>
            </wp:positionV>
            <wp:extent cx="3561080" cy="769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561080" cy="769620"/>
                    </a:xfrm>
                    <a:prstGeom prst="rect">
                      <a:avLst/>
                    </a:prstGeom>
                    <a:noFill/>
                  </pic:spPr>
                </pic:pic>
              </a:graphicData>
            </a:graphic>
          </wp:anchor>
        </w:drawing>
      </w:r>
    </w:p>
    <w:p>
      <w:pPr>
        <w:spacing w:after="0" w:line="36" w:lineRule="exact"/>
        <w:rPr>
          <w:sz w:val="20"/>
          <w:szCs w:val="20"/>
          <w:color w:val="auto"/>
        </w:rPr>
      </w:pPr>
    </w:p>
    <w:p>
      <w:pPr>
        <w:ind w:left="240" w:hanging="240"/>
        <w:spacing w:after="0"/>
        <w:tabs>
          <w:tab w:leader="none" w:pos="2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Includes capitalised asset retirement costs.</w:t>
      </w:r>
    </w:p>
    <w:p>
      <w:pPr>
        <w:ind w:left="240" w:hanging="240"/>
        <w:spacing w:after="0" w:line="231" w:lineRule="auto"/>
        <w:tabs>
          <w:tab w:leader="none" w:pos="2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Excludes Egypt.</w:t>
      </w:r>
    </w:p>
    <w:p>
      <w:pPr>
        <w:ind w:left="240" w:hanging="240"/>
        <w:spacing w:after="0"/>
        <w:tabs>
          <w:tab w:leader="none" w:pos="24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Includes the Caspian region and Egypt.</w:t>
      </w:r>
    </w:p>
    <w:p>
      <w:pPr>
        <w:spacing w:after="0" w:line="200" w:lineRule="exact"/>
        <w:rPr>
          <w:sz w:val="20"/>
          <w:szCs w:val="20"/>
          <w:color w:val="auto"/>
        </w:rPr>
      </w:pPr>
    </w:p>
    <w:p>
      <w:pPr>
        <w:sectPr>
          <w:pgSz w:w="11900" w:h="16838" w:orient="portrait"/>
          <w:cols w:equalWidth="0" w:num="2">
            <w:col w:w="1340" w:space="620"/>
            <w:col w:w="8680"/>
          </w:cols>
          <w:pgMar w:left="240" w:top="41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100"/>
        <w:spacing w:after="0"/>
        <w:tabs>
          <w:tab w:leader="none" w:pos="103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40"/>
          </w:cols>
          <w:pgMar w:left="240" w:top="415" w:right="101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35 continued</w:t>
      </w:r>
    </w:p>
    <w:p>
      <w:pPr>
        <w:spacing w:after="0" w:line="8" w:lineRule="exact"/>
        <w:rPr>
          <w:sz w:val="20"/>
          <w:szCs w:val="20"/>
          <w:color w:val="auto"/>
        </w:rPr>
      </w:pPr>
    </w:p>
    <w:p>
      <w:pPr>
        <w:ind w:left="240" w:right="699"/>
        <w:spacing w:after="0" w:line="234" w:lineRule="auto"/>
        <w:rPr>
          <w:sz w:val="20"/>
          <w:szCs w:val="20"/>
          <w:color w:val="auto"/>
        </w:rPr>
      </w:pPr>
      <w:r>
        <w:rPr>
          <w:rFonts w:ascii="Arial" w:cs="Arial" w:eastAsia="Arial" w:hAnsi="Arial"/>
          <w:sz w:val="14"/>
          <w:szCs w:val="14"/>
          <w:color w:val="auto"/>
        </w:rPr>
        <w:t>Included in exploration costs are $594 million (2006: $388 million, 2005: $103 million) of mainly drilling costs associated with maturing fields for which shell has taken a final investment decision but for which no proved reserves have yet been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-194310</wp:posOffset>
            </wp:positionV>
            <wp:extent cx="8255" cy="61995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6199505"/>
                    </a:xfrm>
                    <a:prstGeom prst="rect">
                      <a:avLst/>
                    </a:prstGeom>
                    <a:noFill/>
                  </pic:spPr>
                </pic:pic>
              </a:graphicData>
            </a:graphic>
          </wp:anchor>
        </w:drawing>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The Shell share of equity-accounted investments’ costs incurred was $4,317 million in 2007 (2006: $2,426 million; 2005: $1,901 million) mainly in Asia Pacific</w:t>
      </w:r>
    </w:p>
    <w:p>
      <w:pPr>
        <w:spacing w:after="0" w:line="6" w:lineRule="exact"/>
        <w:rPr>
          <w:sz w:val="20"/>
          <w:szCs w:val="20"/>
          <w:color w:val="auto"/>
        </w:rPr>
      </w:pPr>
    </w:p>
    <w:p>
      <w:pPr>
        <w:ind w:left="240"/>
        <w:spacing w:after="0"/>
        <w:rPr>
          <w:sz w:val="20"/>
          <w:szCs w:val="20"/>
          <w:color w:val="auto"/>
        </w:rPr>
      </w:pPr>
      <w:r>
        <w:rPr>
          <w:rFonts w:ascii="Arial" w:cs="Arial" w:eastAsia="Arial" w:hAnsi="Arial"/>
          <w:sz w:val="13"/>
          <w:szCs w:val="13"/>
          <w:color w:val="auto"/>
        </w:rPr>
        <w:t>$1,863 million (2006: $909 million; 2005: $709 million), Middle East, Russia, CIS $1,811 million (2006: $838 million; 2005: $710 million), Europe $308 million</w:t>
      </w:r>
    </w:p>
    <w:p>
      <w:pPr>
        <w:ind w:left="240"/>
        <w:spacing w:after="0"/>
        <w:rPr>
          <w:sz w:val="20"/>
          <w:szCs w:val="20"/>
          <w:color w:val="auto"/>
        </w:rPr>
      </w:pPr>
      <w:r>
        <w:rPr>
          <w:rFonts w:ascii="Arial" w:cs="Arial" w:eastAsia="Arial" w:hAnsi="Arial"/>
          <w:sz w:val="14"/>
          <w:szCs w:val="14"/>
          <w:color w:val="auto"/>
        </w:rPr>
        <w:t>(2006: $383 million; 2005: $289 million) and USA $245 million (2006: $283 million; 2005: $193 million).</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[C] EARNINGS</w:t>
      </w:r>
    </w:p>
    <w:p>
      <w:pPr>
        <w:spacing w:after="0" w:line="6" w:lineRule="exact"/>
        <w:rPr>
          <w:sz w:val="20"/>
          <w:szCs w:val="20"/>
          <w:color w:val="auto"/>
        </w:rPr>
      </w:pPr>
    </w:p>
    <w:p>
      <w:pPr>
        <w:ind w:left="240" w:right="979"/>
        <w:spacing w:after="0" w:line="234" w:lineRule="auto"/>
        <w:rPr>
          <w:sz w:val="20"/>
          <w:szCs w:val="20"/>
          <w:color w:val="auto"/>
        </w:rPr>
      </w:pPr>
      <w:r>
        <w:rPr>
          <w:rFonts w:ascii="Arial" w:cs="Arial" w:eastAsia="Arial" w:hAnsi="Arial"/>
          <w:sz w:val="14"/>
          <w:szCs w:val="14"/>
          <w:color w:val="auto"/>
        </w:rPr>
        <w:t>Earnings of subsidiaries from oil and gas exploration and production activities are given in the table below. Certain purchases of traded product are netted into revenue.</w:t>
      </w:r>
    </w:p>
    <w:p>
      <w:pPr>
        <w:spacing w:after="0" w:line="193" w:lineRule="exact"/>
        <w:rPr>
          <w:sz w:val="20"/>
          <w:szCs w:val="20"/>
          <w:color w:val="auto"/>
        </w:rPr>
      </w:pPr>
    </w:p>
    <w:tbl>
      <w:tblPr>
        <w:tblLayout w:type="fixed"/>
        <w:tblInd w:w="240" w:type="dxa"/>
        <w:tblCellMar>
          <w:top w:w="0" w:type="dxa"/>
          <w:left w:w="0" w:type="dxa"/>
          <w:bottom w:w="0" w:type="dxa"/>
          <w:right w:w="0" w:type="dxa"/>
        </w:tblCellMar>
      </w:tblPr>
      <w:tr>
        <w:trPr>
          <w:trHeight w:val="139"/>
        </w:trPr>
        <w:tc>
          <w:tcPr>
            <w:tcW w:w="2180" w:type="dxa"/>
            <w:vAlign w:val="bottom"/>
            <w:shd w:val="clear" w:color="auto" w:fill="7DD0E3"/>
          </w:tcPr>
          <w:p>
            <w:pPr>
              <w:spacing w:after="0"/>
              <w:rPr>
                <w:sz w:val="20"/>
                <w:szCs w:val="20"/>
                <w:color w:val="auto"/>
              </w:rPr>
            </w:pPr>
            <w:r>
              <w:rPr>
                <w:rFonts w:ascii="Arial" w:cs="Arial" w:eastAsia="Arial" w:hAnsi="Arial"/>
                <w:sz w:val="12"/>
                <w:szCs w:val="12"/>
                <w:b w:val="1"/>
                <w:bCs w:val="1"/>
                <w:color w:val="auto"/>
              </w:rPr>
              <w:t>2007</w:t>
            </w:r>
          </w:p>
        </w:tc>
        <w:tc>
          <w:tcPr>
            <w:tcW w:w="1220" w:type="dxa"/>
            <w:vAlign w:val="bottom"/>
            <w:shd w:val="clear" w:color="auto" w:fill="7DD0E3"/>
          </w:tcPr>
          <w:p>
            <w:pPr>
              <w:spacing w:after="0"/>
              <w:rPr>
                <w:sz w:val="12"/>
                <w:szCs w:val="12"/>
                <w:color w:val="auto"/>
              </w:rPr>
            </w:pPr>
          </w:p>
        </w:tc>
        <w:tc>
          <w:tcPr>
            <w:tcW w:w="1080" w:type="dxa"/>
            <w:vAlign w:val="bottom"/>
            <w:shd w:val="clear" w:color="auto" w:fill="7DD0E3"/>
          </w:tcPr>
          <w:p>
            <w:pPr>
              <w:spacing w:after="0"/>
              <w:rPr>
                <w:sz w:val="12"/>
                <w:szCs w:val="12"/>
                <w:color w:val="auto"/>
              </w:rPr>
            </w:pPr>
          </w:p>
        </w:tc>
        <w:tc>
          <w:tcPr>
            <w:tcW w:w="940" w:type="dxa"/>
            <w:vAlign w:val="bottom"/>
            <w:shd w:val="clear" w:color="auto" w:fill="7DD0E3"/>
          </w:tcPr>
          <w:p>
            <w:pPr>
              <w:spacing w:after="0"/>
              <w:rPr>
                <w:sz w:val="12"/>
                <w:szCs w:val="12"/>
                <w:color w:val="auto"/>
              </w:rPr>
            </w:pPr>
          </w:p>
        </w:tc>
        <w:tc>
          <w:tcPr>
            <w:tcW w:w="1260" w:type="dxa"/>
            <w:vAlign w:val="bottom"/>
            <w:shd w:val="clear" w:color="auto" w:fill="7DD0E3"/>
          </w:tcPr>
          <w:p>
            <w:pPr>
              <w:spacing w:after="0"/>
              <w:rPr>
                <w:sz w:val="12"/>
                <w:szCs w:val="12"/>
                <w:color w:val="auto"/>
              </w:rPr>
            </w:pPr>
          </w:p>
        </w:tc>
        <w:tc>
          <w:tcPr>
            <w:tcW w:w="1040" w:type="dxa"/>
            <w:vAlign w:val="bottom"/>
            <w:shd w:val="clear" w:color="auto" w:fill="7DD0E3"/>
          </w:tcPr>
          <w:p>
            <w:pPr>
              <w:spacing w:after="0"/>
              <w:rPr>
                <w:sz w:val="12"/>
                <w:szCs w:val="12"/>
                <w:color w:val="auto"/>
              </w:rPr>
            </w:pPr>
          </w:p>
        </w:tc>
        <w:tc>
          <w:tcPr>
            <w:tcW w:w="960" w:type="dxa"/>
            <w:vAlign w:val="bottom"/>
            <w:shd w:val="clear" w:color="auto" w:fill="7DD0E3"/>
          </w:tcPr>
          <w:p>
            <w:pPr>
              <w:spacing w:after="0"/>
              <w:rPr>
                <w:sz w:val="12"/>
                <w:szCs w:val="12"/>
                <w:color w:val="auto"/>
              </w:rPr>
            </w:pPr>
          </w:p>
        </w:tc>
        <w:tc>
          <w:tcPr>
            <w:tcW w:w="800" w:type="dxa"/>
            <w:vAlign w:val="bottom"/>
            <w:shd w:val="clear" w:color="auto" w:fill="7DD0E3"/>
          </w:tcPr>
          <w:p>
            <w:pPr>
              <w:jc w:val="right"/>
              <w:spacing w:after="0"/>
              <w:rPr>
                <w:sz w:val="20"/>
                <w:szCs w:val="20"/>
                <w:color w:val="auto"/>
              </w:rPr>
            </w:pPr>
            <w:r>
              <w:rPr>
                <w:rFonts w:ascii="Arial" w:cs="Arial" w:eastAsia="Arial" w:hAnsi="Arial"/>
                <w:sz w:val="12"/>
                <w:szCs w:val="12"/>
                <w:b w:val="1"/>
                <w:bCs w:val="1"/>
                <w:color w:val="auto"/>
              </w:rPr>
              <w:t>$ million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D8D2C9"/>
          </w:tcPr>
          <w:p>
            <w:pPr>
              <w:spacing w:after="0"/>
              <w:rPr>
                <w:sz w:val="12"/>
                <w:szCs w:val="12"/>
                <w:color w:val="auto"/>
              </w:rPr>
            </w:pPr>
          </w:p>
        </w:tc>
        <w:tc>
          <w:tcPr>
            <w:tcW w:w="1220" w:type="dxa"/>
            <w:vAlign w:val="bottom"/>
            <w:shd w:val="clear" w:color="auto" w:fill="D8D2C9"/>
          </w:tcPr>
          <w:p>
            <w:pPr>
              <w:spacing w:after="0"/>
              <w:rPr>
                <w:sz w:val="12"/>
                <w:szCs w:val="12"/>
                <w:color w:val="auto"/>
              </w:rPr>
            </w:pPr>
          </w:p>
        </w:tc>
        <w:tc>
          <w:tcPr>
            <w:tcW w:w="1080" w:type="dxa"/>
            <w:vAlign w:val="bottom"/>
            <w:shd w:val="clear" w:color="auto" w:fill="D8D2C9"/>
          </w:tcPr>
          <w:p>
            <w:pPr>
              <w:spacing w:after="0"/>
              <w:rPr>
                <w:sz w:val="12"/>
                <w:szCs w:val="12"/>
                <w:color w:val="auto"/>
              </w:rPr>
            </w:pPr>
          </w:p>
        </w:tc>
        <w:tc>
          <w:tcPr>
            <w:tcW w:w="2200" w:type="dxa"/>
            <w:vAlign w:val="bottom"/>
            <w:gridSpan w:val="2"/>
            <w:shd w:val="clear" w:color="auto" w:fill="D8D2C9"/>
          </w:tcPr>
          <w:p>
            <w:pPr>
              <w:jc w:val="right"/>
              <w:ind w:right="298"/>
              <w:spacing w:after="0"/>
              <w:rPr>
                <w:sz w:val="20"/>
                <w:szCs w:val="20"/>
                <w:color w:val="auto"/>
              </w:rPr>
            </w:pPr>
            <w:r>
              <w:rPr>
                <w:rFonts w:ascii="Arial" w:cs="Arial" w:eastAsia="Arial" w:hAnsi="Arial"/>
                <w:sz w:val="12"/>
                <w:szCs w:val="12"/>
                <w:color w:val="auto"/>
              </w:rPr>
              <w:t>Eastern Hemisphere</w:t>
            </w:r>
          </w:p>
        </w:tc>
        <w:tc>
          <w:tcPr>
            <w:tcW w:w="2000" w:type="dxa"/>
            <w:vAlign w:val="bottom"/>
            <w:gridSpan w:val="2"/>
            <w:shd w:val="clear" w:color="auto" w:fill="D8D2C9"/>
          </w:tcPr>
          <w:p>
            <w:pPr>
              <w:jc w:val="right"/>
              <w:ind w:right="258"/>
              <w:spacing w:after="0"/>
              <w:rPr>
                <w:sz w:val="20"/>
                <w:szCs w:val="20"/>
                <w:color w:val="auto"/>
              </w:rPr>
            </w:pPr>
            <w:r>
              <w:rPr>
                <w:rFonts w:ascii="Arial" w:cs="Arial" w:eastAsia="Arial" w:hAnsi="Arial"/>
                <w:sz w:val="12"/>
                <w:szCs w:val="12"/>
                <w:color w:val="auto"/>
              </w:rPr>
              <w:t>Western Hemisphere</w:t>
            </w:r>
          </w:p>
        </w:tc>
        <w:tc>
          <w:tcPr>
            <w:tcW w:w="800" w:type="dxa"/>
            <w:vAlign w:val="bottom"/>
            <w:shd w:val="clear" w:color="auto" w:fill="D8D2C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D8D2C9"/>
          </w:tcPr>
          <w:p>
            <w:pPr>
              <w:spacing w:after="0"/>
              <w:rPr>
                <w:sz w:val="11"/>
                <w:szCs w:val="11"/>
                <w:color w:val="auto"/>
              </w:rPr>
            </w:pPr>
          </w:p>
        </w:tc>
        <w:tc>
          <w:tcPr>
            <w:tcW w:w="1220" w:type="dxa"/>
            <w:vAlign w:val="bottom"/>
            <w:shd w:val="clear" w:color="auto" w:fill="D8D2C9"/>
          </w:tcPr>
          <w:p>
            <w:pPr>
              <w:spacing w:after="0"/>
              <w:rPr>
                <w:sz w:val="11"/>
                <w:szCs w:val="11"/>
                <w:color w:val="auto"/>
              </w:rPr>
            </w:pPr>
          </w:p>
        </w:tc>
        <w:tc>
          <w:tcPr>
            <w:tcW w:w="1080" w:type="dxa"/>
            <w:vAlign w:val="bottom"/>
            <w:shd w:val="clear" w:color="auto" w:fill="D8D2C9"/>
          </w:tcPr>
          <w:p>
            <w:pPr>
              <w:spacing w:after="0"/>
              <w:rPr>
                <w:sz w:val="11"/>
                <w:szCs w:val="11"/>
                <w:color w:val="auto"/>
              </w:rPr>
            </w:pPr>
          </w:p>
        </w:tc>
        <w:tc>
          <w:tcPr>
            <w:tcW w:w="940" w:type="dxa"/>
            <w:vAlign w:val="bottom"/>
            <w:shd w:val="clear" w:color="auto" w:fill="D8D2C9"/>
          </w:tcPr>
          <w:p>
            <w:pPr>
              <w:spacing w:after="0"/>
              <w:rPr>
                <w:sz w:val="11"/>
                <w:szCs w:val="11"/>
                <w:color w:val="auto"/>
              </w:rPr>
            </w:pPr>
          </w:p>
        </w:tc>
        <w:tc>
          <w:tcPr>
            <w:tcW w:w="1260" w:type="dxa"/>
            <w:vAlign w:val="bottom"/>
            <w:shd w:val="clear" w:color="auto" w:fill="D8D2C9"/>
          </w:tcPr>
          <w:p>
            <w:pPr>
              <w:jc w:val="right"/>
              <w:ind w:right="298"/>
              <w:spacing w:after="0" w:line="133" w:lineRule="exact"/>
              <w:rPr>
                <w:sz w:val="20"/>
                <w:szCs w:val="20"/>
                <w:color w:val="auto"/>
              </w:rPr>
            </w:pPr>
            <w:r>
              <w:rPr>
                <w:rFonts w:ascii="Arial" w:cs="Arial" w:eastAsia="Arial" w:hAnsi="Arial"/>
                <w:sz w:val="12"/>
                <w:szCs w:val="12"/>
                <w:color w:val="auto"/>
              </w:rPr>
              <w:t>Middle East,</w:t>
            </w:r>
          </w:p>
        </w:tc>
        <w:tc>
          <w:tcPr>
            <w:tcW w:w="1040" w:type="dxa"/>
            <w:vAlign w:val="bottom"/>
            <w:shd w:val="clear" w:color="auto" w:fill="D8D2C9"/>
          </w:tcPr>
          <w:p>
            <w:pPr>
              <w:spacing w:after="0"/>
              <w:rPr>
                <w:sz w:val="11"/>
                <w:szCs w:val="11"/>
                <w:color w:val="auto"/>
              </w:rPr>
            </w:pPr>
          </w:p>
        </w:tc>
        <w:tc>
          <w:tcPr>
            <w:tcW w:w="960" w:type="dxa"/>
            <w:vAlign w:val="bottom"/>
            <w:shd w:val="clear" w:color="auto" w:fill="D8D2C9"/>
          </w:tcPr>
          <w:p>
            <w:pPr>
              <w:spacing w:after="0"/>
              <w:rPr>
                <w:sz w:val="11"/>
                <w:szCs w:val="11"/>
                <w:color w:val="auto"/>
              </w:rPr>
            </w:pPr>
          </w:p>
        </w:tc>
        <w:tc>
          <w:tcPr>
            <w:tcW w:w="800" w:type="dxa"/>
            <w:vAlign w:val="bottom"/>
            <w:shd w:val="clear" w:color="auto" w:fill="D8D2C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80" w:type="dxa"/>
            <w:vAlign w:val="bottom"/>
            <w:shd w:val="clear" w:color="auto" w:fill="D8D2C9"/>
          </w:tcPr>
          <w:p>
            <w:pPr>
              <w:spacing w:after="0"/>
              <w:rPr>
                <w:sz w:val="10"/>
                <w:szCs w:val="10"/>
                <w:color w:val="auto"/>
              </w:rPr>
            </w:pPr>
          </w:p>
        </w:tc>
        <w:tc>
          <w:tcPr>
            <w:tcW w:w="1220" w:type="dxa"/>
            <w:vAlign w:val="bottom"/>
            <w:shd w:val="clear" w:color="auto" w:fill="D8D2C9"/>
          </w:tcPr>
          <w:p>
            <w:pPr>
              <w:spacing w:after="0"/>
              <w:rPr>
                <w:sz w:val="10"/>
                <w:szCs w:val="10"/>
                <w:color w:val="auto"/>
              </w:rPr>
            </w:pPr>
          </w:p>
        </w:tc>
        <w:tc>
          <w:tcPr>
            <w:tcW w:w="1080" w:type="dxa"/>
            <w:vAlign w:val="bottom"/>
            <w:shd w:val="clear" w:color="auto" w:fill="D8D2C9"/>
          </w:tcPr>
          <w:p>
            <w:pPr>
              <w:spacing w:after="0"/>
              <w:rPr>
                <w:sz w:val="10"/>
                <w:szCs w:val="10"/>
                <w:color w:val="auto"/>
              </w:rPr>
            </w:pPr>
          </w:p>
        </w:tc>
        <w:tc>
          <w:tcPr>
            <w:tcW w:w="940" w:type="dxa"/>
            <w:vAlign w:val="bottom"/>
            <w:shd w:val="clear" w:color="auto" w:fill="D8D2C9"/>
          </w:tcPr>
          <w:p>
            <w:pPr>
              <w:jc w:val="right"/>
              <w:ind w:right="198"/>
              <w:spacing w:after="0" w:line="120" w:lineRule="exact"/>
              <w:rPr>
                <w:sz w:val="20"/>
                <w:szCs w:val="20"/>
                <w:color w:val="auto"/>
              </w:rPr>
            </w:pPr>
            <w:r>
              <w:rPr>
                <w:rFonts w:ascii="Arial" w:cs="Arial" w:eastAsia="Arial" w:hAnsi="Arial"/>
                <w:sz w:val="12"/>
                <w:szCs w:val="12"/>
                <w:color w:val="auto"/>
              </w:rPr>
              <w:t>Asia</w:t>
            </w:r>
          </w:p>
        </w:tc>
        <w:tc>
          <w:tcPr>
            <w:tcW w:w="1260" w:type="dxa"/>
            <w:vAlign w:val="bottom"/>
            <w:shd w:val="clear" w:color="auto" w:fill="D8D2C9"/>
          </w:tcPr>
          <w:p>
            <w:pPr>
              <w:jc w:val="right"/>
              <w:ind w:right="298"/>
              <w:spacing w:after="0" w:line="120" w:lineRule="exact"/>
              <w:rPr>
                <w:sz w:val="20"/>
                <w:szCs w:val="20"/>
                <w:color w:val="auto"/>
              </w:rPr>
            </w:pPr>
            <w:r>
              <w:rPr>
                <w:rFonts w:ascii="Arial" w:cs="Arial" w:eastAsia="Arial" w:hAnsi="Arial"/>
                <w:sz w:val="12"/>
                <w:szCs w:val="12"/>
                <w:color w:val="auto"/>
              </w:rPr>
              <w:t>Russia,</w:t>
            </w:r>
          </w:p>
        </w:tc>
        <w:tc>
          <w:tcPr>
            <w:tcW w:w="1040" w:type="dxa"/>
            <w:vAlign w:val="bottom"/>
            <w:shd w:val="clear" w:color="auto" w:fill="D8D2C9"/>
          </w:tcPr>
          <w:p>
            <w:pPr>
              <w:spacing w:after="0"/>
              <w:rPr>
                <w:sz w:val="10"/>
                <w:szCs w:val="10"/>
                <w:color w:val="auto"/>
              </w:rPr>
            </w:pPr>
          </w:p>
        </w:tc>
        <w:tc>
          <w:tcPr>
            <w:tcW w:w="960" w:type="dxa"/>
            <w:vAlign w:val="bottom"/>
            <w:shd w:val="clear" w:color="auto" w:fill="D8D2C9"/>
          </w:tcPr>
          <w:p>
            <w:pPr>
              <w:spacing w:after="0"/>
              <w:rPr>
                <w:sz w:val="10"/>
                <w:szCs w:val="10"/>
                <w:color w:val="auto"/>
              </w:rPr>
            </w:pPr>
          </w:p>
        </w:tc>
        <w:tc>
          <w:tcPr>
            <w:tcW w:w="800" w:type="dxa"/>
            <w:vAlign w:val="bottom"/>
            <w:shd w:val="clear" w:color="auto" w:fill="D8D2C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D8D2C9"/>
          </w:tcPr>
          <w:p>
            <w:pPr>
              <w:spacing w:after="0"/>
              <w:rPr>
                <w:sz w:val="13"/>
                <w:szCs w:val="13"/>
                <w:color w:val="auto"/>
              </w:rPr>
            </w:pPr>
          </w:p>
        </w:tc>
        <w:tc>
          <w:tcPr>
            <w:tcW w:w="122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Europe</w:t>
            </w:r>
          </w:p>
        </w:tc>
        <w:tc>
          <w:tcPr>
            <w:tcW w:w="1080" w:type="dxa"/>
            <w:vAlign w:val="bottom"/>
            <w:shd w:val="clear" w:color="auto" w:fill="D8D2C9"/>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94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Pacific</w:t>
            </w:r>
          </w:p>
        </w:tc>
        <w:tc>
          <w:tcPr>
            <w:tcW w:w="1260" w:type="dxa"/>
            <w:vAlign w:val="bottom"/>
            <w:shd w:val="clear" w:color="auto" w:fill="D8D2C9"/>
          </w:tcPr>
          <w:p>
            <w:pPr>
              <w:jc w:val="right"/>
              <w:ind w:right="29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[B]</w:t>
            </w:r>
          </w:p>
        </w:tc>
        <w:tc>
          <w:tcPr>
            <w:tcW w:w="1040" w:type="dxa"/>
            <w:vAlign w:val="bottom"/>
            <w:shd w:val="clear" w:color="auto" w:fill="D8D2C9"/>
          </w:tcPr>
          <w:p>
            <w:pPr>
              <w:jc w:val="right"/>
              <w:ind w:right="31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Other</w:t>
            </w:r>
          </w:p>
        </w:tc>
        <w:tc>
          <w:tcPr>
            <w:tcW w:w="80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200"/>
              <w:spacing w:after="0" w:line="133" w:lineRule="exact"/>
              <w:rPr>
                <w:sz w:val="20"/>
                <w:szCs w:val="20"/>
                <w:color w:val="auto"/>
              </w:rPr>
            </w:pPr>
            <w:r>
              <w:rPr>
                <w:rFonts w:ascii="Arial" w:cs="Arial" w:eastAsia="Arial" w:hAnsi="Arial"/>
                <w:sz w:val="12"/>
                <w:szCs w:val="12"/>
                <w:color w:val="auto"/>
              </w:rPr>
              <w:t>Third parties</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3,750</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675</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2,297</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1,324</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3,099</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1,513</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12,658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Intersegment</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11,654</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8,955</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2,022</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8,427</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5,765</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1,522</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38,345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15,404</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9,630</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4,319</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9,751</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8,864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3,035</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51,003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Production costs</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2,834</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2,069</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1,126</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898</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1,316</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879</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9,122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Exploration expense</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178</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254</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259</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156</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675</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300</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1,822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Depreciation, depletion and</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amortisation</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3,311</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1,945</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1,014</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452</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2,183</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527</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income/(costs)</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107</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(1,668)</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103</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(1,544)</w:t>
            </w: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(398)</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(752)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Earnings before taxation</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9,188</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3,694</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2,023</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6,701</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4,292</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577</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26,475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4,961</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2,283</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619</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6,069</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1,488</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(48)</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after 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4,227</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1,411</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1,404</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632</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2,804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625</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2006</w:t>
            </w:r>
          </w:p>
        </w:tc>
        <w:tc>
          <w:tcPr>
            <w:tcW w:w="1220" w:type="dxa"/>
            <w:vAlign w:val="bottom"/>
            <w:shd w:val="clear" w:color="auto" w:fill="7DD0E3"/>
          </w:tcPr>
          <w:p>
            <w:pPr>
              <w:spacing w:after="0"/>
              <w:rPr>
                <w:sz w:val="11"/>
                <w:szCs w:val="11"/>
                <w:color w:val="auto"/>
              </w:rPr>
            </w:pPr>
          </w:p>
        </w:tc>
        <w:tc>
          <w:tcPr>
            <w:tcW w:w="1080" w:type="dxa"/>
            <w:vAlign w:val="bottom"/>
            <w:shd w:val="clear" w:color="auto" w:fill="7DD0E3"/>
          </w:tcPr>
          <w:p>
            <w:pPr>
              <w:spacing w:after="0"/>
              <w:rPr>
                <w:sz w:val="11"/>
                <w:szCs w:val="11"/>
                <w:color w:val="auto"/>
              </w:rPr>
            </w:pPr>
          </w:p>
        </w:tc>
        <w:tc>
          <w:tcPr>
            <w:tcW w:w="94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40" w:type="dxa"/>
            <w:vAlign w:val="bottom"/>
            <w:shd w:val="clear" w:color="auto" w:fill="7DD0E3"/>
          </w:tcPr>
          <w:p>
            <w:pPr>
              <w:spacing w:after="0"/>
              <w:rPr>
                <w:sz w:val="11"/>
                <w:szCs w:val="11"/>
                <w:color w:val="auto"/>
              </w:rPr>
            </w:pPr>
          </w:p>
        </w:tc>
        <w:tc>
          <w:tcPr>
            <w:tcW w:w="960" w:type="dxa"/>
            <w:vAlign w:val="bottom"/>
            <w:shd w:val="clear" w:color="auto" w:fill="7DD0E3"/>
          </w:tcPr>
          <w:p>
            <w:pPr>
              <w:spacing w:after="0"/>
              <w:rPr>
                <w:sz w:val="11"/>
                <w:szCs w:val="11"/>
                <w:color w:val="auto"/>
              </w:rPr>
            </w:pPr>
          </w:p>
        </w:tc>
        <w:tc>
          <w:tcPr>
            <w:tcW w:w="800" w:type="dxa"/>
            <w:vAlign w:val="bottom"/>
            <w:shd w:val="clear" w:color="auto" w:fill="7DD0E3"/>
          </w:tcPr>
          <w:p>
            <w:pPr>
              <w:jc w:val="right"/>
              <w:spacing w:after="0" w:line="133" w:lineRule="exact"/>
              <w:rPr>
                <w:sz w:val="20"/>
                <w:szCs w:val="20"/>
                <w:color w:val="auto"/>
              </w:rPr>
            </w:pPr>
            <w:r>
              <w:rPr>
                <w:rFonts w:ascii="Arial" w:cs="Arial" w:eastAsia="Arial" w:hAnsi="Arial"/>
                <w:sz w:val="12"/>
                <w:szCs w:val="12"/>
                <w:b w:val="1"/>
                <w:bCs w:val="1"/>
                <w:color w:val="auto"/>
              </w:rPr>
              <w:t>$ million</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D8D2C9"/>
          </w:tcPr>
          <w:p>
            <w:pPr>
              <w:spacing w:after="0"/>
              <w:rPr>
                <w:sz w:val="12"/>
                <w:szCs w:val="12"/>
                <w:color w:val="auto"/>
              </w:rPr>
            </w:pPr>
          </w:p>
        </w:tc>
        <w:tc>
          <w:tcPr>
            <w:tcW w:w="1220" w:type="dxa"/>
            <w:vAlign w:val="bottom"/>
            <w:shd w:val="clear" w:color="auto" w:fill="D8D2C9"/>
          </w:tcPr>
          <w:p>
            <w:pPr>
              <w:spacing w:after="0"/>
              <w:rPr>
                <w:sz w:val="12"/>
                <w:szCs w:val="12"/>
                <w:color w:val="auto"/>
              </w:rPr>
            </w:pPr>
          </w:p>
        </w:tc>
        <w:tc>
          <w:tcPr>
            <w:tcW w:w="1080" w:type="dxa"/>
            <w:vAlign w:val="bottom"/>
            <w:shd w:val="clear" w:color="auto" w:fill="D8D2C9"/>
          </w:tcPr>
          <w:p>
            <w:pPr>
              <w:spacing w:after="0"/>
              <w:rPr>
                <w:sz w:val="12"/>
                <w:szCs w:val="12"/>
                <w:color w:val="auto"/>
              </w:rPr>
            </w:pPr>
          </w:p>
        </w:tc>
        <w:tc>
          <w:tcPr>
            <w:tcW w:w="2200" w:type="dxa"/>
            <w:vAlign w:val="bottom"/>
            <w:gridSpan w:val="2"/>
            <w:shd w:val="clear" w:color="auto" w:fill="D8D2C9"/>
          </w:tcPr>
          <w:p>
            <w:pPr>
              <w:jc w:val="right"/>
              <w:ind w:right="298"/>
              <w:spacing w:after="0"/>
              <w:rPr>
                <w:sz w:val="20"/>
                <w:szCs w:val="20"/>
                <w:color w:val="auto"/>
              </w:rPr>
            </w:pPr>
            <w:r>
              <w:rPr>
                <w:rFonts w:ascii="Arial" w:cs="Arial" w:eastAsia="Arial" w:hAnsi="Arial"/>
                <w:sz w:val="12"/>
                <w:szCs w:val="12"/>
                <w:color w:val="auto"/>
              </w:rPr>
              <w:t>Eastern Hemisphere</w:t>
            </w:r>
          </w:p>
        </w:tc>
        <w:tc>
          <w:tcPr>
            <w:tcW w:w="2000" w:type="dxa"/>
            <w:vAlign w:val="bottom"/>
            <w:gridSpan w:val="2"/>
            <w:shd w:val="clear" w:color="auto" w:fill="D8D2C9"/>
          </w:tcPr>
          <w:p>
            <w:pPr>
              <w:jc w:val="right"/>
              <w:ind w:right="258"/>
              <w:spacing w:after="0"/>
              <w:rPr>
                <w:sz w:val="20"/>
                <w:szCs w:val="20"/>
                <w:color w:val="auto"/>
              </w:rPr>
            </w:pPr>
            <w:r>
              <w:rPr>
                <w:rFonts w:ascii="Arial" w:cs="Arial" w:eastAsia="Arial" w:hAnsi="Arial"/>
                <w:sz w:val="12"/>
                <w:szCs w:val="12"/>
                <w:color w:val="auto"/>
              </w:rPr>
              <w:t>Western Hemisphere</w:t>
            </w:r>
          </w:p>
        </w:tc>
        <w:tc>
          <w:tcPr>
            <w:tcW w:w="800" w:type="dxa"/>
            <w:vAlign w:val="bottom"/>
            <w:shd w:val="clear" w:color="auto" w:fill="D8D2C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D8D2C9"/>
          </w:tcPr>
          <w:p>
            <w:pPr>
              <w:spacing w:after="0"/>
              <w:rPr>
                <w:sz w:val="11"/>
                <w:szCs w:val="11"/>
                <w:color w:val="auto"/>
              </w:rPr>
            </w:pPr>
          </w:p>
        </w:tc>
        <w:tc>
          <w:tcPr>
            <w:tcW w:w="1220" w:type="dxa"/>
            <w:vAlign w:val="bottom"/>
            <w:shd w:val="clear" w:color="auto" w:fill="D8D2C9"/>
          </w:tcPr>
          <w:p>
            <w:pPr>
              <w:spacing w:after="0"/>
              <w:rPr>
                <w:sz w:val="11"/>
                <w:szCs w:val="11"/>
                <w:color w:val="auto"/>
              </w:rPr>
            </w:pPr>
          </w:p>
        </w:tc>
        <w:tc>
          <w:tcPr>
            <w:tcW w:w="1080" w:type="dxa"/>
            <w:vAlign w:val="bottom"/>
            <w:shd w:val="clear" w:color="auto" w:fill="D8D2C9"/>
          </w:tcPr>
          <w:p>
            <w:pPr>
              <w:spacing w:after="0"/>
              <w:rPr>
                <w:sz w:val="11"/>
                <w:szCs w:val="11"/>
                <w:color w:val="auto"/>
              </w:rPr>
            </w:pPr>
          </w:p>
        </w:tc>
        <w:tc>
          <w:tcPr>
            <w:tcW w:w="940" w:type="dxa"/>
            <w:vAlign w:val="bottom"/>
            <w:shd w:val="clear" w:color="auto" w:fill="D8D2C9"/>
          </w:tcPr>
          <w:p>
            <w:pPr>
              <w:spacing w:after="0"/>
              <w:rPr>
                <w:sz w:val="11"/>
                <w:szCs w:val="11"/>
                <w:color w:val="auto"/>
              </w:rPr>
            </w:pPr>
          </w:p>
        </w:tc>
        <w:tc>
          <w:tcPr>
            <w:tcW w:w="1260" w:type="dxa"/>
            <w:vAlign w:val="bottom"/>
            <w:shd w:val="clear" w:color="auto" w:fill="D8D2C9"/>
          </w:tcPr>
          <w:p>
            <w:pPr>
              <w:jc w:val="right"/>
              <w:ind w:right="298"/>
              <w:spacing w:after="0" w:line="133" w:lineRule="exact"/>
              <w:rPr>
                <w:sz w:val="20"/>
                <w:szCs w:val="20"/>
                <w:color w:val="auto"/>
              </w:rPr>
            </w:pPr>
            <w:r>
              <w:rPr>
                <w:rFonts w:ascii="Arial" w:cs="Arial" w:eastAsia="Arial" w:hAnsi="Arial"/>
                <w:sz w:val="12"/>
                <w:szCs w:val="12"/>
                <w:color w:val="auto"/>
              </w:rPr>
              <w:t>Middle East,</w:t>
            </w:r>
          </w:p>
        </w:tc>
        <w:tc>
          <w:tcPr>
            <w:tcW w:w="1040" w:type="dxa"/>
            <w:vAlign w:val="bottom"/>
            <w:shd w:val="clear" w:color="auto" w:fill="D8D2C9"/>
          </w:tcPr>
          <w:p>
            <w:pPr>
              <w:spacing w:after="0"/>
              <w:rPr>
                <w:sz w:val="11"/>
                <w:szCs w:val="11"/>
                <w:color w:val="auto"/>
              </w:rPr>
            </w:pPr>
          </w:p>
        </w:tc>
        <w:tc>
          <w:tcPr>
            <w:tcW w:w="960" w:type="dxa"/>
            <w:vAlign w:val="bottom"/>
            <w:shd w:val="clear" w:color="auto" w:fill="D8D2C9"/>
          </w:tcPr>
          <w:p>
            <w:pPr>
              <w:spacing w:after="0"/>
              <w:rPr>
                <w:sz w:val="11"/>
                <w:szCs w:val="11"/>
                <w:color w:val="auto"/>
              </w:rPr>
            </w:pPr>
          </w:p>
        </w:tc>
        <w:tc>
          <w:tcPr>
            <w:tcW w:w="800" w:type="dxa"/>
            <w:vAlign w:val="bottom"/>
            <w:shd w:val="clear" w:color="auto" w:fill="D8D2C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80" w:type="dxa"/>
            <w:vAlign w:val="bottom"/>
            <w:shd w:val="clear" w:color="auto" w:fill="D8D2C9"/>
          </w:tcPr>
          <w:p>
            <w:pPr>
              <w:spacing w:after="0"/>
              <w:rPr>
                <w:sz w:val="10"/>
                <w:szCs w:val="10"/>
                <w:color w:val="auto"/>
              </w:rPr>
            </w:pPr>
          </w:p>
        </w:tc>
        <w:tc>
          <w:tcPr>
            <w:tcW w:w="1220" w:type="dxa"/>
            <w:vAlign w:val="bottom"/>
            <w:shd w:val="clear" w:color="auto" w:fill="D8D2C9"/>
          </w:tcPr>
          <w:p>
            <w:pPr>
              <w:spacing w:after="0"/>
              <w:rPr>
                <w:sz w:val="10"/>
                <w:szCs w:val="10"/>
                <w:color w:val="auto"/>
              </w:rPr>
            </w:pPr>
          </w:p>
        </w:tc>
        <w:tc>
          <w:tcPr>
            <w:tcW w:w="1080" w:type="dxa"/>
            <w:vAlign w:val="bottom"/>
            <w:shd w:val="clear" w:color="auto" w:fill="D8D2C9"/>
          </w:tcPr>
          <w:p>
            <w:pPr>
              <w:spacing w:after="0"/>
              <w:rPr>
                <w:sz w:val="10"/>
                <w:szCs w:val="10"/>
                <w:color w:val="auto"/>
              </w:rPr>
            </w:pPr>
          </w:p>
        </w:tc>
        <w:tc>
          <w:tcPr>
            <w:tcW w:w="940" w:type="dxa"/>
            <w:vAlign w:val="bottom"/>
            <w:shd w:val="clear" w:color="auto" w:fill="D8D2C9"/>
          </w:tcPr>
          <w:p>
            <w:pPr>
              <w:jc w:val="right"/>
              <w:ind w:right="198"/>
              <w:spacing w:after="0" w:line="120" w:lineRule="exact"/>
              <w:rPr>
                <w:sz w:val="20"/>
                <w:szCs w:val="20"/>
                <w:color w:val="auto"/>
              </w:rPr>
            </w:pPr>
            <w:r>
              <w:rPr>
                <w:rFonts w:ascii="Arial" w:cs="Arial" w:eastAsia="Arial" w:hAnsi="Arial"/>
                <w:sz w:val="12"/>
                <w:szCs w:val="12"/>
                <w:color w:val="auto"/>
              </w:rPr>
              <w:t>Asia</w:t>
            </w:r>
          </w:p>
        </w:tc>
        <w:tc>
          <w:tcPr>
            <w:tcW w:w="1260" w:type="dxa"/>
            <w:vAlign w:val="bottom"/>
            <w:shd w:val="clear" w:color="auto" w:fill="D8D2C9"/>
          </w:tcPr>
          <w:p>
            <w:pPr>
              <w:jc w:val="right"/>
              <w:ind w:right="298"/>
              <w:spacing w:after="0" w:line="120" w:lineRule="exact"/>
              <w:rPr>
                <w:sz w:val="20"/>
                <w:szCs w:val="20"/>
                <w:color w:val="auto"/>
              </w:rPr>
            </w:pPr>
            <w:r>
              <w:rPr>
                <w:rFonts w:ascii="Arial" w:cs="Arial" w:eastAsia="Arial" w:hAnsi="Arial"/>
                <w:sz w:val="12"/>
                <w:szCs w:val="12"/>
                <w:color w:val="auto"/>
              </w:rPr>
              <w:t>Russia,</w:t>
            </w:r>
          </w:p>
        </w:tc>
        <w:tc>
          <w:tcPr>
            <w:tcW w:w="1040" w:type="dxa"/>
            <w:vAlign w:val="bottom"/>
            <w:shd w:val="clear" w:color="auto" w:fill="D8D2C9"/>
          </w:tcPr>
          <w:p>
            <w:pPr>
              <w:spacing w:after="0"/>
              <w:rPr>
                <w:sz w:val="10"/>
                <w:szCs w:val="10"/>
                <w:color w:val="auto"/>
              </w:rPr>
            </w:pPr>
          </w:p>
        </w:tc>
        <w:tc>
          <w:tcPr>
            <w:tcW w:w="960" w:type="dxa"/>
            <w:vAlign w:val="bottom"/>
            <w:shd w:val="clear" w:color="auto" w:fill="D8D2C9"/>
          </w:tcPr>
          <w:p>
            <w:pPr>
              <w:spacing w:after="0"/>
              <w:rPr>
                <w:sz w:val="10"/>
                <w:szCs w:val="10"/>
                <w:color w:val="auto"/>
              </w:rPr>
            </w:pPr>
          </w:p>
        </w:tc>
        <w:tc>
          <w:tcPr>
            <w:tcW w:w="800" w:type="dxa"/>
            <w:vAlign w:val="bottom"/>
            <w:shd w:val="clear" w:color="auto" w:fill="D8D2C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D8D2C9"/>
          </w:tcPr>
          <w:p>
            <w:pPr>
              <w:spacing w:after="0"/>
              <w:rPr>
                <w:sz w:val="13"/>
                <w:szCs w:val="13"/>
                <w:color w:val="auto"/>
              </w:rPr>
            </w:pPr>
          </w:p>
        </w:tc>
        <w:tc>
          <w:tcPr>
            <w:tcW w:w="122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Europe</w:t>
            </w:r>
          </w:p>
        </w:tc>
        <w:tc>
          <w:tcPr>
            <w:tcW w:w="1080" w:type="dxa"/>
            <w:vAlign w:val="bottom"/>
            <w:shd w:val="clear" w:color="auto" w:fill="D8D2C9"/>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94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Pacific</w:t>
            </w:r>
          </w:p>
        </w:tc>
        <w:tc>
          <w:tcPr>
            <w:tcW w:w="1260" w:type="dxa"/>
            <w:vAlign w:val="bottom"/>
            <w:shd w:val="clear" w:color="auto" w:fill="D8D2C9"/>
          </w:tcPr>
          <w:p>
            <w:pPr>
              <w:jc w:val="right"/>
              <w:ind w:right="29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[B]</w:t>
            </w:r>
          </w:p>
        </w:tc>
        <w:tc>
          <w:tcPr>
            <w:tcW w:w="1040" w:type="dxa"/>
            <w:vAlign w:val="bottom"/>
            <w:shd w:val="clear" w:color="auto" w:fill="D8D2C9"/>
          </w:tcPr>
          <w:p>
            <w:pPr>
              <w:jc w:val="right"/>
              <w:ind w:right="31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Other</w:t>
            </w:r>
          </w:p>
        </w:tc>
        <w:tc>
          <w:tcPr>
            <w:tcW w:w="80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200"/>
              <w:spacing w:after="0" w:line="133" w:lineRule="exact"/>
              <w:rPr>
                <w:sz w:val="20"/>
                <w:szCs w:val="20"/>
                <w:color w:val="auto"/>
              </w:rPr>
            </w:pPr>
            <w:r>
              <w:rPr>
                <w:rFonts w:ascii="Arial" w:cs="Arial" w:eastAsia="Arial" w:hAnsi="Arial"/>
                <w:sz w:val="12"/>
                <w:szCs w:val="12"/>
                <w:color w:val="auto"/>
              </w:rPr>
              <w:t>Third parties</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5,937</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389</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2,204</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2,352</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2,339</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1,567</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14,788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Intersegment</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11,287</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7,393</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1,606</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7,764</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6,266</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1,480</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35,796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17,224</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7,782</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3,810</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10,116</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8,605</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3,047</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50,584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Production costs</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2,636</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1,597</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848</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1,018</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1,270</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774</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8,143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Exploration expense</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214</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269</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165</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100</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471</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179</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Depreciation, depletion and</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amortisation</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3,498</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1,508</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797</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505</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1,823</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1,034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9,165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income/(costs)</w:t>
            </w: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(781)</w:t>
            </w:r>
          </w:p>
        </w:tc>
        <w:tc>
          <w:tcPr>
            <w:tcW w:w="10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(187)</w:t>
            </w: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(17)</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(1,372)</w:t>
            </w: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(649)</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(586)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Earnings before taxation</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10,095</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4,221</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1,983</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7,121</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4,392</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474</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28,286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6,381</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2,170</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740</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5,857</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1,538</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131</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16,817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after 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3,714</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2,051</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1,243</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1,264</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2,854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343</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11,469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7DD0E3"/>
          </w:tcPr>
          <w:p>
            <w:pPr>
              <w:spacing w:after="0" w:line="133" w:lineRule="exact"/>
              <w:rPr>
                <w:sz w:val="20"/>
                <w:szCs w:val="20"/>
                <w:color w:val="auto"/>
              </w:rPr>
            </w:pPr>
            <w:r>
              <w:rPr>
                <w:rFonts w:ascii="Arial" w:cs="Arial" w:eastAsia="Arial" w:hAnsi="Arial"/>
                <w:sz w:val="12"/>
                <w:szCs w:val="12"/>
                <w:b w:val="1"/>
                <w:bCs w:val="1"/>
                <w:color w:val="auto"/>
              </w:rPr>
              <w:t>2005</w:t>
            </w:r>
          </w:p>
        </w:tc>
        <w:tc>
          <w:tcPr>
            <w:tcW w:w="1220" w:type="dxa"/>
            <w:vAlign w:val="bottom"/>
            <w:shd w:val="clear" w:color="auto" w:fill="7DD0E3"/>
          </w:tcPr>
          <w:p>
            <w:pPr>
              <w:spacing w:after="0"/>
              <w:rPr>
                <w:sz w:val="11"/>
                <w:szCs w:val="11"/>
                <w:color w:val="auto"/>
              </w:rPr>
            </w:pPr>
          </w:p>
        </w:tc>
        <w:tc>
          <w:tcPr>
            <w:tcW w:w="1080" w:type="dxa"/>
            <w:vAlign w:val="bottom"/>
            <w:shd w:val="clear" w:color="auto" w:fill="7DD0E3"/>
          </w:tcPr>
          <w:p>
            <w:pPr>
              <w:spacing w:after="0"/>
              <w:rPr>
                <w:sz w:val="11"/>
                <w:szCs w:val="11"/>
                <w:color w:val="auto"/>
              </w:rPr>
            </w:pPr>
          </w:p>
        </w:tc>
        <w:tc>
          <w:tcPr>
            <w:tcW w:w="940" w:type="dxa"/>
            <w:vAlign w:val="bottom"/>
            <w:shd w:val="clear" w:color="auto" w:fill="7DD0E3"/>
          </w:tcPr>
          <w:p>
            <w:pPr>
              <w:spacing w:after="0"/>
              <w:rPr>
                <w:sz w:val="11"/>
                <w:szCs w:val="11"/>
                <w:color w:val="auto"/>
              </w:rPr>
            </w:pPr>
          </w:p>
        </w:tc>
        <w:tc>
          <w:tcPr>
            <w:tcW w:w="1260" w:type="dxa"/>
            <w:vAlign w:val="bottom"/>
            <w:shd w:val="clear" w:color="auto" w:fill="7DD0E3"/>
          </w:tcPr>
          <w:p>
            <w:pPr>
              <w:spacing w:after="0"/>
              <w:rPr>
                <w:sz w:val="11"/>
                <w:szCs w:val="11"/>
                <w:color w:val="auto"/>
              </w:rPr>
            </w:pPr>
          </w:p>
        </w:tc>
        <w:tc>
          <w:tcPr>
            <w:tcW w:w="1040" w:type="dxa"/>
            <w:vAlign w:val="bottom"/>
            <w:shd w:val="clear" w:color="auto" w:fill="7DD0E3"/>
          </w:tcPr>
          <w:p>
            <w:pPr>
              <w:spacing w:after="0"/>
              <w:rPr>
                <w:sz w:val="11"/>
                <w:szCs w:val="11"/>
                <w:color w:val="auto"/>
              </w:rPr>
            </w:pPr>
          </w:p>
        </w:tc>
        <w:tc>
          <w:tcPr>
            <w:tcW w:w="960" w:type="dxa"/>
            <w:vAlign w:val="bottom"/>
            <w:shd w:val="clear" w:color="auto" w:fill="7DD0E3"/>
          </w:tcPr>
          <w:p>
            <w:pPr>
              <w:spacing w:after="0"/>
              <w:rPr>
                <w:sz w:val="11"/>
                <w:szCs w:val="11"/>
                <w:color w:val="auto"/>
              </w:rPr>
            </w:pPr>
          </w:p>
        </w:tc>
        <w:tc>
          <w:tcPr>
            <w:tcW w:w="800" w:type="dxa"/>
            <w:vAlign w:val="bottom"/>
            <w:shd w:val="clear" w:color="auto" w:fill="7DD0E3"/>
          </w:tcPr>
          <w:p>
            <w:pPr>
              <w:jc w:val="right"/>
              <w:spacing w:after="0" w:line="133" w:lineRule="exact"/>
              <w:rPr>
                <w:sz w:val="20"/>
                <w:szCs w:val="20"/>
                <w:color w:val="auto"/>
              </w:rPr>
            </w:pPr>
            <w:r>
              <w:rPr>
                <w:rFonts w:ascii="Arial" w:cs="Arial" w:eastAsia="Arial" w:hAnsi="Arial"/>
                <w:sz w:val="12"/>
                <w:szCs w:val="12"/>
                <w:b w:val="1"/>
                <w:bCs w:val="1"/>
                <w:color w:val="auto"/>
              </w:rPr>
              <w:t>$ million</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D8D2C9"/>
          </w:tcPr>
          <w:p>
            <w:pPr>
              <w:spacing w:after="0"/>
              <w:rPr>
                <w:sz w:val="12"/>
                <w:szCs w:val="12"/>
                <w:color w:val="auto"/>
              </w:rPr>
            </w:pPr>
          </w:p>
        </w:tc>
        <w:tc>
          <w:tcPr>
            <w:tcW w:w="1220" w:type="dxa"/>
            <w:vAlign w:val="bottom"/>
            <w:shd w:val="clear" w:color="auto" w:fill="D8D2C9"/>
          </w:tcPr>
          <w:p>
            <w:pPr>
              <w:spacing w:after="0"/>
              <w:rPr>
                <w:sz w:val="12"/>
                <w:szCs w:val="12"/>
                <w:color w:val="auto"/>
              </w:rPr>
            </w:pPr>
          </w:p>
        </w:tc>
        <w:tc>
          <w:tcPr>
            <w:tcW w:w="1080" w:type="dxa"/>
            <w:vAlign w:val="bottom"/>
            <w:shd w:val="clear" w:color="auto" w:fill="D8D2C9"/>
          </w:tcPr>
          <w:p>
            <w:pPr>
              <w:spacing w:after="0"/>
              <w:rPr>
                <w:sz w:val="12"/>
                <w:szCs w:val="12"/>
                <w:color w:val="auto"/>
              </w:rPr>
            </w:pPr>
          </w:p>
        </w:tc>
        <w:tc>
          <w:tcPr>
            <w:tcW w:w="2200" w:type="dxa"/>
            <w:vAlign w:val="bottom"/>
            <w:gridSpan w:val="2"/>
            <w:shd w:val="clear" w:color="auto" w:fill="D8D2C9"/>
          </w:tcPr>
          <w:p>
            <w:pPr>
              <w:jc w:val="right"/>
              <w:ind w:right="298"/>
              <w:spacing w:after="0"/>
              <w:rPr>
                <w:sz w:val="20"/>
                <w:szCs w:val="20"/>
                <w:color w:val="auto"/>
              </w:rPr>
            </w:pPr>
            <w:r>
              <w:rPr>
                <w:rFonts w:ascii="Arial" w:cs="Arial" w:eastAsia="Arial" w:hAnsi="Arial"/>
                <w:sz w:val="12"/>
                <w:szCs w:val="12"/>
                <w:color w:val="auto"/>
              </w:rPr>
              <w:t>Eastern Hemisphere</w:t>
            </w:r>
          </w:p>
        </w:tc>
        <w:tc>
          <w:tcPr>
            <w:tcW w:w="2000" w:type="dxa"/>
            <w:vAlign w:val="bottom"/>
            <w:gridSpan w:val="2"/>
            <w:shd w:val="clear" w:color="auto" w:fill="D8D2C9"/>
          </w:tcPr>
          <w:p>
            <w:pPr>
              <w:jc w:val="right"/>
              <w:ind w:right="258"/>
              <w:spacing w:after="0"/>
              <w:rPr>
                <w:sz w:val="20"/>
                <w:szCs w:val="20"/>
                <w:color w:val="auto"/>
              </w:rPr>
            </w:pPr>
            <w:r>
              <w:rPr>
                <w:rFonts w:ascii="Arial" w:cs="Arial" w:eastAsia="Arial" w:hAnsi="Arial"/>
                <w:sz w:val="12"/>
                <w:szCs w:val="12"/>
                <w:color w:val="auto"/>
              </w:rPr>
              <w:t>Western Hemisphere</w:t>
            </w:r>
          </w:p>
        </w:tc>
        <w:tc>
          <w:tcPr>
            <w:tcW w:w="800" w:type="dxa"/>
            <w:vAlign w:val="bottom"/>
            <w:shd w:val="clear" w:color="auto" w:fill="D8D2C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180" w:type="dxa"/>
            <w:vAlign w:val="bottom"/>
            <w:shd w:val="clear" w:color="auto" w:fill="D8D2C9"/>
          </w:tcPr>
          <w:p>
            <w:pPr>
              <w:spacing w:after="0"/>
              <w:rPr>
                <w:sz w:val="11"/>
                <w:szCs w:val="11"/>
                <w:color w:val="auto"/>
              </w:rPr>
            </w:pPr>
          </w:p>
        </w:tc>
        <w:tc>
          <w:tcPr>
            <w:tcW w:w="1220" w:type="dxa"/>
            <w:vAlign w:val="bottom"/>
            <w:shd w:val="clear" w:color="auto" w:fill="D8D2C9"/>
          </w:tcPr>
          <w:p>
            <w:pPr>
              <w:spacing w:after="0"/>
              <w:rPr>
                <w:sz w:val="11"/>
                <w:szCs w:val="11"/>
                <w:color w:val="auto"/>
              </w:rPr>
            </w:pPr>
          </w:p>
        </w:tc>
        <w:tc>
          <w:tcPr>
            <w:tcW w:w="1080" w:type="dxa"/>
            <w:vAlign w:val="bottom"/>
            <w:shd w:val="clear" w:color="auto" w:fill="D8D2C9"/>
          </w:tcPr>
          <w:p>
            <w:pPr>
              <w:spacing w:after="0"/>
              <w:rPr>
                <w:sz w:val="11"/>
                <w:szCs w:val="11"/>
                <w:color w:val="auto"/>
              </w:rPr>
            </w:pPr>
          </w:p>
        </w:tc>
        <w:tc>
          <w:tcPr>
            <w:tcW w:w="940" w:type="dxa"/>
            <w:vAlign w:val="bottom"/>
            <w:shd w:val="clear" w:color="auto" w:fill="D8D2C9"/>
          </w:tcPr>
          <w:p>
            <w:pPr>
              <w:spacing w:after="0"/>
              <w:rPr>
                <w:sz w:val="11"/>
                <w:szCs w:val="11"/>
                <w:color w:val="auto"/>
              </w:rPr>
            </w:pPr>
          </w:p>
        </w:tc>
        <w:tc>
          <w:tcPr>
            <w:tcW w:w="1260" w:type="dxa"/>
            <w:vAlign w:val="bottom"/>
            <w:shd w:val="clear" w:color="auto" w:fill="D8D2C9"/>
          </w:tcPr>
          <w:p>
            <w:pPr>
              <w:jc w:val="right"/>
              <w:ind w:right="298"/>
              <w:spacing w:after="0" w:line="133" w:lineRule="exact"/>
              <w:rPr>
                <w:sz w:val="20"/>
                <w:szCs w:val="20"/>
                <w:color w:val="auto"/>
              </w:rPr>
            </w:pPr>
            <w:r>
              <w:rPr>
                <w:rFonts w:ascii="Arial" w:cs="Arial" w:eastAsia="Arial" w:hAnsi="Arial"/>
                <w:sz w:val="12"/>
                <w:szCs w:val="12"/>
                <w:color w:val="auto"/>
              </w:rPr>
              <w:t>Middle East,</w:t>
            </w:r>
          </w:p>
        </w:tc>
        <w:tc>
          <w:tcPr>
            <w:tcW w:w="1040" w:type="dxa"/>
            <w:vAlign w:val="bottom"/>
            <w:shd w:val="clear" w:color="auto" w:fill="D8D2C9"/>
          </w:tcPr>
          <w:p>
            <w:pPr>
              <w:spacing w:after="0"/>
              <w:rPr>
                <w:sz w:val="11"/>
                <w:szCs w:val="11"/>
                <w:color w:val="auto"/>
              </w:rPr>
            </w:pPr>
          </w:p>
        </w:tc>
        <w:tc>
          <w:tcPr>
            <w:tcW w:w="960" w:type="dxa"/>
            <w:vAlign w:val="bottom"/>
            <w:shd w:val="clear" w:color="auto" w:fill="D8D2C9"/>
          </w:tcPr>
          <w:p>
            <w:pPr>
              <w:spacing w:after="0"/>
              <w:rPr>
                <w:sz w:val="11"/>
                <w:szCs w:val="11"/>
                <w:color w:val="auto"/>
              </w:rPr>
            </w:pPr>
          </w:p>
        </w:tc>
        <w:tc>
          <w:tcPr>
            <w:tcW w:w="800" w:type="dxa"/>
            <w:vAlign w:val="bottom"/>
            <w:shd w:val="clear" w:color="auto" w:fill="D8D2C9"/>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180" w:type="dxa"/>
            <w:vAlign w:val="bottom"/>
            <w:shd w:val="clear" w:color="auto" w:fill="D8D2C9"/>
          </w:tcPr>
          <w:p>
            <w:pPr>
              <w:spacing w:after="0"/>
              <w:rPr>
                <w:sz w:val="10"/>
                <w:szCs w:val="10"/>
                <w:color w:val="auto"/>
              </w:rPr>
            </w:pPr>
          </w:p>
        </w:tc>
        <w:tc>
          <w:tcPr>
            <w:tcW w:w="1220" w:type="dxa"/>
            <w:vAlign w:val="bottom"/>
            <w:shd w:val="clear" w:color="auto" w:fill="D8D2C9"/>
          </w:tcPr>
          <w:p>
            <w:pPr>
              <w:spacing w:after="0"/>
              <w:rPr>
                <w:sz w:val="10"/>
                <w:szCs w:val="10"/>
                <w:color w:val="auto"/>
              </w:rPr>
            </w:pPr>
          </w:p>
        </w:tc>
        <w:tc>
          <w:tcPr>
            <w:tcW w:w="1080" w:type="dxa"/>
            <w:vAlign w:val="bottom"/>
            <w:shd w:val="clear" w:color="auto" w:fill="D8D2C9"/>
          </w:tcPr>
          <w:p>
            <w:pPr>
              <w:spacing w:after="0"/>
              <w:rPr>
                <w:sz w:val="10"/>
                <w:szCs w:val="10"/>
                <w:color w:val="auto"/>
              </w:rPr>
            </w:pPr>
          </w:p>
        </w:tc>
        <w:tc>
          <w:tcPr>
            <w:tcW w:w="940" w:type="dxa"/>
            <w:vAlign w:val="bottom"/>
            <w:shd w:val="clear" w:color="auto" w:fill="D8D2C9"/>
          </w:tcPr>
          <w:p>
            <w:pPr>
              <w:jc w:val="right"/>
              <w:ind w:right="198"/>
              <w:spacing w:after="0" w:line="120" w:lineRule="exact"/>
              <w:rPr>
                <w:sz w:val="20"/>
                <w:szCs w:val="20"/>
                <w:color w:val="auto"/>
              </w:rPr>
            </w:pPr>
            <w:r>
              <w:rPr>
                <w:rFonts w:ascii="Arial" w:cs="Arial" w:eastAsia="Arial" w:hAnsi="Arial"/>
                <w:sz w:val="12"/>
                <w:szCs w:val="12"/>
                <w:color w:val="auto"/>
              </w:rPr>
              <w:t>Asia</w:t>
            </w:r>
          </w:p>
        </w:tc>
        <w:tc>
          <w:tcPr>
            <w:tcW w:w="1260" w:type="dxa"/>
            <w:vAlign w:val="bottom"/>
            <w:shd w:val="clear" w:color="auto" w:fill="D8D2C9"/>
          </w:tcPr>
          <w:p>
            <w:pPr>
              <w:jc w:val="right"/>
              <w:ind w:right="298"/>
              <w:spacing w:after="0" w:line="120" w:lineRule="exact"/>
              <w:rPr>
                <w:sz w:val="20"/>
                <w:szCs w:val="20"/>
                <w:color w:val="auto"/>
              </w:rPr>
            </w:pPr>
            <w:r>
              <w:rPr>
                <w:rFonts w:ascii="Arial" w:cs="Arial" w:eastAsia="Arial" w:hAnsi="Arial"/>
                <w:sz w:val="12"/>
                <w:szCs w:val="12"/>
                <w:color w:val="auto"/>
              </w:rPr>
              <w:t>Russia,</w:t>
            </w:r>
          </w:p>
        </w:tc>
        <w:tc>
          <w:tcPr>
            <w:tcW w:w="1040" w:type="dxa"/>
            <w:vAlign w:val="bottom"/>
            <w:shd w:val="clear" w:color="auto" w:fill="D8D2C9"/>
          </w:tcPr>
          <w:p>
            <w:pPr>
              <w:spacing w:after="0"/>
              <w:rPr>
                <w:sz w:val="10"/>
                <w:szCs w:val="10"/>
                <w:color w:val="auto"/>
              </w:rPr>
            </w:pPr>
          </w:p>
        </w:tc>
        <w:tc>
          <w:tcPr>
            <w:tcW w:w="960" w:type="dxa"/>
            <w:vAlign w:val="bottom"/>
            <w:shd w:val="clear" w:color="auto" w:fill="D8D2C9"/>
          </w:tcPr>
          <w:p>
            <w:pPr>
              <w:spacing w:after="0"/>
              <w:rPr>
                <w:sz w:val="10"/>
                <w:szCs w:val="10"/>
                <w:color w:val="auto"/>
              </w:rPr>
            </w:pPr>
          </w:p>
        </w:tc>
        <w:tc>
          <w:tcPr>
            <w:tcW w:w="800" w:type="dxa"/>
            <w:vAlign w:val="bottom"/>
            <w:shd w:val="clear" w:color="auto" w:fill="D8D2C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80" w:type="dxa"/>
            <w:vAlign w:val="bottom"/>
            <w:shd w:val="clear" w:color="auto" w:fill="D8D2C9"/>
          </w:tcPr>
          <w:p>
            <w:pPr>
              <w:spacing w:after="0"/>
              <w:rPr>
                <w:sz w:val="13"/>
                <w:szCs w:val="13"/>
                <w:color w:val="auto"/>
              </w:rPr>
            </w:pPr>
          </w:p>
        </w:tc>
        <w:tc>
          <w:tcPr>
            <w:tcW w:w="1220" w:type="dxa"/>
            <w:vAlign w:val="bottom"/>
            <w:shd w:val="clear" w:color="auto" w:fill="D8D2C9"/>
          </w:tcPr>
          <w:p>
            <w:pPr>
              <w:jc w:val="right"/>
              <w:ind w:right="218"/>
              <w:spacing w:after="0"/>
              <w:rPr>
                <w:sz w:val="20"/>
                <w:szCs w:val="20"/>
                <w:color w:val="auto"/>
              </w:rPr>
            </w:pPr>
            <w:r>
              <w:rPr>
                <w:rFonts w:ascii="Arial" w:cs="Arial" w:eastAsia="Arial" w:hAnsi="Arial"/>
                <w:sz w:val="12"/>
                <w:szCs w:val="12"/>
                <w:color w:val="auto"/>
              </w:rPr>
              <w:t>Europe</w:t>
            </w:r>
          </w:p>
        </w:tc>
        <w:tc>
          <w:tcPr>
            <w:tcW w:w="1080" w:type="dxa"/>
            <w:vAlign w:val="bottom"/>
            <w:shd w:val="clear" w:color="auto" w:fill="D8D2C9"/>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940" w:type="dxa"/>
            <w:vAlign w:val="bottom"/>
            <w:shd w:val="clear" w:color="auto" w:fill="D8D2C9"/>
          </w:tcPr>
          <w:p>
            <w:pPr>
              <w:jc w:val="right"/>
              <w:ind w:right="198"/>
              <w:spacing w:after="0"/>
              <w:rPr>
                <w:sz w:val="20"/>
                <w:szCs w:val="20"/>
                <w:color w:val="auto"/>
              </w:rPr>
            </w:pPr>
            <w:r>
              <w:rPr>
                <w:rFonts w:ascii="Arial" w:cs="Arial" w:eastAsia="Arial" w:hAnsi="Arial"/>
                <w:sz w:val="12"/>
                <w:szCs w:val="12"/>
                <w:color w:val="auto"/>
              </w:rPr>
              <w:t>Pacific</w:t>
            </w:r>
          </w:p>
        </w:tc>
        <w:tc>
          <w:tcPr>
            <w:tcW w:w="1260" w:type="dxa"/>
            <w:vAlign w:val="bottom"/>
            <w:shd w:val="clear" w:color="auto" w:fill="D8D2C9"/>
          </w:tcPr>
          <w:p>
            <w:pPr>
              <w:jc w:val="right"/>
              <w:ind w:right="298"/>
              <w:spacing w:after="0"/>
              <w:rPr>
                <w:sz w:val="20"/>
                <w:szCs w:val="20"/>
                <w:color w:val="auto"/>
              </w:rPr>
            </w:pPr>
            <w:r>
              <w:rPr>
                <w:rFonts w:ascii="Arial" w:cs="Arial" w:eastAsia="Arial" w:hAnsi="Arial"/>
                <w:sz w:val="12"/>
                <w:szCs w:val="12"/>
                <w:color w:val="auto"/>
              </w:rPr>
              <w:t>CIS</w:t>
            </w:r>
            <w:r>
              <w:rPr>
                <w:rFonts w:ascii="Arial" w:cs="Arial" w:eastAsia="Arial" w:hAnsi="Arial"/>
                <w:sz w:val="12"/>
                <w:szCs w:val="12"/>
                <w:b w:val="1"/>
                <w:bCs w:val="1"/>
                <w:color w:val="auto"/>
              </w:rPr>
              <w:t>[B]</w:t>
            </w:r>
          </w:p>
        </w:tc>
        <w:tc>
          <w:tcPr>
            <w:tcW w:w="1040" w:type="dxa"/>
            <w:vAlign w:val="bottom"/>
            <w:shd w:val="clear" w:color="auto" w:fill="D8D2C9"/>
          </w:tcPr>
          <w:p>
            <w:pPr>
              <w:jc w:val="right"/>
              <w:ind w:right="31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D8D2C9"/>
          </w:tcPr>
          <w:p>
            <w:pPr>
              <w:jc w:val="right"/>
              <w:ind w:right="258"/>
              <w:spacing w:after="0"/>
              <w:rPr>
                <w:sz w:val="20"/>
                <w:szCs w:val="20"/>
                <w:color w:val="auto"/>
              </w:rPr>
            </w:pPr>
            <w:r>
              <w:rPr>
                <w:rFonts w:ascii="Arial" w:cs="Arial" w:eastAsia="Arial" w:hAnsi="Arial"/>
                <w:sz w:val="12"/>
                <w:szCs w:val="12"/>
                <w:color w:val="auto"/>
              </w:rPr>
              <w:t>Other</w:t>
            </w:r>
          </w:p>
        </w:tc>
        <w:tc>
          <w:tcPr>
            <w:tcW w:w="800" w:type="dxa"/>
            <w:vAlign w:val="bottom"/>
            <w:shd w:val="clear" w:color="auto" w:fill="D8D2C9"/>
          </w:tcPr>
          <w:p>
            <w:pPr>
              <w:jc w:val="right"/>
              <w:ind w:right="38"/>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180" w:type="dxa"/>
            <w:vAlign w:val="bottom"/>
          </w:tcPr>
          <w:p>
            <w:pPr>
              <w:spacing w:after="0" w:line="128" w:lineRule="exact"/>
              <w:rPr>
                <w:sz w:val="20"/>
                <w:szCs w:val="20"/>
                <w:color w:val="auto"/>
              </w:rPr>
            </w:pPr>
            <w:r>
              <w:rPr>
                <w:rFonts w:ascii="Arial" w:cs="Arial" w:eastAsia="Arial" w:hAnsi="Arial"/>
                <w:sz w:val="12"/>
                <w:szCs w:val="12"/>
                <w:color w:val="auto"/>
              </w:rPr>
              <w:t>Revenue:</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200"/>
              <w:spacing w:after="0" w:line="133" w:lineRule="exact"/>
              <w:rPr>
                <w:sz w:val="20"/>
                <w:szCs w:val="20"/>
                <w:color w:val="auto"/>
              </w:rPr>
            </w:pPr>
            <w:r>
              <w:rPr>
                <w:rFonts w:ascii="Arial" w:cs="Arial" w:eastAsia="Arial" w:hAnsi="Arial"/>
                <w:sz w:val="12"/>
                <w:szCs w:val="12"/>
                <w:color w:val="auto"/>
              </w:rPr>
              <w:t>Third parties</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3,399</w:t>
            </w:r>
          </w:p>
        </w:tc>
        <w:tc>
          <w:tcPr>
            <w:tcW w:w="108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(314)</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1,288</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2,255</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2,850</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1,458</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10,936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Intersegment</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9,869</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7,503</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1,608</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6,193</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5,050</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1,356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13,268</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7,189</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2,896</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8,448</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7,900</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2,814</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Production costs</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2,245</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1,971</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660</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871</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1,040</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562</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7,349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Exploration expense</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213</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193</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55</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73</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378</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246</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Depreciation, depletion and</w:t>
            </w: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80" w:type="dxa"/>
            <w:vAlign w:val="bottom"/>
          </w:tcPr>
          <w:p>
            <w:pPr>
              <w:spacing w:after="0" w:line="133" w:lineRule="exact"/>
              <w:rPr>
                <w:sz w:val="20"/>
                <w:szCs w:val="20"/>
                <w:color w:val="auto"/>
              </w:rPr>
            </w:pPr>
            <w:r>
              <w:rPr>
                <w:rFonts w:ascii="Arial" w:cs="Arial" w:eastAsia="Arial" w:hAnsi="Arial"/>
                <w:sz w:val="12"/>
                <w:szCs w:val="12"/>
                <w:color w:val="auto"/>
              </w:rPr>
              <w:t>amortisation</w:t>
            </w:r>
          </w:p>
        </w:tc>
        <w:tc>
          <w:tcPr>
            <w:tcW w:w="12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3,888</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844</w:t>
            </w:r>
          </w:p>
        </w:tc>
        <w:tc>
          <w:tcPr>
            <w:tcW w:w="94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679</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521</w:t>
            </w:r>
          </w:p>
        </w:tc>
        <w:tc>
          <w:tcPr>
            <w:tcW w:w="10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1,629</w:t>
            </w:r>
          </w:p>
        </w:tc>
        <w:tc>
          <w:tcPr>
            <w:tcW w:w="9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820</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8,381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income/(costs)</w:t>
            </w: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(413)</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84</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257</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(765)</w:t>
            </w:r>
          </w:p>
        </w:tc>
        <w:tc>
          <w:tcPr>
            <w:tcW w:w="10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(346)</w:t>
            </w:r>
          </w:p>
        </w:tc>
        <w:tc>
          <w:tcPr>
            <w:tcW w:w="9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(456)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180" w:type="dxa"/>
            <w:vAlign w:val="bottom"/>
          </w:tcPr>
          <w:p>
            <w:pPr>
              <w:spacing w:after="0" w:line="134" w:lineRule="exact"/>
              <w:rPr>
                <w:sz w:val="20"/>
                <w:szCs w:val="20"/>
                <w:color w:val="auto"/>
              </w:rPr>
            </w:pPr>
            <w:r>
              <w:rPr>
                <w:rFonts w:ascii="Arial" w:cs="Arial" w:eastAsia="Arial" w:hAnsi="Arial"/>
                <w:sz w:val="12"/>
                <w:szCs w:val="12"/>
                <w:color w:val="auto"/>
              </w:rPr>
              <w:t>Earnings before taxation</w:t>
            </w:r>
          </w:p>
        </w:tc>
        <w:tc>
          <w:tcPr>
            <w:tcW w:w="12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6,509</w:t>
            </w:r>
          </w:p>
        </w:tc>
        <w:tc>
          <w:tcPr>
            <w:tcW w:w="108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4,265</w:t>
            </w:r>
          </w:p>
        </w:tc>
        <w:tc>
          <w:tcPr>
            <w:tcW w:w="94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1,759</w:t>
            </w:r>
          </w:p>
        </w:tc>
        <w:tc>
          <w:tcPr>
            <w:tcW w:w="1260" w:type="dxa"/>
            <w:vAlign w:val="bottom"/>
          </w:tcPr>
          <w:p>
            <w:pPr>
              <w:jc w:val="right"/>
              <w:ind w:right="298"/>
              <w:spacing w:after="0" w:line="134" w:lineRule="exact"/>
              <w:rPr>
                <w:sz w:val="20"/>
                <w:szCs w:val="20"/>
                <w:color w:val="auto"/>
              </w:rPr>
            </w:pPr>
            <w:r>
              <w:rPr>
                <w:rFonts w:ascii="Arial" w:cs="Arial" w:eastAsia="Arial" w:hAnsi="Arial"/>
                <w:sz w:val="12"/>
                <w:szCs w:val="12"/>
                <w:color w:val="auto"/>
              </w:rPr>
              <w:t>6,218</w:t>
            </w:r>
          </w:p>
        </w:tc>
        <w:tc>
          <w:tcPr>
            <w:tcW w:w="104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4,507</w:t>
            </w:r>
          </w:p>
        </w:tc>
        <w:tc>
          <w:tcPr>
            <w:tcW w:w="960" w:type="dxa"/>
            <w:vAlign w:val="bottom"/>
          </w:tcPr>
          <w:p>
            <w:pPr>
              <w:jc w:val="right"/>
              <w:ind w:right="258"/>
              <w:spacing w:after="0" w:line="134" w:lineRule="exact"/>
              <w:rPr>
                <w:sz w:val="20"/>
                <w:szCs w:val="20"/>
                <w:color w:val="auto"/>
              </w:rPr>
            </w:pPr>
            <w:r>
              <w:rPr>
                <w:rFonts w:ascii="Arial" w:cs="Arial" w:eastAsia="Arial" w:hAnsi="Arial"/>
                <w:sz w:val="12"/>
                <w:szCs w:val="12"/>
                <w:color w:val="auto"/>
              </w:rPr>
              <w:t>730</w:t>
            </w:r>
          </w:p>
        </w:tc>
        <w:tc>
          <w:tcPr>
            <w:tcW w:w="8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23,988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3,767</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3,526</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475</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4,986</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1,533</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236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14,523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1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Earnings after taxation</w:t>
            </w:r>
          </w:p>
        </w:tc>
        <w:tc>
          <w:tcPr>
            <w:tcW w:w="12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2,742</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739</w:t>
            </w:r>
          </w:p>
        </w:tc>
        <w:tc>
          <w:tcPr>
            <w:tcW w:w="94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1,284</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1,232</w:t>
            </w:r>
          </w:p>
        </w:tc>
        <w:tc>
          <w:tcPr>
            <w:tcW w:w="10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2,974</w:t>
            </w: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494</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9,465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-4794885</wp:posOffset>
            </wp:positionV>
            <wp:extent cx="3873500" cy="60071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873500" cy="60071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-3120390</wp:posOffset>
            </wp:positionV>
            <wp:extent cx="3873500" cy="6007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873500" cy="600710"/>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-1445895</wp:posOffset>
            </wp:positionV>
            <wp:extent cx="3873500" cy="60071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00" cy="600710"/>
                    </a:xfrm>
                    <a:prstGeom prst="rect">
                      <a:avLst/>
                    </a:prstGeom>
                    <a:noFill/>
                  </pic:spPr>
                </pic:pic>
              </a:graphicData>
            </a:graphic>
          </wp:anchor>
        </w:drawing>
      </w:r>
    </w:p>
    <w:p>
      <w:pPr>
        <w:spacing w:after="0" w:line="36" w:lineRule="exact"/>
        <w:rPr>
          <w:sz w:val="20"/>
          <w:szCs w:val="20"/>
          <w:color w:val="auto"/>
        </w:rPr>
      </w:pPr>
    </w:p>
    <w:p>
      <w:pPr>
        <w:ind w:left="500" w:hanging="252"/>
        <w:spacing w:after="0"/>
        <w:tabs>
          <w:tab w:leader="none" w:pos="50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Excludes Egypt.</w:t>
      </w:r>
    </w:p>
    <w:p>
      <w:pPr>
        <w:ind w:left="500" w:hanging="252"/>
        <w:spacing w:after="0"/>
        <w:tabs>
          <w:tab w:leader="none" w:pos="50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Includes the Caspian region and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hanging="333"/>
        <w:spacing w:after="0"/>
        <w:tabs>
          <w:tab w:leader="none" w:pos="340" w:val="left"/>
        </w:tabs>
        <w:numPr>
          <w:ilvl w:val="0"/>
          <w:numId w:val="146"/>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66" w:name="page167"/>
    <w:bookmarkEnd w:id="166"/>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7DD0E3"/>
        </w:rPr>
        <w:t>Note 35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7DD0E3"/>
        </w:rPr>
        <w:t>36</w:t>
      </w:r>
    </w:p>
    <w:p>
      <w:pPr>
        <w:spacing w:after="0" w:line="20" w:lineRule="exact"/>
        <w:rPr>
          <w:sz w:val="20"/>
          <w:szCs w:val="20"/>
          <w:color w:val="auto"/>
        </w:rPr>
      </w:pPr>
    </w:p>
    <w:p>
      <w:pPr>
        <w:ind w:right="220"/>
        <w:spacing w:after="0" w:line="252" w:lineRule="auto"/>
        <w:rPr>
          <w:sz w:val="20"/>
          <w:szCs w:val="20"/>
          <w:color w:val="auto"/>
        </w:rPr>
      </w:pPr>
      <w:r>
        <w:rPr>
          <w:rFonts w:ascii="Arial" w:cs="Arial" w:eastAsia="Arial" w:hAnsi="Arial"/>
          <w:sz w:val="14"/>
          <w:szCs w:val="14"/>
          <w:b w:val="1"/>
          <w:bCs w:val="1"/>
          <w:color w:val="auto"/>
        </w:rPr>
        <w:t>POST BALANCE SHEET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3"/>
          <w:szCs w:val="13"/>
          <w:color w:val="auto"/>
        </w:rPr>
        <w:t>The Shell share of equity-accounted investments’ earnings was $3,583 million in 2007 (2006: $3,075 million; 2005: $4,112 million) mainly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-82550</wp:posOffset>
            </wp:positionV>
            <wp:extent cx="8255" cy="279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27940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-82550</wp:posOffset>
            </wp:positionV>
            <wp:extent cx="282575" cy="8170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82575" cy="817054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$1,667 million (2006: $1,411 million; 2005: $2,854 million), USA $929 million (2006: $875 million; 2005: $723 million) and Asia Pacific $686 million</w:t>
      </w:r>
    </w:p>
    <w:p>
      <w:pPr>
        <w:spacing w:after="0"/>
        <w:rPr>
          <w:sz w:val="20"/>
          <w:szCs w:val="20"/>
          <w:color w:val="auto"/>
        </w:rPr>
      </w:pPr>
      <w:r>
        <w:rPr>
          <w:rFonts w:ascii="Arial" w:cs="Arial" w:eastAsia="Arial" w:hAnsi="Arial"/>
          <w:sz w:val="14"/>
          <w:szCs w:val="14"/>
          <w:color w:val="auto"/>
        </w:rPr>
        <w:t>(2006: $725 million; 2005: $588 million).</w:t>
      </w:r>
    </w:p>
    <w:p>
      <w:pPr>
        <w:spacing w:after="0" w:line="200" w:lineRule="exact"/>
        <w:rPr>
          <w:sz w:val="20"/>
          <w:szCs w:val="20"/>
          <w:color w:val="auto"/>
        </w:rPr>
      </w:pPr>
    </w:p>
    <w:p>
      <w:pPr>
        <w:spacing w:after="0" w:line="226"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Since December 31, 2007, additional purchases of shares have been made under the Company’s buyback programme. At February 26, 2008, a further 21,280,000 Class A shares (representing 0.3% of Royal Dutch Shell’s issued share capital at December 31, 2007) had been purchased for cancellation at a total cost of $796 million including expenses, at an average price of €25.23 and 1,892.73 pence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-295910</wp:posOffset>
            </wp:positionV>
            <wp:extent cx="8255" cy="279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27940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1340" w:space="480"/>
            <w:col w:w="8800"/>
          </w:cols>
          <w:pgMar w:left="240" w:top="415"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9180"/>
        <w:spacing w:after="0"/>
        <w:tabs>
          <w:tab w:leader="none" w:pos="104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852170</wp:posOffset>
            </wp:positionV>
            <wp:extent cx="7252970"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type w:val="continuous"/>
        </w:sectPr>
      </w:pPr>
    </w:p>
    <w:bookmarkStart w:id="167" w:name="page168"/>
    <w:bookmarkEnd w:id="167"/>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252970" cy="84347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52970" cy="843470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right="1080"/>
        <w:spacing w:after="0" w:line="324" w:lineRule="auto"/>
        <w:rPr>
          <w:sz w:val="20"/>
          <w:szCs w:val="20"/>
          <w:color w:val="auto"/>
        </w:rPr>
      </w:pPr>
      <w:r>
        <w:rPr>
          <w:rFonts w:ascii="Arial" w:cs="Arial" w:eastAsia="Arial" w:hAnsi="Arial"/>
          <w:sz w:val="32"/>
          <w:szCs w:val="32"/>
          <w:color w:val="auto"/>
        </w:rPr>
        <w:t>Index to the Supplementary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300" w:type="dxa"/>
            <w:vAlign w:val="bottom"/>
            <w:tcBorders>
              <w:bottom w:val="single" w:sz="8" w:color="0000EE"/>
            </w:tcBorders>
            <w:gridSpan w:val="2"/>
          </w:tcPr>
          <w:p>
            <w:pPr>
              <w:spacing w:after="0"/>
              <w:rPr>
                <w:rFonts w:ascii="Arial" w:cs="Arial" w:eastAsia="Arial" w:hAnsi="Arial"/>
                <w:sz w:val="12"/>
                <w:szCs w:val="12"/>
                <w:color w:val="0000EE"/>
              </w:rPr>
            </w:pPr>
            <w:hyperlink w:anchor="page169">
              <w:r>
                <w:rPr>
                  <w:rFonts w:ascii="Arial" w:cs="Arial" w:eastAsia="Arial" w:hAnsi="Arial"/>
                  <w:sz w:val="12"/>
                  <w:szCs w:val="12"/>
                  <w:color w:val="0000EE"/>
                </w:rPr>
                <w:t>Oil and gas (unaudited)</w:t>
              </w:r>
            </w:hyperlink>
          </w:p>
        </w:tc>
        <w:tc>
          <w:tcPr>
            <w:tcW w:w="2980" w:type="dxa"/>
            <w:vAlign w:val="bottom"/>
            <w:tcBorders>
              <w:bottom w:val="single" w:sz="8" w:color="009AC8"/>
            </w:tcBorders>
            <w:gridSpan w:val="4"/>
          </w:tcPr>
          <w:p>
            <w:pPr>
              <w:spacing w:after="0"/>
              <w:rPr>
                <w:sz w:val="12"/>
                <w:szCs w:val="12"/>
                <w:color w:val="auto"/>
              </w:rPr>
            </w:pPr>
          </w:p>
        </w:tc>
        <w:tc>
          <w:tcPr>
            <w:tcW w:w="740" w:type="dxa"/>
            <w:vAlign w:val="bottom"/>
            <w:tcBorders>
              <w:bottom w:val="single" w:sz="8" w:color="009AC8"/>
            </w:tcBorders>
          </w:tcPr>
          <w:p>
            <w:pPr>
              <w:jc w:val="right"/>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33"/>
        </w:trPr>
        <w:tc>
          <w:tcPr>
            <w:tcW w:w="4280" w:type="dxa"/>
            <w:vAlign w:val="bottom"/>
            <w:gridSpan w:val="6"/>
          </w:tcPr>
          <w:p>
            <w:pPr>
              <w:spacing w:after="0" w:line="133" w:lineRule="exact"/>
              <w:rPr>
                <w:rFonts w:ascii="Arial" w:cs="Arial" w:eastAsia="Arial" w:hAnsi="Arial"/>
                <w:sz w:val="12"/>
                <w:szCs w:val="12"/>
                <w:color w:val="0000EE"/>
              </w:rPr>
            </w:pPr>
            <w:hyperlink w:anchor="page176">
              <w:r>
                <w:rPr>
                  <w:rFonts w:ascii="Arial" w:cs="Arial" w:eastAsia="Arial" w:hAnsi="Arial"/>
                  <w:sz w:val="12"/>
                  <w:szCs w:val="12"/>
                  <w:color w:val="0000EE"/>
                </w:rPr>
                <w:t>Oil sands (unaudited)</w:t>
              </w:r>
            </w:hyperlink>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170</w:t>
            </w:r>
          </w:p>
        </w:tc>
        <w:tc>
          <w:tcPr>
            <w:tcW w:w="0" w:type="dxa"/>
            <w:vAlign w:val="bottom"/>
          </w:tcPr>
          <w:p>
            <w:pPr>
              <w:spacing w:after="0"/>
              <w:rPr>
                <w:sz w:val="1"/>
                <w:szCs w:val="1"/>
                <w:color w:val="auto"/>
              </w:rPr>
            </w:pPr>
          </w:p>
        </w:tc>
      </w:tr>
      <w:tr>
        <w:trPr>
          <w:trHeight w:val="27"/>
        </w:trPr>
        <w:tc>
          <w:tcPr>
            <w:tcW w:w="1180" w:type="dxa"/>
            <w:vAlign w:val="bottom"/>
            <w:shd w:val="clear" w:color="auto" w:fill="0000EE"/>
          </w:tcPr>
          <w:p>
            <w:pPr>
              <w:spacing w:after="0"/>
              <w:rPr>
                <w:sz w:val="2"/>
                <w:szCs w:val="2"/>
                <w:color w:val="auto"/>
              </w:rPr>
            </w:pPr>
          </w:p>
        </w:tc>
        <w:tc>
          <w:tcPr>
            <w:tcW w:w="120" w:type="dxa"/>
            <w:vAlign w:val="bottom"/>
            <w:shd w:val="clear" w:color="auto" w:fill="009AC8"/>
          </w:tcPr>
          <w:p>
            <w:pPr>
              <w:spacing w:after="0"/>
              <w:rPr>
                <w:sz w:val="2"/>
                <w:szCs w:val="2"/>
                <w:color w:val="auto"/>
              </w:rPr>
            </w:pPr>
          </w:p>
        </w:tc>
        <w:tc>
          <w:tcPr>
            <w:tcW w:w="20" w:type="dxa"/>
            <w:vAlign w:val="bottom"/>
            <w:shd w:val="clear" w:color="auto" w:fill="009AC8"/>
          </w:tcPr>
          <w:p>
            <w:pPr>
              <w:spacing w:after="0"/>
              <w:rPr>
                <w:sz w:val="2"/>
                <w:szCs w:val="2"/>
                <w:color w:val="auto"/>
              </w:rPr>
            </w:pPr>
          </w:p>
        </w:tc>
        <w:tc>
          <w:tcPr>
            <w:tcW w:w="440" w:type="dxa"/>
            <w:vAlign w:val="bottom"/>
            <w:shd w:val="clear" w:color="auto" w:fill="009AC8"/>
          </w:tcPr>
          <w:p>
            <w:pPr>
              <w:spacing w:after="0"/>
              <w:rPr>
                <w:sz w:val="2"/>
                <w:szCs w:val="2"/>
                <w:color w:val="auto"/>
              </w:rPr>
            </w:pPr>
          </w:p>
        </w:tc>
        <w:tc>
          <w:tcPr>
            <w:tcW w:w="2040" w:type="dxa"/>
            <w:vAlign w:val="bottom"/>
            <w:shd w:val="clear" w:color="auto" w:fill="009AC8"/>
          </w:tcPr>
          <w:p>
            <w:pPr>
              <w:spacing w:after="0"/>
              <w:rPr>
                <w:sz w:val="2"/>
                <w:szCs w:val="2"/>
                <w:color w:val="auto"/>
              </w:rPr>
            </w:pPr>
          </w:p>
        </w:tc>
        <w:tc>
          <w:tcPr>
            <w:tcW w:w="480" w:type="dxa"/>
            <w:vAlign w:val="bottom"/>
            <w:shd w:val="clear" w:color="auto" w:fill="009AC8"/>
          </w:tcPr>
          <w:p>
            <w:pPr>
              <w:spacing w:after="0"/>
              <w:rPr>
                <w:sz w:val="2"/>
                <w:szCs w:val="2"/>
                <w:color w:val="auto"/>
              </w:rPr>
            </w:pPr>
          </w:p>
        </w:tc>
        <w:tc>
          <w:tcPr>
            <w:tcW w:w="740" w:type="dxa"/>
            <w:vAlign w:val="bottom"/>
            <w:shd w:val="clear" w:color="auto" w:fill="009AC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4280" w:type="dxa"/>
            <w:vAlign w:val="bottom"/>
            <w:gridSpan w:val="6"/>
          </w:tcPr>
          <w:p>
            <w:pPr>
              <w:spacing w:after="0" w:line="133" w:lineRule="exact"/>
              <w:rPr>
                <w:rFonts w:ascii="Arial" w:cs="Arial" w:eastAsia="Arial" w:hAnsi="Arial"/>
                <w:sz w:val="12"/>
                <w:szCs w:val="12"/>
                <w:color w:val="0000EE"/>
              </w:rPr>
            </w:pPr>
            <w:hyperlink w:anchor="page177">
              <w:r>
                <w:rPr>
                  <w:rFonts w:ascii="Arial" w:cs="Arial" w:eastAsia="Arial" w:hAnsi="Arial"/>
                  <w:sz w:val="12"/>
                  <w:szCs w:val="12"/>
                  <w:color w:val="0000EE"/>
                </w:rPr>
                <w:t>Derivatives and other financial instruments and derivative commodity</w:t>
              </w:r>
            </w:hyperlink>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171</w:t>
            </w:r>
          </w:p>
        </w:tc>
        <w:tc>
          <w:tcPr>
            <w:tcW w:w="0" w:type="dxa"/>
            <w:vAlign w:val="bottom"/>
          </w:tcPr>
          <w:p>
            <w:pPr>
              <w:spacing w:after="0"/>
              <w:rPr>
                <w:sz w:val="1"/>
                <w:szCs w:val="1"/>
                <w:color w:val="auto"/>
              </w:rPr>
            </w:pPr>
          </w:p>
        </w:tc>
      </w:tr>
      <w:tr>
        <w:trPr>
          <w:trHeight w:val="120"/>
        </w:trPr>
        <w:tc>
          <w:tcPr>
            <w:tcW w:w="1320" w:type="dxa"/>
            <w:vAlign w:val="bottom"/>
            <w:tcBorders>
              <w:top w:val="single" w:sz="8" w:color="0000EE"/>
              <w:bottom w:val="single" w:sz="8" w:color="0000EE"/>
            </w:tcBorders>
            <w:gridSpan w:val="3"/>
          </w:tcPr>
          <w:p>
            <w:pPr>
              <w:spacing w:after="0" w:line="113" w:lineRule="exact"/>
              <w:rPr>
                <w:rFonts w:ascii="Arial" w:cs="Arial" w:eastAsia="Arial" w:hAnsi="Arial"/>
                <w:sz w:val="12"/>
                <w:szCs w:val="12"/>
                <w:color w:val="0000EE"/>
              </w:rPr>
            </w:pPr>
            <w:hyperlink w:anchor="page177">
              <w:r>
                <w:rPr>
                  <w:rFonts w:ascii="Arial" w:cs="Arial" w:eastAsia="Arial" w:hAnsi="Arial"/>
                  <w:sz w:val="12"/>
                  <w:szCs w:val="12"/>
                  <w:color w:val="0000EE"/>
                </w:rPr>
                <w:t>instruments (unaudited)</w:t>
              </w:r>
            </w:hyperlink>
          </w:p>
        </w:tc>
        <w:tc>
          <w:tcPr>
            <w:tcW w:w="2480" w:type="dxa"/>
            <w:vAlign w:val="bottom"/>
            <w:tcBorders>
              <w:top w:val="single" w:sz="8" w:color="0000EE"/>
              <w:bottom w:val="single" w:sz="8" w:color="009AC8"/>
            </w:tcBorders>
            <w:gridSpan w:val="2"/>
          </w:tcPr>
          <w:p>
            <w:pPr>
              <w:spacing w:after="0"/>
              <w:rPr>
                <w:sz w:val="10"/>
                <w:szCs w:val="10"/>
                <w:color w:val="auto"/>
              </w:rPr>
            </w:pPr>
          </w:p>
        </w:tc>
        <w:tc>
          <w:tcPr>
            <w:tcW w:w="480" w:type="dxa"/>
            <w:vAlign w:val="bottom"/>
            <w:tcBorders>
              <w:bottom w:val="single" w:sz="8" w:color="009AC8"/>
            </w:tcBorders>
          </w:tcPr>
          <w:p>
            <w:pPr>
              <w:spacing w:after="0"/>
              <w:rPr>
                <w:sz w:val="10"/>
                <w:szCs w:val="10"/>
                <w:color w:val="auto"/>
              </w:rPr>
            </w:pPr>
          </w:p>
        </w:tc>
        <w:tc>
          <w:tcPr>
            <w:tcW w:w="740" w:type="dxa"/>
            <w:vAlign w:val="bottom"/>
            <w:tcBorders>
              <w:bottom w:val="single" w:sz="8" w:color="009AC8"/>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280" w:type="dxa"/>
            <w:vAlign w:val="bottom"/>
            <w:gridSpan w:val="6"/>
          </w:tcPr>
          <w:p>
            <w:pPr>
              <w:spacing w:after="0" w:line="133" w:lineRule="exact"/>
              <w:rPr>
                <w:rFonts w:ascii="Arial" w:cs="Arial" w:eastAsia="Arial" w:hAnsi="Arial"/>
                <w:sz w:val="12"/>
                <w:szCs w:val="12"/>
                <w:color w:val="0000EE"/>
              </w:rPr>
            </w:pPr>
            <w:hyperlink w:anchor="page179">
              <w:r>
                <w:rPr>
                  <w:rFonts w:ascii="Arial" w:cs="Arial" w:eastAsia="Arial" w:hAnsi="Arial"/>
                  <w:sz w:val="12"/>
                  <w:szCs w:val="12"/>
                  <w:color w:val="0000EE"/>
                </w:rPr>
                <w:t>Control of registrant (unaudited)</w:t>
              </w:r>
            </w:hyperlink>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173</w:t>
            </w:r>
          </w:p>
        </w:tc>
        <w:tc>
          <w:tcPr>
            <w:tcW w:w="0" w:type="dxa"/>
            <w:vAlign w:val="bottom"/>
          </w:tcPr>
          <w:p>
            <w:pPr>
              <w:spacing w:after="0"/>
              <w:rPr>
                <w:sz w:val="1"/>
                <w:szCs w:val="1"/>
                <w:color w:val="auto"/>
              </w:rPr>
            </w:pPr>
          </w:p>
        </w:tc>
      </w:tr>
      <w:tr>
        <w:trPr>
          <w:trHeight w:val="27"/>
        </w:trPr>
        <w:tc>
          <w:tcPr>
            <w:tcW w:w="1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040" w:type="dxa"/>
            <w:vAlign w:val="bottom"/>
            <w:shd w:val="clear" w:color="auto" w:fill="009AC8"/>
          </w:tcPr>
          <w:p>
            <w:pPr>
              <w:spacing w:after="0"/>
              <w:rPr>
                <w:sz w:val="2"/>
                <w:szCs w:val="2"/>
                <w:color w:val="auto"/>
              </w:rPr>
            </w:pPr>
          </w:p>
        </w:tc>
        <w:tc>
          <w:tcPr>
            <w:tcW w:w="480" w:type="dxa"/>
            <w:vAlign w:val="bottom"/>
            <w:shd w:val="clear" w:color="auto" w:fill="009AC8"/>
          </w:tcPr>
          <w:p>
            <w:pPr>
              <w:spacing w:after="0"/>
              <w:rPr>
                <w:sz w:val="2"/>
                <w:szCs w:val="2"/>
                <w:color w:val="auto"/>
              </w:rPr>
            </w:pPr>
          </w:p>
        </w:tc>
        <w:tc>
          <w:tcPr>
            <w:tcW w:w="740" w:type="dxa"/>
            <w:vAlign w:val="bottom"/>
            <w:shd w:val="clear" w:color="auto" w:fill="009AC8"/>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ind w:left="3"/>
        <w:spacing w:after="0"/>
        <w:rPr>
          <w:sz w:val="20"/>
          <w:szCs w:val="20"/>
          <w:color w:val="auto"/>
        </w:rPr>
      </w:pPr>
      <w:r>
        <w:rPr>
          <w:rFonts w:ascii="Arial" w:cs="Arial" w:eastAsia="Arial" w:hAnsi="Arial"/>
          <w:sz w:val="36"/>
          <w:szCs w:val="36"/>
          <w:color w:val="auto"/>
        </w:rPr>
        <w:t>Oil and gas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3694430</wp:posOffset>
            </wp:positionH>
            <wp:positionV relativeFrom="paragraph">
              <wp:posOffset>-245110</wp:posOffset>
            </wp:positionV>
            <wp:extent cx="282575" cy="76034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2575" cy="76034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3"/>
        <w:spacing w:after="0"/>
        <w:rPr>
          <w:sz w:val="20"/>
          <w:szCs w:val="20"/>
          <w:color w:val="auto"/>
        </w:rPr>
      </w:pPr>
      <w:r>
        <w:rPr>
          <w:rFonts w:ascii="Arial" w:cs="Arial" w:eastAsia="Arial" w:hAnsi="Arial"/>
          <w:sz w:val="14"/>
          <w:szCs w:val="14"/>
          <w:b w:val="1"/>
          <w:bCs w:val="1"/>
          <w:color w:val="auto"/>
        </w:rPr>
        <w:t>RESERVES</w:t>
      </w:r>
    </w:p>
    <w:p>
      <w:pPr>
        <w:spacing w:after="0" w:line="6" w:lineRule="exact"/>
        <w:rPr>
          <w:sz w:val="20"/>
          <w:szCs w:val="20"/>
          <w:color w:val="auto"/>
        </w:rPr>
      </w:pPr>
    </w:p>
    <w:p>
      <w:pPr>
        <w:ind w:left="3" w:right="40"/>
        <w:spacing w:after="0" w:line="238" w:lineRule="auto"/>
        <w:rPr>
          <w:sz w:val="20"/>
          <w:szCs w:val="20"/>
          <w:color w:val="auto"/>
        </w:rPr>
      </w:pPr>
      <w:r>
        <w:rPr>
          <w:rFonts w:ascii="Arial" w:cs="Arial" w:eastAsia="Arial" w:hAnsi="Arial"/>
          <w:sz w:val="13"/>
          <w:szCs w:val="13"/>
          <w:color w:val="auto"/>
        </w:rPr>
        <w:t>Net quantities (which are unaudited)</w:t>
      </w:r>
      <w:r>
        <w:rPr>
          <w:rFonts w:ascii="Arial" w:cs="Arial" w:eastAsia="Arial" w:hAnsi="Arial"/>
          <w:sz w:val="11"/>
          <w:szCs w:val="11"/>
          <w:b w:val="1"/>
          <w:bCs w:val="1"/>
          <w:color w:val="auto"/>
        </w:rPr>
        <w:t>[A]</w:t>
      </w:r>
      <w:r>
        <w:rPr>
          <w:rFonts w:ascii="Arial" w:cs="Arial" w:eastAsia="Arial" w:hAnsi="Arial"/>
          <w:sz w:val="13"/>
          <w:szCs w:val="13"/>
          <w:color w:val="auto"/>
        </w:rPr>
        <w:t xml:space="preserve"> of proved oil and gas reserves are shown in the tables on pages 164 to 167. Proved reserves are the estimated quantities of crude oil, natural gas and natural gas liquids which geological and engineering data demonstrate with reasonable certainty to be recoverable in future years from known reservoirs under existing economic and operating conditions, i.e. prices and costs as of the date the estimate is made. Proved developed oil and gas reserves are reserves that can be expected to be recovered through existing wells with existing equipment and operating methods. The unaudited reserve volumes reported exclude volumes attributable to oil and gas discoveries that are not at present considered proved. Such volumes will be included when technical, fiscal and other conditions allow them to be economically developed and produced.</w:t>
      </w:r>
    </w:p>
    <w:p>
      <w:pPr>
        <w:spacing w:after="0" w:line="102" w:lineRule="exact"/>
        <w:rPr>
          <w:sz w:val="20"/>
          <w:szCs w:val="20"/>
          <w:color w:val="auto"/>
        </w:rPr>
      </w:pPr>
    </w:p>
    <w:p>
      <w:pPr>
        <w:ind w:left="3" w:right="40"/>
        <w:spacing w:after="0" w:line="243" w:lineRule="auto"/>
        <w:rPr>
          <w:sz w:val="20"/>
          <w:szCs w:val="20"/>
          <w:color w:val="auto"/>
        </w:rPr>
      </w:pPr>
      <w:r>
        <w:rPr>
          <w:rFonts w:ascii="Arial" w:cs="Arial" w:eastAsia="Arial" w:hAnsi="Arial"/>
          <w:sz w:val="13"/>
          <w:szCs w:val="13"/>
          <w:color w:val="auto"/>
        </w:rPr>
        <w:t>Proved reserves are shown net of any quantities of crude oil or natural gas that are expected to be taken by others as royalties in kind but do not exclude quantities related to royalties expected to be paid in cash (except in North America and in other situations in which the royalty quantities are owned by others) or those related to fixed margin contracts. Proved reserves include certain quantities of crude oil or natural gas that will be produced under arrangements that involve Shell subsidiaries in upstream risks and rewards but do not transfer title of the product to those companies.</w:t>
      </w:r>
    </w:p>
    <w:p>
      <w:pPr>
        <w:spacing w:after="0" w:line="86" w:lineRule="exact"/>
        <w:rPr>
          <w:sz w:val="20"/>
          <w:szCs w:val="20"/>
          <w:color w:val="auto"/>
        </w:rPr>
      </w:pPr>
    </w:p>
    <w:p>
      <w:pPr>
        <w:ind w:left="3" w:right="140"/>
        <w:spacing w:after="0" w:line="235" w:lineRule="auto"/>
        <w:rPr>
          <w:sz w:val="20"/>
          <w:szCs w:val="20"/>
          <w:color w:val="auto"/>
        </w:rPr>
      </w:pPr>
      <w:r>
        <w:rPr>
          <w:rFonts w:ascii="Arial" w:cs="Arial" w:eastAsia="Arial" w:hAnsi="Arial"/>
          <w:sz w:val="14"/>
          <w:szCs w:val="14"/>
          <w:color w:val="auto"/>
        </w:rPr>
        <w:t>Oil and gas reserves cannot be measured exactly since estimation of reserves involves subjective judgement. These estimates remain subject to revision and are unaudited supplementary information.</w:t>
      </w:r>
    </w:p>
    <w:p>
      <w:pPr>
        <w:spacing w:after="0" w:line="24" w:lineRule="exact"/>
        <w:rPr>
          <w:sz w:val="20"/>
          <w:szCs w:val="20"/>
          <w:color w:val="auto"/>
        </w:rPr>
      </w:pPr>
    </w:p>
    <w:p>
      <w:pPr>
        <w:ind w:left="223" w:right="60" w:hanging="223"/>
        <w:spacing w:after="0" w:line="242" w:lineRule="auto"/>
        <w:tabs>
          <w:tab w:leader="none" w:pos="223" w:val="left"/>
        </w:tabs>
        <w:numPr>
          <w:ilvl w:val="0"/>
          <w:numId w:val="147"/>
        </w:numPr>
        <w:rPr>
          <w:rFonts w:ascii="Arial" w:cs="Arial" w:eastAsia="Arial" w:hAnsi="Arial"/>
          <w:sz w:val="12"/>
          <w:szCs w:val="12"/>
          <w:color w:val="auto"/>
        </w:rPr>
      </w:pPr>
      <w:r>
        <w:rPr>
          <w:rFonts w:ascii="Arial" w:cs="Arial" w:eastAsia="Arial" w:hAnsi="Arial"/>
          <w:sz w:val="12"/>
          <w:szCs w:val="12"/>
          <w:color w:val="auto"/>
        </w:rPr>
        <w:t>Reserves, reserves volumes and reserves related information and disclosure are referred to as “unaudited” as a means of clarifying that this information is not covered by the audit opinion of the independent registered accounting firm that has audited and reported on the Consolidated Financial Statements or the Parent Company Financial Statements.</w:t>
      </w:r>
    </w:p>
    <w:p>
      <w:pPr>
        <w:spacing w:after="0" w:line="200" w:lineRule="exact"/>
        <w:rPr>
          <w:sz w:val="20"/>
          <w:szCs w:val="20"/>
          <w:color w:val="auto"/>
        </w:rPr>
      </w:pPr>
    </w:p>
    <w:p>
      <w:pPr>
        <w:sectPr>
          <w:pgSz w:w="11900" w:h="16838" w:orient="portrait"/>
          <w:cols w:equalWidth="0" w:num="2">
            <w:col w:w="5020" w:space="237"/>
            <w:col w:w="5023"/>
          </w:cols>
          <w:pgMar w:left="240" w:top="415"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840"/>
        <w:spacing w:after="0"/>
        <w:tabs>
          <w:tab w:leader="none" w:pos="1008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979170</wp:posOffset>
            </wp:positionV>
            <wp:extent cx="7252970" cy="209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80"/>
          </w:cols>
          <w:pgMar w:left="240" w:top="415" w:right="1379" w:bottom="1440" w:gutter="0" w:footer="0" w:header="0"/>
          <w:type w:val="continuous"/>
        </w:sectPr>
      </w:pPr>
    </w:p>
    <w:bookmarkStart w:id="169" w:name="page170"/>
    <w:bookmarkEnd w:id="16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OIL AND GAS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CRUDE OIL AND NATURAL GAS LIQUIDS</w:t>
      </w:r>
    </w:p>
    <w:p>
      <w:pPr>
        <w:spacing w:after="0" w:line="6" w:lineRule="exact"/>
        <w:rPr>
          <w:sz w:val="20"/>
          <w:szCs w:val="20"/>
          <w:color w:val="auto"/>
        </w:rPr>
      </w:pPr>
    </w:p>
    <w:p>
      <w:pPr>
        <w:ind w:right="120"/>
        <w:spacing w:after="0" w:line="234" w:lineRule="auto"/>
        <w:rPr>
          <w:sz w:val="20"/>
          <w:szCs w:val="20"/>
          <w:color w:val="auto"/>
        </w:rPr>
      </w:pPr>
      <w:r>
        <w:rPr>
          <w:rFonts w:ascii="Arial" w:cs="Arial" w:eastAsia="Arial" w:hAnsi="Arial"/>
          <w:sz w:val="14"/>
          <w:szCs w:val="14"/>
          <w:color w:val="auto"/>
        </w:rPr>
        <w:t>Shell subsidiaries’ estimated net proved reserves of crude oil and natural gas liquids at the end of the year, their share of the net proved reserves of equity-accounted investments at the end of the year, and the changes in such reserves during the year are set out below.</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crude oil and natural gas liquids proved developed and undeveloped reserves are discussed below:</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COMPARED TO 2006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subsidiaries</w:t>
      </w:r>
    </w:p>
    <w:p>
      <w:pPr>
        <w:ind w:right="300"/>
        <w:spacing w:after="0" w:line="265" w:lineRule="auto"/>
        <w:rPr>
          <w:sz w:val="20"/>
          <w:szCs w:val="20"/>
          <w:color w:val="auto"/>
        </w:rPr>
      </w:pPr>
      <w:r>
        <w:rPr>
          <w:rFonts w:ascii="Arial" w:cs="Arial" w:eastAsia="Arial" w:hAnsi="Arial"/>
          <w:sz w:val="13"/>
          <w:szCs w:val="13"/>
          <w:b w:val="1"/>
          <w:bCs w:val="1"/>
          <w:color w:val="auto"/>
        </w:rPr>
        <w:t xml:space="preserve">Africa </w:t>
      </w:r>
      <w:r>
        <w:rPr>
          <w:rFonts w:ascii="Arial" w:cs="Arial" w:eastAsia="Arial" w:hAnsi="Arial"/>
          <w:sz w:val="13"/>
          <w:szCs w:val="13"/>
          <w:color w:val="auto"/>
        </w:rPr>
        <w:t>The downward revision of 132 million barrels in revisions and reclassifications was primarily related to the deferral of projects as result of a reduced funding level imposed by joint venture</w:t>
      </w:r>
      <w:r>
        <w:rPr>
          <w:rFonts w:ascii="Arial" w:cs="Arial" w:eastAsia="Arial" w:hAnsi="Arial"/>
          <w:sz w:val="13"/>
          <w:szCs w:val="13"/>
          <w:b w:val="1"/>
          <w:bCs w:val="1"/>
          <w:color w:val="auto"/>
        </w:rPr>
        <w:t xml:space="preserve"> </w:t>
      </w:r>
      <w:r>
        <w:rPr>
          <w:rFonts w:ascii="Arial" w:cs="Arial" w:eastAsia="Arial" w:hAnsi="Arial"/>
          <w:sz w:val="13"/>
          <w:szCs w:val="13"/>
          <w:color w:val="auto"/>
        </w:rPr>
        <w:t>partners, the security situation and re-evaluations in a number of fields following the acquisition of new performance data, partly offset by better performance in deep-water fields.</w:t>
      </w:r>
    </w:p>
    <w:p>
      <w:pPr>
        <w:spacing w:after="0" w:line="53" w:lineRule="exact"/>
        <w:rPr>
          <w:sz w:val="20"/>
          <w:szCs w:val="20"/>
          <w:color w:val="auto"/>
        </w:rPr>
      </w:pPr>
    </w:p>
    <w:p>
      <w:pPr>
        <w:ind w:right="300"/>
        <w:spacing w:after="0" w:line="253"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increase of 66 million barrels in extensions and discoveries was primarily related to the extension of proved area as result of development drilling in Kashagan. The</w:t>
      </w:r>
      <w:r>
        <w:rPr>
          <w:rFonts w:ascii="Arial" w:cs="Arial" w:eastAsia="Arial" w:hAnsi="Arial"/>
          <w:sz w:val="14"/>
          <w:szCs w:val="14"/>
          <w:b w:val="1"/>
          <w:bCs w:val="1"/>
          <w:color w:val="auto"/>
        </w:rPr>
        <w:t xml:space="preserve"> </w:t>
      </w:r>
      <w:r>
        <w:rPr>
          <w:rFonts w:ascii="Arial" w:cs="Arial" w:eastAsia="Arial" w:hAnsi="Arial"/>
          <w:sz w:val="14"/>
          <w:szCs w:val="14"/>
          <w:color w:val="auto"/>
        </w:rPr>
        <w:t>decrease of 189 million barrels in sales of minerals in place was related to the reduction of Shell’s interest in the Sakhalin II project.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share of equity-accounted investments</w:t>
      </w:r>
    </w:p>
    <w:p>
      <w:pPr>
        <w:spacing w:after="0" w:line="6" w:lineRule="exact"/>
        <w:rPr>
          <w:sz w:val="20"/>
          <w:szCs w:val="20"/>
          <w:color w:val="auto"/>
        </w:rPr>
      </w:pPr>
    </w:p>
    <w:p>
      <w:pPr>
        <w:spacing w:after="0" w:line="229"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upward revision of 103 million barrels in revisions and reclassifications was primarily related to the change in reporting of Sakhalin II volumes from subsidiary to an</w:t>
      </w:r>
      <w:r>
        <w:rPr>
          <w:rFonts w:ascii="Arial" w:cs="Arial" w:eastAsia="Arial" w:hAnsi="Arial"/>
          <w:sz w:val="14"/>
          <w:szCs w:val="14"/>
          <w:b w:val="1"/>
          <w:bCs w:val="1"/>
          <w:color w:val="auto"/>
        </w:rPr>
        <w:t xml:space="preserve"> </w:t>
      </w:r>
      <w:r>
        <w:rPr>
          <w:rFonts w:ascii="Arial" w:cs="Arial" w:eastAsia="Arial" w:hAnsi="Arial"/>
          <w:sz w:val="14"/>
          <w:szCs w:val="14"/>
          <w:color w:val="auto"/>
        </w:rPr>
        <w:t>equity-accounted investment. The upward revision of 65 million barrels in extensions and discoveries is primarily related to the maturation of the LNG project in Qatar following signing of the sale and purchase agreement.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4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PROVED DEVELOPED AND UNDEVELOPED RESERVES</w:t>
            </w:r>
          </w:p>
        </w:tc>
        <w:tc>
          <w:tcPr>
            <w:tcW w:w="1140" w:type="dxa"/>
            <w:vAlign w:val="bottom"/>
            <w:shd w:val="clear" w:color="auto" w:fill="009AC8"/>
          </w:tcPr>
          <w:p>
            <w:pPr>
              <w:spacing w:after="0"/>
              <w:rPr>
                <w:sz w:val="12"/>
                <w:szCs w:val="12"/>
                <w:color w:val="auto"/>
              </w:rPr>
            </w:pPr>
          </w:p>
        </w:tc>
        <w:tc>
          <w:tcPr>
            <w:tcW w:w="1200" w:type="dxa"/>
            <w:vAlign w:val="bottom"/>
            <w:shd w:val="clear" w:color="auto" w:fill="009AC8"/>
          </w:tcPr>
          <w:p>
            <w:pPr>
              <w:spacing w:after="0"/>
              <w:rPr>
                <w:sz w:val="12"/>
                <w:szCs w:val="12"/>
                <w:color w:val="auto"/>
              </w:rPr>
            </w:pPr>
          </w:p>
        </w:tc>
        <w:tc>
          <w:tcPr>
            <w:tcW w:w="1020" w:type="dxa"/>
            <w:vAlign w:val="bottom"/>
            <w:shd w:val="clear" w:color="auto" w:fill="009AC8"/>
          </w:tcPr>
          <w:p>
            <w:pPr>
              <w:spacing w:after="0"/>
              <w:rPr>
                <w:sz w:val="12"/>
                <w:szCs w:val="12"/>
                <w:color w:val="auto"/>
              </w:rPr>
            </w:pPr>
          </w:p>
        </w:tc>
        <w:tc>
          <w:tcPr>
            <w:tcW w:w="1400" w:type="dxa"/>
            <w:vAlign w:val="bottom"/>
            <w:shd w:val="clear" w:color="auto" w:fill="009AC8"/>
          </w:tcPr>
          <w:p>
            <w:pPr>
              <w:spacing w:after="0"/>
              <w:rPr>
                <w:sz w:val="12"/>
                <w:szCs w:val="12"/>
                <w:color w:val="auto"/>
              </w:rPr>
            </w:pPr>
          </w:p>
        </w:tc>
        <w:tc>
          <w:tcPr>
            <w:tcW w:w="800" w:type="dxa"/>
            <w:vAlign w:val="bottom"/>
            <w:shd w:val="clear" w:color="auto" w:fill="009AC8"/>
          </w:tcPr>
          <w:p>
            <w:pPr>
              <w:spacing w:after="0"/>
              <w:rPr>
                <w:sz w:val="12"/>
                <w:szCs w:val="12"/>
                <w:color w:val="auto"/>
              </w:rPr>
            </w:pPr>
          </w:p>
        </w:tc>
        <w:tc>
          <w:tcPr>
            <w:tcW w:w="1340" w:type="dxa"/>
            <w:vAlign w:val="bottom"/>
            <w:shd w:val="clear" w:color="auto" w:fill="009AC8"/>
          </w:tcPr>
          <w:p>
            <w:pPr>
              <w:jc w:val="right"/>
              <w:ind w:right="18"/>
              <w:spacing w:after="0"/>
              <w:rPr>
                <w:sz w:val="20"/>
                <w:szCs w:val="20"/>
                <w:color w:val="auto"/>
              </w:rPr>
            </w:pPr>
            <w:r>
              <w:rPr>
                <w:rFonts w:ascii="Arial" w:cs="Arial" w:eastAsia="Arial" w:hAnsi="Arial"/>
                <w:sz w:val="12"/>
                <w:szCs w:val="12"/>
                <w:b w:val="1"/>
                <w:bCs w:val="1"/>
                <w:color w:val="FFFFFF"/>
              </w:rPr>
              <w:t>million barrels 2007</w:t>
            </w:r>
          </w:p>
        </w:tc>
        <w:tc>
          <w:tcPr>
            <w:tcW w:w="980" w:type="dxa"/>
            <w:vAlign w:val="bottom"/>
            <w:shd w:val="clear" w:color="auto" w:fill="009AC8"/>
          </w:tcPr>
          <w:p>
            <w:pPr>
              <w:spacing w:after="0"/>
              <w:rPr>
                <w:sz w:val="12"/>
                <w:szCs w:val="12"/>
                <w:color w:val="auto"/>
              </w:rPr>
            </w:pPr>
          </w:p>
        </w:tc>
      </w:tr>
      <w:tr>
        <w:trPr>
          <w:trHeight w:val="141"/>
        </w:trPr>
        <w:tc>
          <w:tcPr>
            <w:tcW w:w="3540" w:type="dxa"/>
            <w:vAlign w:val="bottom"/>
            <w:shd w:val="clear" w:color="auto" w:fill="CECAC6"/>
          </w:tcPr>
          <w:p>
            <w:pPr>
              <w:spacing w:after="0"/>
              <w:rPr>
                <w:sz w:val="12"/>
                <w:szCs w:val="12"/>
                <w:color w:val="auto"/>
              </w:rPr>
            </w:pPr>
          </w:p>
        </w:tc>
        <w:tc>
          <w:tcPr>
            <w:tcW w:w="114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2420" w:type="dxa"/>
            <w:vAlign w:val="bottom"/>
            <w:gridSpan w:val="2"/>
            <w:shd w:val="clear" w:color="auto" w:fill="CECAC6"/>
          </w:tcPr>
          <w:p>
            <w:pPr>
              <w:jc w:val="right"/>
              <w:ind w:right="498"/>
              <w:spacing w:after="0"/>
              <w:rPr>
                <w:sz w:val="20"/>
                <w:szCs w:val="20"/>
                <w:color w:val="auto"/>
              </w:rPr>
            </w:pPr>
            <w:r>
              <w:rPr>
                <w:rFonts w:ascii="Arial" w:cs="Arial" w:eastAsia="Arial" w:hAnsi="Arial"/>
                <w:sz w:val="12"/>
                <w:szCs w:val="12"/>
                <w:color w:val="auto"/>
              </w:rPr>
              <w:t>Eastern Hemisphere</w:t>
            </w:r>
          </w:p>
        </w:tc>
        <w:tc>
          <w:tcPr>
            <w:tcW w:w="2140" w:type="dxa"/>
            <w:vAlign w:val="bottom"/>
            <w:gridSpan w:val="2"/>
            <w:shd w:val="clear" w:color="auto" w:fill="CECAC6"/>
          </w:tcPr>
          <w:p>
            <w:pPr>
              <w:jc w:val="right"/>
              <w:ind w:right="418"/>
              <w:spacing w:after="0"/>
              <w:rPr>
                <w:sz w:val="20"/>
                <w:szCs w:val="20"/>
                <w:color w:val="auto"/>
              </w:rPr>
            </w:pPr>
            <w:r>
              <w:rPr>
                <w:rFonts w:ascii="Arial" w:cs="Arial" w:eastAsia="Arial" w:hAnsi="Arial"/>
                <w:sz w:val="12"/>
                <w:szCs w:val="12"/>
                <w:color w:val="auto"/>
              </w:rPr>
              <w:t>Western Hemisphere</w:t>
            </w:r>
          </w:p>
        </w:tc>
        <w:tc>
          <w:tcPr>
            <w:tcW w:w="980" w:type="dxa"/>
            <w:vAlign w:val="bottom"/>
            <w:shd w:val="clear" w:color="auto" w:fill="CECAC6"/>
          </w:tcPr>
          <w:p>
            <w:pPr>
              <w:spacing w:after="0"/>
              <w:rPr>
                <w:sz w:val="12"/>
                <w:szCs w:val="12"/>
                <w:color w:val="auto"/>
              </w:rPr>
            </w:pPr>
          </w:p>
        </w:tc>
      </w:tr>
      <w:tr>
        <w:trPr>
          <w:trHeight w:val="119"/>
        </w:trPr>
        <w:tc>
          <w:tcPr>
            <w:tcW w:w="3540" w:type="dxa"/>
            <w:vAlign w:val="bottom"/>
            <w:shd w:val="clear" w:color="auto" w:fill="CECAC6"/>
          </w:tcPr>
          <w:p>
            <w:pPr>
              <w:spacing w:after="0"/>
              <w:rPr>
                <w:sz w:val="10"/>
                <w:szCs w:val="10"/>
                <w:color w:val="auto"/>
              </w:rPr>
            </w:pPr>
          </w:p>
        </w:tc>
        <w:tc>
          <w:tcPr>
            <w:tcW w:w="1140" w:type="dxa"/>
            <w:vAlign w:val="bottom"/>
            <w:shd w:val="clear" w:color="auto" w:fill="CECAC6"/>
          </w:tcPr>
          <w:p>
            <w:pPr>
              <w:spacing w:after="0"/>
              <w:rPr>
                <w:sz w:val="10"/>
                <w:szCs w:val="10"/>
                <w:color w:val="auto"/>
              </w:rPr>
            </w:pPr>
          </w:p>
        </w:tc>
        <w:tc>
          <w:tcPr>
            <w:tcW w:w="1200" w:type="dxa"/>
            <w:vAlign w:val="bottom"/>
            <w:shd w:val="clear" w:color="auto" w:fill="CECAC6"/>
          </w:tcPr>
          <w:p>
            <w:pPr>
              <w:spacing w:after="0"/>
              <w:rPr>
                <w:sz w:val="10"/>
                <w:szCs w:val="10"/>
                <w:color w:val="auto"/>
              </w:rPr>
            </w:pPr>
          </w:p>
        </w:tc>
        <w:tc>
          <w:tcPr>
            <w:tcW w:w="1020" w:type="dxa"/>
            <w:vAlign w:val="bottom"/>
            <w:shd w:val="clear" w:color="auto" w:fill="CECAC6"/>
          </w:tcPr>
          <w:p>
            <w:pPr>
              <w:jc w:val="right"/>
              <w:ind w:right="278"/>
              <w:spacing w:after="0" w:line="120" w:lineRule="exact"/>
              <w:rPr>
                <w:sz w:val="20"/>
                <w:szCs w:val="20"/>
                <w:color w:val="auto"/>
              </w:rPr>
            </w:pPr>
            <w:r>
              <w:rPr>
                <w:rFonts w:ascii="Arial" w:cs="Arial" w:eastAsia="Arial" w:hAnsi="Arial"/>
                <w:sz w:val="12"/>
                <w:szCs w:val="12"/>
                <w:color w:val="auto"/>
              </w:rPr>
              <w:t>Asia</w:t>
            </w:r>
          </w:p>
        </w:tc>
        <w:tc>
          <w:tcPr>
            <w:tcW w:w="1400" w:type="dxa"/>
            <w:vAlign w:val="bottom"/>
            <w:shd w:val="clear" w:color="auto" w:fill="CECAC6"/>
          </w:tcPr>
          <w:p>
            <w:pPr>
              <w:jc w:val="right"/>
              <w:ind w:right="498"/>
              <w:spacing w:after="0" w:line="120" w:lineRule="exact"/>
              <w:rPr>
                <w:sz w:val="20"/>
                <w:szCs w:val="20"/>
                <w:color w:val="auto"/>
              </w:rPr>
            </w:pPr>
            <w:r>
              <w:rPr>
                <w:rFonts w:ascii="Arial" w:cs="Arial" w:eastAsia="Arial" w:hAnsi="Arial"/>
                <w:sz w:val="12"/>
                <w:szCs w:val="12"/>
                <w:color w:val="auto"/>
              </w:rPr>
              <w:t>Middle East</w:t>
            </w:r>
          </w:p>
        </w:tc>
        <w:tc>
          <w:tcPr>
            <w:tcW w:w="800" w:type="dxa"/>
            <w:vAlign w:val="bottom"/>
            <w:shd w:val="clear" w:color="auto" w:fill="CECAC6"/>
          </w:tcPr>
          <w:p>
            <w:pPr>
              <w:spacing w:after="0"/>
              <w:rPr>
                <w:sz w:val="10"/>
                <w:szCs w:val="10"/>
                <w:color w:val="auto"/>
              </w:rPr>
            </w:pPr>
          </w:p>
        </w:tc>
        <w:tc>
          <w:tcPr>
            <w:tcW w:w="1340" w:type="dxa"/>
            <w:vAlign w:val="bottom"/>
            <w:shd w:val="clear" w:color="auto" w:fill="CECAC6"/>
          </w:tcPr>
          <w:p>
            <w:pPr>
              <w:spacing w:after="0"/>
              <w:rPr>
                <w:sz w:val="10"/>
                <w:szCs w:val="10"/>
                <w:color w:val="auto"/>
              </w:rPr>
            </w:pPr>
          </w:p>
        </w:tc>
        <w:tc>
          <w:tcPr>
            <w:tcW w:w="980" w:type="dxa"/>
            <w:vAlign w:val="bottom"/>
            <w:shd w:val="clear" w:color="auto" w:fill="CECAC6"/>
          </w:tcPr>
          <w:p>
            <w:pPr>
              <w:spacing w:after="0"/>
              <w:rPr>
                <w:sz w:val="10"/>
                <w:szCs w:val="10"/>
                <w:color w:val="auto"/>
              </w:rPr>
            </w:pPr>
          </w:p>
        </w:tc>
      </w:tr>
      <w:tr>
        <w:trPr>
          <w:trHeight w:val="153"/>
        </w:trPr>
        <w:tc>
          <w:tcPr>
            <w:tcW w:w="3540" w:type="dxa"/>
            <w:vAlign w:val="bottom"/>
            <w:shd w:val="clear" w:color="auto" w:fill="CECAC6"/>
          </w:tcPr>
          <w:p>
            <w:pPr>
              <w:spacing w:after="0"/>
              <w:rPr>
                <w:sz w:val="13"/>
                <w:szCs w:val="13"/>
                <w:color w:val="auto"/>
              </w:rPr>
            </w:pPr>
          </w:p>
        </w:tc>
        <w:tc>
          <w:tcPr>
            <w:tcW w:w="114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Europe</w:t>
            </w:r>
          </w:p>
        </w:tc>
        <w:tc>
          <w:tcPr>
            <w:tcW w:w="120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10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40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80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USA</w:t>
            </w:r>
          </w:p>
        </w:tc>
        <w:tc>
          <w:tcPr>
            <w:tcW w:w="1340" w:type="dxa"/>
            <w:vAlign w:val="bottom"/>
            <w:shd w:val="clear" w:color="auto" w:fill="CECAC6"/>
          </w:tcPr>
          <w:p>
            <w:pPr>
              <w:jc w:val="right"/>
              <w:ind w:right="418"/>
              <w:spacing w:after="0"/>
              <w:rPr>
                <w:sz w:val="20"/>
                <w:szCs w:val="20"/>
                <w:color w:val="auto"/>
              </w:rPr>
            </w:pPr>
            <w:r>
              <w:rPr>
                <w:rFonts w:ascii="Arial" w:cs="Arial" w:eastAsia="Arial" w:hAnsi="Arial"/>
                <w:sz w:val="12"/>
                <w:szCs w:val="12"/>
                <w:color w:val="auto"/>
              </w:rPr>
              <w:t>Other</w:t>
            </w:r>
          </w:p>
        </w:tc>
        <w:tc>
          <w:tcPr>
            <w:tcW w:w="980" w:type="dxa"/>
            <w:vAlign w:val="bottom"/>
            <w:shd w:val="clear" w:color="auto" w:fill="CECAC6"/>
          </w:tcPr>
          <w:p>
            <w:pPr>
              <w:jc w:val="right"/>
              <w:ind w:right="558"/>
              <w:spacing w:after="0"/>
              <w:rPr>
                <w:sz w:val="20"/>
                <w:szCs w:val="20"/>
                <w:color w:val="auto"/>
              </w:rPr>
            </w:pPr>
            <w:r>
              <w:rPr>
                <w:rFonts w:ascii="Arial" w:cs="Arial" w:eastAsia="Arial" w:hAnsi="Arial"/>
                <w:sz w:val="12"/>
                <w:szCs w:val="12"/>
                <w:color w:val="auto"/>
              </w:rPr>
              <w:t>Total</w:t>
            </w:r>
          </w:p>
        </w:tc>
      </w:tr>
      <w:tr>
        <w:trPr>
          <w:trHeight w:val="113"/>
        </w:trPr>
        <w:tc>
          <w:tcPr>
            <w:tcW w:w="354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w:t>
            </w: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rPr>
                <w:sz w:val="20"/>
                <w:szCs w:val="20"/>
                <w:color w:val="auto"/>
              </w:rPr>
            </w:pPr>
            <w:r>
              <w:rPr>
                <w:rFonts w:ascii="Arial" w:cs="Arial" w:eastAsia="Arial" w:hAnsi="Arial"/>
                <w:sz w:val="12"/>
                <w:szCs w:val="12"/>
                <w:color w:val="auto"/>
              </w:rPr>
              <w:t>711</w:t>
            </w:r>
          </w:p>
        </w:tc>
        <w:tc>
          <w:tcPr>
            <w:tcW w:w="1200" w:type="dxa"/>
            <w:vAlign w:val="bottom"/>
          </w:tcPr>
          <w:p>
            <w:pPr>
              <w:jc w:val="right"/>
              <w:ind w:right="438"/>
              <w:spacing w:after="0"/>
              <w:rPr>
                <w:sz w:val="20"/>
                <w:szCs w:val="20"/>
                <w:color w:val="auto"/>
              </w:rPr>
            </w:pPr>
            <w:r>
              <w:rPr>
                <w:rFonts w:ascii="Arial" w:cs="Arial" w:eastAsia="Arial" w:hAnsi="Arial"/>
                <w:sz w:val="12"/>
                <w:szCs w:val="12"/>
                <w:color w:val="auto"/>
              </w:rPr>
              <w:t>775</w:t>
            </w:r>
          </w:p>
        </w:tc>
        <w:tc>
          <w:tcPr>
            <w:tcW w:w="1020" w:type="dxa"/>
            <w:vAlign w:val="bottom"/>
          </w:tcPr>
          <w:p>
            <w:pPr>
              <w:jc w:val="right"/>
              <w:ind w:right="278"/>
              <w:spacing w:after="0"/>
              <w:rPr>
                <w:sz w:val="20"/>
                <w:szCs w:val="20"/>
                <w:color w:val="auto"/>
              </w:rPr>
            </w:pPr>
            <w:r>
              <w:rPr>
                <w:rFonts w:ascii="Arial" w:cs="Arial" w:eastAsia="Arial" w:hAnsi="Arial"/>
                <w:sz w:val="12"/>
                <w:szCs w:val="12"/>
                <w:color w:val="auto"/>
              </w:rPr>
              <w:t>156</w:t>
            </w:r>
          </w:p>
        </w:tc>
        <w:tc>
          <w:tcPr>
            <w:tcW w:w="1400" w:type="dxa"/>
            <w:vAlign w:val="bottom"/>
          </w:tcPr>
          <w:p>
            <w:pPr>
              <w:jc w:val="right"/>
              <w:ind w:right="498"/>
              <w:spacing w:after="0"/>
              <w:rPr>
                <w:sz w:val="20"/>
                <w:szCs w:val="20"/>
                <w:color w:val="auto"/>
              </w:rPr>
            </w:pPr>
            <w:r>
              <w:rPr>
                <w:rFonts w:ascii="Arial" w:cs="Arial" w:eastAsia="Arial" w:hAnsi="Arial"/>
                <w:sz w:val="12"/>
                <w:szCs w:val="12"/>
                <w:color w:val="auto"/>
              </w:rPr>
              <w:t>1,082</w:t>
            </w: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398</w:t>
            </w:r>
          </w:p>
        </w:tc>
        <w:tc>
          <w:tcPr>
            <w:tcW w:w="1340" w:type="dxa"/>
            <w:vAlign w:val="bottom"/>
          </w:tcPr>
          <w:p>
            <w:pPr>
              <w:jc w:val="right"/>
              <w:ind w:right="418"/>
              <w:spacing w:after="0"/>
              <w:rPr>
                <w:sz w:val="20"/>
                <w:szCs w:val="20"/>
                <w:color w:val="auto"/>
              </w:rPr>
            </w:pPr>
            <w:r>
              <w:rPr>
                <w:rFonts w:ascii="Arial" w:cs="Arial" w:eastAsia="Arial" w:hAnsi="Arial"/>
                <w:sz w:val="12"/>
                <w:szCs w:val="12"/>
                <w:color w:val="auto"/>
              </w:rPr>
              <w:t>148</w:t>
            </w:r>
          </w:p>
        </w:tc>
        <w:tc>
          <w:tcPr>
            <w:tcW w:w="980" w:type="dxa"/>
            <w:vAlign w:val="bottom"/>
          </w:tcPr>
          <w:p>
            <w:pPr>
              <w:jc w:val="right"/>
              <w:ind w:right="518"/>
              <w:spacing w:after="0"/>
              <w:rPr>
                <w:sz w:val="20"/>
                <w:szCs w:val="20"/>
                <w:color w:val="auto"/>
              </w:rPr>
            </w:pPr>
            <w:r>
              <w:rPr>
                <w:rFonts w:ascii="Arial" w:cs="Arial" w:eastAsia="Arial" w:hAnsi="Arial"/>
                <w:sz w:val="12"/>
                <w:szCs w:val="12"/>
                <w:color w:val="auto"/>
              </w:rPr>
              <w:t>3,270</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42</w:t>
            </w:r>
          </w:p>
        </w:tc>
        <w:tc>
          <w:tcPr>
            <w:tcW w:w="12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(132)</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20</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33</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51</w:t>
            </w:r>
          </w:p>
        </w:tc>
        <w:tc>
          <w:tcPr>
            <w:tcW w:w="13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(10)</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4</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Improved recovery</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32</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1</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33</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Extensions and discoveries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29</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13</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21</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66</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13</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16</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158</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Purchases of minerals in place</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Sales of minerals in place</w:t>
            </w:r>
          </w:p>
        </w:tc>
        <w:tc>
          <w:tcPr>
            <w:tcW w:w="11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(15)</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(189)</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(204)</w:t>
            </w:r>
          </w:p>
        </w:tc>
      </w:tr>
      <w:tr>
        <w:trPr>
          <w:trHeight w:val="139"/>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Production</w:t>
            </w: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(152)</w:t>
            </w:r>
          </w:p>
        </w:tc>
        <w:tc>
          <w:tcPr>
            <w:tcW w:w="120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(121)</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(39)</w:t>
            </w: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(85)</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(87)</w:t>
            </w:r>
          </w:p>
        </w:tc>
        <w:tc>
          <w:tcPr>
            <w:tcW w:w="13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(26)</w:t>
            </w: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(510)</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615</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567</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158</w:t>
            </w: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908</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375</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128</w:t>
            </w: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2,751</w:t>
            </w:r>
          </w:p>
        </w:tc>
      </w:tr>
      <w:tr>
        <w:trPr>
          <w:trHeight w:val="120"/>
        </w:trPr>
        <w:tc>
          <w:tcPr>
            <w:tcW w:w="3540" w:type="dxa"/>
            <w:vAlign w:val="bottom"/>
          </w:tcPr>
          <w:p>
            <w:pPr>
              <w:spacing w:after="0" w:line="120" w:lineRule="exact"/>
              <w:rPr>
                <w:sz w:val="20"/>
                <w:szCs w:val="20"/>
                <w:color w:val="auto"/>
              </w:rPr>
            </w:pPr>
            <w:r>
              <w:rPr>
                <w:rFonts w:ascii="Arial" w:cs="Arial" w:eastAsia="Arial" w:hAnsi="Arial"/>
                <w:sz w:val="12"/>
                <w:szCs w:val="12"/>
                <w:b w:val="1"/>
                <w:bCs w:val="1"/>
                <w:color w:val="auto"/>
              </w:rPr>
              <w:t>Shell share of equity-accounted investments</w:t>
            </w:r>
          </w:p>
        </w:tc>
        <w:tc>
          <w:tcPr>
            <w:tcW w:w="1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rPr>
                <w:sz w:val="20"/>
                <w:szCs w:val="20"/>
                <w:color w:val="auto"/>
              </w:rPr>
            </w:pPr>
            <w:r>
              <w:rPr>
                <w:rFonts w:ascii="Arial" w:cs="Arial" w:eastAsia="Arial" w:hAnsi="Arial"/>
                <w:sz w:val="12"/>
                <w:szCs w:val="12"/>
                <w:color w:val="auto"/>
              </w:rPr>
              <w:t>12</w:t>
            </w:r>
          </w:p>
        </w:tc>
        <w:tc>
          <w:tcPr>
            <w:tcW w:w="1200" w:type="dxa"/>
            <w:vAlign w:val="bottom"/>
          </w:tcPr>
          <w:p>
            <w:pPr>
              <w:jc w:val="right"/>
              <w:ind w:right="43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rPr>
                <w:sz w:val="20"/>
                <w:szCs w:val="20"/>
                <w:color w:val="auto"/>
              </w:rPr>
            </w:pPr>
            <w:r>
              <w:rPr>
                <w:rFonts w:ascii="Arial" w:cs="Arial" w:eastAsia="Arial" w:hAnsi="Arial"/>
                <w:sz w:val="12"/>
                <w:szCs w:val="12"/>
                <w:color w:val="auto"/>
              </w:rPr>
              <w:t>183</w:t>
            </w:r>
          </w:p>
        </w:tc>
        <w:tc>
          <w:tcPr>
            <w:tcW w:w="1400" w:type="dxa"/>
            <w:vAlign w:val="bottom"/>
          </w:tcPr>
          <w:p>
            <w:pPr>
              <w:jc w:val="right"/>
              <w:ind w:right="498"/>
              <w:spacing w:after="0"/>
              <w:rPr>
                <w:sz w:val="20"/>
                <w:szCs w:val="20"/>
                <w:color w:val="auto"/>
              </w:rPr>
            </w:pPr>
            <w:r>
              <w:rPr>
                <w:rFonts w:ascii="Arial" w:cs="Arial" w:eastAsia="Arial" w:hAnsi="Arial"/>
                <w:sz w:val="12"/>
                <w:szCs w:val="12"/>
                <w:color w:val="auto"/>
              </w:rPr>
              <w:t>387</w:t>
            </w:r>
          </w:p>
        </w:tc>
        <w:tc>
          <w:tcPr>
            <w:tcW w:w="800" w:type="dxa"/>
            <w:vAlign w:val="bottom"/>
          </w:tcPr>
          <w:p>
            <w:pPr>
              <w:jc w:val="right"/>
              <w:ind w:right="78"/>
              <w:spacing w:after="0"/>
              <w:rPr>
                <w:sz w:val="20"/>
                <w:szCs w:val="20"/>
                <w:color w:val="auto"/>
              </w:rPr>
            </w:pPr>
            <w:r>
              <w:rPr>
                <w:rFonts w:ascii="Arial" w:cs="Arial" w:eastAsia="Arial" w:hAnsi="Arial"/>
                <w:sz w:val="12"/>
                <w:szCs w:val="12"/>
                <w:color w:val="auto"/>
              </w:rPr>
              <w:t>312</w:t>
            </w:r>
          </w:p>
        </w:tc>
        <w:tc>
          <w:tcPr>
            <w:tcW w:w="1340" w:type="dxa"/>
            <w:vAlign w:val="bottom"/>
          </w:tcPr>
          <w:p>
            <w:pPr>
              <w:jc w:val="right"/>
              <w:ind w:right="418"/>
              <w:spacing w:after="0"/>
              <w:rPr>
                <w:sz w:val="20"/>
                <w:szCs w:val="20"/>
                <w:color w:val="auto"/>
              </w:rPr>
            </w:pPr>
            <w:r>
              <w:rPr>
                <w:rFonts w:ascii="Arial" w:cs="Arial" w:eastAsia="Arial" w:hAnsi="Arial"/>
                <w:sz w:val="12"/>
                <w:szCs w:val="12"/>
                <w:color w:val="auto"/>
              </w:rPr>
              <w:t>33</w:t>
            </w:r>
          </w:p>
        </w:tc>
        <w:tc>
          <w:tcPr>
            <w:tcW w:w="980" w:type="dxa"/>
            <w:vAlign w:val="bottom"/>
          </w:tcPr>
          <w:p>
            <w:pPr>
              <w:jc w:val="right"/>
              <w:ind w:right="518"/>
              <w:spacing w:after="0"/>
              <w:rPr>
                <w:sz w:val="20"/>
                <w:szCs w:val="20"/>
                <w:color w:val="auto"/>
              </w:rPr>
            </w:pPr>
            <w:r>
              <w:rPr>
                <w:rFonts w:ascii="Arial" w:cs="Arial" w:eastAsia="Arial" w:hAnsi="Arial"/>
                <w:sz w:val="12"/>
                <w:szCs w:val="12"/>
                <w:color w:val="auto"/>
              </w:rPr>
              <w:t>927</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11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49</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103</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9</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160</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Improved recovery</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18</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8</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26</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Extensions and discoveries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65</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67</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Purchases of minerals in place</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Sales of minerals in place</w:t>
            </w:r>
          </w:p>
        </w:tc>
        <w:tc>
          <w:tcPr>
            <w:tcW w:w="11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98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(2)</w:t>
            </w:r>
          </w:p>
        </w:tc>
      </w:tr>
      <w:tr>
        <w:trPr>
          <w:trHeight w:val="139"/>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Production</w:t>
            </w: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(44)</w:t>
            </w:r>
          </w:p>
        </w:tc>
        <w:tc>
          <w:tcPr>
            <w:tcW w:w="140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(73)</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w:t>
            </w:r>
          </w:p>
        </w:tc>
        <w:tc>
          <w:tcPr>
            <w:tcW w:w="13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w:t>
            </w:r>
          </w:p>
        </w:tc>
        <w:tc>
          <w:tcPr>
            <w:tcW w:w="98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(153)</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26</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190</w:t>
            </w: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482</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297</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30</w:t>
            </w: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1,025</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Minority interests’ share of subsidiaries</w:t>
            </w:r>
          </w:p>
        </w:tc>
        <w:tc>
          <w:tcPr>
            <w:tcW w:w="1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r>
      <w:tr>
        <w:trPr>
          <w:trHeight w:val="146"/>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12</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w:t>
            </w: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13</w:t>
            </w:r>
          </w:p>
        </w:tc>
      </w:tr>
      <w:tr>
        <w:trPr>
          <w:trHeight w:val="266"/>
        </w:trPr>
        <w:tc>
          <w:tcPr>
            <w:tcW w:w="3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33"/>
        </w:trPr>
        <w:tc>
          <w:tcPr>
            <w:tcW w:w="3540" w:type="dxa"/>
            <w:vAlign w:val="bottom"/>
            <w:shd w:val="clear" w:color="auto" w:fill="009AC8"/>
          </w:tcPr>
          <w:p>
            <w:pPr>
              <w:spacing w:after="0" w:line="133" w:lineRule="exact"/>
              <w:rPr>
                <w:sz w:val="20"/>
                <w:szCs w:val="20"/>
                <w:color w:val="auto"/>
              </w:rPr>
            </w:pPr>
            <w:r>
              <w:rPr>
                <w:rFonts w:ascii="Arial" w:cs="Arial" w:eastAsia="Arial" w:hAnsi="Arial"/>
                <w:sz w:val="12"/>
                <w:szCs w:val="12"/>
                <w:b w:val="1"/>
                <w:bCs w:val="1"/>
                <w:color w:val="FFFFFF"/>
              </w:rPr>
              <w:t>PROVED DEVELOPED RESERVES</w:t>
            </w:r>
          </w:p>
        </w:tc>
        <w:tc>
          <w:tcPr>
            <w:tcW w:w="1140" w:type="dxa"/>
            <w:vAlign w:val="bottom"/>
            <w:shd w:val="clear" w:color="auto" w:fill="009AC8"/>
          </w:tcPr>
          <w:p>
            <w:pPr>
              <w:spacing w:after="0"/>
              <w:rPr>
                <w:sz w:val="11"/>
                <w:szCs w:val="11"/>
                <w:color w:val="auto"/>
              </w:rPr>
            </w:pPr>
          </w:p>
        </w:tc>
        <w:tc>
          <w:tcPr>
            <w:tcW w:w="1200" w:type="dxa"/>
            <w:vAlign w:val="bottom"/>
            <w:shd w:val="clear" w:color="auto" w:fill="009AC8"/>
          </w:tcPr>
          <w:p>
            <w:pPr>
              <w:spacing w:after="0"/>
              <w:rPr>
                <w:sz w:val="11"/>
                <w:szCs w:val="11"/>
                <w:color w:val="auto"/>
              </w:rPr>
            </w:pPr>
          </w:p>
        </w:tc>
        <w:tc>
          <w:tcPr>
            <w:tcW w:w="1020" w:type="dxa"/>
            <w:vAlign w:val="bottom"/>
            <w:shd w:val="clear" w:color="auto" w:fill="009AC8"/>
          </w:tcPr>
          <w:p>
            <w:pPr>
              <w:spacing w:after="0"/>
              <w:rPr>
                <w:sz w:val="11"/>
                <w:szCs w:val="11"/>
                <w:color w:val="auto"/>
              </w:rPr>
            </w:pPr>
          </w:p>
        </w:tc>
        <w:tc>
          <w:tcPr>
            <w:tcW w:w="1400" w:type="dxa"/>
            <w:vAlign w:val="bottom"/>
            <w:shd w:val="clear" w:color="auto" w:fill="009AC8"/>
          </w:tcPr>
          <w:p>
            <w:pPr>
              <w:spacing w:after="0"/>
              <w:rPr>
                <w:sz w:val="11"/>
                <w:szCs w:val="11"/>
                <w:color w:val="auto"/>
              </w:rPr>
            </w:pPr>
          </w:p>
        </w:tc>
        <w:tc>
          <w:tcPr>
            <w:tcW w:w="800" w:type="dxa"/>
            <w:vAlign w:val="bottom"/>
            <w:shd w:val="clear" w:color="auto" w:fill="009AC8"/>
          </w:tcPr>
          <w:p>
            <w:pPr>
              <w:spacing w:after="0"/>
              <w:rPr>
                <w:sz w:val="11"/>
                <w:szCs w:val="11"/>
                <w:color w:val="auto"/>
              </w:rPr>
            </w:pPr>
          </w:p>
        </w:tc>
        <w:tc>
          <w:tcPr>
            <w:tcW w:w="1340" w:type="dxa"/>
            <w:vAlign w:val="bottom"/>
            <w:shd w:val="clear" w:color="auto" w:fill="009AC8"/>
          </w:tcPr>
          <w:p>
            <w:pPr>
              <w:jc w:val="right"/>
              <w:ind w:right="18"/>
              <w:spacing w:after="0" w:line="133" w:lineRule="exact"/>
              <w:rPr>
                <w:sz w:val="20"/>
                <w:szCs w:val="20"/>
                <w:color w:val="auto"/>
              </w:rPr>
            </w:pPr>
            <w:r>
              <w:rPr>
                <w:rFonts w:ascii="Arial" w:cs="Arial" w:eastAsia="Arial" w:hAnsi="Arial"/>
                <w:sz w:val="12"/>
                <w:szCs w:val="12"/>
                <w:b w:val="1"/>
                <w:bCs w:val="1"/>
                <w:color w:val="FFFFFF"/>
              </w:rPr>
              <w:t>million barrels 2007</w:t>
            </w:r>
          </w:p>
        </w:tc>
        <w:tc>
          <w:tcPr>
            <w:tcW w:w="980" w:type="dxa"/>
            <w:vAlign w:val="bottom"/>
            <w:shd w:val="clear" w:color="auto" w:fill="009AC8"/>
          </w:tcPr>
          <w:p>
            <w:pPr>
              <w:spacing w:after="0"/>
              <w:rPr>
                <w:sz w:val="11"/>
                <w:szCs w:val="11"/>
                <w:color w:val="auto"/>
              </w:rPr>
            </w:pPr>
          </w:p>
        </w:tc>
      </w:tr>
      <w:tr>
        <w:trPr>
          <w:trHeight w:val="141"/>
        </w:trPr>
        <w:tc>
          <w:tcPr>
            <w:tcW w:w="3540" w:type="dxa"/>
            <w:vAlign w:val="bottom"/>
            <w:shd w:val="clear" w:color="auto" w:fill="CECAC6"/>
          </w:tcPr>
          <w:p>
            <w:pPr>
              <w:spacing w:after="0"/>
              <w:rPr>
                <w:sz w:val="12"/>
                <w:szCs w:val="12"/>
                <w:color w:val="auto"/>
              </w:rPr>
            </w:pPr>
          </w:p>
        </w:tc>
        <w:tc>
          <w:tcPr>
            <w:tcW w:w="114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2420" w:type="dxa"/>
            <w:vAlign w:val="bottom"/>
            <w:gridSpan w:val="2"/>
            <w:shd w:val="clear" w:color="auto" w:fill="CECAC6"/>
          </w:tcPr>
          <w:p>
            <w:pPr>
              <w:jc w:val="right"/>
              <w:ind w:right="498"/>
              <w:spacing w:after="0"/>
              <w:rPr>
                <w:sz w:val="20"/>
                <w:szCs w:val="20"/>
                <w:color w:val="auto"/>
              </w:rPr>
            </w:pPr>
            <w:r>
              <w:rPr>
                <w:rFonts w:ascii="Arial" w:cs="Arial" w:eastAsia="Arial" w:hAnsi="Arial"/>
                <w:sz w:val="12"/>
                <w:szCs w:val="12"/>
                <w:color w:val="auto"/>
              </w:rPr>
              <w:t>Eastern Hemisphere</w:t>
            </w:r>
          </w:p>
        </w:tc>
        <w:tc>
          <w:tcPr>
            <w:tcW w:w="2140" w:type="dxa"/>
            <w:vAlign w:val="bottom"/>
            <w:gridSpan w:val="2"/>
            <w:shd w:val="clear" w:color="auto" w:fill="CECAC6"/>
          </w:tcPr>
          <w:p>
            <w:pPr>
              <w:jc w:val="right"/>
              <w:ind w:right="418"/>
              <w:spacing w:after="0"/>
              <w:rPr>
                <w:sz w:val="20"/>
                <w:szCs w:val="20"/>
                <w:color w:val="auto"/>
              </w:rPr>
            </w:pPr>
            <w:r>
              <w:rPr>
                <w:rFonts w:ascii="Arial" w:cs="Arial" w:eastAsia="Arial" w:hAnsi="Arial"/>
                <w:sz w:val="12"/>
                <w:szCs w:val="12"/>
                <w:color w:val="auto"/>
              </w:rPr>
              <w:t>Western Hemisphere</w:t>
            </w:r>
          </w:p>
        </w:tc>
        <w:tc>
          <w:tcPr>
            <w:tcW w:w="980" w:type="dxa"/>
            <w:vAlign w:val="bottom"/>
            <w:shd w:val="clear" w:color="auto" w:fill="CECAC6"/>
          </w:tcPr>
          <w:p>
            <w:pPr>
              <w:spacing w:after="0"/>
              <w:rPr>
                <w:sz w:val="12"/>
                <w:szCs w:val="12"/>
                <w:color w:val="auto"/>
              </w:rPr>
            </w:pPr>
          </w:p>
        </w:tc>
      </w:tr>
      <w:tr>
        <w:trPr>
          <w:trHeight w:val="119"/>
        </w:trPr>
        <w:tc>
          <w:tcPr>
            <w:tcW w:w="3540" w:type="dxa"/>
            <w:vAlign w:val="bottom"/>
            <w:shd w:val="clear" w:color="auto" w:fill="CECAC6"/>
          </w:tcPr>
          <w:p>
            <w:pPr>
              <w:spacing w:after="0"/>
              <w:rPr>
                <w:sz w:val="10"/>
                <w:szCs w:val="10"/>
                <w:color w:val="auto"/>
              </w:rPr>
            </w:pPr>
          </w:p>
        </w:tc>
        <w:tc>
          <w:tcPr>
            <w:tcW w:w="1140" w:type="dxa"/>
            <w:vAlign w:val="bottom"/>
            <w:shd w:val="clear" w:color="auto" w:fill="CECAC6"/>
          </w:tcPr>
          <w:p>
            <w:pPr>
              <w:spacing w:after="0"/>
              <w:rPr>
                <w:sz w:val="10"/>
                <w:szCs w:val="10"/>
                <w:color w:val="auto"/>
              </w:rPr>
            </w:pPr>
          </w:p>
        </w:tc>
        <w:tc>
          <w:tcPr>
            <w:tcW w:w="1200" w:type="dxa"/>
            <w:vAlign w:val="bottom"/>
            <w:shd w:val="clear" w:color="auto" w:fill="CECAC6"/>
          </w:tcPr>
          <w:p>
            <w:pPr>
              <w:spacing w:after="0"/>
              <w:rPr>
                <w:sz w:val="10"/>
                <w:szCs w:val="10"/>
                <w:color w:val="auto"/>
              </w:rPr>
            </w:pPr>
          </w:p>
        </w:tc>
        <w:tc>
          <w:tcPr>
            <w:tcW w:w="1020" w:type="dxa"/>
            <w:vAlign w:val="bottom"/>
            <w:shd w:val="clear" w:color="auto" w:fill="CECAC6"/>
          </w:tcPr>
          <w:p>
            <w:pPr>
              <w:jc w:val="right"/>
              <w:ind w:right="278"/>
              <w:spacing w:after="0" w:line="120" w:lineRule="exact"/>
              <w:rPr>
                <w:sz w:val="20"/>
                <w:szCs w:val="20"/>
                <w:color w:val="auto"/>
              </w:rPr>
            </w:pPr>
            <w:r>
              <w:rPr>
                <w:rFonts w:ascii="Arial" w:cs="Arial" w:eastAsia="Arial" w:hAnsi="Arial"/>
                <w:sz w:val="12"/>
                <w:szCs w:val="12"/>
                <w:color w:val="auto"/>
              </w:rPr>
              <w:t>Asia</w:t>
            </w:r>
          </w:p>
        </w:tc>
        <w:tc>
          <w:tcPr>
            <w:tcW w:w="1400" w:type="dxa"/>
            <w:vAlign w:val="bottom"/>
            <w:shd w:val="clear" w:color="auto" w:fill="CECAC6"/>
          </w:tcPr>
          <w:p>
            <w:pPr>
              <w:jc w:val="right"/>
              <w:ind w:right="498"/>
              <w:spacing w:after="0" w:line="120" w:lineRule="exact"/>
              <w:rPr>
                <w:sz w:val="20"/>
                <w:szCs w:val="20"/>
                <w:color w:val="auto"/>
              </w:rPr>
            </w:pPr>
            <w:r>
              <w:rPr>
                <w:rFonts w:ascii="Arial" w:cs="Arial" w:eastAsia="Arial" w:hAnsi="Arial"/>
                <w:sz w:val="12"/>
                <w:szCs w:val="12"/>
                <w:color w:val="auto"/>
              </w:rPr>
              <w:t>Middle East</w:t>
            </w:r>
          </w:p>
        </w:tc>
        <w:tc>
          <w:tcPr>
            <w:tcW w:w="800" w:type="dxa"/>
            <w:vAlign w:val="bottom"/>
            <w:shd w:val="clear" w:color="auto" w:fill="CECAC6"/>
          </w:tcPr>
          <w:p>
            <w:pPr>
              <w:spacing w:after="0"/>
              <w:rPr>
                <w:sz w:val="10"/>
                <w:szCs w:val="10"/>
                <w:color w:val="auto"/>
              </w:rPr>
            </w:pPr>
          </w:p>
        </w:tc>
        <w:tc>
          <w:tcPr>
            <w:tcW w:w="1340" w:type="dxa"/>
            <w:vAlign w:val="bottom"/>
            <w:shd w:val="clear" w:color="auto" w:fill="CECAC6"/>
          </w:tcPr>
          <w:p>
            <w:pPr>
              <w:spacing w:after="0"/>
              <w:rPr>
                <w:sz w:val="10"/>
                <w:szCs w:val="10"/>
                <w:color w:val="auto"/>
              </w:rPr>
            </w:pPr>
          </w:p>
        </w:tc>
        <w:tc>
          <w:tcPr>
            <w:tcW w:w="980" w:type="dxa"/>
            <w:vAlign w:val="bottom"/>
            <w:shd w:val="clear" w:color="auto" w:fill="CECAC6"/>
          </w:tcPr>
          <w:p>
            <w:pPr>
              <w:spacing w:after="0"/>
              <w:rPr>
                <w:sz w:val="10"/>
                <w:szCs w:val="10"/>
                <w:color w:val="auto"/>
              </w:rPr>
            </w:pPr>
          </w:p>
        </w:tc>
      </w:tr>
      <w:tr>
        <w:trPr>
          <w:trHeight w:val="153"/>
        </w:trPr>
        <w:tc>
          <w:tcPr>
            <w:tcW w:w="3540" w:type="dxa"/>
            <w:vAlign w:val="bottom"/>
            <w:shd w:val="clear" w:color="auto" w:fill="CECAC6"/>
          </w:tcPr>
          <w:p>
            <w:pPr>
              <w:spacing w:after="0"/>
              <w:rPr>
                <w:sz w:val="13"/>
                <w:szCs w:val="13"/>
                <w:color w:val="auto"/>
              </w:rPr>
            </w:pPr>
          </w:p>
        </w:tc>
        <w:tc>
          <w:tcPr>
            <w:tcW w:w="114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Europe</w:t>
            </w:r>
          </w:p>
        </w:tc>
        <w:tc>
          <w:tcPr>
            <w:tcW w:w="120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102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40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80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USA</w:t>
            </w:r>
          </w:p>
        </w:tc>
        <w:tc>
          <w:tcPr>
            <w:tcW w:w="1340" w:type="dxa"/>
            <w:vAlign w:val="bottom"/>
            <w:shd w:val="clear" w:color="auto" w:fill="CECAC6"/>
          </w:tcPr>
          <w:p>
            <w:pPr>
              <w:jc w:val="right"/>
              <w:ind w:right="418"/>
              <w:spacing w:after="0"/>
              <w:rPr>
                <w:sz w:val="20"/>
                <w:szCs w:val="20"/>
                <w:color w:val="auto"/>
              </w:rPr>
            </w:pPr>
            <w:r>
              <w:rPr>
                <w:rFonts w:ascii="Arial" w:cs="Arial" w:eastAsia="Arial" w:hAnsi="Arial"/>
                <w:sz w:val="12"/>
                <w:szCs w:val="12"/>
                <w:color w:val="auto"/>
              </w:rPr>
              <w:t>Other</w:t>
            </w:r>
          </w:p>
        </w:tc>
        <w:tc>
          <w:tcPr>
            <w:tcW w:w="980" w:type="dxa"/>
            <w:vAlign w:val="bottom"/>
            <w:shd w:val="clear" w:color="auto" w:fill="CECAC6"/>
          </w:tcPr>
          <w:p>
            <w:pPr>
              <w:jc w:val="right"/>
              <w:ind w:right="558"/>
              <w:spacing w:after="0"/>
              <w:rPr>
                <w:sz w:val="20"/>
                <w:szCs w:val="20"/>
                <w:color w:val="auto"/>
              </w:rPr>
            </w:pPr>
            <w:r>
              <w:rPr>
                <w:rFonts w:ascii="Arial" w:cs="Arial" w:eastAsia="Arial" w:hAnsi="Arial"/>
                <w:sz w:val="12"/>
                <w:szCs w:val="12"/>
                <w:color w:val="auto"/>
              </w:rPr>
              <w:t>Total</w:t>
            </w:r>
          </w:p>
        </w:tc>
      </w:tr>
      <w:tr>
        <w:trPr>
          <w:trHeight w:val="113"/>
        </w:trPr>
        <w:tc>
          <w:tcPr>
            <w:tcW w:w="354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w:t>
            </w: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533</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374</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92</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386</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204</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88</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1,677</w:t>
            </w:r>
          </w:p>
        </w:tc>
      </w:tr>
      <w:tr>
        <w:trPr>
          <w:trHeight w:val="153"/>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470</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348</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86</w:t>
            </w: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286</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185</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81</w:t>
            </w: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1,456</w:t>
            </w:r>
          </w:p>
        </w:tc>
      </w:tr>
      <w:tr>
        <w:trPr>
          <w:trHeight w:val="120"/>
        </w:trPr>
        <w:tc>
          <w:tcPr>
            <w:tcW w:w="3540" w:type="dxa"/>
            <w:vAlign w:val="bottom"/>
          </w:tcPr>
          <w:p>
            <w:pPr>
              <w:spacing w:after="0" w:line="120" w:lineRule="exact"/>
              <w:rPr>
                <w:sz w:val="20"/>
                <w:szCs w:val="20"/>
                <w:color w:val="auto"/>
              </w:rPr>
            </w:pPr>
            <w:r>
              <w:rPr>
                <w:rFonts w:ascii="Arial" w:cs="Arial" w:eastAsia="Arial" w:hAnsi="Arial"/>
                <w:sz w:val="12"/>
                <w:szCs w:val="12"/>
                <w:b w:val="1"/>
                <w:bCs w:val="1"/>
                <w:color w:val="auto"/>
              </w:rPr>
              <w:t>Shell share of equity-accounted investments</w:t>
            </w:r>
          </w:p>
        </w:tc>
        <w:tc>
          <w:tcPr>
            <w:tcW w:w="1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11</w:t>
            </w:r>
          </w:p>
        </w:tc>
        <w:tc>
          <w:tcPr>
            <w:tcW w:w="120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132</w:t>
            </w:r>
          </w:p>
        </w:tc>
        <w:tc>
          <w:tcPr>
            <w:tcW w:w="1400" w:type="dxa"/>
            <w:vAlign w:val="bottom"/>
          </w:tcPr>
          <w:p>
            <w:pPr>
              <w:jc w:val="right"/>
              <w:ind w:right="498"/>
              <w:spacing w:after="0" w:line="133" w:lineRule="exact"/>
              <w:rPr>
                <w:sz w:val="20"/>
                <w:szCs w:val="20"/>
                <w:color w:val="auto"/>
              </w:rPr>
            </w:pPr>
            <w:r>
              <w:rPr>
                <w:rFonts w:ascii="Arial" w:cs="Arial" w:eastAsia="Arial" w:hAnsi="Arial"/>
                <w:sz w:val="12"/>
                <w:szCs w:val="12"/>
                <w:color w:val="auto"/>
              </w:rPr>
              <w:t>350</w:t>
            </w:r>
          </w:p>
        </w:tc>
        <w:tc>
          <w:tcPr>
            <w:tcW w:w="8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256</w:t>
            </w:r>
          </w:p>
        </w:tc>
        <w:tc>
          <w:tcPr>
            <w:tcW w:w="134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24</w:t>
            </w:r>
          </w:p>
        </w:tc>
        <w:tc>
          <w:tcPr>
            <w:tcW w:w="98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773</w:t>
            </w:r>
          </w:p>
        </w:tc>
      </w:tr>
      <w:tr>
        <w:trPr>
          <w:trHeight w:val="16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7</w:t>
            </w:r>
          </w:p>
        </w:tc>
        <w:tc>
          <w:tcPr>
            <w:tcW w:w="120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151</w:t>
            </w: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343</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238</w:t>
            </w:r>
          </w:p>
        </w:tc>
        <w:tc>
          <w:tcPr>
            <w:tcW w:w="134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25</w:t>
            </w: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764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-3112135</wp:posOffset>
            </wp:positionV>
            <wp:extent cx="5006975" cy="262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006975" cy="262255"/>
                    </a:xfrm>
                    <a:prstGeom prst="rect">
                      <a:avLst/>
                    </a:prstGeom>
                    <a:noFill/>
                  </pic:spPr>
                </pic:pic>
              </a:graphicData>
            </a:graphic>
          </wp:anchor>
        </w:drawing>
        <w:drawing>
          <wp:anchor simplePos="0" relativeHeight="251657728" behindDoc="1" locked="0" layoutInCell="0" allowOverlap="1">
            <wp:simplePos x="0" y="0"/>
            <wp:positionH relativeFrom="column">
              <wp:posOffset>2245360</wp:posOffset>
            </wp:positionH>
            <wp:positionV relativeFrom="paragraph">
              <wp:posOffset>-802640</wp:posOffset>
            </wp:positionV>
            <wp:extent cx="5006975" cy="262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006975" cy="2622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 Excludes Egypt.</w:t>
      </w:r>
    </w:p>
    <w:p>
      <w:pPr>
        <w:spacing w:after="0" w:line="231" w:lineRule="auto"/>
        <w:rPr>
          <w:sz w:val="20"/>
          <w:szCs w:val="20"/>
          <w:color w:val="auto"/>
        </w:rPr>
      </w:pPr>
      <w:r>
        <w:rPr>
          <w:rFonts w:ascii="Arial" w:cs="Arial" w:eastAsia="Arial" w:hAnsi="Arial"/>
          <w:sz w:val="12"/>
          <w:szCs w:val="12"/>
          <w:color w:val="auto"/>
        </w:rPr>
        <w:t>[B] Excludes Sakhalin.</w:t>
      </w:r>
    </w:p>
    <w:p>
      <w:pPr>
        <w:spacing w:after="0"/>
        <w:rPr>
          <w:sz w:val="20"/>
          <w:szCs w:val="20"/>
          <w:color w:val="auto"/>
        </w:rPr>
      </w:pPr>
      <w:r>
        <w:rPr>
          <w:rFonts w:ascii="Arial" w:cs="Arial" w:eastAsia="Arial" w:hAnsi="Arial"/>
          <w:sz w:val="12"/>
          <w:szCs w:val="12"/>
          <w:color w:val="auto"/>
        </w:rPr>
        <w:t>[C] Includes Caspian region, Egypt and Sakhalin.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hanging="333"/>
        <w:spacing w:after="0"/>
        <w:tabs>
          <w:tab w:leader="none" w:pos="340" w:val="left"/>
        </w:tabs>
        <w:numPr>
          <w:ilvl w:val="0"/>
          <w:numId w:val="148"/>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2006 COMPARED TO 2005</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-62865</wp:posOffset>
            </wp:positionV>
            <wp:extent cx="282575" cy="64700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82575" cy="6470015"/>
                    </a:xfrm>
                    <a:prstGeom prst="rect">
                      <a:avLst/>
                    </a:prstGeom>
                    <a:noFill/>
                  </pic:spPr>
                </pic:pic>
              </a:graphicData>
            </a:graphic>
          </wp:anchor>
        </w:drawing>
      </w:r>
    </w:p>
    <w:p>
      <w:pPr>
        <w:ind w:right="720"/>
        <w:spacing w:after="0" w:line="234" w:lineRule="auto"/>
        <w:rPr>
          <w:sz w:val="20"/>
          <w:szCs w:val="20"/>
          <w:color w:val="auto"/>
        </w:rPr>
      </w:pPr>
      <w:r>
        <w:rPr>
          <w:rFonts w:ascii="Arial" w:cs="Arial" w:eastAsia="Arial" w:hAnsi="Arial"/>
          <w:sz w:val="14"/>
          <w:szCs w:val="14"/>
          <w:b w:val="1"/>
          <w:bCs w:val="1"/>
          <w:color w:val="auto"/>
        </w:rPr>
        <w:t xml:space="preserve">Africa </w:t>
      </w:r>
      <w:r>
        <w:rPr>
          <w:rFonts w:ascii="Arial" w:cs="Arial" w:eastAsia="Arial" w:hAnsi="Arial"/>
          <w:sz w:val="14"/>
          <w:szCs w:val="14"/>
          <w:color w:val="auto"/>
        </w:rPr>
        <w:t>As a result of the damage to our production facilities due to civil unrest in Nigeria, Shell has reclassified 127 million barrels from proved developed reserves to proved</w:t>
      </w:r>
      <w:r>
        <w:rPr>
          <w:rFonts w:ascii="Arial" w:cs="Arial" w:eastAsia="Arial" w:hAnsi="Arial"/>
          <w:sz w:val="14"/>
          <w:szCs w:val="14"/>
          <w:b w:val="1"/>
          <w:bCs w:val="1"/>
          <w:color w:val="auto"/>
        </w:rPr>
        <w:t xml:space="preserve"> </w:t>
      </w:r>
      <w:r>
        <w:rPr>
          <w:rFonts w:ascii="Arial" w:cs="Arial" w:eastAsia="Arial" w:hAnsi="Arial"/>
          <w:sz w:val="14"/>
          <w:szCs w:val="14"/>
          <w:color w:val="auto"/>
        </w:rPr>
        <w:t>undeveloped reserves.</w:t>
      </w:r>
    </w:p>
    <w:p>
      <w:pPr>
        <w:spacing w:after="0" w:line="70"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increase of 186 million barrels in extensions and discoveries was primarily related to the recognition of NGL reserves for our GTL project in Qatar, which</w:t>
      </w:r>
      <w:r>
        <w:rPr>
          <w:rFonts w:ascii="Arial" w:cs="Arial" w:eastAsia="Arial" w:hAnsi="Arial"/>
          <w:sz w:val="14"/>
          <w:szCs w:val="14"/>
          <w:b w:val="1"/>
          <w:bCs w:val="1"/>
          <w:color w:val="auto"/>
        </w:rPr>
        <w:t xml:space="preserve"> </w:t>
      </w:r>
      <w:r>
        <w:rPr>
          <w:rFonts w:ascii="Arial" w:cs="Arial" w:eastAsia="Arial" w:hAnsi="Arial"/>
          <w:sz w:val="14"/>
          <w:szCs w:val="14"/>
          <w:color w:val="auto"/>
        </w:rPr>
        <w:t>took final investment decision during 2006.</w:t>
      </w:r>
    </w:p>
    <w:p>
      <w:pPr>
        <w:spacing w:after="0" w:line="60" w:lineRule="exact"/>
        <w:rPr>
          <w:sz w:val="20"/>
          <w:szCs w:val="20"/>
          <w:color w:val="auto"/>
        </w:rPr>
      </w:pPr>
    </w:p>
    <w:p>
      <w:pPr>
        <w:ind w:right="1760"/>
        <w:spacing w:after="0" w:line="319" w:lineRule="auto"/>
        <w:rPr>
          <w:sz w:val="20"/>
          <w:szCs w:val="20"/>
          <w:color w:val="auto"/>
        </w:rPr>
      </w:pPr>
      <w:r>
        <w:rPr>
          <w:rFonts w:ascii="Arial" w:cs="Arial" w:eastAsia="Arial" w:hAnsi="Arial"/>
          <w:sz w:val="14"/>
          <w:szCs w:val="14"/>
          <w:b w:val="1"/>
          <w:bCs w:val="1"/>
          <w:color w:val="auto"/>
        </w:rPr>
        <w:t xml:space="preserve">Other Western Hemisphere </w:t>
      </w:r>
      <w:r>
        <w:rPr>
          <w:rFonts w:ascii="Arial" w:cs="Arial" w:eastAsia="Arial" w:hAnsi="Arial"/>
          <w:sz w:val="14"/>
          <w:szCs w:val="14"/>
          <w:color w:val="auto"/>
        </w:rPr>
        <w:t>The increase of 68 million barrels in purchases of minerals in place was related to the Shell Canada acquisition of BlackRock.</w:t>
      </w:r>
      <w:r>
        <w:rPr>
          <w:rFonts w:ascii="Arial" w:cs="Arial" w:eastAsia="Arial" w:hAnsi="Arial"/>
          <w:sz w:val="14"/>
          <w:szCs w:val="14"/>
          <w:b w:val="1"/>
          <w:bCs w:val="1"/>
          <w:color w:val="auto"/>
        </w:rPr>
        <w:t xml:space="preserve"> Shell share of equity-accounted investments</w:t>
      </w:r>
    </w:p>
    <w:p>
      <w:pPr>
        <w:spacing w:after="0" w:line="1" w:lineRule="exact"/>
        <w:rPr>
          <w:sz w:val="20"/>
          <w:szCs w:val="20"/>
          <w:color w:val="auto"/>
        </w:rPr>
      </w:pPr>
    </w:p>
    <w:p>
      <w:pPr>
        <w:ind w:right="440"/>
        <w:spacing w:after="0" w:line="234"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downward revision of 55 million barrels in revisions and reclassifications was primarily related to a combination of the acquisition of new well and</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data and changing economic conditions.</w:t>
      </w:r>
    </w:p>
    <w:p>
      <w:pPr>
        <w:spacing w:after="0" w:line="70" w:lineRule="exact"/>
        <w:rPr>
          <w:sz w:val="20"/>
          <w:szCs w:val="20"/>
          <w:color w:val="auto"/>
        </w:rPr>
      </w:pPr>
    </w:p>
    <w:p>
      <w:pPr>
        <w:ind w:right="480"/>
        <w:spacing w:after="0" w:line="253" w:lineRule="auto"/>
        <w:rPr>
          <w:sz w:val="20"/>
          <w:szCs w:val="20"/>
          <w:color w:val="auto"/>
        </w:rPr>
      </w:pPr>
      <w:r>
        <w:rPr>
          <w:rFonts w:ascii="Arial" w:cs="Arial" w:eastAsia="Arial" w:hAnsi="Arial"/>
          <w:sz w:val="14"/>
          <w:szCs w:val="14"/>
          <w:b w:val="1"/>
          <w:bCs w:val="1"/>
          <w:color w:val="auto"/>
        </w:rPr>
        <w:t xml:space="preserve">USA </w:t>
      </w:r>
      <w:r>
        <w:rPr>
          <w:rFonts w:ascii="Arial" w:cs="Arial" w:eastAsia="Arial" w:hAnsi="Arial"/>
          <w:sz w:val="14"/>
          <w:szCs w:val="14"/>
          <w:color w:val="auto"/>
        </w:rPr>
        <w:t>The downward revision of 80 million barrels in revisions and reclassifications was primarily related to the re-evaluation of reserves in a non-operated field as a result of new</w:t>
      </w:r>
      <w:r>
        <w:rPr>
          <w:rFonts w:ascii="Arial" w:cs="Arial" w:eastAsia="Arial" w:hAnsi="Arial"/>
          <w:sz w:val="14"/>
          <w:szCs w:val="14"/>
          <w:b w:val="1"/>
          <w:bCs w:val="1"/>
          <w:color w:val="auto"/>
        </w:rPr>
        <w:t xml:space="preserve"> </w:t>
      </w:r>
      <w:r>
        <w:rPr>
          <w:rFonts w:ascii="Arial" w:cs="Arial" w:eastAsia="Arial" w:hAnsi="Arial"/>
          <w:sz w:val="14"/>
          <w:szCs w:val="14"/>
          <w:color w:val="auto"/>
        </w:rPr>
        <w:t>production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36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1040" w:type="dxa"/>
            <w:vAlign w:val="bottom"/>
            <w:shd w:val="clear" w:color="auto" w:fill="009AC8"/>
          </w:tcPr>
          <w:p>
            <w:pPr>
              <w:spacing w:after="0"/>
              <w:rPr>
                <w:sz w:val="12"/>
                <w:szCs w:val="12"/>
                <w:color w:val="auto"/>
              </w:rPr>
            </w:pPr>
          </w:p>
        </w:tc>
        <w:tc>
          <w:tcPr>
            <w:tcW w:w="600" w:type="dxa"/>
            <w:vAlign w:val="bottom"/>
            <w:shd w:val="clear" w:color="auto" w:fill="009AC8"/>
          </w:tcPr>
          <w:p>
            <w:pPr>
              <w:spacing w:after="0"/>
              <w:rPr>
                <w:sz w:val="12"/>
                <w:szCs w:val="12"/>
                <w:color w:val="auto"/>
              </w:rPr>
            </w:pPr>
          </w:p>
        </w:tc>
        <w:tc>
          <w:tcPr>
            <w:tcW w:w="1380" w:type="dxa"/>
            <w:vAlign w:val="bottom"/>
            <w:gridSpan w:val="2"/>
            <w:shd w:val="clear" w:color="auto" w:fill="009AC8"/>
          </w:tcPr>
          <w:p>
            <w:pPr>
              <w:jc w:val="right"/>
              <w:ind w:right="98"/>
              <w:spacing w:after="0"/>
              <w:rPr>
                <w:sz w:val="20"/>
                <w:szCs w:val="20"/>
                <w:color w:val="auto"/>
              </w:rPr>
            </w:pPr>
            <w:r>
              <w:rPr>
                <w:rFonts w:ascii="Arial" w:cs="Arial" w:eastAsia="Arial" w:hAnsi="Arial"/>
                <w:sz w:val="12"/>
                <w:szCs w:val="12"/>
                <w:b w:val="1"/>
                <w:bCs w:val="1"/>
                <w:color w:val="FFFFFF"/>
              </w:rPr>
              <w:t>million barrels 2006</w:t>
            </w:r>
          </w:p>
        </w:tc>
        <w:tc>
          <w:tcPr>
            <w:tcW w:w="680" w:type="dxa"/>
            <w:vAlign w:val="bottom"/>
            <w:shd w:val="clear" w:color="auto" w:fill="009AC8"/>
          </w:tcPr>
          <w:p>
            <w:pPr>
              <w:spacing w:after="0"/>
              <w:rPr>
                <w:sz w:val="12"/>
                <w:szCs w:val="12"/>
                <w:color w:val="auto"/>
              </w:rPr>
            </w:pPr>
          </w:p>
        </w:tc>
        <w:tc>
          <w:tcPr>
            <w:tcW w:w="700" w:type="dxa"/>
            <w:vAlign w:val="bottom"/>
            <w:shd w:val="clear" w:color="auto" w:fill="009AC8"/>
          </w:tcPr>
          <w:p>
            <w:pPr>
              <w:spacing w:after="0"/>
              <w:rPr>
                <w:sz w:val="12"/>
                <w:szCs w:val="12"/>
                <w:color w:val="auto"/>
              </w:rPr>
            </w:pPr>
          </w:p>
        </w:tc>
        <w:tc>
          <w:tcPr>
            <w:tcW w:w="700" w:type="dxa"/>
            <w:vAlign w:val="bottom"/>
            <w:shd w:val="clear" w:color="auto" w:fill="009AC8"/>
          </w:tcPr>
          <w:p>
            <w:pPr>
              <w:spacing w:after="0"/>
              <w:rPr>
                <w:sz w:val="12"/>
                <w:szCs w:val="12"/>
                <w:color w:val="auto"/>
              </w:rPr>
            </w:pPr>
          </w:p>
        </w:tc>
        <w:tc>
          <w:tcPr>
            <w:tcW w:w="1040" w:type="dxa"/>
            <w:vAlign w:val="bottom"/>
            <w:shd w:val="clear" w:color="auto" w:fill="009AC8"/>
          </w:tcPr>
          <w:p>
            <w:pPr>
              <w:spacing w:after="0"/>
              <w:rPr>
                <w:sz w:val="12"/>
                <w:szCs w:val="12"/>
                <w:color w:val="auto"/>
              </w:rPr>
            </w:pPr>
          </w:p>
        </w:tc>
        <w:tc>
          <w:tcPr>
            <w:tcW w:w="540" w:type="dxa"/>
            <w:vAlign w:val="bottom"/>
            <w:shd w:val="clear" w:color="auto" w:fill="009AC8"/>
          </w:tcPr>
          <w:p>
            <w:pPr>
              <w:spacing w:after="0"/>
              <w:rPr>
                <w:sz w:val="12"/>
                <w:szCs w:val="12"/>
                <w:color w:val="auto"/>
              </w:rPr>
            </w:pPr>
          </w:p>
        </w:tc>
        <w:tc>
          <w:tcPr>
            <w:tcW w:w="1220" w:type="dxa"/>
            <w:vAlign w:val="bottom"/>
            <w:gridSpan w:val="2"/>
            <w:shd w:val="clear" w:color="auto" w:fill="009AC8"/>
          </w:tcPr>
          <w:p>
            <w:pPr>
              <w:jc w:val="right"/>
              <w:spacing w:after="0"/>
              <w:rPr>
                <w:sz w:val="20"/>
                <w:szCs w:val="20"/>
                <w:color w:val="auto"/>
              </w:rPr>
            </w:pPr>
            <w:r>
              <w:rPr>
                <w:rFonts w:ascii="Arial" w:cs="Arial" w:eastAsia="Arial" w:hAnsi="Arial"/>
                <w:sz w:val="12"/>
                <w:szCs w:val="12"/>
                <w:b w:val="1"/>
                <w:bCs w:val="1"/>
                <w:color w:val="FFFFFF"/>
              </w:rPr>
              <w:t>million barrels 2005</w:t>
            </w:r>
          </w:p>
        </w:tc>
      </w:tr>
      <w:tr>
        <w:trPr>
          <w:trHeight w:val="141"/>
        </w:trPr>
        <w:tc>
          <w:tcPr>
            <w:tcW w:w="136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172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40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Western Hemisphere</w:t>
            </w:r>
          </w:p>
        </w:tc>
        <w:tc>
          <w:tcPr>
            <w:tcW w:w="58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174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34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Western Hemisphere</w:t>
            </w:r>
          </w:p>
        </w:tc>
        <w:tc>
          <w:tcPr>
            <w:tcW w:w="420" w:type="dxa"/>
            <w:vAlign w:val="bottom"/>
            <w:shd w:val="clear" w:color="auto" w:fill="CECAC6"/>
          </w:tcPr>
          <w:p>
            <w:pPr>
              <w:spacing w:after="0"/>
              <w:rPr>
                <w:sz w:val="12"/>
                <w:szCs w:val="12"/>
                <w:color w:val="auto"/>
              </w:rPr>
            </w:pPr>
          </w:p>
        </w:tc>
      </w:tr>
      <w:tr>
        <w:trPr>
          <w:trHeight w:val="119"/>
        </w:trPr>
        <w:tc>
          <w:tcPr>
            <w:tcW w:w="1360" w:type="dxa"/>
            <w:vAlign w:val="bottom"/>
            <w:shd w:val="clear" w:color="auto" w:fill="CECAC6"/>
          </w:tcPr>
          <w:p>
            <w:pPr>
              <w:spacing w:after="0"/>
              <w:rPr>
                <w:sz w:val="10"/>
                <w:szCs w:val="10"/>
                <w:color w:val="auto"/>
              </w:rPr>
            </w:pPr>
          </w:p>
        </w:tc>
        <w:tc>
          <w:tcPr>
            <w:tcW w:w="680" w:type="dxa"/>
            <w:vAlign w:val="bottom"/>
            <w:shd w:val="clear" w:color="auto" w:fill="CECAC6"/>
          </w:tcPr>
          <w:p>
            <w:pPr>
              <w:spacing w:after="0"/>
              <w:rPr>
                <w:sz w:val="10"/>
                <w:szCs w:val="10"/>
                <w:color w:val="auto"/>
              </w:rPr>
            </w:pPr>
          </w:p>
        </w:tc>
        <w:tc>
          <w:tcPr>
            <w:tcW w:w="680" w:type="dxa"/>
            <w:vAlign w:val="bottom"/>
            <w:shd w:val="clear" w:color="auto" w:fill="CECAC6"/>
          </w:tcPr>
          <w:p>
            <w:pPr>
              <w:jc w:val="right"/>
              <w:ind w:right="158"/>
              <w:spacing w:after="0" w:line="120" w:lineRule="exact"/>
              <w:rPr>
                <w:sz w:val="20"/>
                <w:szCs w:val="20"/>
                <w:color w:val="auto"/>
              </w:rPr>
            </w:pPr>
            <w:r>
              <w:rPr>
                <w:rFonts w:ascii="Arial" w:cs="Arial" w:eastAsia="Arial" w:hAnsi="Arial"/>
                <w:sz w:val="12"/>
                <w:szCs w:val="12"/>
                <w:color w:val="auto"/>
              </w:rPr>
              <w:t>Asia</w:t>
            </w:r>
          </w:p>
        </w:tc>
        <w:tc>
          <w:tcPr>
            <w:tcW w:w="1040" w:type="dxa"/>
            <w:vAlign w:val="bottom"/>
            <w:shd w:val="clear" w:color="auto" w:fill="CECAC6"/>
          </w:tcPr>
          <w:p>
            <w:pPr>
              <w:jc w:val="right"/>
              <w:ind w:right="98"/>
              <w:spacing w:after="0" w:line="120" w:lineRule="exact"/>
              <w:rPr>
                <w:sz w:val="20"/>
                <w:szCs w:val="20"/>
                <w:color w:val="auto"/>
              </w:rPr>
            </w:pPr>
            <w:r>
              <w:rPr>
                <w:rFonts w:ascii="Arial" w:cs="Arial" w:eastAsia="Arial" w:hAnsi="Arial"/>
                <w:sz w:val="12"/>
                <w:szCs w:val="12"/>
                <w:color w:val="auto"/>
              </w:rPr>
              <w:t>Middle East</w:t>
            </w:r>
          </w:p>
        </w:tc>
        <w:tc>
          <w:tcPr>
            <w:tcW w:w="600" w:type="dxa"/>
            <w:vAlign w:val="bottom"/>
            <w:shd w:val="clear" w:color="auto" w:fill="CECAC6"/>
          </w:tcPr>
          <w:p>
            <w:pPr>
              <w:spacing w:after="0"/>
              <w:rPr>
                <w:sz w:val="10"/>
                <w:szCs w:val="10"/>
                <w:color w:val="auto"/>
              </w:rPr>
            </w:pPr>
          </w:p>
        </w:tc>
        <w:tc>
          <w:tcPr>
            <w:tcW w:w="800" w:type="dxa"/>
            <w:vAlign w:val="bottom"/>
            <w:shd w:val="clear" w:color="auto" w:fill="CECAC6"/>
          </w:tcPr>
          <w:p>
            <w:pPr>
              <w:spacing w:after="0"/>
              <w:rPr>
                <w:sz w:val="10"/>
                <w:szCs w:val="10"/>
                <w:color w:val="auto"/>
              </w:rPr>
            </w:pPr>
          </w:p>
        </w:tc>
        <w:tc>
          <w:tcPr>
            <w:tcW w:w="580" w:type="dxa"/>
            <w:vAlign w:val="bottom"/>
            <w:shd w:val="clear" w:color="auto" w:fill="CECAC6"/>
          </w:tcPr>
          <w:p>
            <w:pPr>
              <w:spacing w:after="0"/>
              <w:rPr>
                <w:sz w:val="10"/>
                <w:szCs w:val="10"/>
                <w:color w:val="auto"/>
              </w:rPr>
            </w:pPr>
          </w:p>
        </w:tc>
        <w:tc>
          <w:tcPr>
            <w:tcW w:w="680" w:type="dxa"/>
            <w:vAlign w:val="bottom"/>
            <w:shd w:val="clear" w:color="auto" w:fill="CECAC6"/>
          </w:tcPr>
          <w:p>
            <w:pPr>
              <w:spacing w:after="0"/>
              <w:rPr>
                <w:sz w:val="10"/>
                <w:szCs w:val="10"/>
                <w:color w:val="auto"/>
              </w:rPr>
            </w:pPr>
          </w:p>
        </w:tc>
        <w:tc>
          <w:tcPr>
            <w:tcW w:w="700" w:type="dxa"/>
            <w:vAlign w:val="bottom"/>
            <w:shd w:val="clear" w:color="auto" w:fill="CECAC6"/>
          </w:tcPr>
          <w:p>
            <w:pPr>
              <w:spacing w:after="0"/>
              <w:rPr>
                <w:sz w:val="10"/>
                <w:szCs w:val="10"/>
                <w:color w:val="auto"/>
              </w:rPr>
            </w:pPr>
          </w:p>
        </w:tc>
        <w:tc>
          <w:tcPr>
            <w:tcW w:w="700" w:type="dxa"/>
            <w:vAlign w:val="bottom"/>
            <w:shd w:val="clear" w:color="auto" w:fill="CECAC6"/>
          </w:tcPr>
          <w:p>
            <w:pPr>
              <w:jc w:val="right"/>
              <w:ind w:right="198"/>
              <w:spacing w:after="0" w:line="120" w:lineRule="exact"/>
              <w:rPr>
                <w:sz w:val="20"/>
                <w:szCs w:val="20"/>
                <w:color w:val="auto"/>
              </w:rPr>
            </w:pPr>
            <w:r>
              <w:rPr>
                <w:rFonts w:ascii="Arial" w:cs="Arial" w:eastAsia="Arial" w:hAnsi="Arial"/>
                <w:sz w:val="12"/>
                <w:szCs w:val="12"/>
                <w:color w:val="auto"/>
              </w:rPr>
              <w:t>Asia</w:t>
            </w:r>
          </w:p>
        </w:tc>
        <w:tc>
          <w:tcPr>
            <w:tcW w:w="1040" w:type="dxa"/>
            <w:vAlign w:val="bottom"/>
            <w:shd w:val="clear" w:color="auto" w:fill="CECAC6"/>
          </w:tcPr>
          <w:p>
            <w:pPr>
              <w:jc w:val="right"/>
              <w:ind w:right="98"/>
              <w:spacing w:after="0" w:line="120" w:lineRule="exact"/>
              <w:rPr>
                <w:sz w:val="20"/>
                <w:szCs w:val="20"/>
                <w:color w:val="auto"/>
              </w:rPr>
            </w:pPr>
            <w:r>
              <w:rPr>
                <w:rFonts w:ascii="Arial" w:cs="Arial" w:eastAsia="Arial" w:hAnsi="Arial"/>
                <w:sz w:val="12"/>
                <w:szCs w:val="12"/>
                <w:color w:val="auto"/>
              </w:rPr>
              <w:t>Middle East</w:t>
            </w:r>
          </w:p>
        </w:tc>
        <w:tc>
          <w:tcPr>
            <w:tcW w:w="540" w:type="dxa"/>
            <w:vAlign w:val="bottom"/>
            <w:shd w:val="clear" w:color="auto" w:fill="CECAC6"/>
          </w:tcPr>
          <w:p>
            <w:pPr>
              <w:spacing w:after="0"/>
              <w:rPr>
                <w:sz w:val="10"/>
                <w:szCs w:val="10"/>
                <w:color w:val="auto"/>
              </w:rPr>
            </w:pPr>
          </w:p>
        </w:tc>
        <w:tc>
          <w:tcPr>
            <w:tcW w:w="800" w:type="dxa"/>
            <w:vAlign w:val="bottom"/>
            <w:shd w:val="clear" w:color="auto" w:fill="CECAC6"/>
          </w:tcPr>
          <w:p>
            <w:pPr>
              <w:spacing w:after="0"/>
              <w:rPr>
                <w:sz w:val="10"/>
                <w:szCs w:val="10"/>
                <w:color w:val="auto"/>
              </w:rPr>
            </w:pPr>
          </w:p>
        </w:tc>
        <w:tc>
          <w:tcPr>
            <w:tcW w:w="420" w:type="dxa"/>
            <w:vAlign w:val="bottom"/>
            <w:shd w:val="clear" w:color="auto" w:fill="CECAC6"/>
          </w:tcPr>
          <w:p>
            <w:pPr>
              <w:spacing w:after="0"/>
              <w:rPr>
                <w:sz w:val="10"/>
                <w:szCs w:val="10"/>
                <w:color w:val="auto"/>
              </w:rPr>
            </w:pPr>
          </w:p>
        </w:tc>
      </w:tr>
      <w:tr>
        <w:trPr>
          <w:trHeight w:val="153"/>
        </w:trPr>
        <w:tc>
          <w:tcPr>
            <w:tcW w:w="136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Europe</w:t>
            </w:r>
          </w:p>
        </w:tc>
        <w:tc>
          <w:tcPr>
            <w:tcW w:w="6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0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6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USA</w:t>
            </w:r>
          </w:p>
        </w:tc>
        <w:tc>
          <w:tcPr>
            <w:tcW w:w="80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Other</w:t>
            </w:r>
          </w:p>
        </w:tc>
        <w:tc>
          <w:tcPr>
            <w:tcW w:w="5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Europe</w:t>
            </w:r>
          </w:p>
        </w:tc>
        <w:tc>
          <w:tcPr>
            <w:tcW w:w="7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7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0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5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USA</w:t>
            </w:r>
          </w:p>
        </w:tc>
        <w:tc>
          <w:tcPr>
            <w:tcW w:w="8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Other</w:t>
            </w:r>
          </w:p>
        </w:tc>
        <w:tc>
          <w:tcPr>
            <w:tcW w:w="4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r>
      <w:tr>
        <w:trPr>
          <w:trHeight w:val="260"/>
        </w:trPr>
        <w:tc>
          <w:tcPr>
            <w:tcW w:w="1360" w:type="dxa"/>
            <w:vAlign w:val="bottom"/>
          </w:tcPr>
          <w:p>
            <w:pPr>
              <w:jc w:val="right"/>
              <w:ind w:right="98"/>
              <w:spacing w:after="0"/>
              <w:rPr>
                <w:sz w:val="20"/>
                <w:szCs w:val="20"/>
                <w:color w:val="auto"/>
              </w:rPr>
            </w:pPr>
            <w:r>
              <w:rPr>
                <w:rFonts w:ascii="Arial" w:cs="Arial" w:eastAsia="Arial" w:hAnsi="Arial"/>
                <w:sz w:val="12"/>
                <w:szCs w:val="12"/>
                <w:color w:val="auto"/>
              </w:rPr>
              <w:t>857</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882</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173</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993</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416</w:t>
            </w:r>
          </w:p>
        </w:tc>
        <w:tc>
          <w:tcPr>
            <w:tcW w:w="800" w:type="dxa"/>
            <w:vAlign w:val="bottom"/>
          </w:tcPr>
          <w:p>
            <w:pPr>
              <w:jc w:val="right"/>
              <w:ind w:right="98"/>
              <w:spacing w:after="0"/>
              <w:rPr>
                <w:sz w:val="20"/>
                <w:szCs w:val="20"/>
                <w:color w:val="auto"/>
              </w:rPr>
            </w:pPr>
            <w:r>
              <w:rPr>
                <w:rFonts w:ascii="Arial" w:cs="Arial" w:eastAsia="Arial" w:hAnsi="Arial"/>
                <w:sz w:val="12"/>
                <w:szCs w:val="12"/>
                <w:color w:val="auto"/>
              </w:rPr>
              <w:t>145</w:t>
            </w:r>
          </w:p>
        </w:tc>
        <w:tc>
          <w:tcPr>
            <w:tcW w:w="580" w:type="dxa"/>
            <w:vAlign w:val="bottom"/>
          </w:tcPr>
          <w:p>
            <w:pPr>
              <w:jc w:val="right"/>
              <w:ind w:right="98"/>
              <w:spacing w:after="0"/>
              <w:rPr>
                <w:sz w:val="20"/>
                <w:szCs w:val="20"/>
                <w:color w:val="auto"/>
              </w:rPr>
            </w:pPr>
            <w:r>
              <w:rPr>
                <w:rFonts w:ascii="Arial" w:cs="Arial" w:eastAsia="Arial" w:hAnsi="Arial"/>
                <w:sz w:val="12"/>
                <w:szCs w:val="12"/>
                <w:color w:val="auto"/>
              </w:rPr>
              <w:t>3,466</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953</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1,145</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245</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798</w:t>
            </w:r>
          </w:p>
        </w:tc>
        <w:tc>
          <w:tcPr>
            <w:tcW w:w="540" w:type="dxa"/>
            <w:vAlign w:val="bottom"/>
          </w:tcPr>
          <w:p>
            <w:pPr>
              <w:jc w:val="right"/>
              <w:spacing w:after="0"/>
              <w:rPr>
                <w:sz w:val="20"/>
                <w:szCs w:val="20"/>
                <w:color w:val="auto"/>
              </w:rPr>
            </w:pPr>
            <w:r>
              <w:rPr>
                <w:rFonts w:ascii="Arial" w:cs="Arial" w:eastAsia="Arial" w:hAnsi="Arial"/>
                <w:sz w:val="12"/>
                <w:szCs w:val="12"/>
                <w:color w:val="auto"/>
              </w:rPr>
              <w:t>458</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146</w:t>
            </w:r>
          </w:p>
        </w:tc>
        <w:tc>
          <w:tcPr>
            <w:tcW w:w="420" w:type="dxa"/>
            <w:vAlign w:val="bottom"/>
          </w:tcPr>
          <w:p>
            <w:pPr>
              <w:jc w:val="right"/>
              <w:spacing w:after="0"/>
              <w:rPr>
                <w:sz w:val="20"/>
                <w:szCs w:val="20"/>
                <w:color w:val="auto"/>
              </w:rPr>
            </w:pPr>
            <w:r>
              <w:rPr>
                <w:rFonts w:ascii="Arial" w:cs="Arial" w:eastAsia="Arial" w:hAnsi="Arial"/>
                <w:sz w:val="12"/>
                <w:szCs w:val="12"/>
                <w:color w:val="auto"/>
              </w:rPr>
              <w:t>3,745</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30</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22</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33</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(40)</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57</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82</w:t>
            </w:r>
          </w:p>
        </w:tc>
        <w:tc>
          <w:tcPr>
            <w:tcW w:w="7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(206)</w:t>
            </w:r>
          </w:p>
        </w:tc>
        <w:tc>
          <w:tcPr>
            <w:tcW w:w="7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(27)</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37</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23</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28</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(63)</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27</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6</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12</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186</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9</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233</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22</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78</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256</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20</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376</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20</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68</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89</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1</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14</w:t>
            </w:r>
          </w:p>
        </w:tc>
      </w:tr>
      <w:tr>
        <w:trPr>
          <w:trHeight w:val="133"/>
        </w:trPr>
        <w:tc>
          <w:tcPr>
            <w:tcW w:w="13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(22)</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(15)</w:t>
            </w:r>
          </w:p>
        </w:tc>
        <w:tc>
          <w:tcPr>
            <w:tcW w:w="8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w:t>
            </w:r>
          </w:p>
        </w:tc>
        <w:tc>
          <w:tcPr>
            <w:tcW w:w="5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(39)</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(10)</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(3)</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r>
      <w:tr>
        <w:trPr>
          <w:trHeight w:val="139"/>
        </w:trPr>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(179)</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(124)</w:t>
            </w: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(40)</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(84)</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(32)</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(563)</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(195)</w:t>
            </w:r>
          </w:p>
        </w:tc>
        <w:tc>
          <w:tcPr>
            <w:tcW w:w="7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(136)</w:t>
            </w: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(42)</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(599)</w:t>
            </w:r>
          </w:p>
        </w:tc>
      </w:tr>
      <w:tr>
        <w:trPr>
          <w:trHeight w:val="140"/>
        </w:trPr>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711</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775</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156</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1,082</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398</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148</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3,270</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857</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882</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173</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993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3,466</w:t>
            </w:r>
          </w:p>
        </w:tc>
      </w:tr>
      <w:tr>
        <w:trPr>
          <w:trHeight w:val="267"/>
        </w:trPr>
        <w:tc>
          <w:tcPr>
            <w:tcW w:w="1360" w:type="dxa"/>
            <w:vAlign w:val="bottom"/>
          </w:tcPr>
          <w:p>
            <w:pPr>
              <w:jc w:val="right"/>
              <w:ind w:right="98"/>
              <w:spacing w:after="0"/>
              <w:rPr>
                <w:sz w:val="20"/>
                <w:szCs w:val="20"/>
                <w:color w:val="auto"/>
              </w:rPr>
            </w:pPr>
            <w:r>
              <w:rPr>
                <w:rFonts w:ascii="Arial" w:cs="Arial" w:eastAsia="Arial" w:hAnsi="Arial"/>
                <w:sz w:val="12"/>
                <w:szCs w:val="12"/>
                <w:color w:val="auto"/>
              </w:rPr>
              <w:t>14</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241</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490</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425</w:t>
            </w:r>
          </w:p>
        </w:tc>
        <w:tc>
          <w:tcPr>
            <w:tcW w:w="8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rPr>
                <w:sz w:val="20"/>
                <w:szCs w:val="20"/>
                <w:color w:val="auto"/>
              </w:rPr>
            </w:pPr>
            <w:r>
              <w:rPr>
                <w:rFonts w:ascii="Arial" w:cs="Arial" w:eastAsia="Arial" w:hAnsi="Arial"/>
                <w:sz w:val="12"/>
                <w:szCs w:val="12"/>
                <w:color w:val="auto"/>
              </w:rPr>
              <w:t>1,170</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18</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276</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457</w:t>
            </w:r>
          </w:p>
        </w:tc>
        <w:tc>
          <w:tcPr>
            <w:tcW w:w="540" w:type="dxa"/>
            <w:vAlign w:val="bottom"/>
          </w:tcPr>
          <w:p>
            <w:pPr>
              <w:jc w:val="right"/>
              <w:spacing w:after="0"/>
              <w:rPr>
                <w:sz w:val="20"/>
                <w:szCs w:val="20"/>
                <w:color w:val="auto"/>
              </w:rPr>
            </w:pPr>
            <w:r>
              <w:rPr>
                <w:rFonts w:ascii="Arial" w:cs="Arial" w:eastAsia="Arial" w:hAnsi="Arial"/>
                <w:sz w:val="12"/>
                <w:szCs w:val="12"/>
                <w:color w:val="auto"/>
              </w:rPr>
              <w:t>392</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1,143</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(11)</w:t>
            </w:r>
          </w:p>
        </w:tc>
        <w:tc>
          <w:tcPr>
            <w:tcW w:w="10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(55)</w:t>
            </w:r>
          </w:p>
        </w:tc>
        <w:tc>
          <w:tcPr>
            <w:tcW w:w="600" w:type="dxa"/>
            <w:vAlign w:val="bottom"/>
          </w:tcPr>
          <w:p>
            <w:pPr>
              <w:jc w:val="right"/>
              <w:spacing w:after="0" w:line="133" w:lineRule="exact"/>
              <w:rPr>
                <w:sz w:val="20"/>
                <w:szCs w:val="20"/>
                <w:color w:val="auto"/>
              </w:rPr>
            </w:pPr>
            <w:r>
              <w:rPr>
                <w:rFonts w:ascii="Arial" w:cs="Arial" w:eastAsia="Arial" w:hAnsi="Arial"/>
                <w:sz w:val="12"/>
                <w:szCs w:val="12"/>
                <w:color w:val="auto"/>
              </w:rPr>
              <w:t>(80)</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34</w:t>
            </w:r>
          </w:p>
        </w:tc>
        <w:tc>
          <w:tcPr>
            <w:tcW w:w="5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(112)</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84</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65</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155</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14</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17</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4</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13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2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r>
      <w:tr>
        <w:trPr>
          <w:trHeight w:val="139"/>
        </w:trPr>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(48)</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(62)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w:t>
            </w:r>
          </w:p>
        </w:tc>
        <w:tc>
          <w:tcPr>
            <w:tcW w:w="5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(148)</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(41)</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w:t>
            </w:r>
          </w:p>
        </w:tc>
      </w:tr>
      <w:tr>
        <w:trPr>
          <w:trHeight w:val="140"/>
        </w:trPr>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183</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387</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312</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33</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927</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241</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490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1,170</w:t>
            </w:r>
          </w:p>
        </w:tc>
      </w:tr>
      <w:tr>
        <w:trPr>
          <w:trHeight w:val="140"/>
        </w:trPr>
        <w:tc>
          <w:tcPr>
            <w:tcW w:w="1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r>
      <w:tr>
        <w:trPr>
          <w:trHeight w:val="146"/>
        </w:trPr>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13</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118</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31</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162</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18</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w:t>
            </w:r>
          </w:p>
        </w:tc>
      </w:tr>
      <w:tr>
        <w:trPr>
          <w:trHeight w:val="253"/>
        </w:trPr>
        <w:tc>
          <w:tcPr>
            <w:tcW w:w="1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133"/>
        </w:trPr>
        <w:tc>
          <w:tcPr>
            <w:tcW w:w="1360" w:type="dxa"/>
            <w:vAlign w:val="bottom"/>
            <w:shd w:val="clear" w:color="auto" w:fill="009AC8"/>
          </w:tcPr>
          <w:p>
            <w:pPr>
              <w:spacing w:after="0"/>
              <w:rPr>
                <w:sz w:val="11"/>
                <w:szCs w:val="11"/>
                <w:color w:val="auto"/>
              </w:rPr>
            </w:pPr>
          </w:p>
        </w:tc>
        <w:tc>
          <w:tcPr>
            <w:tcW w:w="680" w:type="dxa"/>
            <w:vAlign w:val="bottom"/>
            <w:shd w:val="clear" w:color="auto" w:fill="009AC8"/>
          </w:tcPr>
          <w:p>
            <w:pPr>
              <w:spacing w:after="0"/>
              <w:rPr>
                <w:sz w:val="11"/>
                <w:szCs w:val="11"/>
                <w:color w:val="auto"/>
              </w:rPr>
            </w:pPr>
          </w:p>
        </w:tc>
        <w:tc>
          <w:tcPr>
            <w:tcW w:w="680" w:type="dxa"/>
            <w:vAlign w:val="bottom"/>
            <w:shd w:val="clear" w:color="auto" w:fill="009AC8"/>
          </w:tcPr>
          <w:p>
            <w:pPr>
              <w:spacing w:after="0"/>
              <w:rPr>
                <w:sz w:val="11"/>
                <w:szCs w:val="11"/>
                <w:color w:val="auto"/>
              </w:rPr>
            </w:pPr>
          </w:p>
        </w:tc>
        <w:tc>
          <w:tcPr>
            <w:tcW w:w="1040" w:type="dxa"/>
            <w:vAlign w:val="bottom"/>
            <w:shd w:val="clear" w:color="auto" w:fill="009AC8"/>
          </w:tcPr>
          <w:p>
            <w:pPr>
              <w:spacing w:after="0"/>
              <w:rPr>
                <w:sz w:val="11"/>
                <w:szCs w:val="11"/>
                <w:color w:val="auto"/>
              </w:rPr>
            </w:pPr>
          </w:p>
        </w:tc>
        <w:tc>
          <w:tcPr>
            <w:tcW w:w="600" w:type="dxa"/>
            <w:vAlign w:val="bottom"/>
            <w:shd w:val="clear" w:color="auto" w:fill="009AC8"/>
          </w:tcPr>
          <w:p>
            <w:pPr>
              <w:spacing w:after="0"/>
              <w:rPr>
                <w:sz w:val="11"/>
                <w:szCs w:val="11"/>
                <w:color w:val="auto"/>
              </w:rPr>
            </w:pPr>
          </w:p>
        </w:tc>
        <w:tc>
          <w:tcPr>
            <w:tcW w:w="1380" w:type="dxa"/>
            <w:vAlign w:val="bottom"/>
            <w:gridSpan w:val="2"/>
            <w:shd w:val="clear" w:color="auto" w:fill="009AC8"/>
          </w:tcPr>
          <w:p>
            <w:pPr>
              <w:jc w:val="right"/>
              <w:ind w:right="98"/>
              <w:spacing w:after="0" w:line="133" w:lineRule="exact"/>
              <w:rPr>
                <w:sz w:val="20"/>
                <w:szCs w:val="20"/>
                <w:color w:val="auto"/>
              </w:rPr>
            </w:pPr>
            <w:r>
              <w:rPr>
                <w:rFonts w:ascii="Arial" w:cs="Arial" w:eastAsia="Arial" w:hAnsi="Arial"/>
                <w:sz w:val="12"/>
                <w:szCs w:val="12"/>
                <w:b w:val="1"/>
                <w:bCs w:val="1"/>
                <w:color w:val="FFFFFF"/>
              </w:rPr>
              <w:t>million barrels 2006</w:t>
            </w:r>
          </w:p>
        </w:tc>
        <w:tc>
          <w:tcPr>
            <w:tcW w:w="680" w:type="dxa"/>
            <w:vAlign w:val="bottom"/>
            <w:shd w:val="clear" w:color="auto" w:fill="009AC8"/>
          </w:tcPr>
          <w:p>
            <w:pPr>
              <w:spacing w:after="0"/>
              <w:rPr>
                <w:sz w:val="11"/>
                <w:szCs w:val="11"/>
                <w:color w:val="auto"/>
              </w:rPr>
            </w:pPr>
          </w:p>
        </w:tc>
        <w:tc>
          <w:tcPr>
            <w:tcW w:w="700" w:type="dxa"/>
            <w:vAlign w:val="bottom"/>
            <w:shd w:val="clear" w:color="auto" w:fill="009AC8"/>
          </w:tcPr>
          <w:p>
            <w:pPr>
              <w:spacing w:after="0"/>
              <w:rPr>
                <w:sz w:val="11"/>
                <w:szCs w:val="11"/>
                <w:color w:val="auto"/>
              </w:rPr>
            </w:pPr>
          </w:p>
        </w:tc>
        <w:tc>
          <w:tcPr>
            <w:tcW w:w="700" w:type="dxa"/>
            <w:vAlign w:val="bottom"/>
            <w:shd w:val="clear" w:color="auto" w:fill="009AC8"/>
          </w:tcPr>
          <w:p>
            <w:pPr>
              <w:spacing w:after="0"/>
              <w:rPr>
                <w:sz w:val="11"/>
                <w:szCs w:val="11"/>
                <w:color w:val="auto"/>
              </w:rPr>
            </w:pPr>
          </w:p>
        </w:tc>
        <w:tc>
          <w:tcPr>
            <w:tcW w:w="1040" w:type="dxa"/>
            <w:vAlign w:val="bottom"/>
            <w:shd w:val="clear" w:color="auto" w:fill="009AC8"/>
          </w:tcPr>
          <w:p>
            <w:pPr>
              <w:spacing w:after="0"/>
              <w:rPr>
                <w:sz w:val="11"/>
                <w:szCs w:val="11"/>
                <w:color w:val="auto"/>
              </w:rPr>
            </w:pPr>
          </w:p>
        </w:tc>
        <w:tc>
          <w:tcPr>
            <w:tcW w:w="540" w:type="dxa"/>
            <w:vAlign w:val="bottom"/>
            <w:shd w:val="clear" w:color="auto" w:fill="009AC8"/>
          </w:tcPr>
          <w:p>
            <w:pPr>
              <w:spacing w:after="0"/>
              <w:rPr>
                <w:sz w:val="11"/>
                <w:szCs w:val="11"/>
                <w:color w:val="auto"/>
              </w:rPr>
            </w:pPr>
          </w:p>
        </w:tc>
        <w:tc>
          <w:tcPr>
            <w:tcW w:w="1220" w:type="dxa"/>
            <w:vAlign w:val="bottom"/>
            <w:gridSpan w:val="2"/>
            <w:shd w:val="clear" w:color="auto" w:fill="009AC8"/>
          </w:tcPr>
          <w:p>
            <w:pPr>
              <w:jc w:val="right"/>
              <w:spacing w:after="0" w:line="133" w:lineRule="exact"/>
              <w:rPr>
                <w:sz w:val="20"/>
                <w:szCs w:val="20"/>
                <w:color w:val="auto"/>
              </w:rPr>
            </w:pPr>
            <w:r>
              <w:rPr>
                <w:rFonts w:ascii="Arial" w:cs="Arial" w:eastAsia="Arial" w:hAnsi="Arial"/>
                <w:sz w:val="12"/>
                <w:szCs w:val="12"/>
                <w:b w:val="1"/>
                <w:bCs w:val="1"/>
                <w:color w:val="FFFFFF"/>
              </w:rPr>
              <w:t>million barrels 2005</w:t>
            </w:r>
          </w:p>
        </w:tc>
      </w:tr>
      <w:tr>
        <w:trPr>
          <w:trHeight w:val="141"/>
        </w:trPr>
        <w:tc>
          <w:tcPr>
            <w:tcW w:w="136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172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40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Western Hemisphere</w:t>
            </w:r>
          </w:p>
        </w:tc>
        <w:tc>
          <w:tcPr>
            <w:tcW w:w="58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174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34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Western Hemisphere</w:t>
            </w:r>
          </w:p>
        </w:tc>
        <w:tc>
          <w:tcPr>
            <w:tcW w:w="420" w:type="dxa"/>
            <w:vAlign w:val="bottom"/>
            <w:shd w:val="clear" w:color="auto" w:fill="CECAC6"/>
          </w:tcPr>
          <w:p>
            <w:pPr>
              <w:spacing w:after="0"/>
              <w:rPr>
                <w:sz w:val="12"/>
                <w:szCs w:val="12"/>
                <w:color w:val="auto"/>
              </w:rPr>
            </w:pPr>
          </w:p>
        </w:tc>
      </w:tr>
      <w:tr>
        <w:trPr>
          <w:trHeight w:val="119"/>
        </w:trPr>
        <w:tc>
          <w:tcPr>
            <w:tcW w:w="1360" w:type="dxa"/>
            <w:vAlign w:val="bottom"/>
            <w:shd w:val="clear" w:color="auto" w:fill="CECAC6"/>
          </w:tcPr>
          <w:p>
            <w:pPr>
              <w:spacing w:after="0"/>
              <w:rPr>
                <w:sz w:val="10"/>
                <w:szCs w:val="10"/>
                <w:color w:val="auto"/>
              </w:rPr>
            </w:pPr>
          </w:p>
        </w:tc>
        <w:tc>
          <w:tcPr>
            <w:tcW w:w="680" w:type="dxa"/>
            <w:vAlign w:val="bottom"/>
            <w:shd w:val="clear" w:color="auto" w:fill="CECAC6"/>
          </w:tcPr>
          <w:p>
            <w:pPr>
              <w:spacing w:after="0"/>
              <w:rPr>
                <w:sz w:val="10"/>
                <w:szCs w:val="10"/>
                <w:color w:val="auto"/>
              </w:rPr>
            </w:pPr>
          </w:p>
        </w:tc>
        <w:tc>
          <w:tcPr>
            <w:tcW w:w="680" w:type="dxa"/>
            <w:vAlign w:val="bottom"/>
            <w:shd w:val="clear" w:color="auto" w:fill="CECAC6"/>
          </w:tcPr>
          <w:p>
            <w:pPr>
              <w:jc w:val="right"/>
              <w:ind w:right="158"/>
              <w:spacing w:after="0" w:line="120" w:lineRule="exact"/>
              <w:rPr>
                <w:sz w:val="20"/>
                <w:szCs w:val="20"/>
                <w:color w:val="auto"/>
              </w:rPr>
            </w:pPr>
            <w:r>
              <w:rPr>
                <w:rFonts w:ascii="Arial" w:cs="Arial" w:eastAsia="Arial" w:hAnsi="Arial"/>
                <w:sz w:val="12"/>
                <w:szCs w:val="12"/>
                <w:color w:val="auto"/>
              </w:rPr>
              <w:t>Asia</w:t>
            </w:r>
          </w:p>
        </w:tc>
        <w:tc>
          <w:tcPr>
            <w:tcW w:w="1040" w:type="dxa"/>
            <w:vAlign w:val="bottom"/>
            <w:shd w:val="clear" w:color="auto" w:fill="CECAC6"/>
          </w:tcPr>
          <w:p>
            <w:pPr>
              <w:jc w:val="right"/>
              <w:ind w:right="98"/>
              <w:spacing w:after="0" w:line="120" w:lineRule="exact"/>
              <w:rPr>
                <w:sz w:val="20"/>
                <w:szCs w:val="20"/>
                <w:color w:val="auto"/>
              </w:rPr>
            </w:pPr>
            <w:r>
              <w:rPr>
                <w:rFonts w:ascii="Arial" w:cs="Arial" w:eastAsia="Arial" w:hAnsi="Arial"/>
                <w:sz w:val="12"/>
                <w:szCs w:val="12"/>
                <w:color w:val="auto"/>
              </w:rPr>
              <w:t>Middle East</w:t>
            </w:r>
          </w:p>
        </w:tc>
        <w:tc>
          <w:tcPr>
            <w:tcW w:w="600" w:type="dxa"/>
            <w:vAlign w:val="bottom"/>
            <w:shd w:val="clear" w:color="auto" w:fill="CECAC6"/>
          </w:tcPr>
          <w:p>
            <w:pPr>
              <w:spacing w:after="0"/>
              <w:rPr>
                <w:sz w:val="10"/>
                <w:szCs w:val="10"/>
                <w:color w:val="auto"/>
              </w:rPr>
            </w:pPr>
          </w:p>
        </w:tc>
        <w:tc>
          <w:tcPr>
            <w:tcW w:w="800" w:type="dxa"/>
            <w:vAlign w:val="bottom"/>
            <w:shd w:val="clear" w:color="auto" w:fill="CECAC6"/>
          </w:tcPr>
          <w:p>
            <w:pPr>
              <w:spacing w:after="0"/>
              <w:rPr>
                <w:sz w:val="10"/>
                <w:szCs w:val="10"/>
                <w:color w:val="auto"/>
              </w:rPr>
            </w:pPr>
          </w:p>
        </w:tc>
        <w:tc>
          <w:tcPr>
            <w:tcW w:w="580" w:type="dxa"/>
            <w:vAlign w:val="bottom"/>
            <w:shd w:val="clear" w:color="auto" w:fill="CECAC6"/>
          </w:tcPr>
          <w:p>
            <w:pPr>
              <w:spacing w:after="0"/>
              <w:rPr>
                <w:sz w:val="10"/>
                <w:szCs w:val="10"/>
                <w:color w:val="auto"/>
              </w:rPr>
            </w:pPr>
          </w:p>
        </w:tc>
        <w:tc>
          <w:tcPr>
            <w:tcW w:w="680" w:type="dxa"/>
            <w:vAlign w:val="bottom"/>
            <w:shd w:val="clear" w:color="auto" w:fill="CECAC6"/>
          </w:tcPr>
          <w:p>
            <w:pPr>
              <w:spacing w:after="0"/>
              <w:rPr>
                <w:sz w:val="10"/>
                <w:szCs w:val="10"/>
                <w:color w:val="auto"/>
              </w:rPr>
            </w:pPr>
          </w:p>
        </w:tc>
        <w:tc>
          <w:tcPr>
            <w:tcW w:w="700" w:type="dxa"/>
            <w:vAlign w:val="bottom"/>
            <w:shd w:val="clear" w:color="auto" w:fill="CECAC6"/>
          </w:tcPr>
          <w:p>
            <w:pPr>
              <w:spacing w:after="0"/>
              <w:rPr>
                <w:sz w:val="10"/>
                <w:szCs w:val="10"/>
                <w:color w:val="auto"/>
              </w:rPr>
            </w:pPr>
          </w:p>
        </w:tc>
        <w:tc>
          <w:tcPr>
            <w:tcW w:w="700" w:type="dxa"/>
            <w:vAlign w:val="bottom"/>
            <w:shd w:val="clear" w:color="auto" w:fill="CECAC6"/>
          </w:tcPr>
          <w:p>
            <w:pPr>
              <w:jc w:val="right"/>
              <w:ind w:right="198"/>
              <w:spacing w:after="0" w:line="120" w:lineRule="exact"/>
              <w:rPr>
                <w:sz w:val="20"/>
                <w:szCs w:val="20"/>
                <w:color w:val="auto"/>
              </w:rPr>
            </w:pPr>
            <w:r>
              <w:rPr>
                <w:rFonts w:ascii="Arial" w:cs="Arial" w:eastAsia="Arial" w:hAnsi="Arial"/>
                <w:sz w:val="12"/>
                <w:szCs w:val="12"/>
                <w:color w:val="auto"/>
              </w:rPr>
              <w:t>Asia</w:t>
            </w:r>
          </w:p>
        </w:tc>
        <w:tc>
          <w:tcPr>
            <w:tcW w:w="1040" w:type="dxa"/>
            <w:vAlign w:val="bottom"/>
            <w:shd w:val="clear" w:color="auto" w:fill="CECAC6"/>
          </w:tcPr>
          <w:p>
            <w:pPr>
              <w:jc w:val="right"/>
              <w:ind w:right="98"/>
              <w:spacing w:after="0" w:line="120" w:lineRule="exact"/>
              <w:rPr>
                <w:sz w:val="20"/>
                <w:szCs w:val="20"/>
                <w:color w:val="auto"/>
              </w:rPr>
            </w:pPr>
            <w:r>
              <w:rPr>
                <w:rFonts w:ascii="Arial" w:cs="Arial" w:eastAsia="Arial" w:hAnsi="Arial"/>
                <w:sz w:val="12"/>
                <w:szCs w:val="12"/>
                <w:color w:val="auto"/>
              </w:rPr>
              <w:t>Middle East</w:t>
            </w:r>
          </w:p>
        </w:tc>
        <w:tc>
          <w:tcPr>
            <w:tcW w:w="540" w:type="dxa"/>
            <w:vAlign w:val="bottom"/>
            <w:shd w:val="clear" w:color="auto" w:fill="CECAC6"/>
          </w:tcPr>
          <w:p>
            <w:pPr>
              <w:spacing w:after="0"/>
              <w:rPr>
                <w:sz w:val="10"/>
                <w:szCs w:val="10"/>
                <w:color w:val="auto"/>
              </w:rPr>
            </w:pPr>
          </w:p>
        </w:tc>
        <w:tc>
          <w:tcPr>
            <w:tcW w:w="800" w:type="dxa"/>
            <w:vAlign w:val="bottom"/>
            <w:shd w:val="clear" w:color="auto" w:fill="CECAC6"/>
          </w:tcPr>
          <w:p>
            <w:pPr>
              <w:spacing w:after="0"/>
              <w:rPr>
                <w:sz w:val="10"/>
                <w:szCs w:val="10"/>
                <w:color w:val="auto"/>
              </w:rPr>
            </w:pPr>
          </w:p>
        </w:tc>
        <w:tc>
          <w:tcPr>
            <w:tcW w:w="420" w:type="dxa"/>
            <w:vAlign w:val="bottom"/>
            <w:shd w:val="clear" w:color="auto" w:fill="CECAC6"/>
          </w:tcPr>
          <w:p>
            <w:pPr>
              <w:spacing w:after="0"/>
              <w:rPr>
                <w:sz w:val="10"/>
                <w:szCs w:val="10"/>
                <w:color w:val="auto"/>
              </w:rPr>
            </w:pPr>
          </w:p>
        </w:tc>
      </w:tr>
      <w:tr>
        <w:trPr>
          <w:trHeight w:val="153"/>
        </w:trPr>
        <w:tc>
          <w:tcPr>
            <w:tcW w:w="136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Europe</w:t>
            </w:r>
          </w:p>
        </w:tc>
        <w:tc>
          <w:tcPr>
            <w:tcW w:w="6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0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6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USA</w:t>
            </w:r>
          </w:p>
        </w:tc>
        <w:tc>
          <w:tcPr>
            <w:tcW w:w="80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Other</w:t>
            </w:r>
          </w:p>
        </w:tc>
        <w:tc>
          <w:tcPr>
            <w:tcW w:w="5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Europe</w:t>
            </w:r>
          </w:p>
        </w:tc>
        <w:tc>
          <w:tcPr>
            <w:tcW w:w="7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70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0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5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USA</w:t>
            </w:r>
          </w:p>
        </w:tc>
        <w:tc>
          <w:tcPr>
            <w:tcW w:w="8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Other</w:t>
            </w:r>
          </w:p>
        </w:tc>
        <w:tc>
          <w:tcPr>
            <w:tcW w:w="4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r>
      <w:tr>
        <w:trPr>
          <w:trHeight w:val="260"/>
        </w:trPr>
        <w:tc>
          <w:tcPr>
            <w:tcW w:w="1360" w:type="dxa"/>
            <w:vAlign w:val="bottom"/>
          </w:tcPr>
          <w:p>
            <w:pPr>
              <w:jc w:val="right"/>
              <w:ind w:right="98"/>
              <w:spacing w:after="0"/>
              <w:rPr>
                <w:sz w:val="20"/>
                <w:szCs w:val="20"/>
                <w:color w:val="auto"/>
              </w:rPr>
            </w:pPr>
            <w:r>
              <w:rPr>
                <w:rFonts w:ascii="Arial" w:cs="Arial" w:eastAsia="Arial" w:hAnsi="Arial"/>
                <w:sz w:val="12"/>
                <w:szCs w:val="12"/>
                <w:color w:val="auto"/>
              </w:rPr>
              <w:t>639</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532</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93</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437</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230</w:t>
            </w:r>
          </w:p>
        </w:tc>
        <w:tc>
          <w:tcPr>
            <w:tcW w:w="800" w:type="dxa"/>
            <w:vAlign w:val="bottom"/>
          </w:tcPr>
          <w:p>
            <w:pPr>
              <w:jc w:val="right"/>
              <w:ind w:right="98"/>
              <w:spacing w:after="0"/>
              <w:rPr>
                <w:sz w:val="20"/>
                <w:szCs w:val="20"/>
                <w:color w:val="auto"/>
              </w:rPr>
            </w:pPr>
            <w:r>
              <w:rPr>
                <w:rFonts w:ascii="Arial" w:cs="Arial" w:eastAsia="Arial" w:hAnsi="Arial"/>
                <w:sz w:val="12"/>
                <w:szCs w:val="12"/>
                <w:color w:val="auto"/>
              </w:rPr>
              <w:t>86</w:t>
            </w:r>
          </w:p>
        </w:tc>
        <w:tc>
          <w:tcPr>
            <w:tcW w:w="580" w:type="dxa"/>
            <w:vAlign w:val="bottom"/>
          </w:tcPr>
          <w:p>
            <w:pPr>
              <w:jc w:val="right"/>
              <w:ind w:right="98"/>
              <w:spacing w:after="0"/>
              <w:rPr>
                <w:sz w:val="20"/>
                <w:szCs w:val="20"/>
                <w:color w:val="auto"/>
              </w:rPr>
            </w:pPr>
            <w:r>
              <w:rPr>
                <w:rFonts w:ascii="Arial" w:cs="Arial" w:eastAsia="Arial" w:hAnsi="Arial"/>
                <w:sz w:val="12"/>
                <w:szCs w:val="12"/>
                <w:color w:val="auto"/>
              </w:rPr>
              <w:t>2,017</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740</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617</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134</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475</w:t>
            </w:r>
          </w:p>
        </w:tc>
        <w:tc>
          <w:tcPr>
            <w:tcW w:w="540" w:type="dxa"/>
            <w:vAlign w:val="bottom"/>
          </w:tcPr>
          <w:p>
            <w:pPr>
              <w:jc w:val="right"/>
              <w:spacing w:after="0"/>
              <w:rPr>
                <w:sz w:val="20"/>
                <w:szCs w:val="20"/>
                <w:color w:val="auto"/>
              </w:rPr>
            </w:pPr>
            <w:r>
              <w:rPr>
                <w:rFonts w:ascii="Arial" w:cs="Arial" w:eastAsia="Arial" w:hAnsi="Arial"/>
                <w:sz w:val="12"/>
                <w:szCs w:val="12"/>
                <w:color w:val="auto"/>
              </w:rPr>
              <w:t>242</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115</w:t>
            </w:r>
          </w:p>
        </w:tc>
        <w:tc>
          <w:tcPr>
            <w:tcW w:w="420" w:type="dxa"/>
            <w:vAlign w:val="bottom"/>
          </w:tcPr>
          <w:p>
            <w:pPr>
              <w:jc w:val="right"/>
              <w:spacing w:after="0"/>
              <w:rPr>
                <w:sz w:val="20"/>
                <w:szCs w:val="20"/>
                <w:color w:val="auto"/>
              </w:rPr>
            </w:pPr>
            <w:r>
              <w:rPr>
                <w:rFonts w:ascii="Arial" w:cs="Arial" w:eastAsia="Arial" w:hAnsi="Arial"/>
                <w:sz w:val="12"/>
                <w:szCs w:val="12"/>
                <w:color w:val="auto"/>
              </w:rPr>
              <w:t>2,323</w:t>
            </w:r>
          </w:p>
        </w:tc>
      </w:tr>
      <w:tr>
        <w:trPr>
          <w:trHeight w:val="139"/>
        </w:trPr>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533</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374</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92</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386</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204</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88</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1,677</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639</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532</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93</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437</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230</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2,017</w:t>
            </w:r>
          </w:p>
        </w:tc>
      </w:tr>
      <w:tr>
        <w:trPr>
          <w:trHeight w:val="267"/>
        </w:trPr>
        <w:tc>
          <w:tcPr>
            <w:tcW w:w="1360" w:type="dxa"/>
            <w:vAlign w:val="bottom"/>
          </w:tcPr>
          <w:p>
            <w:pPr>
              <w:jc w:val="right"/>
              <w:ind w:right="98"/>
              <w:spacing w:after="0"/>
              <w:rPr>
                <w:sz w:val="20"/>
                <w:szCs w:val="20"/>
                <w:color w:val="auto"/>
              </w:rPr>
            </w:pPr>
            <w:r>
              <w:rPr>
                <w:rFonts w:ascii="Arial" w:cs="Arial" w:eastAsia="Arial" w:hAnsi="Arial"/>
                <w:sz w:val="12"/>
                <w:szCs w:val="12"/>
                <w:color w:val="auto"/>
              </w:rPr>
              <w:t>12</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163</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360</w:t>
            </w:r>
          </w:p>
        </w:tc>
        <w:tc>
          <w:tcPr>
            <w:tcW w:w="600" w:type="dxa"/>
            <w:vAlign w:val="bottom"/>
          </w:tcPr>
          <w:p>
            <w:pPr>
              <w:jc w:val="right"/>
              <w:ind w:right="38"/>
              <w:spacing w:after="0"/>
              <w:rPr>
                <w:sz w:val="20"/>
                <w:szCs w:val="20"/>
                <w:color w:val="auto"/>
              </w:rPr>
            </w:pPr>
            <w:r>
              <w:rPr>
                <w:rFonts w:ascii="Arial" w:cs="Arial" w:eastAsia="Arial" w:hAnsi="Arial"/>
                <w:sz w:val="12"/>
                <w:szCs w:val="12"/>
                <w:color w:val="auto"/>
              </w:rPr>
              <w:t>346</w:t>
            </w:r>
          </w:p>
        </w:tc>
        <w:tc>
          <w:tcPr>
            <w:tcW w:w="80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98"/>
              <w:spacing w:after="0"/>
              <w:rPr>
                <w:sz w:val="20"/>
                <w:szCs w:val="20"/>
                <w:color w:val="auto"/>
              </w:rPr>
            </w:pPr>
            <w:r>
              <w:rPr>
                <w:rFonts w:ascii="Arial" w:cs="Arial" w:eastAsia="Arial" w:hAnsi="Arial"/>
                <w:sz w:val="12"/>
                <w:szCs w:val="12"/>
                <w:color w:val="auto"/>
              </w:rPr>
              <w:t>881</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15</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187</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360</w:t>
            </w:r>
          </w:p>
        </w:tc>
        <w:tc>
          <w:tcPr>
            <w:tcW w:w="540" w:type="dxa"/>
            <w:vAlign w:val="bottom"/>
          </w:tcPr>
          <w:p>
            <w:pPr>
              <w:jc w:val="right"/>
              <w:spacing w:after="0"/>
              <w:rPr>
                <w:sz w:val="20"/>
                <w:szCs w:val="20"/>
                <w:color w:val="auto"/>
              </w:rPr>
            </w:pPr>
            <w:r>
              <w:rPr>
                <w:rFonts w:ascii="Arial" w:cs="Arial" w:eastAsia="Arial" w:hAnsi="Arial"/>
                <w:sz w:val="12"/>
                <w:szCs w:val="12"/>
                <w:color w:val="auto"/>
              </w:rPr>
              <w:t>349</w:t>
            </w:r>
          </w:p>
        </w:tc>
        <w:tc>
          <w:tcPr>
            <w:tcW w:w="8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911</w:t>
            </w:r>
          </w:p>
        </w:tc>
      </w:tr>
      <w:tr>
        <w:trPr>
          <w:trHeight w:val="146"/>
        </w:trPr>
        <w:tc>
          <w:tcPr>
            <w:tcW w:w="13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132</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350</w:t>
            </w: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256</w:t>
            </w: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24</w:t>
            </w: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773</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163</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360</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w:t>
            </w: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-3103245</wp:posOffset>
            </wp:positionV>
            <wp:extent cx="6741160" cy="262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741160" cy="262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-802640</wp:posOffset>
            </wp:positionV>
            <wp:extent cx="6741160" cy="262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74116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180"/>
        <w:spacing w:after="0"/>
        <w:tabs>
          <w:tab w:leader="none" w:pos="104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1384935</wp:posOffset>
            </wp:positionV>
            <wp:extent cx="7252970"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OIL AND GAS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NATURAL GAS</w:t>
      </w:r>
    </w:p>
    <w:p>
      <w:pPr>
        <w:spacing w:after="0" w:line="6" w:lineRule="exact"/>
        <w:rPr>
          <w:sz w:val="20"/>
          <w:szCs w:val="20"/>
          <w:color w:val="auto"/>
        </w:rPr>
      </w:pPr>
    </w:p>
    <w:p>
      <w:pPr>
        <w:ind w:right="20"/>
        <w:spacing w:after="0" w:line="223" w:lineRule="auto"/>
        <w:rPr>
          <w:sz w:val="20"/>
          <w:szCs w:val="20"/>
          <w:color w:val="auto"/>
        </w:rPr>
      </w:pPr>
      <w:r>
        <w:rPr>
          <w:rFonts w:ascii="Arial" w:cs="Arial" w:eastAsia="Arial" w:hAnsi="Arial"/>
          <w:sz w:val="14"/>
          <w:szCs w:val="14"/>
          <w:color w:val="auto"/>
        </w:rPr>
        <w:t>Shell subsidiaries’ estimated net proved reserves of natural gas at the end of the year, their share of the net proved reserves of equity-accounted investments at the end of the year, and the changes in such reserves during the year are set out below. The volumes in the table below have not been adjusted to standard heat content. Apart from integrated LNG and GTL projects, volumes of gas are reported on an “as-sold” basis and are treated as equivalent without regard to the quality of the gas (e.g. with respect to the inert gas content thereof or the various hydrocarbon components). The price used to calculate future revenues and cash flows from proved gas reserves is that realised at year-end based on “as-sold” volumes. For integrated LNG and GTL projects the volumes reported are those measured at a designated transfer point between the upstream and downstream portions of the integrated project and reflect the composition of the gas stream at this point. As such, the realised or the applicable integrated project transfer price reflects the quality of the gas, both in terms of inert components that reduce gas quality and hydrocarbon components with high molecular weights that enrich the quality of the gas.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natural gas proved developed and undeveloped reserves are discussed below:</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2007 COMPARED TO 2006</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subsidiaries</w:t>
      </w:r>
    </w:p>
    <w:p>
      <w:pPr>
        <w:spacing w:after="0"/>
        <w:rPr>
          <w:sz w:val="20"/>
          <w:szCs w:val="20"/>
          <w:color w:val="auto"/>
        </w:rPr>
      </w:pPr>
      <w:r>
        <w:rPr>
          <w:rFonts w:ascii="Arial" w:cs="Arial" w:eastAsia="Arial" w:hAnsi="Arial"/>
          <w:sz w:val="14"/>
          <w:szCs w:val="14"/>
          <w:b w:val="1"/>
          <w:bCs w:val="1"/>
          <w:color w:val="auto"/>
        </w:rPr>
        <w:t xml:space="preserve">Europe </w:t>
      </w:r>
      <w:r>
        <w:rPr>
          <w:rFonts w:ascii="Arial" w:cs="Arial" w:eastAsia="Arial" w:hAnsi="Arial"/>
          <w:sz w:val="14"/>
          <w:szCs w:val="14"/>
          <w:color w:val="auto"/>
        </w:rPr>
        <w:t>The increase of 537 thousand million scf in extensions and discoveries was primarily related to the maturation of various development projects in Norway.</w:t>
      </w:r>
    </w:p>
    <w:p>
      <w:pPr>
        <w:spacing w:after="0" w:line="76"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b w:val="1"/>
          <w:bCs w:val="1"/>
          <w:color w:val="auto"/>
        </w:rPr>
        <w:t xml:space="preserve">Africa </w:t>
      </w:r>
      <w:r>
        <w:rPr>
          <w:rFonts w:ascii="Arial" w:cs="Arial" w:eastAsia="Arial" w:hAnsi="Arial"/>
          <w:sz w:val="14"/>
          <w:szCs w:val="14"/>
          <w:color w:val="auto"/>
        </w:rPr>
        <w:t>The downward revision of 348 thousand million scf in revisions and reclassifications was primarily related the deferral of projects as result of a reduced funding level imposed by joint venture</w:t>
      </w:r>
      <w:r>
        <w:rPr>
          <w:rFonts w:ascii="Arial" w:cs="Arial" w:eastAsia="Arial" w:hAnsi="Arial"/>
          <w:sz w:val="14"/>
          <w:szCs w:val="14"/>
          <w:b w:val="1"/>
          <w:bCs w:val="1"/>
          <w:color w:val="auto"/>
        </w:rPr>
        <w:t xml:space="preserve"> </w:t>
      </w:r>
      <w:r>
        <w:rPr>
          <w:rFonts w:ascii="Arial" w:cs="Arial" w:eastAsia="Arial" w:hAnsi="Arial"/>
          <w:sz w:val="14"/>
          <w:szCs w:val="14"/>
          <w:color w:val="auto"/>
        </w:rPr>
        <w:t>partners, the security situation and re-evaluations in a number of fields following the acquisition of new performance data.</w:t>
      </w:r>
    </w:p>
    <w:p>
      <w:pPr>
        <w:spacing w:after="0" w:line="60"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decrease of 5,046 thousand million scf in sales of minerals in place was related to the dilution of Shell’s interest in the Sakhalin II project. The downward revision of</w:t>
      </w:r>
      <w:r>
        <w:rPr>
          <w:rFonts w:ascii="Arial" w:cs="Arial" w:eastAsia="Arial" w:hAnsi="Arial"/>
          <w:sz w:val="14"/>
          <w:szCs w:val="14"/>
          <w:b w:val="1"/>
          <w:bCs w:val="1"/>
          <w:color w:val="auto"/>
        </w:rPr>
        <w:t xml:space="preserve"> </w:t>
      </w:r>
      <w:r>
        <w:rPr>
          <w:rFonts w:ascii="Arial" w:cs="Arial" w:eastAsia="Arial" w:hAnsi="Arial"/>
          <w:sz w:val="14"/>
          <w:szCs w:val="14"/>
          <w:color w:val="auto"/>
        </w:rPr>
        <w:t>1,218 thousand million scf in revisions and reclassifications was primarily related to the change in reporting of Sakhalin II volumes from subsidiary to an equity-accounted investment, partly offset by an upward revision in the Qatar GTL project.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54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PROVED DEVELOPED AND UNDEVELOPED RESERVES[A]</w:t>
            </w:r>
          </w:p>
        </w:tc>
        <w:tc>
          <w:tcPr>
            <w:tcW w:w="1140" w:type="dxa"/>
            <w:vAlign w:val="bottom"/>
            <w:shd w:val="clear" w:color="auto" w:fill="009AC8"/>
          </w:tcPr>
          <w:p>
            <w:pPr>
              <w:spacing w:after="0"/>
              <w:rPr>
                <w:sz w:val="12"/>
                <w:szCs w:val="12"/>
                <w:color w:val="auto"/>
              </w:rPr>
            </w:pPr>
          </w:p>
        </w:tc>
        <w:tc>
          <w:tcPr>
            <w:tcW w:w="1200" w:type="dxa"/>
            <w:vAlign w:val="bottom"/>
            <w:shd w:val="clear" w:color="auto" w:fill="009AC8"/>
          </w:tcPr>
          <w:p>
            <w:pPr>
              <w:spacing w:after="0"/>
              <w:rPr>
                <w:sz w:val="12"/>
                <w:szCs w:val="12"/>
                <w:color w:val="auto"/>
              </w:rPr>
            </w:pPr>
          </w:p>
        </w:tc>
        <w:tc>
          <w:tcPr>
            <w:tcW w:w="1020" w:type="dxa"/>
            <w:vAlign w:val="bottom"/>
            <w:shd w:val="clear" w:color="auto" w:fill="009AC8"/>
          </w:tcPr>
          <w:p>
            <w:pPr>
              <w:spacing w:after="0"/>
              <w:rPr>
                <w:sz w:val="12"/>
                <w:szCs w:val="12"/>
                <w:color w:val="auto"/>
              </w:rPr>
            </w:pPr>
          </w:p>
        </w:tc>
        <w:tc>
          <w:tcPr>
            <w:tcW w:w="1160" w:type="dxa"/>
            <w:vAlign w:val="bottom"/>
            <w:shd w:val="clear" w:color="auto" w:fill="009AC8"/>
          </w:tcPr>
          <w:p>
            <w:pPr>
              <w:spacing w:after="0"/>
              <w:rPr>
                <w:sz w:val="12"/>
                <w:szCs w:val="12"/>
                <w:color w:val="auto"/>
              </w:rPr>
            </w:pPr>
          </w:p>
        </w:tc>
        <w:tc>
          <w:tcPr>
            <w:tcW w:w="3360" w:type="dxa"/>
            <w:vAlign w:val="bottom"/>
            <w:gridSpan w:val="3"/>
            <w:shd w:val="clear" w:color="auto" w:fill="009AC8"/>
          </w:tcPr>
          <w:p>
            <w:pPr>
              <w:jc w:val="right"/>
              <w:ind w:right="638"/>
              <w:spacing w:after="0"/>
              <w:rPr>
                <w:sz w:val="20"/>
                <w:szCs w:val="20"/>
                <w:color w:val="auto"/>
              </w:rPr>
            </w:pPr>
            <w:r>
              <w:rPr>
                <w:rFonts w:ascii="Arial" w:cs="Arial" w:eastAsia="Arial" w:hAnsi="Arial"/>
                <w:sz w:val="12"/>
                <w:szCs w:val="12"/>
                <w:b w:val="1"/>
                <w:bCs w:val="1"/>
                <w:color w:val="FFFFFF"/>
              </w:rPr>
              <w:t>thousand million standard cubic feet 2007</w:t>
            </w:r>
          </w:p>
        </w:tc>
      </w:tr>
      <w:tr>
        <w:trPr>
          <w:trHeight w:val="141"/>
        </w:trPr>
        <w:tc>
          <w:tcPr>
            <w:tcW w:w="3540" w:type="dxa"/>
            <w:vAlign w:val="bottom"/>
            <w:shd w:val="clear" w:color="auto" w:fill="CECAC6"/>
          </w:tcPr>
          <w:p>
            <w:pPr>
              <w:spacing w:after="0"/>
              <w:rPr>
                <w:sz w:val="12"/>
                <w:szCs w:val="12"/>
                <w:color w:val="auto"/>
              </w:rPr>
            </w:pPr>
          </w:p>
        </w:tc>
        <w:tc>
          <w:tcPr>
            <w:tcW w:w="114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2180" w:type="dxa"/>
            <w:vAlign w:val="bottom"/>
            <w:gridSpan w:val="2"/>
            <w:shd w:val="clear" w:color="auto" w:fill="CECAC6"/>
          </w:tcPr>
          <w:p>
            <w:pPr>
              <w:jc w:val="right"/>
              <w:ind w:right="258"/>
              <w:spacing w:after="0"/>
              <w:rPr>
                <w:sz w:val="20"/>
                <w:szCs w:val="20"/>
                <w:color w:val="auto"/>
              </w:rPr>
            </w:pPr>
            <w:r>
              <w:rPr>
                <w:rFonts w:ascii="Arial" w:cs="Arial" w:eastAsia="Arial" w:hAnsi="Arial"/>
                <w:sz w:val="12"/>
                <w:szCs w:val="12"/>
                <w:color w:val="auto"/>
              </w:rPr>
              <w:t>Eastern Hemisphere</w:t>
            </w:r>
          </w:p>
        </w:tc>
        <w:tc>
          <w:tcPr>
            <w:tcW w:w="2160" w:type="dxa"/>
            <w:vAlign w:val="bottom"/>
            <w:gridSpan w:val="2"/>
            <w:shd w:val="clear" w:color="auto" w:fill="CECAC6"/>
          </w:tcPr>
          <w:p>
            <w:pPr>
              <w:jc w:val="right"/>
              <w:ind w:right="198"/>
              <w:spacing w:after="0"/>
              <w:rPr>
                <w:sz w:val="20"/>
                <w:szCs w:val="20"/>
                <w:color w:val="auto"/>
              </w:rPr>
            </w:pPr>
            <w:r>
              <w:rPr>
                <w:rFonts w:ascii="Arial" w:cs="Arial" w:eastAsia="Arial" w:hAnsi="Arial"/>
                <w:sz w:val="12"/>
                <w:szCs w:val="12"/>
                <w:color w:val="auto"/>
              </w:rPr>
              <w:t>Western Hemisphere</w:t>
            </w:r>
          </w:p>
        </w:tc>
        <w:tc>
          <w:tcPr>
            <w:tcW w:w="1200" w:type="dxa"/>
            <w:vAlign w:val="bottom"/>
            <w:shd w:val="clear" w:color="auto" w:fill="CECAC6"/>
          </w:tcPr>
          <w:p>
            <w:pPr>
              <w:spacing w:after="0"/>
              <w:rPr>
                <w:sz w:val="12"/>
                <w:szCs w:val="12"/>
                <w:color w:val="auto"/>
              </w:rPr>
            </w:pPr>
          </w:p>
        </w:tc>
      </w:tr>
      <w:tr>
        <w:trPr>
          <w:trHeight w:val="133"/>
        </w:trPr>
        <w:tc>
          <w:tcPr>
            <w:tcW w:w="3540" w:type="dxa"/>
            <w:vAlign w:val="bottom"/>
            <w:shd w:val="clear" w:color="auto" w:fill="CECAC6"/>
          </w:tcPr>
          <w:p>
            <w:pPr>
              <w:spacing w:after="0"/>
              <w:rPr>
                <w:sz w:val="11"/>
                <w:szCs w:val="11"/>
                <w:color w:val="auto"/>
              </w:rPr>
            </w:pPr>
          </w:p>
        </w:tc>
        <w:tc>
          <w:tcPr>
            <w:tcW w:w="114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Asia</w:t>
            </w:r>
          </w:p>
        </w:tc>
        <w:tc>
          <w:tcPr>
            <w:tcW w:w="1160" w:type="dxa"/>
            <w:vAlign w:val="bottom"/>
            <w:shd w:val="clear" w:color="auto" w:fill="CECAC6"/>
          </w:tcPr>
          <w:p>
            <w:pPr>
              <w:ind w:left="180"/>
              <w:spacing w:after="0" w:line="133" w:lineRule="exact"/>
              <w:rPr>
                <w:sz w:val="20"/>
                <w:szCs w:val="20"/>
                <w:color w:val="auto"/>
              </w:rPr>
            </w:pPr>
            <w:r>
              <w:rPr>
                <w:rFonts w:ascii="Arial" w:cs="Arial" w:eastAsia="Arial" w:hAnsi="Arial"/>
                <w:sz w:val="12"/>
                <w:szCs w:val="12"/>
                <w:color w:val="auto"/>
              </w:rPr>
              <w:t>Middle East</w:t>
            </w:r>
          </w:p>
        </w:tc>
        <w:tc>
          <w:tcPr>
            <w:tcW w:w="126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r>
      <w:tr>
        <w:trPr>
          <w:trHeight w:val="139"/>
        </w:trPr>
        <w:tc>
          <w:tcPr>
            <w:tcW w:w="3540" w:type="dxa"/>
            <w:vAlign w:val="bottom"/>
            <w:shd w:val="clear" w:color="auto" w:fill="CECAC6"/>
          </w:tcPr>
          <w:p>
            <w:pPr>
              <w:spacing w:after="0"/>
              <w:rPr>
                <w:sz w:val="12"/>
                <w:szCs w:val="12"/>
                <w:color w:val="auto"/>
              </w:rPr>
            </w:pPr>
          </w:p>
        </w:tc>
        <w:tc>
          <w:tcPr>
            <w:tcW w:w="114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Europe</w:t>
            </w:r>
          </w:p>
        </w:tc>
        <w:tc>
          <w:tcPr>
            <w:tcW w:w="120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[B]</w:t>
            </w:r>
          </w:p>
        </w:tc>
        <w:tc>
          <w:tcPr>
            <w:tcW w:w="10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Pacific</w:t>
            </w:r>
            <w:r>
              <w:rPr>
                <w:rFonts w:ascii="Arial" w:cs="Arial" w:eastAsia="Arial" w:hAnsi="Arial"/>
                <w:sz w:val="10"/>
                <w:szCs w:val="10"/>
                <w:color w:val="auto"/>
              </w:rPr>
              <w:t>[C]</w:t>
            </w:r>
          </w:p>
        </w:tc>
        <w:tc>
          <w:tcPr>
            <w:tcW w:w="1160" w:type="dxa"/>
            <w:vAlign w:val="bottom"/>
            <w:shd w:val="clear" w:color="auto" w:fill="CECAC6"/>
          </w:tcPr>
          <w:p>
            <w:pPr>
              <w:ind w:left="180"/>
              <w:spacing w:after="0"/>
              <w:rPr>
                <w:sz w:val="20"/>
                <w:szCs w:val="20"/>
                <w:color w:val="auto"/>
              </w:rPr>
            </w:pPr>
            <w:r>
              <w:rPr>
                <w:rFonts w:ascii="Arial" w:cs="Arial" w:eastAsia="Arial" w:hAnsi="Arial"/>
                <w:sz w:val="12"/>
                <w:szCs w:val="12"/>
                <w:color w:val="auto"/>
              </w:rPr>
              <w:t>Russia, CIS</w:t>
            </w:r>
            <w:r>
              <w:rPr>
                <w:rFonts w:ascii="Arial" w:cs="Arial" w:eastAsia="Arial" w:hAnsi="Arial"/>
                <w:sz w:val="10"/>
                <w:szCs w:val="10"/>
                <w:color w:val="auto"/>
              </w:rPr>
              <w:t>[D]</w:t>
            </w:r>
          </w:p>
        </w:tc>
        <w:tc>
          <w:tcPr>
            <w:tcW w:w="1260" w:type="dxa"/>
            <w:vAlign w:val="bottom"/>
            <w:shd w:val="clear" w:color="auto" w:fill="CECAC6"/>
          </w:tcPr>
          <w:p>
            <w:pPr>
              <w:jc w:val="right"/>
              <w:ind w:right="298"/>
              <w:spacing w:after="0"/>
              <w:rPr>
                <w:sz w:val="20"/>
                <w:szCs w:val="20"/>
                <w:color w:val="auto"/>
              </w:rPr>
            </w:pPr>
            <w:r>
              <w:rPr>
                <w:rFonts w:ascii="Arial" w:cs="Arial" w:eastAsia="Arial" w:hAnsi="Arial"/>
                <w:sz w:val="12"/>
                <w:szCs w:val="12"/>
                <w:color w:val="auto"/>
              </w:rPr>
              <w:t>USA</w:t>
            </w:r>
          </w:p>
        </w:tc>
        <w:tc>
          <w:tcPr>
            <w:tcW w:w="90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Other</w:t>
            </w:r>
          </w:p>
        </w:tc>
        <w:tc>
          <w:tcPr>
            <w:tcW w:w="1200" w:type="dxa"/>
            <w:vAlign w:val="bottom"/>
            <w:shd w:val="clear" w:color="auto" w:fill="CECAC6"/>
          </w:tcPr>
          <w:p>
            <w:pPr>
              <w:jc w:val="right"/>
              <w:ind w:right="558"/>
              <w:spacing w:after="0"/>
              <w:rPr>
                <w:sz w:val="20"/>
                <w:szCs w:val="20"/>
                <w:color w:val="auto"/>
              </w:rPr>
            </w:pPr>
            <w:r>
              <w:rPr>
                <w:rFonts w:ascii="Arial" w:cs="Arial" w:eastAsia="Arial" w:hAnsi="Arial"/>
                <w:sz w:val="12"/>
                <w:szCs w:val="12"/>
                <w:color w:val="auto"/>
              </w:rPr>
              <w:t>Total</w:t>
            </w:r>
          </w:p>
        </w:tc>
      </w:tr>
      <w:tr>
        <w:trPr>
          <w:trHeight w:val="113"/>
        </w:trPr>
        <w:tc>
          <w:tcPr>
            <w:tcW w:w="354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w:t>
            </w: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rPr>
                <w:sz w:val="20"/>
                <w:szCs w:val="20"/>
                <w:color w:val="auto"/>
              </w:rPr>
            </w:pPr>
            <w:r>
              <w:rPr>
                <w:rFonts w:ascii="Arial" w:cs="Arial" w:eastAsia="Arial" w:hAnsi="Arial"/>
                <w:sz w:val="12"/>
                <w:szCs w:val="12"/>
                <w:color w:val="auto"/>
              </w:rPr>
              <w:t>4,951</w:t>
            </w:r>
          </w:p>
        </w:tc>
        <w:tc>
          <w:tcPr>
            <w:tcW w:w="1200" w:type="dxa"/>
            <w:vAlign w:val="bottom"/>
          </w:tcPr>
          <w:p>
            <w:pPr>
              <w:jc w:val="right"/>
              <w:ind w:right="418"/>
              <w:spacing w:after="0"/>
              <w:rPr>
                <w:sz w:val="20"/>
                <w:szCs w:val="20"/>
                <w:color w:val="auto"/>
              </w:rPr>
            </w:pPr>
            <w:r>
              <w:rPr>
                <w:rFonts w:ascii="Arial" w:cs="Arial" w:eastAsia="Arial" w:hAnsi="Arial"/>
                <w:sz w:val="12"/>
                <w:szCs w:val="12"/>
                <w:color w:val="auto"/>
              </w:rPr>
              <w:t>2,089</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5,485</w:t>
            </w:r>
          </w:p>
        </w:tc>
        <w:tc>
          <w:tcPr>
            <w:tcW w:w="1160" w:type="dxa"/>
            <w:vAlign w:val="bottom"/>
          </w:tcPr>
          <w:p>
            <w:pPr>
              <w:jc w:val="right"/>
              <w:ind w:right="258"/>
              <w:spacing w:after="0"/>
              <w:rPr>
                <w:sz w:val="20"/>
                <w:szCs w:val="20"/>
                <w:color w:val="auto"/>
              </w:rPr>
            </w:pPr>
            <w:r>
              <w:rPr>
                <w:rFonts w:ascii="Arial" w:cs="Arial" w:eastAsia="Arial" w:hAnsi="Arial"/>
                <w:sz w:val="12"/>
                <w:szCs w:val="12"/>
                <w:color w:val="auto"/>
              </w:rPr>
              <w:t>13,582</w:t>
            </w:r>
          </w:p>
        </w:tc>
        <w:tc>
          <w:tcPr>
            <w:tcW w:w="1260" w:type="dxa"/>
            <w:vAlign w:val="bottom"/>
          </w:tcPr>
          <w:p>
            <w:pPr>
              <w:jc w:val="right"/>
              <w:ind w:right="298"/>
              <w:spacing w:after="0"/>
              <w:rPr>
                <w:sz w:val="20"/>
                <w:szCs w:val="20"/>
                <w:color w:val="auto"/>
              </w:rPr>
            </w:pPr>
            <w:r>
              <w:rPr>
                <w:rFonts w:ascii="Arial" w:cs="Arial" w:eastAsia="Arial" w:hAnsi="Arial"/>
                <w:sz w:val="12"/>
                <w:szCs w:val="12"/>
                <w:color w:val="auto"/>
              </w:rPr>
              <w:t>2,629</w:t>
            </w:r>
          </w:p>
        </w:tc>
        <w:tc>
          <w:tcPr>
            <w:tcW w:w="900" w:type="dxa"/>
            <w:vAlign w:val="bottom"/>
          </w:tcPr>
          <w:p>
            <w:pPr>
              <w:jc w:val="right"/>
              <w:ind w:right="198"/>
              <w:spacing w:after="0"/>
              <w:rPr>
                <w:sz w:val="20"/>
                <w:szCs w:val="20"/>
                <w:color w:val="auto"/>
              </w:rPr>
            </w:pPr>
            <w:r>
              <w:rPr>
                <w:rFonts w:ascii="Arial" w:cs="Arial" w:eastAsia="Arial" w:hAnsi="Arial"/>
                <w:sz w:val="12"/>
                <w:szCs w:val="12"/>
                <w:color w:val="auto"/>
              </w:rPr>
              <w:t>1,322</w:t>
            </w:r>
          </w:p>
        </w:tc>
        <w:tc>
          <w:tcPr>
            <w:tcW w:w="1200" w:type="dxa"/>
            <w:vAlign w:val="bottom"/>
          </w:tcPr>
          <w:p>
            <w:pPr>
              <w:jc w:val="right"/>
              <w:ind w:right="518"/>
              <w:spacing w:after="0"/>
              <w:rPr>
                <w:sz w:val="20"/>
                <w:szCs w:val="20"/>
                <w:color w:val="auto"/>
              </w:rPr>
            </w:pPr>
            <w:r>
              <w:rPr>
                <w:rFonts w:ascii="Arial" w:cs="Arial" w:eastAsia="Arial" w:hAnsi="Arial"/>
                <w:sz w:val="12"/>
                <w:szCs w:val="12"/>
                <w:color w:val="auto"/>
              </w:rPr>
              <w:t>30,058</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227</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(348)</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278</w:t>
            </w:r>
          </w:p>
        </w:tc>
        <w:tc>
          <w:tcPr>
            <w:tcW w:w="11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(1,218)</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138</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59</w:t>
            </w:r>
          </w:p>
        </w:tc>
        <w:tc>
          <w:tcPr>
            <w:tcW w:w="12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(864)</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Improved recovery</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Extensions and discoveries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537</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65</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108</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125</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162</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56</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1,053</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Purchases of minerals in place</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Sales of minerals in place</w:t>
            </w:r>
          </w:p>
        </w:tc>
        <w:tc>
          <w:tcPr>
            <w:tcW w:w="11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(150)</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(5,046)</w:t>
            </w:r>
          </w:p>
        </w:tc>
        <w:tc>
          <w:tcPr>
            <w:tcW w:w="12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(50)</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(5,246)</w:t>
            </w:r>
          </w:p>
        </w:tc>
      </w:tr>
      <w:tr>
        <w:trPr>
          <w:trHeight w:val="139"/>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Production</w:t>
            </w: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(662)</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(213)</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(619)</w:t>
            </w:r>
          </w:p>
        </w:tc>
        <w:tc>
          <w:tcPr>
            <w:tcW w:w="11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(91)</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(411)</w:t>
            </w:r>
          </w:p>
        </w:tc>
        <w:tc>
          <w:tcPr>
            <w:tcW w:w="9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(181)</w:t>
            </w: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(2,177)</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4,903</w:t>
            </w: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1,593</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5,252</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7,352</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2,468</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1,257</w:t>
            </w: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22,825</w:t>
            </w:r>
          </w:p>
        </w:tc>
      </w:tr>
      <w:tr>
        <w:trPr>
          <w:trHeight w:val="120"/>
        </w:trPr>
        <w:tc>
          <w:tcPr>
            <w:tcW w:w="3540" w:type="dxa"/>
            <w:vAlign w:val="bottom"/>
          </w:tcPr>
          <w:p>
            <w:pPr>
              <w:spacing w:after="0" w:line="120" w:lineRule="exact"/>
              <w:rPr>
                <w:sz w:val="20"/>
                <w:szCs w:val="20"/>
                <w:color w:val="auto"/>
              </w:rPr>
            </w:pPr>
            <w:r>
              <w:rPr>
                <w:rFonts w:ascii="Arial" w:cs="Arial" w:eastAsia="Arial" w:hAnsi="Arial"/>
                <w:sz w:val="12"/>
                <w:szCs w:val="12"/>
                <w:b w:val="1"/>
                <w:bCs w:val="1"/>
                <w:color w:val="auto"/>
              </w:rPr>
              <w:t>Shell share of equity-accounted investments</w:t>
            </w:r>
          </w:p>
        </w:tc>
        <w:tc>
          <w:tcPr>
            <w:tcW w:w="1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47"/>
        </w:trPr>
        <w:tc>
          <w:tcPr>
            <w:tcW w:w="354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1140" w:type="dxa"/>
            <w:vAlign w:val="bottom"/>
          </w:tcPr>
          <w:p>
            <w:pPr>
              <w:jc w:val="right"/>
              <w:ind w:right="378"/>
              <w:spacing w:after="0"/>
              <w:rPr>
                <w:sz w:val="20"/>
                <w:szCs w:val="20"/>
                <w:color w:val="auto"/>
              </w:rPr>
            </w:pPr>
            <w:r>
              <w:rPr>
                <w:rFonts w:ascii="Arial" w:cs="Arial" w:eastAsia="Arial" w:hAnsi="Arial"/>
                <w:sz w:val="12"/>
                <w:szCs w:val="12"/>
                <w:color w:val="auto"/>
              </w:rPr>
              <w:t>11,902</w:t>
            </w:r>
          </w:p>
        </w:tc>
        <w:tc>
          <w:tcPr>
            <w:tcW w:w="1200" w:type="dxa"/>
            <w:vAlign w:val="bottom"/>
          </w:tcPr>
          <w:p>
            <w:pPr>
              <w:jc w:val="right"/>
              <w:ind w:right="418"/>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rPr>
                <w:sz w:val="20"/>
                <w:szCs w:val="20"/>
                <w:color w:val="auto"/>
              </w:rPr>
            </w:pPr>
            <w:r>
              <w:rPr>
                <w:rFonts w:ascii="Arial" w:cs="Arial" w:eastAsia="Arial" w:hAnsi="Arial"/>
                <w:sz w:val="12"/>
                <w:szCs w:val="12"/>
                <w:color w:val="auto"/>
              </w:rPr>
              <w:t>2,176</w:t>
            </w:r>
          </w:p>
        </w:tc>
        <w:tc>
          <w:tcPr>
            <w:tcW w:w="1160" w:type="dxa"/>
            <w:vAlign w:val="bottom"/>
          </w:tcPr>
          <w:p>
            <w:pPr>
              <w:jc w:val="right"/>
              <w:ind w:right="258"/>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rPr>
                <w:sz w:val="20"/>
                <w:szCs w:val="20"/>
                <w:color w:val="auto"/>
              </w:rPr>
            </w:pPr>
            <w:r>
              <w:rPr>
                <w:rFonts w:ascii="Arial" w:cs="Arial" w:eastAsia="Arial" w:hAnsi="Arial"/>
                <w:sz w:val="12"/>
                <w:szCs w:val="12"/>
                <w:color w:val="auto"/>
              </w:rPr>
              <w:t>5</w:t>
            </w:r>
          </w:p>
        </w:tc>
        <w:tc>
          <w:tcPr>
            <w:tcW w:w="900" w:type="dxa"/>
            <w:vAlign w:val="bottom"/>
          </w:tcPr>
          <w:p>
            <w:pPr>
              <w:jc w:val="right"/>
              <w:ind w:right="198"/>
              <w:spacing w:after="0"/>
              <w:rPr>
                <w:sz w:val="20"/>
                <w:szCs w:val="20"/>
                <w:color w:val="auto"/>
              </w:rPr>
            </w:pPr>
            <w:r>
              <w:rPr>
                <w:rFonts w:ascii="Arial" w:cs="Arial" w:eastAsia="Arial" w:hAnsi="Arial"/>
                <w:sz w:val="12"/>
                <w:szCs w:val="12"/>
                <w:color w:val="auto"/>
              </w:rPr>
              <w:t>1</w:t>
            </w:r>
          </w:p>
        </w:tc>
        <w:tc>
          <w:tcPr>
            <w:tcW w:w="1200" w:type="dxa"/>
            <w:vAlign w:val="bottom"/>
          </w:tcPr>
          <w:p>
            <w:pPr>
              <w:jc w:val="right"/>
              <w:ind w:right="518"/>
              <w:spacing w:after="0"/>
              <w:rPr>
                <w:sz w:val="20"/>
                <w:szCs w:val="20"/>
                <w:color w:val="auto"/>
              </w:rPr>
            </w:pPr>
            <w:r>
              <w:rPr>
                <w:rFonts w:ascii="Arial" w:cs="Arial" w:eastAsia="Arial" w:hAnsi="Arial"/>
                <w:sz w:val="12"/>
                <w:szCs w:val="12"/>
                <w:color w:val="auto"/>
              </w:rPr>
              <w:t>14,084</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244</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121</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1,881</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7</w:t>
            </w:r>
          </w:p>
        </w:tc>
        <w:tc>
          <w:tcPr>
            <w:tcW w:w="90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2,252</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Improved recovery</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1</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Extensions and discoveries</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22</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6</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2,555</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2,583</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Purchases of minerals in place</w:t>
            </w:r>
          </w:p>
        </w:tc>
        <w:tc>
          <w:tcPr>
            <w:tcW w:w="114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w:t>
            </w:r>
          </w:p>
        </w:tc>
      </w:tr>
      <w:tr>
        <w:trPr>
          <w:trHeight w:val="133"/>
        </w:trPr>
        <w:tc>
          <w:tcPr>
            <w:tcW w:w="3540" w:type="dxa"/>
            <w:vAlign w:val="bottom"/>
          </w:tcPr>
          <w:p>
            <w:pPr>
              <w:spacing w:after="0" w:line="133" w:lineRule="exact"/>
              <w:rPr>
                <w:sz w:val="20"/>
                <w:szCs w:val="20"/>
                <w:color w:val="auto"/>
              </w:rPr>
            </w:pPr>
            <w:r>
              <w:rPr>
                <w:rFonts w:ascii="Arial" w:cs="Arial" w:eastAsia="Arial" w:hAnsi="Arial"/>
                <w:sz w:val="12"/>
                <w:szCs w:val="12"/>
                <w:color w:val="auto"/>
              </w:rPr>
              <w:t>Sales of minerals in place</w:t>
            </w:r>
          </w:p>
        </w:tc>
        <w:tc>
          <w:tcPr>
            <w:tcW w:w="11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(29)</w:t>
            </w:r>
          </w:p>
        </w:tc>
        <w:tc>
          <w:tcPr>
            <w:tcW w:w="120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298"/>
              <w:spacing w:after="0" w:line="133"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(29)</w:t>
            </w:r>
          </w:p>
        </w:tc>
      </w:tr>
      <w:tr>
        <w:trPr>
          <w:trHeight w:val="139"/>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Production</w:t>
            </w:r>
          </w:p>
        </w:tc>
        <w:tc>
          <w:tcPr>
            <w:tcW w:w="11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(561)</w:t>
            </w: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(259)</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(821)</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11,578</w:t>
            </w: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2,044</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4,436</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12</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18,070</w:t>
            </w:r>
          </w:p>
        </w:tc>
      </w:tr>
      <w:tr>
        <w:trPr>
          <w:trHeight w:val="140"/>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Minority interests’ share of subsidiaries</w:t>
            </w:r>
          </w:p>
        </w:tc>
        <w:tc>
          <w:tcPr>
            <w:tcW w:w="1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46"/>
        </w:trPr>
        <w:tc>
          <w:tcPr>
            <w:tcW w:w="3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26</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-2054860</wp:posOffset>
            </wp:positionV>
            <wp:extent cx="5006975" cy="262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006975" cy="262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20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PROVED DEVELOPED RESERVES [A]</w:t>
            </w:r>
          </w:p>
        </w:tc>
        <w:tc>
          <w:tcPr>
            <w:tcW w:w="1460" w:type="dxa"/>
            <w:vAlign w:val="bottom"/>
            <w:shd w:val="clear" w:color="auto" w:fill="009AC8"/>
          </w:tcPr>
          <w:p>
            <w:pPr>
              <w:spacing w:after="0"/>
              <w:rPr>
                <w:sz w:val="12"/>
                <w:szCs w:val="12"/>
                <w:color w:val="auto"/>
              </w:rPr>
            </w:pPr>
          </w:p>
        </w:tc>
        <w:tc>
          <w:tcPr>
            <w:tcW w:w="1220" w:type="dxa"/>
            <w:vAlign w:val="bottom"/>
            <w:shd w:val="clear" w:color="auto" w:fill="009AC8"/>
          </w:tcPr>
          <w:p>
            <w:pPr>
              <w:spacing w:after="0"/>
              <w:rPr>
                <w:sz w:val="12"/>
                <w:szCs w:val="12"/>
                <w:color w:val="auto"/>
              </w:rPr>
            </w:pPr>
          </w:p>
        </w:tc>
        <w:tc>
          <w:tcPr>
            <w:tcW w:w="1020" w:type="dxa"/>
            <w:vAlign w:val="bottom"/>
            <w:shd w:val="clear" w:color="auto" w:fill="009AC8"/>
          </w:tcPr>
          <w:p>
            <w:pPr>
              <w:spacing w:after="0"/>
              <w:rPr>
                <w:sz w:val="12"/>
                <w:szCs w:val="12"/>
                <w:color w:val="auto"/>
              </w:rPr>
            </w:pPr>
          </w:p>
        </w:tc>
        <w:tc>
          <w:tcPr>
            <w:tcW w:w="1160" w:type="dxa"/>
            <w:vAlign w:val="bottom"/>
            <w:shd w:val="clear" w:color="auto" w:fill="009AC8"/>
          </w:tcPr>
          <w:p>
            <w:pPr>
              <w:spacing w:after="0"/>
              <w:rPr>
                <w:sz w:val="12"/>
                <w:szCs w:val="12"/>
                <w:color w:val="auto"/>
              </w:rPr>
            </w:pPr>
          </w:p>
        </w:tc>
        <w:tc>
          <w:tcPr>
            <w:tcW w:w="3360" w:type="dxa"/>
            <w:vAlign w:val="bottom"/>
            <w:gridSpan w:val="3"/>
            <w:shd w:val="clear" w:color="auto" w:fill="009AC8"/>
          </w:tcPr>
          <w:p>
            <w:pPr>
              <w:jc w:val="right"/>
              <w:ind w:right="638"/>
              <w:spacing w:after="0"/>
              <w:rPr>
                <w:sz w:val="20"/>
                <w:szCs w:val="20"/>
                <w:color w:val="auto"/>
              </w:rPr>
            </w:pPr>
            <w:r>
              <w:rPr>
                <w:rFonts w:ascii="Arial" w:cs="Arial" w:eastAsia="Arial" w:hAnsi="Arial"/>
                <w:sz w:val="12"/>
                <w:szCs w:val="12"/>
                <w:b w:val="1"/>
                <w:bCs w:val="1"/>
                <w:color w:val="FFFFFF"/>
              </w:rPr>
              <w:t>thousand million standard cubic feet 2007</w:t>
            </w:r>
          </w:p>
        </w:tc>
      </w:tr>
      <w:tr>
        <w:trPr>
          <w:trHeight w:val="141"/>
        </w:trPr>
        <w:tc>
          <w:tcPr>
            <w:tcW w:w="3200" w:type="dxa"/>
            <w:vAlign w:val="bottom"/>
            <w:shd w:val="clear" w:color="auto" w:fill="CECAC6"/>
          </w:tcPr>
          <w:p>
            <w:pPr>
              <w:spacing w:after="0"/>
              <w:rPr>
                <w:sz w:val="12"/>
                <w:szCs w:val="12"/>
                <w:color w:val="auto"/>
              </w:rPr>
            </w:pPr>
          </w:p>
        </w:tc>
        <w:tc>
          <w:tcPr>
            <w:tcW w:w="1460" w:type="dxa"/>
            <w:vAlign w:val="bottom"/>
            <w:shd w:val="clear" w:color="auto" w:fill="CECAC6"/>
          </w:tcPr>
          <w:p>
            <w:pPr>
              <w:spacing w:after="0"/>
              <w:rPr>
                <w:sz w:val="12"/>
                <w:szCs w:val="12"/>
                <w:color w:val="auto"/>
              </w:rPr>
            </w:pPr>
          </w:p>
        </w:tc>
        <w:tc>
          <w:tcPr>
            <w:tcW w:w="1220" w:type="dxa"/>
            <w:vAlign w:val="bottom"/>
            <w:shd w:val="clear" w:color="auto" w:fill="CECAC6"/>
          </w:tcPr>
          <w:p>
            <w:pPr>
              <w:spacing w:after="0"/>
              <w:rPr>
                <w:sz w:val="12"/>
                <w:szCs w:val="12"/>
                <w:color w:val="auto"/>
              </w:rPr>
            </w:pPr>
          </w:p>
        </w:tc>
        <w:tc>
          <w:tcPr>
            <w:tcW w:w="2180" w:type="dxa"/>
            <w:vAlign w:val="bottom"/>
            <w:gridSpan w:val="2"/>
            <w:shd w:val="clear" w:color="auto" w:fill="CECAC6"/>
          </w:tcPr>
          <w:p>
            <w:pPr>
              <w:jc w:val="right"/>
              <w:ind w:right="258"/>
              <w:spacing w:after="0"/>
              <w:rPr>
                <w:sz w:val="20"/>
                <w:szCs w:val="20"/>
                <w:color w:val="auto"/>
              </w:rPr>
            </w:pPr>
            <w:r>
              <w:rPr>
                <w:rFonts w:ascii="Arial" w:cs="Arial" w:eastAsia="Arial" w:hAnsi="Arial"/>
                <w:sz w:val="12"/>
                <w:szCs w:val="12"/>
                <w:color w:val="auto"/>
              </w:rPr>
              <w:t>Eastern Hemisphere</w:t>
            </w:r>
          </w:p>
        </w:tc>
        <w:tc>
          <w:tcPr>
            <w:tcW w:w="2140" w:type="dxa"/>
            <w:vAlign w:val="bottom"/>
            <w:gridSpan w:val="2"/>
            <w:shd w:val="clear" w:color="auto" w:fill="CECAC6"/>
          </w:tcPr>
          <w:p>
            <w:pPr>
              <w:jc w:val="right"/>
              <w:ind w:right="178"/>
              <w:spacing w:after="0"/>
              <w:rPr>
                <w:sz w:val="20"/>
                <w:szCs w:val="20"/>
                <w:color w:val="auto"/>
              </w:rPr>
            </w:pPr>
            <w:r>
              <w:rPr>
                <w:rFonts w:ascii="Arial" w:cs="Arial" w:eastAsia="Arial" w:hAnsi="Arial"/>
                <w:sz w:val="12"/>
                <w:szCs w:val="12"/>
                <w:color w:val="auto"/>
              </w:rPr>
              <w:t>Western Hemisphere</w:t>
            </w:r>
          </w:p>
        </w:tc>
        <w:tc>
          <w:tcPr>
            <w:tcW w:w="1220" w:type="dxa"/>
            <w:vAlign w:val="bottom"/>
            <w:shd w:val="clear" w:color="auto" w:fill="CECAC6"/>
          </w:tcPr>
          <w:p>
            <w:pPr>
              <w:spacing w:after="0"/>
              <w:rPr>
                <w:sz w:val="12"/>
                <w:szCs w:val="12"/>
                <w:color w:val="auto"/>
              </w:rPr>
            </w:pPr>
          </w:p>
        </w:tc>
      </w:tr>
      <w:tr>
        <w:trPr>
          <w:trHeight w:val="133"/>
        </w:trPr>
        <w:tc>
          <w:tcPr>
            <w:tcW w:w="3200" w:type="dxa"/>
            <w:vAlign w:val="bottom"/>
            <w:shd w:val="clear" w:color="auto" w:fill="CECAC6"/>
          </w:tcPr>
          <w:p>
            <w:pPr>
              <w:spacing w:after="0"/>
              <w:rPr>
                <w:sz w:val="11"/>
                <w:szCs w:val="11"/>
                <w:color w:val="auto"/>
              </w:rPr>
            </w:pPr>
          </w:p>
        </w:tc>
        <w:tc>
          <w:tcPr>
            <w:tcW w:w="1460" w:type="dxa"/>
            <w:vAlign w:val="bottom"/>
            <w:shd w:val="clear" w:color="auto" w:fill="CECAC6"/>
          </w:tcPr>
          <w:p>
            <w:pPr>
              <w:spacing w:after="0"/>
              <w:rPr>
                <w:sz w:val="11"/>
                <w:szCs w:val="11"/>
                <w:color w:val="auto"/>
              </w:rPr>
            </w:pPr>
          </w:p>
        </w:tc>
        <w:tc>
          <w:tcPr>
            <w:tcW w:w="1220" w:type="dxa"/>
            <w:vAlign w:val="bottom"/>
            <w:shd w:val="clear" w:color="auto" w:fill="CECAC6"/>
          </w:tcPr>
          <w:p>
            <w:pPr>
              <w:spacing w:after="0"/>
              <w:rPr>
                <w:sz w:val="11"/>
                <w:szCs w:val="11"/>
                <w:color w:val="auto"/>
              </w:rPr>
            </w:pPr>
          </w:p>
        </w:tc>
        <w:tc>
          <w:tcPr>
            <w:tcW w:w="102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Asia</w:t>
            </w:r>
          </w:p>
        </w:tc>
        <w:tc>
          <w:tcPr>
            <w:tcW w:w="1160" w:type="dxa"/>
            <w:vAlign w:val="bottom"/>
            <w:shd w:val="clear" w:color="auto" w:fill="CECAC6"/>
          </w:tcPr>
          <w:p>
            <w:pPr>
              <w:ind w:left="180"/>
              <w:spacing w:after="0" w:line="133" w:lineRule="exact"/>
              <w:rPr>
                <w:sz w:val="20"/>
                <w:szCs w:val="20"/>
                <w:color w:val="auto"/>
              </w:rPr>
            </w:pPr>
            <w:r>
              <w:rPr>
                <w:rFonts w:ascii="Arial" w:cs="Arial" w:eastAsia="Arial" w:hAnsi="Arial"/>
                <w:sz w:val="12"/>
                <w:szCs w:val="12"/>
                <w:color w:val="auto"/>
              </w:rPr>
              <w:t>Middle East</w:t>
            </w:r>
          </w:p>
        </w:tc>
        <w:tc>
          <w:tcPr>
            <w:tcW w:w="1240" w:type="dxa"/>
            <w:vAlign w:val="bottom"/>
            <w:shd w:val="clear" w:color="auto" w:fill="CECAC6"/>
          </w:tcPr>
          <w:p>
            <w:pPr>
              <w:spacing w:after="0"/>
              <w:rPr>
                <w:sz w:val="11"/>
                <w:szCs w:val="11"/>
                <w:color w:val="auto"/>
              </w:rPr>
            </w:pPr>
          </w:p>
        </w:tc>
        <w:tc>
          <w:tcPr>
            <w:tcW w:w="900" w:type="dxa"/>
            <w:vAlign w:val="bottom"/>
            <w:shd w:val="clear" w:color="auto" w:fill="CECAC6"/>
          </w:tcPr>
          <w:p>
            <w:pPr>
              <w:spacing w:after="0"/>
              <w:rPr>
                <w:sz w:val="11"/>
                <w:szCs w:val="11"/>
                <w:color w:val="auto"/>
              </w:rPr>
            </w:pPr>
          </w:p>
        </w:tc>
        <w:tc>
          <w:tcPr>
            <w:tcW w:w="1220" w:type="dxa"/>
            <w:vAlign w:val="bottom"/>
            <w:shd w:val="clear" w:color="auto" w:fill="CECAC6"/>
          </w:tcPr>
          <w:p>
            <w:pPr>
              <w:spacing w:after="0"/>
              <w:rPr>
                <w:sz w:val="11"/>
                <w:szCs w:val="11"/>
                <w:color w:val="auto"/>
              </w:rPr>
            </w:pPr>
          </w:p>
        </w:tc>
      </w:tr>
      <w:tr>
        <w:trPr>
          <w:trHeight w:val="139"/>
        </w:trPr>
        <w:tc>
          <w:tcPr>
            <w:tcW w:w="3200" w:type="dxa"/>
            <w:vAlign w:val="bottom"/>
            <w:shd w:val="clear" w:color="auto" w:fill="CECAC6"/>
          </w:tcPr>
          <w:p>
            <w:pPr>
              <w:spacing w:after="0"/>
              <w:rPr>
                <w:sz w:val="12"/>
                <w:szCs w:val="12"/>
                <w:color w:val="auto"/>
              </w:rPr>
            </w:pPr>
          </w:p>
        </w:tc>
        <w:tc>
          <w:tcPr>
            <w:tcW w:w="146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Europe</w:t>
            </w:r>
          </w:p>
        </w:tc>
        <w:tc>
          <w:tcPr>
            <w:tcW w:w="12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0"/>
                <w:szCs w:val="10"/>
                <w:color w:val="auto"/>
              </w:rPr>
              <w:t>[B]</w:t>
            </w:r>
          </w:p>
        </w:tc>
        <w:tc>
          <w:tcPr>
            <w:tcW w:w="102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Pacific</w:t>
            </w:r>
            <w:r>
              <w:rPr>
                <w:rFonts w:ascii="Arial" w:cs="Arial" w:eastAsia="Arial" w:hAnsi="Arial"/>
                <w:sz w:val="10"/>
                <w:szCs w:val="10"/>
                <w:color w:val="auto"/>
              </w:rPr>
              <w:t>[C]</w:t>
            </w:r>
          </w:p>
        </w:tc>
        <w:tc>
          <w:tcPr>
            <w:tcW w:w="1160" w:type="dxa"/>
            <w:vAlign w:val="bottom"/>
            <w:shd w:val="clear" w:color="auto" w:fill="CECAC6"/>
          </w:tcPr>
          <w:p>
            <w:pPr>
              <w:ind w:left="180"/>
              <w:spacing w:after="0"/>
              <w:rPr>
                <w:sz w:val="20"/>
                <w:szCs w:val="20"/>
                <w:color w:val="auto"/>
              </w:rPr>
            </w:pPr>
            <w:r>
              <w:rPr>
                <w:rFonts w:ascii="Arial" w:cs="Arial" w:eastAsia="Arial" w:hAnsi="Arial"/>
                <w:sz w:val="12"/>
                <w:szCs w:val="12"/>
                <w:color w:val="auto"/>
              </w:rPr>
              <w:t>Russia, CIS</w:t>
            </w:r>
            <w:r>
              <w:rPr>
                <w:rFonts w:ascii="Arial" w:cs="Arial" w:eastAsia="Arial" w:hAnsi="Arial"/>
                <w:sz w:val="10"/>
                <w:szCs w:val="10"/>
                <w:color w:val="auto"/>
              </w:rPr>
              <w:t>[D]</w:t>
            </w:r>
          </w:p>
        </w:tc>
        <w:tc>
          <w:tcPr>
            <w:tcW w:w="124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USA</w:t>
            </w:r>
          </w:p>
        </w:tc>
        <w:tc>
          <w:tcPr>
            <w:tcW w:w="9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Other</w:t>
            </w:r>
          </w:p>
        </w:tc>
        <w:tc>
          <w:tcPr>
            <w:tcW w:w="1220" w:type="dxa"/>
            <w:vAlign w:val="bottom"/>
            <w:shd w:val="clear" w:color="auto" w:fill="CECAC6"/>
          </w:tcPr>
          <w:p>
            <w:pPr>
              <w:jc w:val="right"/>
              <w:ind w:right="558"/>
              <w:spacing w:after="0"/>
              <w:rPr>
                <w:sz w:val="20"/>
                <w:szCs w:val="20"/>
                <w:color w:val="auto"/>
              </w:rPr>
            </w:pPr>
            <w:r>
              <w:rPr>
                <w:rFonts w:ascii="Arial" w:cs="Arial" w:eastAsia="Arial" w:hAnsi="Arial"/>
                <w:sz w:val="12"/>
                <w:szCs w:val="12"/>
                <w:color w:val="auto"/>
              </w:rPr>
              <w:t>Total</w:t>
            </w:r>
          </w:p>
        </w:tc>
      </w:tr>
      <w:tr>
        <w:trPr>
          <w:trHeight w:val="113"/>
        </w:trPr>
        <w:tc>
          <w:tcPr>
            <w:tcW w:w="320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w:t>
            </w:r>
          </w:p>
        </w:tc>
        <w:tc>
          <w:tcPr>
            <w:tcW w:w="1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b w:val="1"/>
                <w:bCs w:val="1"/>
                <w:color w:val="auto"/>
              </w:rPr>
              <w:t>At January 1</w:t>
            </w:r>
          </w:p>
        </w:tc>
        <w:tc>
          <w:tcPr>
            <w:tcW w:w="14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3,224</w:t>
            </w:r>
          </w:p>
        </w:tc>
        <w:tc>
          <w:tcPr>
            <w:tcW w:w="122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601</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2,263</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134</w:t>
            </w:r>
          </w:p>
        </w:tc>
        <w:tc>
          <w:tcPr>
            <w:tcW w:w="124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1,504</w:t>
            </w:r>
          </w:p>
        </w:tc>
        <w:tc>
          <w:tcPr>
            <w:tcW w:w="9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871</w:t>
            </w:r>
          </w:p>
        </w:tc>
        <w:tc>
          <w:tcPr>
            <w:tcW w:w="122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8,597</w:t>
            </w:r>
          </w:p>
        </w:tc>
      </w:tr>
      <w:tr>
        <w:trPr>
          <w:trHeight w:val="153"/>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4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3,185</w:t>
            </w: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628</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2,270</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99</w:t>
            </w:r>
          </w:p>
        </w:tc>
        <w:tc>
          <w:tcPr>
            <w:tcW w:w="12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1,319</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857</w:t>
            </w: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8,358</w:t>
            </w:r>
          </w:p>
        </w:tc>
      </w:tr>
      <w:tr>
        <w:trPr>
          <w:trHeight w:val="120"/>
        </w:trPr>
        <w:tc>
          <w:tcPr>
            <w:tcW w:w="3200" w:type="dxa"/>
            <w:vAlign w:val="bottom"/>
          </w:tcPr>
          <w:p>
            <w:pPr>
              <w:spacing w:after="0" w:line="120" w:lineRule="exact"/>
              <w:rPr>
                <w:sz w:val="20"/>
                <w:szCs w:val="20"/>
                <w:color w:val="auto"/>
              </w:rPr>
            </w:pPr>
            <w:r>
              <w:rPr>
                <w:rFonts w:ascii="Arial" w:cs="Arial" w:eastAsia="Arial" w:hAnsi="Arial"/>
                <w:sz w:val="12"/>
                <w:szCs w:val="12"/>
                <w:b w:val="1"/>
                <w:bCs w:val="1"/>
                <w:color w:val="auto"/>
              </w:rPr>
              <w:t>Shell share of equity-accounted investments</w:t>
            </w:r>
          </w:p>
        </w:tc>
        <w:tc>
          <w:tcPr>
            <w:tcW w:w="1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133"/>
        </w:trPr>
        <w:tc>
          <w:tcPr>
            <w:tcW w:w="3200" w:type="dxa"/>
            <w:vAlign w:val="bottom"/>
          </w:tcPr>
          <w:p>
            <w:pPr>
              <w:spacing w:after="0" w:line="133" w:lineRule="exact"/>
              <w:rPr>
                <w:sz w:val="20"/>
                <w:szCs w:val="20"/>
                <w:color w:val="auto"/>
              </w:rPr>
            </w:pPr>
            <w:r>
              <w:rPr>
                <w:rFonts w:ascii="Arial" w:cs="Arial" w:eastAsia="Arial" w:hAnsi="Arial"/>
                <w:sz w:val="12"/>
                <w:szCs w:val="12"/>
                <w:b w:val="1"/>
                <w:bCs w:val="1"/>
                <w:color w:val="auto"/>
              </w:rPr>
              <w:t>At January 1</w:t>
            </w:r>
          </w:p>
        </w:tc>
        <w:tc>
          <w:tcPr>
            <w:tcW w:w="146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9,827</w:t>
            </w:r>
          </w:p>
        </w:tc>
        <w:tc>
          <w:tcPr>
            <w:tcW w:w="122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1,260</w:t>
            </w:r>
          </w:p>
        </w:tc>
        <w:tc>
          <w:tcPr>
            <w:tcW w:w="116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w:t>
            </w:r>
          </w:p>
        </w:tc>
        <w:tc>
          <w:tcPr>
            <w:tcW w:w="90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w:t>
            </w:r>
          </w:p>
        </w:tc>
        <w:tc>
          <w:tcPr>
            <w:tcW w:w="1220" w:type="dxa"/>
            <w:vAlign w:val="bottom"/>
          </w:tcPr>
          <w:p>
            <w:pPr>
              <w:jc w:val="right"/>
              <w:ind w:right="518"/>
              <w:spacing w:after="0" w:line="133" w:lineRule="exact"/>
              <w:rPr>
                <w:sz w:val="20"/>
                <w:szCs w:val="20"/>
                <w:color w:val="auto"/>
              </w:rPr>
            </w:pPr>
            <w:r>
              <w:rPr>
                <w:rFonts w:ascii="Arial" w:cs="Arial" w:eastAsia="Arial" w:hAnsi="Arial"/>
                <w:sz w:val="12"/>
                <w:szCs w:val="12"/>
                <w:color w:val="auto"/>
              </w:rPr>
              <w:t>11,092</w:t>
            </w:r>
          </w:p>
        </w:tc>
      </w:tr>
      <w:tr>
        <w:trPr>
          <w:trHeight w:val="160"/>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14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9,543</w:t>
            </w:r>
          </w:p>
        </w:tc>
        <w:tc>
          <w:tcPr>
            <w:tcW w:w="122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1,333</w:t>
            </w:r>
          </w:p>
        </w:tc>
        <w:tc>
          <w:tcPr>
            <w:tcW w:w="11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w:t>
            </w:r>
          </w:p>
        </w:tc>
        <w:tc>
          <w:tcPr>
            <w:tcW w:w="9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10,884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2245360</wp:posOffset>
            </wp:positionH>
            <wp:positionV relativeFrom="paragraph">
              <wp:posOffset>-802640</wp:posOffset>
            </wp:positionV>
            <wp:extent cx="5006975" cy="262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006975" cy="262255"/>
                    </a:xfrm>
                    <a:prstGeom prst="rect">
                      <a:avLst/>
                    </a:prstGeom>
                    <a:noFill/>
                  </pic:spPr>
                </pic:pic>
              </a:graphicData>
            </a:graphic>
          </wp:anchor>
        </w:drawing>
      </w:r>
    </w:p>
    <w:p>
      <w:pPr>
        <w:ind w:left="200" w:hanging="193"/>
        <w:spacing w:after="0"/>
        <w:tabs>
          <w:tab w:leader="none" w:pos="2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These quantities have not been adjusted to standard heat content.</w:t>
      </w:r>
    </w:p>
    <w:p>
      <w:pPr>
        <w:ind w:left="200" w:hanging="193"/>
        <w:spacing w:after="0" w:line="231" w:lineRule="auto"/>
        <w:tabs>
          <w:tab w:leader="none" w:pos="2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Excludes Egypt.</w:t>
      </w:r>
    </w:p>
    <w:p>
      <w:pPr>
        <w:ind w:left="200" w:hanging="193"/>
        <w:spacing w:after="0" w:line="231" w:lineRule="auto"/>
        <w:tabs>
          <w:tab w:leader="none" w:pos="2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Excludes Sakhalin.</w:t>
      </w:r>
    </w:p>
    <w:p>
      <w:pPr>
        <w:ind w:left="200" w:hanging="193"/>
        <w:spacing w:after="0"/>
        <w:tabs>
          <w:tab w:leader="none" w:pos="20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Includes Caspian region, Egypt and Sakhalin.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hanging="333"/>
        <w:spacing w:after="0"/>
        <w:tabs>
          <w:tab w:leader="none" w:pos="340" w:val="left"/>
        </w:tabs>
        <w:numPr>
          <w:ilvl w:val="0"/>
          <w:numId w:val="15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Shell share of equity-accounted investments</w:t>
      </w:r>
    </w:p>
    <w:p>
      <w:pPr>
        <w:spacing w:after="0" w:line="6" w:lineRule="exact"/>
        <w:rPr>
          <w:sz w:val="20"/>
          <w:szCs w:val="20"/>
          <w:color w:val="auto"/>
        </w:rPr>
      </w:pPr>
    </w:p>
    <w:p>
      <w:pPr>
        <w:jc w:val="both"/>
        <w:ind w:left="440" w:right="60"/>
        <w:spacing w:after="0" w:line="229"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upward revision of 1,881 thousand million scf in revisions and reclassifications was related to the change in reporting of Sakhalin II volumes from</w:t>
      </w:r>
      <w:r>
        <w:rPr>
          <w:rFonts w:ascii="Arial" w:cs="Arial" w:eastAsia="Arial" w:hAnsi="Arial"/>
          <w:sz w:val="14"/>
          <w:szCs w:val="14"/>
          <w:b w:val="1"/>
          <w:bCs w:val="1"/>
          <w:color w:val="auto"/>
        </w:rPr>
        <w:t xml:space="preserve"> </w:t>
      </w:r>
      <w:r>
        <w:rPr>
          <w:rFonts w:ascii="Arial" w:cs="Arial" w:eastAsia="Arial" w:hAnsi="Arial"/>
          <w:sz w:val="14"/>
          <w:szCs w:val="14"/>
          <w:color w:val="auto"/>
        </w:rPr>
        <w:t>subsidiary to an equity-accounted investment. The increase of 2,555 thousand million scf in extensions and discoveries was primarily related to the maturation of the LNG project in Qatar following signing of the sale and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-254000</wp:posOffset>
            </wp:positionV>
            <wp:extent cx="282575" cy="73158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82575" cy="7315835"/>
                    </a:xfrm>
                    <a:prstGeom prst="rect">
                      <a:avLst/>
                    </a:prstGeom>
                    <a:noFill/>
                  </pic:spPr>
                </pic:pic>
              </a:graphicData>
            </a:graphic>
          </wp:anchor>
        </w:drawing>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2006 COMPARED TO 2005</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Shell subsidiaries</w:t>
      </w:r>
    </w:p>
    <w:p>
      <w:pPr>
        <w:ind w:left="440" w:right="140"/>
        <w:spacing w:after="0" w:line="234" w:lineRule="auto"/>
        <w:rPr>
          <w:sz w:val="20"/>
          <w:szCs w:val="20"/>
          <w:color w:val="auto"/>
        </w:rPr>
      </w:pPr>
      <w:r>
        <w:rPr>
          <w:rFonts w:ascii="Arial" w:cs="Arial" w:eastAsia="Arial" w:hAnsi="Arial"/>
          <w:sz w:val="14"/>
          <w:szCs w:val="14"/>
          <w:b w:val="1"/>
          <w:bCs w:val="1"/>
          <w:color w:val="auto"/>
        </w:rPr>
        <w:t xml:space="preserve">Europe </w:t>
      </w:r>
      <w:r>
        <w:rPr>
          <w:rFonts w:ascii="Arial" w:cs="Arial" w:eastAsia="Arial" w:hAnsi="Arial"/>
          <w:sz w:val="14"/>
          <w:szCs w:val="14"/>
          <w:color w:val="auto"/>
        </w:rPr>
        <w:t>The downward revision of 302 thousand million scf in revisions and reclassifications was primarily related to year-end price effects and field re-evaluations in a number</w:t>
      </w:r>
      <w:r>
        <w:rPr>
          <w:rFonts w:ascii="Arial" w:cs="Arial" w:eastAsia="Arial" w:hAnsi="Arial"/>
          <w:sz w:val="14"/>
          <w:szCs w:val="14"/>
          <w:b w:val="1"/>
          <w:bCs w:val="1"/>
          <w:color w:val="auto"/>
        </w:rPr>
        <w:t xml:space="preserve"> </w:t>
      </w:r>
      <w:r>
        <w:rPr>
          <w:rFonts w:ascii="Arial" w:cs="Arial" w:eastAsia="Arial" w:hAnsi="Arial"/>
          <w:sz w:val="14"/>
          <w:szCs w:val="14"/>
          <w:color w:val="auto"/>
        </w:rPr>
        <w:t>of fields following the acquisition of new well and performance data.</w:t>
      </w:r>
    </w:p>
    <w:p>
      <w:pPr>
        <w:spacing w:after="0" w:line="70" w:lineRule="exact"/>
        <w:rPr>
          <w:sz w:val="20"/>
          <w:szCs w:val="20"/>
          <w:color w:val="auto"/>
        </w:rPr>
      </w:pPr>
    </w:p>
    <w:p>
      <w:pPr>
        <w:ind w:left="440" w:right="40"/>
        <w:spacing w:after="0" w:line="263" w:lineRule="auto"/>
        <w:rPr>
          <w:sz w:val="20"/>
          <w:szCs w:val="20"/>
          <w:color w:val="auto"/>
        </w:rPr>
      </w:pPr>
      <w:r>
        <w:rPr>
          <w:rFonts w:ascii="Arial" w:cs="Arial" w:eastAsia="Arial" w:hAnsi="Arial"/>
          <w:sz w:val="13"/>
          <w:szCs w:val="13"/>
          <w:b w:val="1"/>
          <w:bCs w:val="1"/>
          <w:color w:val="auto"/>
        </w:rPr>
        <w:t xml:space="preserve">Africa </w:t>
      </w:r>
      <w:r>
        <w:rPr>
          <w:rFonts w:ascii="Arial" w:cs="Arial" w:eastAsia="Arial" w:hAnsi="Arial"/>
          <w:sz w:val="13"/>
          <w:szCs w:val="13"/>
          <w:color w:val="auto"/>
        </w:rPr>
        <w:t>The downward revision of 266 thousand million scf in revisions and reclassifications was primarily related to field re-evaluations in a number of fields following the</w:t>
      </w:r>
      <w:r>
        <w:rPr>
          <w:rFonts w:ascii="Arial" w:cs="Arial" w:eastAsia="Arial" w:hAnsi="Arial"/>
          <w:sz w:val="13"/>
          <w:szCs w:val="13"/>
          <w:b w:val="1"/>
          <w:bCs w:val="1"/>
          <w:color w:val="auto"/>
        </w:rPr>
        <w:t xml:space="preserve"> </w:t>
      </w:r>
      <w:r>
        <w:rPr>
          <w:rFonts w:ascii="Arial" w:cs="Arial" w:eastAsia="Arial" w:hAnsi="Arial"/>
          <w:sz w:val="13"/>
          <w:szCs w:val="13"/>
          <w:color w:val="auto"/>
        </w:rPr>
        <w:t>acquisition of new performance data, review of the applicability of analogue reservoirs and re-appraisal of future development plans. This is offset by the increase of 348 thousand million scf in extensions and discoveries that is primarily related to the maturation of a number of gas projects committed to LNG and domestic gas.</w:t>
      </w:r>
    </w:p>
    <w:p>
      <w:pPr>
        <w:spacing w:after="0" w:line="55" w:lineRule="exact"/>
        <w:rPr>
          <w:sz w:val="20"/>
          <w:szCs w:val="20"/>
          <w:color w:val="auto"/>
        </w:rPr>
      </w:pPr>
    </w:p>
    <w:p>
      <w:pPr>
        <w:ind w:left="440" w:right="20"/>
        <w:spacing w:after="0" w:line="253" w:lineRule="auto"/>
        <w:rPr>
          <w:sz w:val="20"/>
          <w:szCs w:val="20"/>
          <w:color w:val="auto"/>
        </w:rPr>
      </w:pPr>
      <w:r>
        <w:rPr>
          <w:rFonts w:ascii="Arial" w:cs="Arial" w:eastAsia="Arial" w:hAnsi="Arial"/>
          <w:sz w:val="14"/>
          <w:szCs w:val="14"/>
          <w:b w:val="1"/>
          <w:bCs w:val="1"/>
          <w:color w:val="auto"/>
        </w:rPr>
        <w:t xml:space="preserve">Asia Pacific </w:t>
      </w:r>
      <w:r>
        <w:rPr>
          <w:rFonts w:ascii="Arial" w:cs="Arial" w:eastAsia="Arial" w:hAnsi="Arial"/>
          <w:sz w:val="14"/>
          <w:szCs w:val="14"/>
          <w:color w:val="auto"/>
        </w:rPr>
        <w:t>The increase of 431 thousand million scf in revisions and reclassifications was primarily related to increases in proved gas in place volumes in a number of fields as a</w:t>
      </w:r>
      <w:r>
        <w:rPr>
          <w:rFonts w:ascii="Arial" w:cs="Arial" w:eastAsia="Arial" w:hAnsi="Arial"/>
          <w:sz w:val="14"/>
          <w:szCs w:val="14"/>
          <w:b w:val="1"/>
          <w:bCs w:val="1"/>
          <w:color w:val="auto"/>
        </w:rPr>
        <w:t xml:space="preserve"> </w:t>
      </w:r>
      <w:r>
        <w:rPr>
          <w:rFonts w:ascii="Arial" w:cs="Arial" w:eastAsia="Arial" w:hAnsi="Arial"/>
          <w:sz w:val="14"/>
          <w:szCs w:val="14"/>
          <w:color w:val="auto"/>
        </w:rPr>
        <w:t>result of additional well data.</w:t>
      </w:r>
    </w:p>
    <w:p>
      <w:pPr>
        <w:spacing w:after="0" w:line="60" w:lineRule="exact"/>
        <w:rPr>
          <w:sz w:val="20"/>
          <w:szCs w:val="20"/>
          <w:color w:val="auto"/>
        </w:rPr>
      </w:pPr>
    </w:p>
    <w:p>
      <w:pPr>
        <w:ind w:left="440" w:right="40"/>
        <w:spacing w:after="0" w:line="253" w:lineRule="auto"/>
        <w:rPr>
          <w:sz w:val="20"/>
          <w:szCs w:val="20"/>
          <w:color w:val="auto"/>
        </w:rPr>
      </w:pPr>
      <w:r>
        <w:rPr>
          <w:rFonts w:ascii="Arial" w:cs="Arial" w:eastAsia="Arial" w:hAnsi="Arial"/>
          <w:sz w:val="14"/>
          <w:szCs w:val="14"/>
          <w:b w:val="1"/>
          <w:bCs w:val="1"/>
          <w:color w:val="auto"/>
        </w:rPr>
        <w:t xml:space="preserve">Middle East, Russia, CIS </w:t>
      </w:r>
      <w:r>
        <w:rPr>
          <w:rFonts w:ascii="Arial" w:cs="Arial" w:eastAsia="Arial" w:hAnsi="Arial"/>
          <w:sz w:val="14"/>
          <w:szCs w:val="14"/>
          <w:color w:val="auto"/>
        </w:rPr>
        <w:t>The increase of 6,723 thousand million scf in extensions and discoveries was primarily related to the recognition of gas reserves for our GTL project in</w:t>
      </w:r>
      <w:r>
        <w:rPr>
          <w:rFonts w:ascii="Arial" w:cs="Arial" w:eastAsia="Arial" w:hAnsi="Arial"/>
          <w:sz w:val="14"/>
          <w:szCs w:val="14"/>
          <w:b w:val="1"/>
          <w:bCs w:val="1"/>
          <w:color w:val="auto"/>
        </w:rPr>
        <w:t xml:space="preserve"> </w:t>
      </w:r>
      <w:r>
        <w:rPr>
          <w:rFonts w:ascii="Arial" w:cs="Arial" w:eastAsia="Arial" w:hAnsi="Arial"/>
          <w:sz w:val="14"/>
          <w:szCs w:val="14"/>
          <w:color w:val="auto"/>
        </w:rPr>
        <w:t>Qatar, which took final investment decision during 2006.</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Shell share of equity-accounted investments</w:t>
      </w:r>
    </w:p>
    <w:p>
      <w:pPr>
        <w:spacing w:after="0" w:line="6" w:lineRule="exact"/>
        <w:rPr>
          <w:sz w:val="20"/>
          <w:szCs w:val="20"/>
          <w:color w:val="auto"/>
        </w:rPr>
      </w:pPr>
    </w:p>
    <w:p>
      <w:pPr>
        <w:ind w:left="440" w:right="260"/>
        <w:spacing w:after="0" w:line="234" w:lineRule="auto"/>
        <w:rPr>
          <w:sz w:val="20"/>
          <w:szCs w:val="20"/>
          <w:color w:val="auto"/>
        </w:rPr>
      </w:pPr>
      <w:r>
        <w:rPr>
          <w:rFonts w:ascii="Arial" w:cs="Arial" w:eastAsia="Arial" w:hAnsi="Arial"/>
          <w:sz w:val="14"/>
          <w:szCs w:val="14"/>
          <w:b w:val="1"/>
          <w:bCs w:val="1"/>
          <w:color w:val="auto"/>
        </w:rPr>
        <w:t xml:space="preserve">Asia Pacific </w:t>
      </w:r>
      <w:r>
        <w:rPr>
          <w:rFonts w:ascii="Arial" w:cs="Arial" w:eastAsia="Arial" w:hAnsi="Arial"/>
          <w:sz w:val="14"/>
          <w:szCs w:val="14"/>
          <w:color w:val="auto"/>
        </w:rPr>
        <w:t>The downward revision of 276 thousand million scf in revisions and reclassifications was primarily related to the acquisition of new performance data and the re-appraisal of future development plans.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30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660" w:type="dxa"/>
            <w:vAlign w:val="bottom"/>
            <w:shd w:val="clear" w:color="auto" w:fill="009AC8"/>
          </w:tcPr>
          <w:p>
            <w:pPr>
              <w:spacing w:after="0"/>
              <w:rPr>
                <w:sz w:val="12"/>
                <w:szCs w:val="12"/>
                <w:color w:val="auto"/>
              </w:rPr>
            </w:pPr>
          </w:p>
        </w:tc>
        <w:tc>
          <w:tcPr>
            <w:tcW w:w="3080" w:type="dxa"/>
            <w:vAlign w:val="bottom"/>
            <w:gridSpan w:val="4"/>
            <w:shd w:val="clear" w:color="auto" w:fill="009AC8"/>
          </w:tcPr>
          <w:p>
            <w:pPr>
              <w:jc w:val="right"/>
              <w:ind w:right="98"/>
              <w:spacing w:after="0"/>
              <w:rPr>
                <w:sz w:val="20"/>
                <w:szCs w:val="20"/>
                <w:color w:val="auto"/>
              </w:rPr>
            </w:pPr>
            <w:r>
              <w:rPr>
                <w:rFonts w:ascii="Arial" w:cs="Arial" w:eastAsia="Arial" w:hAnsi="Arial"/>
                <w:sz w:val="12"/>
                <w:szCs w:val="12"/>
                <w:b w:val="1"/>
                <w:bCs w:val="1"/>
                <w:color w:val="FFFFFF"/>
              </w:rPr>
              <w:t>thousand million standard cubic feet 2006</w:t>
            </w:r>
          </w:p>
        </w:tc>
        <w:tc>
          <w:tcPr>
            <w:tcW w:w="68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2860" w:type="dxa"/>
            <w:vAlign w:val="bottom"/>
            <w:gridSpan w:val="4"/>
            <w:shd w:val="clear" w:color="auto" w:fill="009AC8"/>
          </w:tcPr>
          <w:p>
            <w:pPr>
              <w:jc w:val="right"/>
              <w:spacing w:after="0"/>
              <w:rPr>
                <w:sz w:val="20"/>
                <w:szCs w:val="20"/>
                <w:color w:val="auto"/>
              </w:rPr>
            </w:pPr>
            <w:r>
              <w:rPr>
                <w:rFonts w:ascii="Arial" w:cs="Arial" w:eastAsia="Arial" w:hAnsi="Arial"/>
                <w:sz w:val="12"/>
                <w:szCs w:val="12"/>
                <w:b w:val="1"/>
                <w:bCs w:val="1"/>
                <w:color w:val="FFFFFF"/>
              </w:rPr>
              <w:t>thousand million standard cubic feet 2005</w:t>
            </w:r>
          </w:p>
        </w:tc>
      </w:tr>
      <w:tr>
        <w:trPr>
          <w:trHeight w:val="141"/>
        </w:trPr>
        <w:tc>
          <w:tcPr>
            <w:tcW w:w="130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168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40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Western Hemisphere</w:t>
            </w:r>
          </w:p>
        </w:tc>
        <w:tc>
          <w:tcPr>
            <w:tcW w:w="66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680" w:type="dxa"/>
            <w:vAlign w:val="bottom"/>
            <w:shd w:val="clear" w:color="auto" w:fill="CECAC6"/>
          </w:tcPr>
          <w:p>
            <w:pPr>
              <w:spacing w:after="0"/>
              <w:rPr>
                <w:sz w:val="12"/>
                <w:szCs w:val="12"/>
                <w:color w:val="auto"/>
              </w:rPr>
            </w:pPr>
          </w:p>
        </w:tc>
        <w:tc>
          <w:tcPr>
            <w:tcW w:w="172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Eastern Hemisphere</w:t>
            </w:r>
          </w:p>
        </w:tc>
        <w:tc>
          <w:tcPr>
            <w:tcW w:w="1340" w:type="dxa"/>
            <w:vAlign w:val="bottom"/>
            <w:gridSpan w:val="2"/>
            <w:shd w:val="clear" w:color="auto" w:fill="CECAC6"/>
          </w:tcPr>
          <w:p>
            <w:pPr>
              <w:jc w:val="right"/>
              <w:ind w:right="18"/>
              <w:spacing w:after="0"/>
              <w:rPr>
                <w:sz w:val="20"/>
                <w:szCs w:val="20"/>
                <w:color w:val="auto"/>
              </w:rPr>
            </w:pPr>
            <w:r>
              <w:rPr>
                <w:rFonts w:ascii="Arial" w:cs="Arial" w:eastAsia="Arial" w:hAnsi="Arial"/>
                <w:sz w:val="12"/>
                <w:szCs w:val="12"/>
                <w:color w:val="auto"/>
              </w:rPr>
              <w:t>Western Hemisphere</w:t>
            </w:r>
          </w:p>
        </w:tc>
        <w:tc>
          <w:tcPr>
            <w:tcW w:w="480" w:type="dxa"/>
            <w:vAlign w:val="bottom"/>
            <w:shd w:val="clear" w:color="auto" w:fill="CECAC6"/>
          </w:tcPr>
          <w:p>
            <w:pPr>
              <w:spacing w:after="0"/>
              <w:rPr>
                <w:sz w:val="12"/>
                <w:szCs w:val="12"/>
                <w:color w:val="auto"/>
              </w:rPr>
            </w:pPr>
          </w:p>
        </w:tc>
      </w:tr>
      <w:tr>
        <w:trPr>
          <w:trHeight w:val="133"/>
        </w:trPr>
        <w:tc>
          <w:tcPr>
            <w:tcW w:w="130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66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Asia</w:t>
            </w:r>
          </w:p>
        </w:tc>
        <w:tc>
          <w:tcPr>
            <w:tcW w:w="102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Middle East</w:t>
            </w:r>
          </w:p>
        </w:tc>
        <w:tc>
          <w:tcPr>
            <w:tcW w:w="74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Asia</w:t>
            </w:r>
          </w:p>
        </w:tc>
        <w:tc>
          <w:tcPr>
            <w:tcW w:w="104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Middle East</w:t>
            </w:r>
          </w:p>
        </w:tc>
        <w:tc>
          <w:tcPr>
            <w:tcW w:w="72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c>
          <w:tcPr>
            <w:tcW w:w="480" w:type="dxa"/>
            <w:vAlign w:val="bottom"/>
            <w:shd w:val="clear" w:color="auto" w:fill="CECAC6"/>
          </w:tcPr>
          <w:p>
            <w:pPr>
              <w:spacing w:after="0"/>
              <w:rPr>
                <w:sz w:val="11"/>
                <w:szCs w:val="11"/>
                <w:color w:val="auto"/>
              </w:rPr>
            </w:pPr>
          </w:p>
        </w:tc>
      </w:tr>
      <w:tr>
        <w:trPr>
          <w:trHeight w:val="139"/>
        </w:trPr>
        <w:tc>
          <w:tcPr>
            <w:tcW w:w="130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Europe</w:t>
            </w:r>
          </w:p>
        </w:tc>
        <w:tc>
          <w:tcPr>
            <w:tcW w:w="6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Africa[B]</w:t>
            </w:r>
          </w:p>
        </w:tc>
        <w:tc>
          <w:tcPr>
            <w:tcW w:w="66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Pacific[C]</w:t>
            </w:r>
          </w:p>
        </w:tc>
        <w:tc>
          <w:tcPr>
            <w:tcW w:w="102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Russia, CIS[D]</w:t>
            </w:r>
          </w:p>
        </w:tc>
        <w:tc>
          <w:tcPr>
            <w:tcW w:w="7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USA</w:t>
            </w:r>
          </w:p>
        </w:tc>
        <w:tc>
          <w:tcPr>
            <w:tcW w:w="66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Other</w:t>
            </w:r>
          </w:p>
        </w:tc>
        <w:tc>
          <w:tcPr>
            <w:tcW w:w="66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Total</w:t>
            </w:r>
          </w:p>
        </w:tc>
        <w:tc>
          <w:tcPr>
            <w:tcW w:w="6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Europe</w:t>
            </w:r>
          </w:p>
        </w:tc>
        <w:tc>
          <w:tcPr>
            <w:tcW w:w="68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Africa[B]</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Pacific[C]</w:t>
            </w:r>
          </w:p>
        </w:tc>
        <w:tc>
          <w:tcPr>
            <w:tcW w:w="104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Russia, CIS[D]</w:t>
            </w:r>
          </w:p>
        </w:tc>
        <w:tc>
          <w:tcPr>
            <w:tcW w:w="7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USA</w:t>
            </w:r>
          </w:p>
        </w:tc>
        <w:tc>
          <w:tcPr>
            <w:tcW w:w="62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Other</w:t>
            </w:r>
          </w:p>
        </w:tc>
        <w:tc>
          <w:tcPr>
            <w:tcW w:w="4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r>
      <w:tr>
        <w:trPr>
          <w:trHeight w:val="260"/>
        </w:trPr>
        <w:tc>
          <w:tcPr>
            <w:tcW w:w="1300" w:type="dxa"/>
            <w:vAlign w:val="bottom"/>
          </w:tcPr>
          <w:p>
            <w:pPr>
              <w:jc w:val="right"/>
              <w:ind w:right="78"/>
              <w:spacing w:after="0"/>
              <w:rPr>
                <w:sz w:val="20"/>
                <w:szCs w:val="20"/>
                <w:color w:val="auto"/>
              </w:rPr>
            </w:pPr>
            <w:r>
              <w:rPr>
                <w:rFonts w:ascii="Arial" w:cs="Arial" w:eastAsia="Arial" w:hAnsi="Arial"/>
                <w:sz w:val="12"/>
                <w:szCs w:val="12"/>
                <w:color w:val="auto"/>
              </w:rPr>
              <w:t>5,748</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2,173</w:t>
            </w:r>
          </w:p>
        </w:tc>
        <w:tc>
          <w:tcPr>
            <w:tcW w:w="660" w:type="dxa"/>
            <w:vAlign w:val="bottom"/>
          </w:tcPr>
          <w:p>
            <w:pPr>
              <w:jc w:val="right"/>
              <w:ind w:right="138"/>
              <w:spacing w:after="0"/>
              <w:rPr>
                <w:sz w:val="20"/>
                <w:szCs w:val="20"/>
                <w:color w:val="auto"/>
              </w:rPr>
            </w:pPr>
            <w:r>
              <w:rPr>
                <w:rFonts w:ascii="Arial" w:cs="Arial" w:eastAsia="Arial" w:hAnsi="Arial"/>
                <w:sz w:val="12"/>
                <w:szCs w:val="12"/>
                <w:color w:val="auto"/>
              </w:rPr>
              <w:t>5,615</w:t>
            </w:r>
          </w:p>
        </w:tc>
        <w:tc>
          <w:tcPr>
            <w:tcW w:w="1020" w:type="dxa"/>
            <w:vAlign w:val="bottom"/>
          </w:tcPr>
          <w:p>
            <w:pPr>
              <w:jc w:val="right"/>
              <w:ind w:right="98"/>
              <w:spacing w:after="0"/>
              <w:rPr>
                <w:sz w:val="20"/>
                <w:szCs w:val="20"/>
                <w:color w:val="auto"/>
              </w:rPr>
            </w:pPr>
            <w:r>
              <w:rPr>
                <w:rFonts w:ascii="Arial" w:cs="Arial" w:eastAsia="Arial" w:hAnsi="Arial"/>
                <w:sz w:val="12"/>
                <w:szCs w:val="12"/>
                <w:color w:val="auto"/>
              </w:rPr>
              <w:t>7,239</w:t>
            </w:r>
          </w:p>
        </w:tc>
        <w:tc>
          <w:tcPr>
            <w:tcW w:w="740" w:type="dxa"/>
            <w:vAlign w:val="bottom"/>
          </w:tcPr>
          <w:p>
            <w:pPr>
              <w:jc w:val="right"/>
              <w:ind w:right="178"/>
              <w:spacing w:after="0"/>
              <w:rPr>
                <w:sz w:val="20"/>
                <w:szCs w:val="20"/>
                <w:color w:val="auto"/>
              </w:rPr>
            </w:pPr>
            <w:r>
              <w:rPr>
                <w:rFonts w:ascii="Arial" w:cs="Arial" w:eastAsia="Arial" w:hAnsi="Arial"/>
                <w:sz w:val="12"/>
                <w:szCs w:val="12"/>
                <w:color w:val="auto"/>
              </w:rPr>
              <w:t>2,680</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1,457</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24,912</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5,964</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2,532</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6,579</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5,607</w:t>
            </w:r>
          </w:p>
        </w:tc>
        <w:tc>
          <w:tcPr>
            <w:tcW w:w="720" w:type="dxa"/>
            <w:vAlign w:val="bottom"/>
          </w:tcPr>
          <w:p>
            <w:pPr>
              <w:jc w:val="right"/>
              <w:ind w:right="158"/>
              <w:spacing w:after="0"/>
              <w:rPr>
                <w:sz w:val="20"/>
                <w:szCs w:val="20"/>
                <w:color w:val="auto"/>
              </w:rPr>
            </w:pPr>
            <w:r>
              <w:rPr>
                <w:rFonts w:ascii="Arial" w:cs="Arial" w:eastAsia="Arial" w:hAnsi="Arial"/>
                <w:sz w:val="12"/>
                <w:szCs w:val="12"/>
                <w:color w:val="auto"/>
              </w:rPr>
              <w:t>2,823</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1,545</w:t>
            </w:r>
          </w:p>
        </w:tc>
        <w:tc>
          <w:tcPr>
            <w:tcW w:w="480" w:type="dxa"/>
            <w:vAlign w:val="bottom"/>
          </w:tcPr>
          <w:p>
            <w:pPr>
              <w:jc w:val="right"/>
              <w:spacing w:after="0"/>
              <w:rPr>
                <w:sz w:val="20"/>
                <w:szCs w:val="20"/>
                <w:color w:val="auto"/>
              </w:rPr>
            </w:pPr>
            <w:r>
              <w:rPr>
                <w:rFonts w:ascii="Arial" w:cs="Arial" w:eastAsia="Arial" w:hAnsi="Arial"/>
                <w:sz w:val="12"/>
                <w:szCs w:val="12"/>
                <w:color w:val="auto"/>
              </w:rPr>
              <w:t>25,050</w:t>
            </w:r>
          </w:p>
        </w:tc>
      </w:tr>
      <w:tr>
        <w:trPr>
          <w:trHeight w:val="133"/>
        </w:trPr>
        <w:tc>
          <w:tcPr>
            <w:tcW w:w="13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(302)</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(266)</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431</w:t>
            </w:r>
          </w:p>
        </w:tc>
        <w:tc>
          <w:tcPr>
            <w:tcW w:w="10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(274)</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167</w:t>
            </w:r>
          </w:p>
        </w:tc>
        <w:tc>
          <w:tcPr>
            <w:tcW w:w="6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(45)</w:t>
            </w:r>
          </w:p>
        </w:tc>
        <w:tc>
          <w:tcPr>
            <w:tcW w:w="6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(289)</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289</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(221)</w:t>
            </w:r>
          </w:p>
        </w:tc>
        <w:tc>
          <w:tcPr>
            <w:tcW w:w="6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(669)</w:t>
            </w:r>
          </w:p>
        </w:tc>
        <w:tc>
          <w:tcPr>
            <w:tcW w:w="1040" w:type="dxa"/>
            <w:vAlign w:val="bottom"/>
          </w:tcPr>
          <w:p>
            <w:pPr>
              <w:jc w:val="right"/>
              <w:ind w:right="58"/>
              <w:spacing w:after="0" w:line="133" w:lineRule="exact"/>
              <w:rPr>
                <w:sz w:val="20"/>
                <w:szCs w:val="20"/>
                <w:color w:val="auto"/>
              </w:rPr>
            </w:pPr>
            <w:r>
              <w:rPr>
                <w:rFonts w:ascii="Arial" w:cs="Arial" w:eastAsia="Arial" w:hAnsi="Arial"/>
                <w:sz w:val="12"/>
                <w:szCs w:val="12"/>
                <w:color w:val="auto"/>
              </w:rPr>
              <w:t>(91)</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116</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(47)</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(623)</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228</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348</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61</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6,723</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115</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101</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7,576</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234</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213</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1,842</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148</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135</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2,572</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18</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97</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115</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57</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61</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11</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135</w:t>
            </w:r>
          </w:p>
        </w:tc>
      </w:tr>
      <w:tr>
        <w:trPr>
          <w:trHeight w:val="133"/>
        </w:trPr>
        <w:tc>
          <w:tcPr>
            <w:tcW w:w="13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(6)</w:t>
            </w:r>
          </w:p>
        </w:tc>
        <w:tc>
          <w:tcPr>
            <w:tcW w:w="6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w:t>
            </w:r>
          </w:p>
        </w:tc>
        <w:tc>
          <w:tcPr>
            <w:tcW w:w="660" w:type="dxa"/>
            <w:vAlign w:val="bottom"/>
          </w:tcPr>
          <w:p>
            <w:pPr>
              <w:jc w:val="right"/>
              <w:ind w:right="58"/>
              <w:spacing w:after="0" w:line="133" w:lineRule="exact"/>
              <w:rPr>
                <w:sz w:val="20"/>
                <w:szCs w:val="20"/>
                <w:color w:val="auto"/>
              </w:rPr>
            </w:pPr>
            <w:r>
              <w:rPr>
                <w:rFonts w:ascii="Arial" w:cs="Arial" w:eastAsia="Arial" w:hAnsi="Arial"/>
                <w:sz w:val="12"/>
                <w:szCs w:val="12"/>
                <w:color w:val="auto"/>
              </w:rPr>
              <w:t>(29)</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(18)</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(18)</w:t>
            </w:r>
          </w:p>
        </w:tc>
      </w:tr>
      <w:tr>
        <w:trPr>
          <w:trHeight w:val="139"/>
        </w:trPr>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(721)</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(166)</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(622)</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(106)</w:t>
            </w: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(424)</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(188)</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(2,227)</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(778)</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(138)</w:t>
            </w: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(569)</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(119)</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(418)</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(2,204)</w:t>
            </w:r>
          </w:p>
        </w:tc>
      </w:tr>
      <w:tr>
        <w:trPr>
          <w:trHeight w:val="140"/>
        </w:trPr>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4,951</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2,089</w:t>
            </w: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5,485</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13,582</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2,629</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1,322</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30,058</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5,748</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2,173</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5,615</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7,239</w:t>
            </w: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2,680</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1,457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24,912</w:t>
            </w:r>
          </w:p>
        </w:tc>
      </w:tr>
      <w:tr>
        <w:trPr>
          <w:trHeight w:val="267"/>
        </w:trPr>
        <w:tc>
          <w:tcPr>
            <w:tcW w:w="1300" w:type="dxa"/>
            <w:vAlign w:val="bottom"/>
          </w:tcPr>
          <w:p>
            <w:pPr>
              <w:jc w:val="right"/>
              <w:ind w:right="78"/>
              <w:spacing w:after="0"/>
              <w:rPr>
                <w:sz w:val="20"/>
                <w:szCs w:val="20"/>
                <w:color w:val="auto"/>
              </w:rPr>
            </w:pPr>
            <w:r>
              <w:rPr>
                <w:rFonts w:ascii="Arial" w:cs="Arial" w:eastAsia="Arial" w:hAnsi="Arial"/>
                <w:sz w:val="12"/>
                <w:szCs w:val="12"/>
                <w:color w:val="auto"/>
              </w:rPr>
              <w:t>11,974</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rPr>
                <w:sz w:val="20"/>
                <w:szCs w:val="20"/>
                <w:color w:val="auto"/>
              </w:rPr>
            </w:pPr>
            <w:r>
              <w:rPr>
                <w:rFonts w:ascii="Arial" w:cs="Arial" w:eastAsia="Arial" w:hAnsi="Arial"/>
                <w:sz w:val="12"/>
                <w:szCs w:val="12"/>
                <w:color w:val="auto"/>
              </w:rPr>
              <w:t>2,712</w:t>
            </w:r>
          </w:p>
        </w:tc>
        <w:tc>
          <w:tcPr>
            <w:tcW w:w="102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rPr>
                <w:sz w:val="20"/>
                <w:szCs w:val="20"/>
                <w:color w:val="auto"/>
              </w:rPr>
            </w:pPr>
            <w:r>
              <w:rPr>
                <w:rFonts w:ascii="Arial" w:cs="Arial" w:eastAsia="Arial" w:hAnsi="Arial"/>
                <w:sz w:val="12"/>
                <w:szCs w:val="12"/>
                <w:color w:val="auto"/>
              </w:rPr>
              <w:t>18</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14,704</w:t>
            </w:r>
          </w:p>
        </w:tc>
        <w:tc>
          <w:tcPr>
            <w:tcW w:w="680" w:type="dxa"/>
            <w:vAlign w:val="bottom"/>
          </w:tcPr>
          <w:p>
            <w:pPr>
              <w:jc w:val="right"/>
              <w:ind w:right="98"/>
              <w:spacing w:after="0"/>
              <w:rPr>
                <w:sz w:val="20"/>
                <w:szCs w:val="20"/>
                <w:color w:val="auto"/>
              </w:rPr>
            </w:pPr>
            <w:r>
              <w:rPr>
                <w:rFonts w:ascii="Arial" w:cs="Arial" w:eastAsia="Arial" w:hAnsi="Arial"/>
                <w:sz w:val="12"/>
                <w:szCs w:val="12"/>
                <w:color w:val="auto"/>
              </w:rPr>
              <w:t>12,513</w:t>
            </w:r>
          </w:p>
        </w:tc>
        <w:tc>
          <w:tcPr>
            <w:tcW w:w="68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2,987</w:t>
            </w:r>
          </w:p>
        </w:tc>
        <w:tc>
          <w:tcPr>
            <w:tcW w:w="1040" w:type="dxa"/>
            <w:vAlign w:val="bottom"/>
          </w:tcPr>
          <w:p>
            <w:pPr>
              <w:jc w:val="right"/>
              <w:ind w:right="98"/>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rPr>
                <w:sz w:val="20"/>
                <w:szCs w:val="20"/>
                <w:color w:val="auto"/>
              </w:rPr>
            </w:pPr>
            <w:r>
              <w:rPr>
                <w:rFonts w:ascii="Arial" w:cs="Arial" w:eastAsia="Arial" w:hAnsi="Arial"/>
                <w:sz w:val="12"/>
                <w:szCs w:val="12"/>
                <w:color w:val="auto"/>
              </w:rPr>
              <w:t>17</w:t>
            </w:r>
          </w:p>
        </w:tc>
        <w:tc>
          <w:tcPr>
            <w:tcW w:w="6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15,517</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420</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(276)</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(12)</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133</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31</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(23)</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3</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11</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2</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73</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2</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5</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1300" w:type="dxa"/>
            <w:vAlign w:val="bottom"/>
          </w:tcPr>
          <w:p>
            <w:pPr>
              <w:jc w:val="right"/>
              <w:ind w:right="7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58"/>
              <w:spacing w:after="0" w:line="133" w:lineRule="exact"/>
              <w:rPr>
                <w:sz w:val="20"/>
                <w:szCs w:val="20"/>
                <w:color w:val="auto"/>
              </w:rPr>
            </w:pPr>
            <w:r>
              <w:rPr>
                <w:rFonts w:ascii="Arial" w:cs="Arial" w:eastAsia="Arial" w:hAnsi="Arial"/>
                <w:sz w:val="12"/>
                <w:szCs w:val="12"/>
                <w:color w:val="auto"/>
              </w:rPr>
              <w:t>(3)</w:t>
            </w:r>
          </w:p>
        </w:tc>
        <w:tc>
          <w:tcPr>
            <w:tcW w:w="6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1040" w:type="dxa"/>
            <w:vAlign w:val="bottom"/>
          </w:tcPr>
          <w:p>
            <w:pPr>
              <w:jc w:val="right"/>
              <w:ind w:right="98"/>
              <w:spacing w:after="0" w:line="133" w:lineRule="exact"/>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w:t>
            </w:r>
          </w:p>
        </w:tc>
        <w:tc>
          <w:tcPr>
            <w:tcW w:w="6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(3)</w:t>
            </w:r>
          </w:p>
        </w:tc>
      </w:tr>
      <w:tr>
        <w:trPr>
          <w:trHeight w:val="139"/>
        </w:trPr>
        <w:tc>
          <w:tcPr>
            <w:tcW w:w="13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(565)</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(262)</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(828)</w:t>
            </w: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(574)</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(252)</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(828)</w:t>
            </w:r>
          </w:p>
        </w:tc>
      </w:tr>
      <w:tr>
        <w:trPr>
          <w:trHeight w:val="140"/>
        </w:trPr>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11,902</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2,176</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14,084</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11,974</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2,712</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18</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14,704</w:t>
            </w:r>
          </w:p>
        </w:tc>
      </w:tr>
      <w:tr>
        <w:trPr>
          <w:trHeight w:val="140"/>
        </w:trPr>
        <w:tc>
          <w:tcPr>
            <w:tcW w:w="1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r>
      <w:tr>
        <w:trPr>
          <w:trHeight w:val="146"/>
        </w:trPr>
        <w:tc>
          <w:tcPr>
            <w:tcW w:w="13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33</w:t>
            </w: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3,132</w:t>
            </w: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241</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3,406</w:t>
            </w:r>
          </w:p>
        </w:tc>
        <w:tc>
          <w:tcPr>
            <w:tcW w:w="6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36</w:t>
            </w: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3,059</w:t>
            </w: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261</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-2054860</wp:posOffset>
            </wp:positionV>
            <wp:extent cx="6741160" cy="262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41160" cy="262255"/>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1340" w:type="dxa"/>
            <w:vAlign w:val="bottom"/>
            <w:shd w:val="clear" w:color="auto" w:fill="009AC8"/>
          </w:tcPr>
          <w:p>
            <w:pPr>
              <w:spacing w:after="0"/>
              <w:rPr>
                <w:sz w:val="12"/>
                <w:szCs w:val="12"/>
                <w:color w:val="auto"/>
              </w:rPr>
            </w:pPr>
          </w:p>
        </w:tc>
        <w:tc>
          <w:tcPr>
            <w:tcW w:w="700" w:type="dxa"/>
            <w:vAlign w:val="bottom"/>
            <w:shd w:val="clear" w:color="auto" w:fill="009AC8"/>
          </w:tcPr>
          <w:p>
            <w:pPr>
              <w:spacing w:after="0"/>
              <w:rPr>
                <w:sz w:val="12"/>
                <w:szCs w:val="12"/>
                <w:color w:val="auto"/>
              </w:rPr>
            </w:pPr>
          </w:p>
        </w:tc>
        <w:tc>
          <w:tcPr>
            <w:tcW w:w="680" w:type="dxa"/>
            <w:vAlign w:val="bottom"/>
            <w:shd w:val="clear" w:color="auto" w:fill="009AC8"/>
          </w:tcPr>
          <w:p>
            <w:pPr>
              <w:spacing w:after="0"/>
              <w:rPr>
                <w:sz w:val="12"/>
                <w:szCs w:val="12"/>
                <w:color w:val="auto"/>
              </w:rPr>
            </w:pPr>
          </w:p>
        </w:tc>
        <w:tc>
          <w:tcPr>
            <w:tcW w:w="3020" w:type="dxa"/>
            <w:vAlign w:val="bottom"/>
            <w:gridSpan w:val="4"/>
            <w:shd w:val="clear" w:color="auto" w:fill="009AC8"/>
          </w:tcPr>
          <w:p>
            <w:pPr>
              <w:jc w:val="right"/>
              <w:ind w:right="58"/>
              <w:spacing w:after="0"/>
              <w:rPr>
                <w:sz w:val="20"/>
                <w:szCs w:val="20"/>
                <w:color w:val="auto"/>
              </w:rPr>
            </w:pPr>
            <w:r>
              <w:rPr>
                <w:rFonts w:ascii="Arial" w:cs="Arial" w:eastAsia="Arial" w:hAnsi="Arial"/>
                <w:sz w:val="12"/>
                <w:szCs w:val="12"/>
                <w:b w:val="1"/>
                <w:bCs w:val="1"/>
                <w:color w:val="FFFFFF"/>
              </w:rPr>
              <w:t>thousand million standard cubic feet 2006</w:t>
            </w:r>
          </w:p>
        </w:tc>
        <w:tc>
          <w:tcPr>
            <w:tcW w:w="660" w:type="dxa"/>
            <w:vAlign w:val="bottom"/>
            <w:shd w:val="clear" w:color="auto" w:fill="009AC8"/>
          </w:tcPr>
          <w:p>
            <w:pPr>
              <w:spacing w:after="0"/>
              <w:rPr>
                <w:sz w:val="12"/>
                <w:szCs w:val="12"/>
                <w:color w:val="auto"/>
              </w:rPr>
            </w:pPr>
          </w:p>
        </w:tc>
        <w:tc>
          <w:tcPr>
            <w:tcW w:w="700" w:type="dxa"/>
            <w:vAlign w:val="bottom"/>
            <w:shd w:val="clear" w:color="auto" w:fill="009AC8"/>
          </w:tcPr>
          <w:p>
            <w:pPr>
              <w:spacing w:after="0"/>
              <w:rPr>
                <w:sz w:val="12"/>
                <w:szCs w:val="12"/>
                <w:color w:val="auto"/>
              </w:rPr>
            </w:pPr>
          </w:p>
        </w:tc>
        <w:tc>
          <w:tcPr>
            <w:tcW w:w="700" w:type="dxa"/>
            <w:vAlign w:val="bottom"/>
            <w:shd w:val="clear" w:color="auto" w:fill="009AC8"/>
          </w:tcPr>
          <w:p>
            <w:pPr>
              <w:spacing w:after="0"/>
              <w:rPr>
                <w:sz w:val="12"/>
                <w:szCs w:val="12"/>
                <w:color w:val="auto"/>
              </w:rPr>
            </w:pPr>
          </w:p>
        </w:tc>
        <w:tc>
          <w:tcPr>
            <w:tcW w:w="2820" w:type="dxa"/>
            <w:vAlign w:val="bottom"/>
            <w:gridSpan w:val="4"/>
            <w:shd w:val="clear" w:color="auto" w:fill="009AC8"/>
          </w:tcPr>
          <w:p>
            <w:pPr>
              <w:jc w:val="right"/>
              <w:spacing w:after="0"/>
              <w:rPr>
                <w:sz w:val="20"/>
                <w:szCs w:val="20"/>
                <w:color w:val="auto"/>
              </w:rPr>
            </w:pPr>
            <w:r>
              <w:rPr>
                <w:rFonts w:ascii="Arial" w:cs="Arial" w:eastAsia="Arial" w:hAnsi="Arial"/>
                <w:sz w:val="12"/>
                <w:szCs w:val="12"/>
                <w:b w:val="1"/>
                <w:bCs w:val="1"/>
                <w:color w:val="FFFFFF"/>
              </w:rPr>
              <w:t>thousand million standard cubic feet 2005</w:t>
            </w:r>
          </w:p>
        </w:tc>
      </w:tr>
      <w:tr>
        <w:trPr>
          <w:trHeight w:val="141"/>
        </w:trPr>
        <w:tc>
          <w:tcPr>
            <w:tcW w:w="134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168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Eastern Hemisphere</w:t>
            </w:r>
          </w:p>
        </w:tc>
        <w:tc>
          <w:tcPr>
            <w:tcW w:w="140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Western Hemisphere</w:t>
            </w:r>
          </w:p>
        </w:tc>
        <w:tc>
          <w:tcPr>
            <w:tcW w:w="620" w:type="dxa"/>
            <w:vAlign w:val="bottom"/>
            <w:shd w:val="clear" w:color="auto" w:fill="CECAC6"/>
          </w:tcPr>
          <w:p>
            <w:pPr>
              <w:spacing w:after="0"/>
              <w:rPr>
                <w:sz w:val="12"/>
                <w:szCs w:val="12"/>
                <w:color w:val="auto"/>
              </w:rPr>
            </w:pPr>
          </w:p>
        </w:tc>
        <w:tc>
          <w:tcPr>
            <w:tcW w:w="660" w:type="dxa"/>
            <w:vAlign w:val="bottom"/>
            <w:shd w:val="clear" w:color="auto" w:fill="CECAC6"/>
          </w:tcPr>
          <w:p>
            <w:pPr>
              <w:spacing w:after="0"/>
              <w:rPr>
                <w:sz w:val="12"/>
                <w:szCs w:val="12"/>
                <w:color w:val="auto"/>
              </w:rPr>
            </w:pPr>
          </w:p>
        </w:tc>
        <w:tc>
          <w:tcPr>
            <w:tcW w:w="700" w:type="dxa"/>
            <w:vAlign w:val="bottom"/>
            <w:shd w:val="clear" w:color="auto" w:fill="CECAC6"/>
          </w:tcPr>
          <w:p>
            <w:pPr>
              <w:spacing w:after="0"/>
              <w:rPr>
                <w:sz w:val="12"/>
                <w:szCs w:val="12"/>
                <w:color w:val="auto"/>
              </w:rPr>
            </w:pPr>
          </w:p>
        </w:tc>
        <w:tc>
          <w:tcPr>
            <w:tcW w:w="170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Eastern Hemisphere</w:t>
            </w:r>
          </w:p>
        </w:tc>
        <w:tc>
          <w:tcPr>
            <w:tcW w:w="134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Western Hemisphere</w:t>
            </w:r>
          </w:p>
        </w:tc>
        <w:tc>
          <w:tcPr>
            <w:tcW w:w="480" w:type="dxa"/>
            <w:vAlign w:val="bottom"/>
            <w:shd w:val="clear" w:color="auto" w:fill="CECAC6"/>
          </w:tcPr>
          <w:p>
            <w:pPr>
              <w:spacing w:after="0"/>
              <w:rPr>
                <w:sz w:val="12"/>
                <w:szCs w:val="12"/>
                <w:color w:val="auto"/>
              </w:rPr>
            </w:pPr>
          </w:p>
        </w:tc>
      </w:tr>
      <w:tr>
        <w:trPr>
          <w:trHeight w:val="133"/>
        </w:trPr>
        <w:tc>
          <w:tcPr>
            <w:tcW w:w="134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68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Asia</w:t>
            </w:r>
          </w:p>
        </w:tc>
        <w:tc>
          <w:tcPr>
            <w:tcW w:w="10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Middle East</w:t>
            </w:r>
          </w:p>
        </w:tc>
        <w:tc>
          <w:tcPr>
            <w:tcW w:w="720" w:type="dxa"/>
            <w:vAlign w:val="bottom"/>
            <w:shd w:val="clear" w:color="auto" w:fill="CECAC6"/>
          </w:tcPr>
          <w:p>
            <w:pPr>
              <w:spacing w:after="0"/>
              <w:rPr>
                <w:sz w:val="11"/>
                <w:szCs w:val="11"/>
                <w:color w:val="auto"/>
              </w:rPr>
            </w:pPr>
          </w:p>
        </w:tc>
        <w:tc>
          <w:tcPr>
            <w:tcW w:w="68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c>
          <w:tcPr>
            <w:tcW w:w="66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700" w:type="dxa"/>
            <w:vAlign w:val="bottom"/>
            <w:shd w:val="clear" w:color="auto" w:fill="CECAC6"/>
          </w:tcPr>
          <w:p>
            <w:pPr>
              <w:jc w:val="center"/>
              <w:spacing w:after="0" w:line="133" w:lineRule="exact"/>
              <w:rPr>
                <w:sz w:val="20"/>
                <w:szCs w:val="20"/>
                <w:color w:val="auto"/>
              </w:rPr>
            </w:pPr>
            <w:r>
              <w:rPr>
                <w:rFonts w:ascii="Arial" w:cs="Arial" w:eastAsia="Arial" w:hAnsi="Arial"/>
                <w:sz w:val="12"/>
                <w:szCs w:val="12"/>
                <w:color w:val="auto"/>
              </w:rPr>
              <w:t>Asia</w:t>
            </w:r>
          </w:p>
        </w:tc>
        <w:tc>
          <w:tcPr>
            <w:tcW w:w="100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Middle East</w:t>
            </w:r>
          </w:p>
        </w:tc>
        <w:tc>
          <w:tcPr>
            <w:tcW w:w="740" w:type="dxa"/>
            <w:vAlign w:val="bottom"/>
            <w:shd w:val="clear" w:color="auto" w:fill="CECAC6"/>
          </w:tcPr>
          <w:p>
            <w:pPr>
              <w:spacing w:after="0"/>
              <w:rPr>
                <w:sz w:val="11"/>
                <w:szCs w:val="11"/>
                <w:color w:val="auto"/>
              </w:rPr>
            </w:pPr>
          </w:p>
        </w:tc>
        <w:tc>
          <w:tcPr>
            <w:tcW w:w="600" w:type="dxa"/>
            <w:vAlign w:val="bottom"/>
            <w:shd w:val="clear" w:color="auto" w:fill="CECAC6"/>
          </w:tcPr>
          <w:p>
            <w:pPr>
              <w:spacing w:after="0"/>
              <w:rPr>
                <w:sz w:val="11"/>
                <w:szCs w:val="11"/>
                <w:color w:val="auto"/>
              </w:rPr>
            </w:pPr>
          </w:p>
        </w:tc>
        <w:tc>
          <w:tcPr>
            <w:tcW w:w="480" w:type="dxa"/>
            <w:vAlign w:val="bottom"/>
            <w:shd w:val="clear" w:color="auto" w:fill="CECAC6"/>
          </w:tcPr>
          <w:p>
            <w:pPr>
              <w:spacing w:after="0"/>
              <w:rPr>
                <w:sz w:val="11"/>
                <w:szCs w:val="11"/>
                <w:color w:val="auto"/>
              </w:rPr>
            </w:pPr>
          </w:p>
        </w:tc>
      </w:tr>
      <w:tr>
        <w:trPr>
          <w:trHeight w:val="139"/>
        </w:trPr>
        <w:tc>
          <w:tcPr>
            <w:tcW w:w="134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Europe</w:t>
            </w:r>
          </w:p>
        </w:tc>
        <w:tc>
          <w:tcPr>
            <w:tcW w:w="7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Africa[B]</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Pacific[C]</w:t>
            </w:r>
          </w:p>
        </w:tc>
        <w:tc>
          <w:tcPr>
            <w:tcW w:w="10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Russia, CIS[D]</w:t>
            </w:r>
          </w:p>
        </w:tc>
        <w:tc>
          <w:tcPr>
            <w:tcW w:w="72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USA</w:t>
            </w:r>
          </w:p>
        </w:tc>
        <w:tc>
          <w:tcPr>
            <w:tcW w:w="6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Other</w:t>
            </w:r>
          </w:p>
        </w:tc>
        <w:tc>
          <w:tcPr>
            <w:tcW w:w="62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Total</w:t>
            </w:r>
          </w:p>
        </w:tc>
        <w:tc>
          <w:tcPr>
            <w:tcW w:w="6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Europe</w:t>
            </w:r>
          </w:p>
        </w:tc>
        <w:tc>
          <w:tcPr>
            <w:tcW w:w="7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Africa[B]</w:t>
            </w:r>
          </w:p>
        </w:tc>
        <w:tc>
          <w:tcPr>
            <w:tcW w:w="700" w:type="dxa"/>
            <w:vAlign w:val="bottom"/>
            <w:shd w:val="clear" w:color="auto" w:fill="CECAC6"/>
          </w:tcPr>
          <w:p>
            <w:pPr>
              <w:ind w:left="100"/>
              <w:spacing w:after="0"/>
              <w:rPr>
                <w:sz w:val="20"/>
                <w:szCs w:val="20"/>
                <w:color w:val="auto"/>
              </w:rPr>
            </w:pPr>
            <w:r>
              <w:rPr>
                <w:rFonts w:ascii="Arial" w:cs="Arial" w:eastAsia="Arial" w:hAnsi="Arial"/>
                <w:sz w:val="12"/>
                <w:szCs w:val="12"/>
                <w:color w:val="auto"/>
              </w:rPr>
              <w:t>Pacific[C]</w:t>
            </w:r>
          </w:p>
        </w:tc>
        <w:tc>
          <w:tcPr>
            <w:tcW w:w="100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Russia, CIS[D]</w:t>
            </w:r>
          </w:p>
        </w:tc>
        <w:tc>
          <w:tcPr>
            <w:tcW w:w="74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USA</w:t>
            </w:r>
          </w:p>
        </w:tc>
        <w:tc>
          <w:tcPr>
            <w:tcW w:w="6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Other</w:t>
            </w:r>
          </w:p>
        </w:tc>
        <w:tc>
          <w:tcPr>
            <w:tcW w:w="4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r>
      <w:tr>
        <w:trPr>
          <w:trHeight w:val="260"/>
        </w:trPr>
        <w:tc>
          <w:tcPr>
            <w:tcW w:w="1340" w:type="dxa"/>
            <w:vAlign w:val="bottom"/>
          </w:tcPr>
          <w:p>
            <w:pPr>
              <w:jc w:val="right"/>
              <w:ind w:right="58"/>
              <w:spacing w:after="0"/>
              <w:rPr>
                <w:sz w:val="20"/>
                <w:szCs w:val="20"/>
                <w:color w:val="auto"/>
              </w:rPr>
            </w:pPr>
            <w:r>
              <w:rPr>
                <w:rFonts w:ascii="Arial" w:cs="Arial" w:eastAsia="Arial" w:hAnsi="Arial"/>
                <w:sz w:val="12"/>
                <w:szCs w:val="12"/>
                <w:color w:val="auto"/>
              </w:rPr>
              <w:t>3,662</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782</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2,249</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225</w:t>
            </w:r>
          </w:p>
        </w:tc>
        <w:tc>
          <w:tcPr>
            <w:tcW w:w="720" w:type="dxa"/>
            <w:vAlign w:val="bottom"/>
          </w:tcPr>
          <w:p>
            <w:pPr>
              <w:jc w:val="right"/>
              <w:ind w:right="158"/>
              <w:spacing w:after="0"/>
              <w:rPr>
                <w:sz w:val="20"/>
                <w:szCs w:val="20"/>
                <w:color w:val="auto"/>
              </w:rPr>
            </w:pPr>
            <w:r>
              <w:rPr>
                <w:rFonts w:ascii="Arial" w:cs="Arial" w:eastAsia="Arial" w:hAnsi="Arial"/>
                <w:sz w:val="12"/>
                <w:szCs w:val="12"/>
                <w:color w:val="auto"/>
              </w:rPr>
              <w:t>1,608</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906</w:t>
            </w: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9,432</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3,258</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919</w:t>
            </w:r>
          </w:p>
        </w:tc>
        <w:tc>
          <w:tcPr>
            <w:tcW w:w="700" w:type="dxa"/>
            <w:vAlign w:val="bottom"/>
          </w:tcPr>
          <w:p>
            <w:pPr>
              <w:jc w:val="center"/>
              <w:spacing w:after="0"/>
              <w:rPr>
                <w:sz w:val="20"/>
                <w:szCs w:val="20"/>
                <w:color w:val="auto"/>
              </w:rPr>
            </w:pPr>
            <w:r>
              <w:rPr>
                <w:rFonts w:ascii="Arial" w:cs="Arial" w:eastAsia="Arial" w:hAnsi="Arial"/>
                <w:sz w:val="12"/>
                <w:szCs w:val="12"/>
                <w:color w:val="auto"/>
              </w:rPr>
              <w:t>2,553</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315</w:t>
            </w:r>
          </w:p>
        </w:tc>
        <w:tc>
          <w:tcPr>
            <w:tcW w:w="740" w:type="dxa"/>
            <w:vAlign w:val="bottom"/>
          </w:tcPr>
          <w:p>
            <w:pPr>
              <w:jc w:val="right"/>
              <w:ind w:right="158"/>
              <w:spacing w:after="0"/>
              <w:rPr>
                <w:sz w:val="20"/>
                <w:szCs w:val="20"/>
                <w:color w:val="auto"/>
              </w:rPr>
            </w:pPr>
            <w:r>
              <w:rPr>
                <w:rFonts w:ascii="Arial" w:cs="Arial" w:eastAsia="Arial" w:hAnsi="Arial"/>
                <w:sz w:val="12"/>
                <w:szCs w:val="12"/>
                <w:color w:val="auto"/>
              </w:rPr>
              <w:t>1,875</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1,080</w:t>
            </w:r>
          </w:p>
        </w:tc>
        <w:tc>
          <w:tcPr>
            <w:tcW w:w="480" w:type="dxa"/>
            <w:vAlign w:val="bottom"/>
          </w:tcPr>
          <w:p>
            <w:pPr>
              <w:jc w:val="right"/>
              <w:spacing w:after="0"/>
              <w:rPr>
                <w:sz w:val="20"/>
                <w:szCs w:val="20"/>
                <w:color w:val="auto"/>
              </w:rPr>
            </w:pPr>
            <w:r>
              <w:rPr>
                <w:rFonts w:ascii="Arial" w:cs="Arial" w:eastAsia="Arial" w:hAnsi="Arial"/>
                <w:sz w:val="12"/>
                <w:szCs w:val="12"/>
                <w:color w:val="auto"/>
              </w:rPr>
              <w:t>10,000</w:t>
            </w:r>
          </w:p>
        </w:tc>
      </w:tr>
      <w:tr>
        <w:trPr>
          <w:trHeight w:val="139"/>
        </w:trPr>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3,224</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601</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2,263</w:t>
            </w: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134</w:t>
            </w: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1,504</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871</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8,597</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3,662</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782</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2,249</w:t>
            </w: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225</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1,608</w:t>
            </w: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906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9,432</w:t>
            </w:r>
          </w:p>
        </w:tc>
      </w:tr>
      <w:tr>
        <w:trPr>
          <w:trHeight w:val="267"/>
        </w:trPr>
        <w:tc>
          <w:tcPr>
            <w:tcW w:w="1340" w:type="dxa"/>
            <w:vAlign w:val="bottom"/>
          </w:tcPr>
          <w:p>
            <w:pPr>
              <w:jc w:val="right"/>
              <w:ind w:right="58"/>
              <w:spacing w:after="0"/>
              <w:rPr>
                <w:sz w:val="20"/>
                <w:szCs w:val="20"/>
                <w:color w:val="auto"/>
              </w:rPr>
            </w:pPr>
            <w:r>
              <w:rPr>
                <w:rFonts w:ascii="Arial" w:cs="Arial" w:eastAsia="Arial" w:hAnsi="Arial"/>
                <w:sz w:val="12"/>
                <w:szCs w:val="12"/>
                <w:color w:val="auto"/>
              </w:rPr>
              <w:t>10,109</w:t>
            </w:r>
          </w:p>
        </w:tc>
        <w:tc>
          <w:tcPr>
            <w:tcW w:w="70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58"/>
              <w:spacing w:after="0"/>
              <w:rPr>
                <w:sz w:val="20"/>
                <w:szCs w:val="20"/>
                <w:color w:val="auto"/>
              </w:rPr>
            </w:pPr>
            <w:r>
              <w:rPr>
                <w:rFonts w:ascii="Arial" w:cs="Arial" w:eastAsia="Arial" w:hAnsi="Arial"/>
                <w:sz w:val="12"/>
                <w:szCs w:val="12"/>
                <w:color w:val="auto"/>
              </w:rPr>
              <w:t>1,443</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58"/>
              <w:spacing w:after="0"/>
              <w:rPr>
                <w:sz w:val="20"/>
                <w:szCs w:val="20"/>
                <w:color w:val="auto"/>
              </w:rPr>
            </w:pPr>
            <w:r>
              <w:rPr>
                <w:rFonts w:ascii="Arial" w:cs="Arial" w:eastAsia="Arial" w:hAnsi="Arial"/>
                <w:sz w:val="12"/>
                <w:szCs w:val="12"/>
                <w:color w:val="auto"/>
              </w:rPr>
              <w:t>15</w:t>
            </w:r>
          </w:p>
        </w:tc>
        <w:tc>
          <w:tcPr>
            <w:tcW w:w="6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58"/>
              <w:spacing w:after="0"/>
              <w:rPr>
                <w:sz w:val="20"/>
                <w:szCs w:val="20"/>
                <w:color w:val="auto"/>
              </w:rPr>
            </w:pPr>
            <w:r>
              <w:rPr>
                <w:rFonts w:ascii="Arial" w:cs="Arial" w:eastAsia="Arial" w:hAnsi="Arial"/>
                <w:sz w:val="12"/>
                <w:szCs w:val="12"/>
                <w:color w:val="auto"/>
              </w:rPr>
              <w:t>11,567</w:t>
            </w:r>
          </w:p>
        </w:tc>
        <w:tc>
          <w:tcPr>
            <w:tcW w:w="660" w:type="dxa"/>
            <w:vAlign w:val="bottom"/>
          </w:tcPr>
          <w:p>
            <w:pPr>
              <w:jc w:val="right"/>
              <w:ind w:right="58"/>
              <w:spacing w:after="0"/>
              <w:rPr>
                <w:sz w:val="20"/>
                <w:szCs w:val="20"/>
                <w:color w:val="auto"/>
              </w:rPr>
            </w:pPr>
            <w:r>
              <w:rPr>
                <w:rFonts w:ascii="Arial" w:cs="Arial" w:eastAsia="Arial" w:hAnsi="Arial"/>
                <w:sz w:val="12"/>
                <w:szCs w:val="12"/>
                <w:color w:val="auto"/>
              </w:rPr>
              <w:t>9,731</w:t>
            </w:r>
          </w:p>
        </w:tc>
        <w:tc>
          <w:tcPr>
            <w:tcW w:w="7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700" w:type="dxa"/>
            <w:vAlign w:val="bottom"/>
          </w:tcPr>
          <w:p>
            <w:pPr>
              <w:jc w:val="center"/>
              <w:spacing w:after="0"/>
              <w:rPr>
                <w:sz w:val="20"/>
                <w:szCs w:val="20"/>
                <w:color w:val="auto"/>
              </w:rPr>
            </w:pPr>
            <w:r>
              <w:rPr>
                <w:rFonts w:ascii="Arial" w:cs="Arial" w:eastAsia="Arial" w:hAnsi="Arial"/>
                <w:sz w:val="12"/>
                <w:szCs w:val="12"/>
                <w:color w:val="auto"/>
              </w:rPr>
              <w:t>1,606</w:t>
            </w:r>
          </w:p>
        </w:tc>
        <w:tc>
          <w:tcPr>
            <w:tcW w:w="10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158"/>
              <w:spacing w:after="0"/>
              <w:rPr>
                <w:sz w:val="20"/>
                <w:szCs w:val="20"/>
                <w:color w:val="auto"/>
              </w:rPr>
            </w:pPr>
            <w:r>
              <w:rPr>
                <w:rFonts w:ascii="Arial" w:cs="Arial" w:eastAsia="Arial" w:hAnsi="Arial"/>
                <w:sz w:val="12"/>
                <w:szCs w:val="12"/>
                <w:color w:val="auto"/>
              </w:rPr>
              <w:t>15</w:t>
            </w:r>
          </w:p>
        </w:tc>
        <w:tc>
          <w:tcPr>
            <w:tcW w:w="60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11,352</w:t>
            </w:r>
          </w:p>
        </w:tc>
      </w:tr>
      <w:tr>
        <w:trPr>
          <w:trHeight w:val="146"/>
        </w:trPr>
        <w:tc>
          <w:tcPr>
            <w:tcW w:w="134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9,827</w:t>
            </w: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1,260</w:t>
            </w: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w:t>
            </w: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w:t>
            </w:r>
          </w:p>
        </w:tc>
        <w:tc>
          <w:tcPr>
            <w:tcW w:w="62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11,092</w:t>
            </w:r>
          </w:p>
        </w:tc>
        <w:tc>
          <w:tcPr>
            <w:tcW w:w="66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10,109</w:t>
            </w: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rPr>
              <w:t>1,443</w:t>
            </w:r>
          </w:p>
        </w:tc>
        <w:tc>
          <w:tcPr>
            <w:tcW w:w="100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15</w:t>
            </w:r>
          </w:p>
        </w:tc>
        <w:tc>
          <w:tcPr>
            <w:tcW w:w="6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-802640</wp:posOffset>
            </wp:positionV>
            <wp:extent cx="6741160" cy="262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741160"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1596390</wp:posOffset>
            </wp:positionV>
            <wp:extent cx="7252970"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OIL AND GAS (UNAUDITED)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STANDARDISED MEASURE OF DISCOUNTED FUTURE CASH FLOWS</w:t>
      </w:r>
    </w:p>
    <w:p>
      <w:pPr>
        <w:spacing w:after="0" w:line="6" w:lineRule="exact"/>
        <w:rPr>
          <w:sz w:val="20"/>
          <w:szCs w:val="20"/>
          <w:color w:val="auto"/>
        </w:rPr>
      </w:pPr>
    </w:p>
    <w:p>
      <w:pPr>
        <w:ind w:right="1780"/>
        <w:spacing w:after="0" w:line="242" w:lineRule="auto"/>
        <w:rPr>
          <w:sz w:val="20"/>
          <w:szCs w:val="20"/>
          <w:color w:val="auto"/>
        </w:rPr>
      </w:pPr>
      <w:r>
        <w:rPr>
          <w:rFonts w:ascii="Arial" w:cs="Arial" w:eastAsia="Arial" w:hAnsi="Arial"/>
          <w:sz w:val="13"/>
          <w:szCs w:val="13"/>
          <w:color w:val="auto"/>
        </w:rPr>
        <w:t>United States accounting principles require the disclosure of a standardised measure of discounted cash flows, related to proved oil and gas reserve quantities and based on prices and costs at the end of the year, currently enacted tax rates and a 10% annual discount factor. The information so calculated does not provide a reliable measure of future cash flows from proved reserves, nor does it permit a realistic comparison to be made of one entity with another because the assumptions used cannot reflect the varying circumstances within each entity. In addition a substantial but unknown proportion of future real cash flows from oil and gas production activities is expected to derive from reserves which have already been discovered, but which cannot yet be regarded as proved.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380" w:type="dxa"/>
            <w:vAlign w:val="bottom"/>
            <w:shd w:val="clear" w:color="auto" w:fill="009AC8"/>
          </w:tcPr>
          <w:p>
            <w:pPr>
              <w:spacing w:after="0"/>
              <w:rPr>
                <w:sz w:val="12"/>
                <w:szCs w:val="12"/>
                <w:color w:val="auto"/>
              </w:rPr>
            </w:pPr>
          </w:p>
        </w:tc>
        <w:tc>
          <w:tcPr>
            <w:tcW w:w="1440" w:type="dxa"/>
            <w:vAlign w:val="bottom"/>
            <w:shd w:val="clear" w:color="auto" w:fill="009AC8"/>
          </w:tcPr>
          <w:p>
            <w:pPr>
              <w:spacing w:after="0"/>
              <w:rPr>
                <w:sz w:val="12"/>
                <w:szCs w:val="12"/>
                <w:color w:val="auto"/>
              </w:rPr>
            </w:pPr>
          </w:p>
        </w:tc>
        <w:tc>
          <w:tcPr>
            <w:tcW w:w="1280" w:type="dxa"/>
            <w:vAlign w:val="bottom"/>
            <w:shd w:val="clear" w:color="auto" w:fill="009AC8"/>
          </w:tcPr>
          <w:p>
            <w:pPr>
              <w:spacing w:after="0"/>
              <w:rPr>
                <w:sz w:val="12"/>
                <w:szCs w:val="12"/>
                <w:color w:val="auto"/>
              </w:rPr>
            </w:pPr>
          </w:p>
        </w:tc>
        <w:tc>
          <w:tcPr>
            <w:tcW w:w="1100" w:type="dxa"/>
            <w:vAlign w:val="bottom"/>
            <w:shd w:val="clear" w:color="auto" w:fill="009AC8"/>
          </w:tcPr>
          <w:p>
            <w:pPr>
              <w:spacing w:after="0"/>
              <w:rPr>
                <w:sz w:val="12"/>
                <w:szCs w:val="12"/>
                <w:color w:val="auto"/>
              </w:rPr>
            </w:pPr>
          </w:p>
        </w:tc>
        <w:tc>
          <w:tcPr>
            <w:tcW w:w="1400" w:type="dxa"/>
            <w:vAlign w:val="bottom"/>
            <w:shd w:val="clear" w:color="auto" w:fill="009AC8"/>
          </w:tcPr>
          <w:p>
            <w:pPr>
              <w:spacing w:after="0"/>
              <w:rPr>
                <w:sz w:val="12"/>
                <w:szCs w:val="12"/>
                <w:color w:val="auto"/>
              </w:rPr>
            </w:pPr>
          </w:p>
        </w:tc>
        <w:tc>
          <w:tcPr>
            <w:tcW w:w="1120" w:type="dxa"/>
            <w:vAlign w:val="bottom"/>
            <w:shd w:val="clear" w:color="auto" w:fill="009AC8"/>
          </w:tcPr>
          <w:p>
            <w:pPr>
              <w:spacing w:after="0"/>
              <w:rPr>
                <w:sz w:val="12"/>
                <w:szCs w:val="12"/>
                <w:color w:val="auto"/>
              </w:rPr>
            </w:pPr>
          </w:p>
        </w:tc>
        <w:tc>
          <w:tcPr>
            <w:tcW w:w="960" w:type="dxa"/>
            <w:vAlign w:val="bottom"/>
            <w:shd w:val="clear" w:color="auto" w:fill="009AC8"/>
          </w:tcPr>
          <w:p>
            <w:pPr>
              <w:spacing w:after="0"/>
              <w:rPr>
                <w:sz w:val="12"/>
                <w:szCs w:val="12"/>
                <w:color w:val="auto"/>
              </w:rPr>
            </w:pPr>
          </w:p>
        </w:tc>
        <w:tc>
          <w:tcPr>
            <w:tcW w:w="74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 million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380" w:type="dxa"/>
            <w:vAlign w:val="bottom"/>
            <w:shd w:val="clear" w:color="auto" w:fill="CECAC6"/>
          </w:tcPr>
          <w:p>
            <w:pPr>
              <w:spacing w:after="0"/>
              <w:rPr>
                <w:sz w:val="12"/>
                <w:szCs w:val="12"/>
                <w:color w:val="auto"/>
              </w:rPr>
            </w:pPr>
          </w:p>
        </w:tc>
        <w:tc>
          <w:tcPr>
            <w:tcW w:w="144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2500" w:type="dxa"/>
            <w:vAlign w:val="bottom"/>
            <w:gridSpan w:val="2"/>
            <w:shd w:val="clear" w:color="auto" w:fill="CECAC6"/>
          </w:tcPr>
          <w:p>
            <w:pPr>
              <w:jc w:val="right"/>
              <w:ind w:right="478"/>
              <w:spacing w:after="0"/>
              <w:rPr>
                <w:sz w:val="20"/>
                <w:szCs w:val="20"/>
                <w:color w:val="auto"/>
              </w:rPr>
            </w:pPr>
            <w:r>
              <w:rPr>
                <w:rFonts w:ascii="Arial" w:cs="Arial" w:eastAsia="Arial" w:hAnsi="Arial"/>
                <w:sz w:val="12"/>
                <w:szCs w:val="12"/>
                <w:color w:val="auto"/>
              </w:rPr>
              <w:t>Eastern Hemisphere</w:t>
            </w:r>
          </w:p>
        </w:tc>
        <w:tc>
          <w:tcPr>
            <w:tcW w:w="2080" w:type="dxa"/>
            <w:vAlign w:val="bottom"/>
            <w:gridSpan w:val="2"/>
            <w:shd w:val="clear" w:color="auto" w:fill="CECAC6"/>
          </w:tcPr>
          <w:p>
            <w:pPr>
              <w:jc w:val="right"/>
              <w:ind w:right="178"/>
              <w:spacing w:after="0"/>
              <w:rPr>
                <w:sz w:val="20"/>
                <w:szCs w:val="20"/>
                <w:color w:val="auto"/>
              </w:rPr>
            </w:pPr>
            <w:r>
              <w:rPr>
                <w:rFonts w:ascii="Arial" w:cs="Arial" w:eastAsia="Arial" w:hAnsi="Arial"/>
                <w:sz w:val="12"/>
                <w:szCs w:val="12"/>
                <w:color w:val="auto"/>
              </w:rPr>
              <w:t>Western Hemisphere</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shd w:val="clear" w:color="auto" w:fill="CECAC6"/>
          </w:tcPr>
          <w:p>
            <w:pPr>
              <w:spacing w:after="0"/>
              <w:rPr>
                <w:sz w:val="10"/>
                <w:szCs w:val="10"/>
                <w:color w:val="auto"/>
              </w:rPr>
            </w:pPr>
          </w:p>
        </w:tc>
        <w:tc>
          <w:tcPr>
            <w:tcW w:w="1440" w:type="dxa"/>
            <w:vAlign w:val="bottom"/>
            <w:shd w:val="clear" w:color="auto" w:fill="CECAC6"/>
          </w:tcPr>
          <w:p>
            <w:pPr>
              <w:spacing w:after="0"/>
              <w:rPr>
                <w:sz w:val="10"/>
                <w:szCs w:val="10"/>
                <w:color w:val="auto"/>
              </w:rPr>
            </w:pPr>
          </w:p>
        </w:tc>
        <w:tc>
          <w:tcPr>
            <w:tcW w:w="1280" w:type="dxa"/>
            <w:vAlign w:val="bottom"/>
            <w:shd w:val="clear" w:color="auto" w:fill="CECAC6"/>
          </w:tcPr>
          <w:p>
            <w:pPr>
              <w:spacing w:after="0"/>
              <w:rPr>
                <w:sz w:val="10"/>
                <w:szCs w:val="10"/>
                <w:color w:val="auto"/>
              </w:rPr>
            </w:pPr>
          </w:p>
        </w:tc>
        <w:tc>
          <w:tcPr>
            <w:tcW w:w="1100" w:type="dxa"/>
            <w:vAlign w:val="bottom"/>
            <w:shd w:val="clear" w:color="auto" w:fill="CECAC6"/>
          </w:tcPr>
          <w:p>
            <w:pPr>
              <w:jc w:val="right"/>
              <w:ind w:right="318"/>
              <w:spacing w:after="0" w:line="120" w:lineRule="exact"/>
              <w:rPr>
                <w:sz w:val="20"/>
                <w:szCs w:val="20"/>
                <w:color w:val="auto"/>
              </w:rPr>
            </w:pPr>
            <w:r>
              <w:rPr>
                <w:rFonts w:ascii="Arial" w:cs="Arial" w:eastAsia="Arial" w:hAnsi="Arial"/>
                <w:sz w:val="12"/>
                <w:szCs w:val="12"/>
                <w:color w:val="auto"/>
              </w:rPr>
              <w:t>Asia</w:t>
            </w:r>
          </w:p>
        </w:tc>
        <w:tc>
          <w:tcPr>
            <w:tcW w:w="1400" w:type="dxa"/>
            <w:vAlign w:val="bottom"/>
            <w:shd w:val="clear" w:color="auto" w:fill="CECAC6"/>
          </w:tcPr>
          <w:p>
            <w:pPr>
              <w:jc w:val="right"/>
              <w:ind w:right="478"/>
              <w:spacing w:after="0" w:line="120" w:lineRule="exact"/>
              <w:rPr>
                <w:sz w:val="20"/>
                <w:szCs w:val="20"/>
                <w:color w:val="auto"/>
              </w:rPr>
            </w:pPr>
            <w:r>
              <w:rPr>
                <w:rFonts w:ascii="Arial" w:cs="Arial" w:eastAsia="Arial" w:hAnsi="Arial"/>
                <w:sz w:val="12"/>
                <w:szCs w:val="12"/>
                <w:color w:val="auto"/>
              </w:rPr>
              <w:t>Middle East</w:t>
            </w:r>
          </w:p>
        </w:tc>
        <w:tc>
          <w:tcPr>
            <w:tcW w:w="1120" w:type="dxa"/>
            <w:vAlign w:val="bottom"/>
            <w:shd w:val="clear" w:color="auto" w:fill="CECAC6"/>
          </w:tcPr>
          <w:p>
            <w:pPr>
              <w:spacing w:after="0"/>
              <w:rPr>
                <w:sz w:val="10"/>
                <w:szCs w:val="10"/>
                <w:color w:val="auto"/>
              </w:rPr>
            </w:pPr>
          </w:p>
        </w:tc>
        <w:tc>
          <w:tcPr>
            <w:tcW w:w="960" w:type="dxa"/>
            <w:vAlign w:val="bottom"/>
            <w:shd w:val="clear" w:color="auto" w:fill="CECAC6"/>
          </w:tcPr>
          <w:p>
            <w:pPr>
              <w:spacing w:after="0"/>
              <w:rPr>
                <w:sz w:val="10"/>
                <w:szCs w:val="10"/>
                <w:color w:val="auto"/>
              </w:rPr>
            </w:pPr>
          </w:p>
        </w:tc>
        <w:tc>
          <w:tcPr>
            <w:tcW w:w="740" w:type="dxa"/>
            <w:vAlign w:val="bottom"/>
            <w:shd w:val="clear" w:color="auto" w:fill="CECAC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ECAC6"/>
          </w:tcPr>
          <w:p>
            <w:pPr>
              <w:spacing w:after="0"/>
              <w:rPr>
                <w:sz w:val="13"/>
                <w:szCs w:val="13"/>
                <w:color w:val="auto"/>
              </w:rPr>
            </w:pPr>
          </w:p>
        </w:tc>
        <w:tc>
          <w:tcPr>
            <w:tcW w:w="144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Europe</w:t>
            </w:r>
          </w:p>
        </w:tc>
        <w:tc>
          <w:tcPr>
            <w:tcW w:w="12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110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4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11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Other</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80" w:type="dxa"/>
            <w:vAlign w:val="bottom"/>
          </w:tcPr>
          <w:p>
            <w:pPr>
              <w:spacing w:after="0" w:line="128" w:lineRule="exact"/>
              <w:rPr>
                <w:sz w:val="20"/>
                <w:szCs w:val="20"/>
                <w:color w:val="auto"/>
              </w:rPr>
            </w:pPr>
            <w:r>
              <w:rPr>
                <w:rFonts w:ascii="Arial" w:cs="Arial" w:eastAsia="Arial" w:hAnsi="Arial"/>
                <w:sz w:val="12"/>
                <w:szCs w:val="12"/>
                <w:b w:val="1"/>
                <w:bCs w:val="1"/>
                <w:color w:val="auto"/>
              </w:rPr>
              <w:t>Shell subsidiaries</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cash inflows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107,607</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54,597</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34,908</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86,463</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48,696</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14,040</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346,311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production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28,937</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15,862</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9,607</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14,814</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19,163</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7,938</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96,321</w:t>
            </w: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development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14,600</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5,043</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8,618</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13,856</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6,190</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1,591</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49,898</w:t>
            </w:r>
          </w:p>
        </w:tc>
        <w:tc>
          <w:tcPr>
            <w:tcW w:w="0" w:type="dxa"/>
            <w:vAlign w:val="bottom"/>
          </w:tcPr>
          <w:p>
            <w:pPr>
              <w:spacing w:after="0"/>
              <w:rPr>
                <w:sz w:val="1"/>
                <w:szCs w:val="1"/>
                <w:color w:val="auto"/>
              </w:rPr>
            </w:pP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Future tax expenses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40,317</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20,061</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5,598</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28,377</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8,170</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1,223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103,746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Future net cash flows</w:t>
            </w:r>
          </w:p>
        </w:tc>
        <w:tc>
          <w:tcPr>
            <w:tcW w:w="144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23,753</w:t>
            </w:r>
          </w:p>
        </w:tc>
        <w:tc>
          <w:tcPr>
            <w:tcW w:w="128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13,631</w:t>
            </w:r>
          </w:p>
        </w:tc>
        <w:tc>
          <w:tcPr>
            <w:tcW w:w="110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11,085</w:t>
            </w:r>
          </w:p>
        </w:tc>
        <w:tc>
          <w:tcPr>
            <w:tcW w:w="1400" w:type="dxa"/>
            <w:vAlign w:val="bottom"/>
          </w:tcPr>
          <w:p>
            <w:pPr>
              <w:jc w:val="right"/>
              <w:ind w:right="478"/>
              <w:spacing w:after="0" w:line="134" w:lineRule="exact"/>
              <w:rPr>
                <w:sz w:val="20"/>
                <w:szCs w:val="20"/>
                <w:color w:val="auto"/>
              </w:rPr>
            </w:pPr>
            <w:r>
              <w:rPr>
                <w:rFonts w:ascii="Arial" w:cs="Arial" w:eastAsia="Arial" w:hAnsi="Arial"/>
                <w:sz w:val="12"/>
                <w:szCs w:val="12"/>
                <w:color w:val="auto"/>
              </w:rPr>
              <w:t>29,416</w:t>
            </w:r>
          </w:p>
        </w:tc>
        <w:tc>
          <w:tcPr>
            <w:tcW w:w="112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15,173</w:t>
            </w:r>
          </w:p>
        </w:tc>
        <w:tc>
          <w:tcPr>
            <w:tcW w:w="9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3,288</w:t>
            </w:r>
          </w:p>
        </w:tc>
        <w:tc>
          <w:tcPr>
            <w:tcW w:w="7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96,346</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20"/>
                <w:szCs w:val="20"/>
                <w:color w:val="auto"/>
              </w:rPr>
            </w:pPr>
            <w:r>
              <w:rPr>
                <w:rFonts w:ascii="Arial" w:cs="Arial" w:eastAsia="Arial" w:hAnsi="Arial"/>
                <w:sz w:val="12"/>
                <w:szCs w:val="12"/>
                <w:color w:val="auto"/>
              </w:rPr>
              <w:t>Effect of discounting cash flows at 10%</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7,192</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3,548</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4,405</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21,058</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4,938</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846</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41,987</w:t>
            </w:r>
          </w:p>
        </w:tc>
        <w:tc>
          <w:tcPr>
            <w:tcW w:w="0" w:type="dxa"/>
            <w:vAlign w:val="bottom"/>
          </w:tcPr>
          <w:p>
            <w:pPr>
              <w:spacing w:after="0"/>
              <w:rPr>
                <w:sz w:val="1"/>
                <w:szCs w:val="1"/>
                <w:color w:val="auto"/>
              </w:rPr>
            </w:pPr>
          </w:p>
        </w:tc>
      </w:tr>
      <w:tr>
        <w:trPr>
          <w:trHeight w:val="120"/>
        </w:trPr>
        <w:tc>
          <w:tcPr>
            <w:tcW w:w="338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Standardised measure of discounted future net cash</w:t>
            </w:r>
          </w:p>
        </w:tc>
        <w:tc>
          <w:tcPr>
            <w:tcW w:w="14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flows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16,561</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10,083</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6,680</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8,358</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10,235</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2,442</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54,359</w:t>
            </w:r>
          </w:p>
        </w:tc>
        <w:tc>
          <w:tcPr>
            <w:tcW w:w="0" w:type="dxa"/>
            <w:vAlign w:val="bottom"/>
          </w:tcPr>
          <w:p>
            <w:pPr>
              <w:spacing w:after="0"/>
              <w:rPr>
                <w:sz w:val="1"/>
                <w:szCs w:val="1"/>
                <w:color w:val="auto"/>
              </w:rPr>
            </w:pPr>
          </w:p>
        </w:tc>
      </w:tr>
      <w:tr>
        <w:trPr>
          <w:trHeight w:val="140"/>
        </w:trPr>
        <w:tc>
          <w:tcPr>
            <w:tcW w:w="3380" w:type="dxa"/>
            <w:vAlign w:val="bottom"/>
          </w:tcPr>
          <w:p>
            <w:pPr>
              <w:spacing w:after="0"/>
              <w:rPr>
                <w:sz w:val="20"/>
                <w:szCs w:val="20"/>
                <w:color w:val="auto"/>
              </w:rPr>
            </w:pPr>
            <w:r>
              <w:rPr>
                <w:rFonts w:ascii="Arial" w:cs="Arial" w:eastAsia="Arial" w:hAnsi="Arial"/>
                <w:sz w:val="12"/>
                <w:szCs w:val="12"/>
                <w:b w:val="1"/>
                <w:bCs w:val="1"/>
                <w:color w:val="auto"/>
              </w:rPr>
              <w:t>Shell share of equity-accounted investments</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10,023</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3,744</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5,727</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6,434</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802</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26,729</w:t>
            </w:r>
          </w:p>
        </w:tc>
        <w:tc>
          <w:tcPr>
            <w:tcW w:w="0" w:type="dxa"/>
            <w:vAlign w:val="bottom"/>
          </w:tcPr>
          <w:p>
            <w:pPr>
              <w:spacing w:after="0"/>
              <w:rPr>
                <w:sz w:val="1"/>
                <w:szCs w:val="1"/>
                <w:color w:val="auto"/>
              </w:rPr>
            </w:pPr>
          </w:p>
        </w:tc>
      </w:tr>
      <w:tr>
        <w:trPr>
          <w:trHeight w:val="146"/>
        </w:trPr>
        <w:tc>
          <w:tcPr>
            <w:tcW w:w="3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Minority interests included</w:t>
            </w:r>
          </w:p>
        </w:tc>
        <w:tc>
          <w:tcPr>
            <w:tcW w:w="144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Borders>
              <w:top w:val="single" w:sz="8" w:color="auto"/>
              <w:bottom w:val="single" w:sz="8" w:color="auto"/>
            </w:tcBorders>
          </w:tcPr>
          <w:p>
            <w:pPr>
              <w:jc w:val="right"/>
              <w:ind w:right="458"/>
              <w:spacing w:after="0"/>
              <w:rPr>
                <w:sz w:val="20"/>
                <w:szCs w:val="20"/>
                <w:color w:val="auto"/>
              </w:rPr>
            </w:pPr>
            <w:r>
              <w:rPr>
                <w:rFonts w:ascii="Arial" w:cs="Arial" w:eastAsia="Arial" w:hAnsi="Arial"/>
                <w:sz w:val="12"/>
                <w:szCs w:val="12"/>
                <w:color w:val="auto"/>
              </w:rPr>
              <w:t>245</w:t>
            </w:r>
          </w:p>
        </w:tc>
        <w:tc>
          <w:tcPr>
            <w:tcW w:w="110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2"/>
                <w:szCs w:val="12"/>
                <w:color w:val="auto"/>
              </w:rPr>
              <w:t>10</w:t>
            </w:r>
          </w:p>
        </w:tc>
        <w:tc>
          <w:tcPr>
            <w:tcW w:w="140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96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380" w:type="dxa"/>
            <w:vAlign w:val="bottom"/>
            <w:shd w:val="clear" w:color="auto" w:fill="009AC8"/>
          </w:tcPr>
          <w:p>
            <w:pPr>
              <w:spacing w:after="0"/>
              <w:rPr>
                <w:sz w:val="11"/>
                <w:szCs w:val="11"/>
                <w:color w:val="auto"/>
              </w:rPr>
            </w:pPr>
          </w:p>
        </w:tc>
        <w:tc>
          <w:tcPr>
            <w:tcW w:w="1440" w:type="dxa"/>
            <w:vAlign w:val="bottom"/>
            <w:shd w:val="clear" w:color="auto" w:fill="009AC8"/>
          </w:tcPr>
          <w:p>
            <w:pPr>
              <w:spacing w:after="0"/>
              <w:rPr>
                <w:sz w:val="11"/>
                <w:szCs w:val="11"/>
                <w:color w:val="auto"/>
              </w:rPr>
            </w:pPr>
          </w:p>
        </w:tc>
        <w:tc>
          <w:tcPr>
            <w:tcW w:w="1280" w:type="dxa"/>
            <w:vAlign w:val="bottom"/>
            <w:shd w:val="clear" w:color="auto" w:fill="009AC8"/>
          </w:tcPr>
          <w:p>
            <w:pPr>
              <w:spacing w:after="0"/>
              <w:rPr>
                <w:sz w:val="11"/>
                <w:szCs w:val="11"/>
                <w:color w:val="auto"/>
              </w:rPr>
            </w:pPr>
          </w:p>
        </w:tc>
        <w:tc>
          <w:tcPr>
            <w:tcW w:w="1100" w:type="dxa"/>
            <w:vAlign w:val="bottom"/>
            <w:shd w:val="clear" w:color="auto" w:fill="009AC8"/>
          </w:tcPr>
          <w:p>
            <w:pPr>
              <w:spacing w:after="0"/>
              <w:rPr>
                <w:sz w:val="11"/>
                <w:szCs w:val="11"/>
                <w:color w:val="auto"/>
              </w:rPr>
            </w:pPr>
          </w:p>
        </w:tc>
        <w:tc>
          <w:tcPr>
            <w:tcW w:w="1400" w:type="dxa"/>
            <w:vAlign w:val="bottom"/>
            <w:shd w:val="clear" w:color="auto" w:fill="009AC8"/>
          </w:tcPr>
          <w:p>
            <w:pPr>
              <w:spacing w:after="0"/>
              <w:rPr>
                <w:sz w:val="11"/>
                <w:szCs w:val="11"/>
                <w:color w:val="auto"/>
              </w:rPr>
            </w:pPr>
          </w:p>
        </w:tc>
        <w:tc>
          <w:tcPr>
            <w:tcW w:w="1120" w:type="dxa"/>
            <w:vAlign w:val="bottom"/>
            <w:shd w:val="clear" w:color="auto" w:fill="009AC8"/>
          </w:tcPr>
          <w:p>
            <w:pPr>
              <w:spacing w:after="0"/>
              <w:rPr>
                <w:sz w:val="11"/>
                <w:szCs w:val="11"/>
                <w:color w:val="auto"/>
              </w:rPr>
            </w:pPr>
          </w:p>
        </w:tc>
        <w:tc>
          <w:tcPr>
            <w:tcW w:w="960" w:type="dxa"/>
            <w:vAlign w:val="bottom"/>
            <w:shd w:val="clear" w:color="auto" w:fill="009AC8"/>
          </w:tcPr>
          <w:p>
            <w:pPr>
              <w:spacing w:after="0"/>
              <w:rPr>
                <w:sz w:val="11"/>
                <w:szCs w:val="11"/>
                <w:color w:val="auto"/>
              </w:rPr>
            </w:pPr>
          </w:p>
        </w:tc>
        <w:tc>
          <w:tcPr>
            <w:tcW w:w="740" w:type="dxa"/>
            <w:vAlign w:val="bottom"/>
            <w:shd w:val="clear" w:color="auto" w:fill="009AC8"/>
          </w:tcPr>
          <w:p>
            <w:pPr>
              <w:jc w:val="right"/>
              <w:spacing w:after="0" w:line="133" w:lineRule="exact"/>
              <w:rPr>
                <w:sz w:val="20"/>
                <w:szCs w:val="20"/>
                <w:color w:val="auto"/>
              </w:rPr>
            </w:pPr>
            <w:r>
              <w:rPr>
                <w:rFonts w:ascii="Arial" w:cs="Arial" w:eastAsia="Arial" w:hAnsi="Arial"/>
                <w:sz w:val="12"/>
                <w:szCs w:val="12"/>
                <w:b w:val="1"/>
                <w:bCs w:val="1"/>
                <w:color w:val="FFFFFF"/>
              </w:rPr>
              <w:t>$ million</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80" w:type="dxa"/>
            <w:vAlign w:val="bottom"/>
            <w:shd w:val="clear" w:color="auto" w:fill="CECAC6"/>
          </w:tcPr>
          <w:p>
            <w:pPr>
              <w:spacing w:after="0"/>
              <w:rPr>
                <w:sz w:val="12"/>
                <w:szCs w:val="12"/>
                <w:color w:val="auto"/>
              </w:rPr>
            </w:pPr>
          </w:p>
        </w:tc>
        <w:tc>
          <w:tcPr>
            <w:tcW w:w="144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2500" w:type="dxa"/>
            <w:vAlign w:val="bottom"/>
            <w:gridSpan w:val="2"/>
            <w:shd w:val="clear" w:color="auto" w:fill="CECAC6"/>
          </w:tcPr>
          <w:p>
            <w:pPr>
              <w:jc w:val="right"/>
              <w:ind w:right="478"/>
              <w:spacing w:after="0"/>
              <w:rPr>
                <w:sz w:val="20"/>
                <w:szCs w:val="20"/>
                <w:color w:val="auto"/>
              </w:rPr>
            </w:pPr>
            <w:r>
              <w:rPr>
                <w:rFonts w:ascii="Arial" w:cs="Arial" w:eastAsia="Arial" w:hAnsi="Arial"/>
                <w:sz w:val="12"/>
                <w:szCs w:val="12"/>
                <w:color w:val="auto"/>
              </w:rPr>
              <w:t>Eastern Hemisphere</w:t>
            </w:r>
          </w:p>
        </w:tc>
        <w:tc>
          <w:tcPr>
            <w:tcW w:w="2080" w:type="dxa"/>
            <w:vAlign w:val="bottom"/>
            <w:gridSpan w:val="2"/>
            <w:shd w:val="clear" w:color="auto" w:fill="CECAC6"/>
          </w:tcPr>
          <w:p>
            <w:pPr>
              <w:jc w:val="right"/>
              <w:ind w:right="178"/>
              <w:spacing w:after="0"/>
              <w:rPr>
                <w:sz w:val="20"/>
                <w:szCs w:val="20"/>
                <w:color w:val="auto"/>
              </w:rPr>
            </w:pPr>
            <w:r>
              <w:rPr>
                <w:rFonts w:ascii="Arial" w:cs="Arial" w:eastAsia="Arial" w:hAnsi="Arial"/>
                <w:sz w:val="12"/>
                <w:szCs w:val="12"/>
                <w:color w:val="auto"/>
              </w:rPr>
              <w:t>Western Hemisphere</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shd w:val="clear" w:color="auto" w:fill="CECAC6"/>
          </w:tcPr>
          <w:p>
            <w:pPr>
              <w:spacing w:after="0"/>
              <w:rPr>
                <w:sz w:val="10"/>
                <w:szCs w:val="10"/>
                <w:color w:val="auto"/>
              </w:rPr>
            </w:pPr>
          </w:p>
        </w:tc>
        <w:tc>
          <w:tcPr>
            <w:tcW w:w="1440" w:type="dxa"/>
            <w:vAlign w:val="bottom"/>
            <w:shd w:val="clear" w:color="auto" w:fill="CECAC6"/>
          </w:tcPr>
          <w:p>
            <w:pPr>
              <w:spacing w:after="0"/>
              <w:rPr>
                <w:sz w:val="10"/>
                <w:szCs w:val="10"/>
                <w:color w:val="auto"/>
              </w:rPr>
            </w:pPr>
          </w:p>
        </w:tc>
        <w:tc>
          <w:tcPr>
            <w:tcW w:w="1280" w:type="dxa"/>
            <w:vAlign w:val="bottom"/>
            <w:shd w:val="clear" w:color="auto" w:fill="CECAC6"/>
          </w:tcPr>
          <w:p>
            <w:pPr>
              <w:spacing w:after="0"/>
              <w:rPr>
                <w:sz w:val="10"/>
                <w:szCs w:val="10"/>
                <w:color w:val="auto"/>
              </w:rPr>
            </w:pPr>
          </w:p>
        </w:tc>
        <w:tc>
          <w:tcPr>
            <w:tcW w:w="1100" w:type="dxa"/>
            <w:vAlign w:val="bottom"/>
            <w:shd w:val="clear" w:color="auto" w:fill="CECAC6"/>
          </w:tcPr>
          <w:p>
            <w:pPr>
              <w:jc w:val="right"/>
              <w:ind w:right="318"/>
              <w:spacing w:after="0" w:line="120" w:lineRule="exact"/>
              <w:rPr>
                <w:sz w:val="20"/>
                <w:szCs w:val="20"/>
                <w:color w:val="auto"/>
              </w:rPr>
            </w:pPr>
            <w:r>
              <w:rPr>
                <w:rFonts w:ascii="Arial" w:cs="Arial" w:eastAsia="Arial" w:hAnsi="Arial"/>
                <w:sz w:val="12"/>
                <w:szCs w:val="12"/>
                <w:color w:val="auto"/>
              </w:rPr>
              <w:t>Asia</w:t>
            </w:r>
          </w:p>
        </w:tc>
        <w:tc>
          <w:tcPr>
            <w:tcW w:w="1400" w:type="dxa"/>
            <w:vAlign w:val="bottom"/>
            <w:shd w:val="clear" w:color="auto" w:fill="CECAC6"/>
          </w:tcPr>
          <w:p>
            <w:pPr>
              <w:jc w:val="right"/>
              <w:ind w:right="478"/>
              <w:spacing w:after="0" w:line="120" w:lineRule="exact"/>
              <w:rPr>
                <w:sz w:val="20"/>
                <w:szCs w:val="20"/>
                <w:color w:val="auto"/>
              </w:rPr>
            </w:pPr>
            <w:r>
              <w:rPr>
                <w:rFonts w:ascii="Arial" w:cs="Arial" w:eastAsia="Arial" w:hAnsi="Arial"/>
                <w:sz w:val="12"/>
                <w:szCs w:val="12"/>
                <w:color w:val="auto"/>
              </w:rPr>
              <w:t>Middle East</w:t>
            </w:r>
          </w:p>
        </w:tc>
        <w:tc>
          <w:tcPr>
            <w:tcW w:w="1120" w:type="dxa"/>
            <w:vAlign w:val="bottom"/>
            <w:shd w:val="clear" w:color="auto" w:fill="CECAC6"/>
          </w:tcPr>
          <w:p>
            <w:pPr>
              <w:spacing w:after="0"/>
              <w:rPr>
                <w:sz w:val="10"/>
                <w:szCs w:val="10"/>
                <w:color w:val="auto"/>
              </w:rPr>
            </w:pPr>
          </w:p>
        </w:tc>
        <w:tc>
          <w:tcPr>
            <w:tcW w:w="960" w:type="dxa"/>
            <w:vAlign w:val="bottom"/>
            <w:shd w:val="clear" w:color="auto" w:fill="CECAC6"/>
          </w:tcPr>
          <w:p>
            <w:pPr>
              <w:spacing w:after="0"/>
              <w:rPr>
                <w:sz w:val="10"/>
                <w:szCs w:val="10"/>
                <w:color w:val="auto"/>
              </w:rPr>
            </w:pPr>
          </w:p>
        </w:tc>
        <w:tc>
          <w:tcPr>
            <w:tcW w:w="740" w:type="dxa"/>
            <w:vAlign w:val="bottom"/>
            <w:shd w:val="clear" w:color="auto" w:fill="CECAC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ECAC6"/>
          </w:tcPr>
          <w:p>
            <w:pPr>
              <w:spacing w:after="0"/>
              <w:rPr>
                <w:sz w:val="13"/>
                <w:szCs w:val="13"/>
                <w:color w:val="auto"/>
              </w:rPr>
            </w:pPr>
          </w:p>
        </w:tc>
        <w:tc>
          <w:tcPr>
            <w:tcW w:w="144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Europe</w:t>
            </w:r>
          </w:p>
        </w:tc>
        <w:tc>
          <w:tcPr>
            <w:tcW w:w="12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110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4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11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Other</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80" w:type="dxa"/>
            <w:vAlign w:val="bottom"/>
          </w:tcPr>
          <w:p>
            <w:pPr>
              <w:spacing w:after="0" w:line="128" w:lineRule="exact"/>
              <w:rPr>
                <w:sz w:val="20"/>
                <w:szCs w:val="20"/>
                <w:color w:val="auto"/>
              </w:rPr>
            </w:pPr>
            <w:r>
              <w:rPr>
                <w:rFonts w:ascii="Arial" w:cs="Arial" w:eastAsia="Arial" w:hAnsi="Arial"/>
                <w:sz w:val="12"/>
                <w:szCs w:val="12"/>
                <w:b w:val="1"/>
                <w:bCs w:val="1"/>
                <w:color w:val="auto"/>
              </w:rPr>
              <w:t>Shell subsidiaries</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cash inflows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75,438</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49,408</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23,993</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101,791</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35,586</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11,176</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297,392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production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31,321</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14,410</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6,414</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25,498</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16,504</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4,946</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99,093</w:t>
            </w: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development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10,976</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5,853</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5,603</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19,654</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4,952</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1,115</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48,153</w:t>
            </w:r>
          </w:p>
        </w:tc>
        <w:tc>
          <w:tcPr>
            <w:tcW w:w="0" w:type="dxa"/>
            <w:vAlign w:val="bottom"/>
          </w:tcPr>
          <w:p>
            <w:pPr>
              <w:spacing w:after="0"/>
              <w:rPr>
                <w:sz w:val="1"/>
                <w:szCs w:val="1"/>
                <w:color w:val="auto"/>
              </w:rPr>
            </w:pPr>
          </w:p>
        </w:tc>
      </w:tr>
      <w:tr>
        <w:trPr>
          <w:trHeight w:val="139"/>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Future tax expenses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24,112</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17,388</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4,086</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20,735</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4,946</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1,340</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72,607</w:t>
            </w:r>
          </w:p>
        </w:tc>
        <w:tc>
          <w:tcPr>
            <w:tcW w:w="0" w:type="dxa"/>
            <w:vAlign w:val="bottom"/>
          </w:tcPr>
          <w:p>
            <w:pPr>
              <w:spacing w:after="0"/>
              <w:rPr>
                <w:sz w:val="1"/>
                <w:szCs w:val="1"/>
                <w:color w:val="auto"/>
              </w:rPr>
            </w:pP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2"/>
                <w:szCs w:val="12"/>
                <w:color w:val="auto"/>
              </w:rPr>
              <w:t>Future net cash flows</w:t>
            </w:r>
          </w:p>
        </w:tc>
        <w:tc>
          <w:tcPr>
            <w:tcW w:w="144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9,029</w:t>
            </w:r>
          </w:p>
        </w:tc>
        <w:tc>
          <w:tcPr>
            <w:tcW w:w="1280" w:type="dxa"/>
            <w:vAlign w:val="bottom"/>
          </w:tcPr>
          <w:p>
            <w:pPr>
              <w:jc w:val="right"/>
              <w:ind w:right="458"/>
              <w:spacing w:after="0" w:line="134" w:lineRule="exact"/>
              <w:rPr>
                <w:sz w:val="20"/>
                <w:szCs w:val="20"/>
                <w:color w:val="auto"/>
              </w:rPr>
            </w:pPr>
            <w:r>
              <w:rPr>
                <w:rFonts w:ascii="Arial" w:cs="Arial" w:eastAsia="Arial" w:hAnsi="Arial"/>
                <w:sz w:val="12"/>
                <w:szCs w:val="12"/>
                <w:color w:val="auto"/>
              </w:rPr>
              <w:t>11,757</w:t>
            </w:r>
          </w:p>
        </w:tc>
        <w:tc>
          <w:tcPr>
            <w:tcW w:w="1100" w:type="dxa"/>
            <w:vAlign w:val="bottom"/>
          </w:tcPr>
          <w:p>
            <w:pPr>
              <w:jc w:val="right"/>
              <w:ind w:right="318"/>
              <w:spacing w:after="0" w:line="134" w:lineRule="exact"/>
              <w:rPr>
                <w:sz w:val="20"/>
                <w:szCs w:val="20"/>
                <w:color w:val="auto"/>
              </w:rPr>
            </w:pPr>
            <w:r>
              <w:rPr>
                <w:rFonts w:ascii="Arial" w:cs="Arial" w:eastAsia="Arial" w:hAnsi="Arial"/>
                <w:sz w:val="12"/>
                <w:szCs w:val="12"/>
                <w:color w:val="auto"/>
              </w:rPr>
              <w:t>7,890</w:t>
            </w:r>
          </w:p>
        </w:tc>
        <w:tc>
          <w:tcPr>
            <w:tcW w:w="1400" w:type="dxa"/>
            <w:vAlign w:val="bottom"/>
          </w:tcPr>
          <w:p>
            <w:pPr>
              <w:jc w:val="right"/>
              <w:ind w:right="478"/>
              <w:spacing w:after="0" w:line="134" w:lineRule="exact"/>
              <w:rPr>
                <w:sz w:val="20"/>
                <w:szCs w:val="20"/>
                <w:color w:val="auto"/>
              </w:rPr>
            </w:pPr>
            <w:r>
              <w:rPr>
                <w:rFonts w:ascii="Arial" w:cs="Arial" w:eastAsia="Arial" w:hAnsi="Arial"/>
                <w:sz w:val="12"/>
                <w:szCs w:val="12"/>
                <w:color w:val="auto"/>
              </w:rPr>
              <w:t>35,904</w:t>
            </w:r>
          </w:p>
        </w:tc>
        <w:tc>
          <w:tcPr>
            <w:tcW w:w="112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9,184</w:t>
            </w:r>
          </w:p>
        </w:tc>
        <w:tc>
          <w:tcPr>
            <w:tcW w:w="96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3,775</w:t>
            </w:r>
          </w:p>
        </w:tc>
        <w:tc>
          <w:tcPr>
            <w:tcW w:w="760" w:type="dxa"/>
            <w:vAlign w:val="bottom"/>
            <w:gridSpan w:val="2"/>
          </w:tcPr>
          <w:p>
            <w:pPr>
              <w:jc w:val="right"/>
              <w:ind w:right="20"/>
              <w:spacing w:after="0" w:line="134" w:lineRule="exact"/>
              <w:rPr>
                <w:sz w:val="20"/>
                <w:szCs w:val="20"/>
                <w:color w:val="auto"/>
              </w:rPr>
            </w:pPr>
            <w:r>
              <w:rPr>
                <w:rFonts w:ascii="Arial" w:cs="Arial" w:eastAsia="Arial" w:hAnsi="Arial"/>
                <w:sz w:val="12"/>
                <w:szCs w:val="12"/>
                <w:color w:val="auto"/>
              </w:rPr>
              <w:t>77,539</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20"/>
                <w:szCs w:val="20"/>
                <w:color w:val="auto"/>
              </w:rPr>
            </w:pPr>
            <w:r>
              <w:rPr>
                <w:rFonts w:ascii="Arial" w:cs="Arial" w:eastAsia="Arial" w:hAnsi="Arial"/>
                <w:sz w:val="12"/>
                <w:szCs w:val="12"/>
                <w:color w:val="auto"/>
              </w:rPr>
              <w:t>Effect of discounting cash flows at 10%</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808</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3,324</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3,371</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23,531</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2,333</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1,127</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34,494</w:t>
            </w:r>
          </w:p>
        </w:tc>
        <w:tc>
          <w:tcPr>
            <w:tcW w:w="0" w:type="dxa"/>
            <w:vAlign w:val="bottom"/>
          </w:tcPr>
          <w:p>
            <w:pPr>
              <w:spacing w:after="0"/>
              <w:rPr>
                <w:sz w:val="1"/>
                <w:szCs w:val="1"/>
                <w:color w:val="auto"/>
              </w:rPr>
            </w:pPr>
          </w:p>
        </w:tc>
      </w:tr>
      <w:tr>
        <w:trPr>
          <w:trHeight w:val="120"/>
        </w:trPr>
        <w:tc>
          <w:tcPr>
            <w:tcW w:w="338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Standardised measure of discounted future net cash</w:t>
            </w:r>
          </w:p>
        </w:tc>
        <w:tc>
          <w:tcPr>
            <w:tcW w:w="14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flows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8,221</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8,433</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4,519</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12,373</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6,851</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2,648</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43,045</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Shell share of equity-accounted investments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8,718</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1,960</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745</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3,519</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285</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15,227</w:t>
            </w:r>
          </w:p>
        </w:tc>
        <w:tc>
          <w:tcPr>
            <w:tcW w:w="0" w:type="dxa"/>
            <w:vAlign w:val="bottom"/>
          </w:tcPr>
          <w:p>
            <w:pPr>
              <w:spacing w:after="0"/>
              <w:rPr>
                <w:sz w:val="1"/>
                <w:szCs w:val="1"/>
                <w:color w:val="auto"/>
              </w:rPr>
            </w:pPr>
          </w:p>
        </w:tc>
      </w:tr>
      <w:tr>
        <w:trPr>
          <w:trHeight w:val="146"/>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Minority interests included</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107</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3,877</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489</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4,475</w:t>
            </w:r>
          </w:p>
        </w:tc>
        <w:tc>
          <w:tcPr>
            <w:tcW w:w="0" w:type="dxa"/>
            <w:vAlign w:val="bottom"/>
          </w:tcPr>
          <w:p>
            <w:pPr>
              <w:spacing w:after="0"/>
              <w:rPr>
                <w:sz w:val="1"/>
                <w:szCs w:val="1"/>
                <w:color w:val="auto"/>
              </w:rPr>
            </w:pPr>
          </w:p>
        </w:tc>
      </w:tr>
      <w:tr>
        <w:trPr>
          <w:trHeight w:val="226"/>
        </w:trPr>
        <w:tc>
          <w:tcPr>
            <w:tcW w:w="3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380" w:type="dxa"/>
            <w:vAlign w:val="bottom"/>
            <w:shd w:val="clear" w:color="auto" w:fill="009AC8"/>
          </w:tcPr>
          <w:p>
            <w:pPr>
              <w:spacing w:after="0"/>
              <w:rPr>
                <w:sz w:val="11"/>
                <w:szCs w:val="11"/>
                <w:color w:val="auto"/>
              </w:rPr>
            </w:pPr>
          </w:p>
        </w:tc>
        <w:tc>
          <w:tcPr>
            <w:tcW w:w="1440" w:type="dxa"/>
            <w:vAlign w:val="bottom"/>
            <w:shd w:val="clear" w:color="auto" w:fill="009AC8"/>
          </w:tcPr>
          <w:p>
            <w:pPr>
              <w:spacing w:after="0"/>
              <w:rPr>
                <w:sz w:val="11"/>
                <w:szCs w:val="11"/>
                <w:color w:val="auto"/>
              </w:rPr>
            </w:pPr>
          </w:p>
        </w:tc>
        <w:tc>
          <w:tcPr>
            <w:tcW w:w="1280" w:type="dxa"/>
            <w:vAlign w:val="bottom"/>
            <w:shd w:val="clear" w:color="auto" w:fill="009AC8"/>
          </w:tcPr>
          <w:p>
            <w:pPr>
              <w:spacing w:after="0"/>
              <w:rPr>
                <w:sz w:val="11"/>
                <w:szCs w:val="11"/>
                <w:color w:val="auto"/>
              </w:rPr>
            </w:pPr>
          </w:p>
        </w:tc>
        <w:tc>
          <w:tcPr>
            <w:tcW w:w="1100" w:type="dxa"/>
            <w:vAlign w:val="bottom"/>
            <w:shd w:val="clear" w:color="auto" w:fill="009AC8"/>
          </w:tcPr>
          <w:p>
            <w:pPr>
              <w:spacing w:after="0"/>
              <w:rPr>
                <w:sz w:val="11"/>
                <w:szCs w:val="11"/>
                <w:color w:val="auto"/>
              </w:rPr>
            </w:pPr>
          </w:p>
        </w:tc>
        <w:tc>
          <w:tcPr>
            <w:tcW w:w="1400" w:type="dxa"/>
            <w:vAlign w:val="bottom"/>
            <w:shd w:val="clear" w:color="auto" w:fill="009AC8"/>
          </w:tcPr>
          <w:p>
            <w:pPr>
              <w:spacing w:after="0"/>
              <w:rPr>
                <w:sz w:val="11"/>
                <w:szCs w:val="11"/>
                <w:color w:val="auto"/>
              </w:rPr>
            </w:pPr>
          </w:p>
        </w:tc>
        <w:tc>
          <w:tcPr>
            <w:tcW w:w="1120" w:type="dxa"/>
            <w:vAlign w:val="bottom"/>
            <w:shd w:val="clear" w:color="auto" w:fill="009AC8"/>
          </w:tcPr>
          <w:p>
            <w:pPr>
              <w:spacing w:after="0"/>
              <w:rPr>
                <w:sz w:val="11"/>
                <w:szCs w:val="11"/>
                <w:color w:val="auto"/>
              </w:rPr>
            </w:pPr>
          </w:p>
        </w:tc>
        <w:tc>
          <w:tcPr>
            <w:tcW w:w="960" w:type="dxa"/>
            <w:vAlign w:val="bottom"/>
            <w:shd w:val="clear" w:color="auto" w:fill="009AC8"/>
          </w:tcPr>
          <w:p>
            <w:pPr>
              <w:spacing w:after="0"/>
              <w:rPr>
                <w:sz w:val="11"/>
                <w:szCs w:val="11"/>
                <w:color w:val="auto"/>
              </w:rPr>
            </w:pPr>
          </w:p>
        </w:tc>
        <w:tc>
          <w:tcPr>
            <w:tcW w:w="740" w:type="dxa"/>
            <w:vAlign w:val="bottom"/>
            <w:shd w:val="clear" w:color="auto" w:fill="009AC8"/>
          </w:tcPr>
          <w:p>
            <w:pPr>
              <w:jc w:val="right"/>
              <w:spacing w:after="0" w:line="133" w:lineRule="exact"/>
              <w:rPr>
                <w:sz w:val="20"/>
                <w:szCs w:val="20"/>
                <w:color w:val="auto"/>
              </w:rPr>
            </w:pPr>
            <w:r>
              <w:rPr>
                <w:rFonts w:ascii="Arial" w:cs="Arial" w:eastAsia="Arial" w:hAnsi="Arial"/>
                <w:sz w:val="12"/>
                <w:szCs w:val="12"/>
                <w:b w:val="1"/>
                <w:bCs w:val="1"/>
                <w:color w:val="FFFFFF"/>
              </w:rPr>
              <w:t>$ million</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80" w:type="dxa"/>
            <w:vAlign w:val="bottom"/>
            <w:shd w:val="clear" w:color="auto" w:fill="CECAC6"/>
          </w:tcPr>
          <w:p>
            <w:pPr>
              <w:spacing w:after="0"/>
              <w:rPr>
                <w:sz w:val="12"/>
                <w:szCs w:val="12"/>
                <w:color w:val="auto"/>
              </w:rPr>
            </w:pPr>
          </w:p>
        </w:tc>
        <w:tc>
          <w:tcPr>
            <w:tcW w:w="1440" w:type="dxa"/>
            <w:vAlign w:val="bottom"/>
            <w:shd w:val="clear" w:color="auto" w:fill="CECAC6"/>
          </w:tcPr>
          <w:p>
            <w:pPr>
              <w:spacing w:after="0"/>
              <w:rPr>
                <w:sz w:val="12"/>
                <w:szCs w:val="12"/>
                <w:color w:val="auto"/>
              </w:rPr>
            </w:pPr>
          </w:p>
        </w:tc>
        <w:tc>
          <w:tcPr>
            <w:tcW w:w="1280" w:type="dxa"/>
            <w:vAlign w:val="bottom"/>
            <w:shd w:val="clear" w:color="auto" w:fill="CECAC6"/>
          </w:tcPr>
          <w:p>
            <w:pPr>
              <w:spacing w:after="0"/>
              <w:rPr>
                <w:sz w:val="12"/>
                <w:szCs w:val="12"/>
                <w:color w:val="auto"/>
              </w:rPr>
            </w:pPr>
          </w:p>
        </w:tc>
        <w:tc>
          <w:tcPr>
            <w:tcW w:w="2500" w:type="dxa"/>
            <w:vAlign w:val="bottom"/>
            <w:gridSpan w:val="2"/>
            <w:shd w:val="clear" w:color="auto" w:fill="CECAC6"/>
          </w:tcPr>
          <w:p>
            <w:pPr>
              <w:jc w:val="right"/>
              <w:ind w:right="478"/>
              <w:spacing w:after="0"/>
              <w:rPr>
                <w:sz w:val="20"/>
                <w:szCs w:val="20"/>
                <w:color w:val="auto"/>
              </w:rPr>
            </w:pPr>
            <w:r>
              <w:rPr>
                <w:rFonts w:ascii="Arial" w:cs="Arial" w:eastAsia="Arial" w:hAnsi="Arial"/>
                <w:sz w:val="12"/>
                <w:szCs w:val="12"/>
                <w:color w:val="auto"/>
              </w:rPr>
              <w:t>Eastern Hemisphere</w:t>
            </w:r>
          </w:p>
        </w:tc>
        <w:tc>
          <w:tcPr>
            <w:tcW w:w="2080" w:type="dxa"/>
            <w:vAlign w:val="bottom"/>
            <w:gridSpan w:val="2"/>
            <w:shd w:val="clear" w:color="auto" w:fill="CECAC6"/>
          </w:tcPr>
          <w:p>
            <w:pPr>
              <w:jc w:val="right"/>
              <w:ind w:right="178"/>
              <w:spacing w:after="0"/>
              <w:rPr>
                <w:sz w:val="20"/>
                <w:szCs w:val="20"/>
                <w:color w:val="auto"/>
              </w:rPr>
            </w:pPr>
            <w:r>
              <w:rPr>
                <w:rFonts w:ascii="Arial" w:cs="Arial" w:eastAsia="Arial" w:hAnsi="Arial"/>
                <w:sz w:val="12"/>
                <w:szCs w:val="12"/>
                <w:color w:val="auto"/>
              </w:rPr>
              <w:t>Western Hemisphere</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80" w:type="dxa"/>
            <w:vAlign w:val="bottom"/>
            <w:shd w:val="clear" w:color="auto" w:fill="CECAC6"/>
          </w:tcPr>
          <w:p>
            <w:pPr>
              <w:spacing w:after="0"/>
              <w:rPr>
                <w:sz w:val="10"/>
                <w:szCs w:val="10"/>
                <w:color w:val="auto"/>
              </w:rPr>
            </w:pPr>
          </w:p>
        </w:tc>
        <w:tc>
          <w:tcPr>
            <w:tcW w:w="1440" w:type="dxa"/>
            <w:vAlign w:val="bottom"/>
            <w:shd w:val="clear" w:color="auto" w:fill="CECAC6"/>
          </w:tcPr>
          <w:p>
            <w:pPr>
              <w:spacing w:after="0"/>
              <w:rPr>
                <w:sz w:val="10"/>
                <w:szCs w:val="10"/>
                <w:color w:val="auto"/>
              </w:rPr>
            </w:pPr>
          </w:p>
        </w:tc>
        <w:tc>
          <w:tcPr>
            <w:tcW w:w="1280" w:type="dxa"/>
            <w:vAlign w:val="bottom"/>
            <w:shd w:val="clear" w:color="auto" w:fill="CECAC6"/>
          </w:tcPr>
          <w:p>
            <w:pPr>
              <w:spacing w:after="0"/>
              <w:rPr>
                <w:sz w:val="10"/>
                <w:szCs w:val="10"/>
                <w:color w:val="auto"/>
              </w:rPr>
            </w:pPr>
          </w:p>
        </w:tc>
        <w:tc>
          <w:tcPr>
            <w:tcW w:w="1100" w:type="dxa"/>
            <w:vAlign w:val="bottom"/>
            <w:shd w:val="clear" w:color="auto" w:fill="CECAC6"/>
          </w:tcPr>
          <w:p>
            <w:pPr>
              <w:jc w:val="right"/>
              <w:ind w:right="318"/>
              <w:spacing w:after="0" w:line="120" w:lineRule="exact"/>
              <w:rPr>
                <w:sz w:val="20"/>
                <w:szCs w:val="20"/>
                <w:color w:val="auto"/>
              </w:rPr>
            </w:pPr>
            <w:r>
              <w:rPr>
                <w:rFonts w:ascii="Arial" w:cs="Arial" w:eastAsia="Arial" w:hAnsi="Arial"/>
                <w:sz w:val="12"/>
                <w:szCs w:val="12"/>
                <w:color w:val="auto"/>
              </w:rPr>
              <w:t>Asia</w:t>
            </w:r>
          </w:p>
        </w:tc>
        <w:tc>
          <w:tcPr>
            <w:tcW w:w="1400" w:type="dxa"/>
            <w:vAlign w:val="bottom"/>
            <w:shd w:val="clear" w:color="auto" w:fill="CECAC6"/>
          </w:tcPr>
          <w:p>
            <w:pPr>
              <w:jc w:val="right"/>
              <w:ind w:right="478"/>
              <w:spacing w:after="0" w:line="120" w:lineRule="exact"/>
              <w:rPr>
                <w:sz w:val="20"/>
                <w:szCs w:val="20"/>
                <w:color w:val="auto"/>
              </w:rPr>
            </w:pPr>
            <w:r>
              <w:rPr>
                <w:rFonts w:ascii="Arial" w:cs="Arial" w:eastAsia="Arial" w:hAnsi="Arial"/>
                <w:sz w:val="12"/>
                <w:szCs w:val="12"/>
                <w:color w:val="auto"/>
              </w:rPr>
              <w:t>Middle East</w:t>
            </w:r>
          </w:p>
        </w:tc>
        <w:tc>
          <w:tcPr>
            <w:tcW w:w="1120" w:type="dxa"/>
            <w:vAlign w:val="bottom"/>
            <w:shd w:val="clear" w:color="auto" w:fill="CECAC6"/>
          </w:tcPr>
          <w:p>
            <w:pPr>
              <w:spacing w:after="0"/>
              <w:rPr>
                <w:sz w:val="10"/>
                <w:szCs w:val="10"/>
                <w:color w:val="auto"/>
              </w:rPr>
            </w:pPr>
          </w:p>
        </w:tc>
        <w:tc>
          <w:tcPr>
            <w:tcW w:w="960" w:type="dxa"/>
            <w:vAlign w:val="bottom"/>
            <w:shd w:val="clear" w:color="auto" w:fill="CECAC6"/>
          </w:tcPr>
          <w:p>
            <w:pPr>
              <w:spacing w:after="0"/>
              <w:rPr>
                <w:sz w:val="10"/>
                <w:szCs w:val="10"/>
                <w:color w:val="auto"/>
              </w:rPr>
            </w:pPr>
          </w:p>
        </w:tc>
        <w:tc>
          <w:tcPr>
            <w:tcW w:w="740" w:type="dxa"/>
            <w:vAlign w:val="bottom"/>
            <w:shd w:val="clear" w:color="auto" w:fill="CECAC6"/>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shd w:val="clear" w:color="auto" w:fill="CECAC6"/>
          </w:tcPr>
          <w:p>
            <w:pPr>
              <w:spacing w:after="0"/>
              <w:rPr>
                <w:sz w:val="13"/>
                <w:szCs w:val="13"/>
                <w:color w:val="auto"/>
              </w:rPr>
            </w:pPr>
          </w:p>
        </w:tc>
        <w:tc>
          <w:tcPr>
            <w:tcW w:w="144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Europe</w:t>
            </w:r>
          </w:p>
        </w:tc>
        <w:tc>
          <w:tcPr>
            <w:tcW w:w="12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Africa</w:t>
            </w:r>
            <w:r>
              <w:rPr>
                <w:rFonts w:ascii="Arial" w:cs="Arial" w:eastAsia="Arial" w:hAnsi="Arial"/>
                <w:sz w:val="12"/>
                <w:szCs w:val="12"/>
                <w:b w:val="1"/>
                <w:bCs w:val="1"/>
                <w:color w:val="auto"/>
              </w:rPr>
              <w:t>[A]</w:t>
            </w:r>
          </w:p>
        </w:tc>
        <w:tc>
          <w:tcPr>
            <w:tcW w:w="110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Pacific</w:t>
            </w:r>
            <w:r>
              <w:rPr>
                <w:rFonts w:ascii="Arial" w:cs="Arial" w:eastAsia="Arial" w:hAnsi="Arial"/>
                <w:sz w:val="12"/>
                <w:szCs w:val="12"/>
                <w:b w:val="1"/>
                <w:bCs w:val="1"/>
                <w:color w:val="auto"/>
              </w:rPr>
              <w:t>[B]</w:t>
            </w:r>
          </w:p>
        </w:tc>
        <w:tc>
          <w:tcPr>
            <w:tcW w:w="14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Russia, CIS</w:t>
            </w:r>
            <w:r>
              <w:rPr>
                <w:rFonts w:ascii="Arial" w:cs="Arial" w:eastAsia="Arial" w:hAnsi="Arial"/>
                <w:sz w:val="12"/>
                <w:szCs w:val="12"/>
                <w:b w:val="1"/>
                <w:bCs w:val="1"/>
                <w:color w:val="auto"/>
              </w:rPr>
              <w:t>[C]</w:t>
            </w:r>
          </w:p>
        </w:tc>
        <w:tc>
          <w:tcPr>
            <w:tcW w:w="11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USA</w:t>
            </w:r>
          </w:p>
        </w:tc>
        <w:tc>
          <w:tcPr>
            <w:tcW w:w="96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Other</w:t>
            </w:r>
          </w:p>
        </w:tc>
        <w:tc>
          <w:tcPr>
            <w:tcW w:w="740" w:type="dxa"/>
            <w:vAlign w:val="bottom"/>
            <w:shd w:val="clear" w:color="auto" w:fill="CECAC6"/>
          </w:tcPr>
          <w:p>
            <w:pPr>
              <w:jc w:val="right"/>
              <w:spacing w:after="0"/>
              <w:rPr>
                <w:sz w:val="20"/>
                <w:szCs w:val="20"/>
                <w:color w:val="auto"/>
              </w:rPr>
            </w:pPr>
            <w:r>
              <w:rPr>
                <w:rFonts w:ascii="Arial" w:cs="Arial" w:eastAsia="Arial" w:hAnsi="Arial"/>
                <w:sz w:val="12"/>
                <w:szCs w:val="12"/>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380" w:type="dxa"/>
            <w:vAlign w:val="bottom"/>
          </w:tcPr>
          <w:p>
            <w:pPr>
              <w:spacing w:after="0" w:line="128" w:lineRule="exact"/>
              <w:rPr>
                <w:sz w:val="20"/>
                <w:szCs w:val="20"/>
                <w:color w:val="auto"/>
              </w:rPr>
            </w:pPr>
            <w:r>
              <w:rPr>
                <w:rFonts w:ascii="Arial" w:cs="Arial" w:eastAsia="Arial" w:hAnsi="Arial"/>
                <w:sz w:val="12"/>
                <w:szCs w:val="12"/>
                <w:b w:val="1"/>
                <w:bCs w:val="1"/>
                <w:color w:val="auto"/>
              </w:rPr>
              <w:t>Shell subsidiaries</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cash inflows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100,668</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53,262</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24,173</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87,660</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48,640</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17,144</w:t>
            </w:r>
          </w:p>
        </w:tc>
        <w:tc>
          <w:tcPr>
            <w:tcW w:w="740" w:type="dxa"/>
            <w:vAlign w:val="bottom"/>
          </w:tcPr>
          <w:p>
            <w:pPr>
              <w:jc w:val="right"/>
              <w:spacing w:after="0" w:line="133" w:lineRule="exact"/>
              <w:rPr>
                <w:sz w:val="20"/>
                <w:szCs w:val="20"/>
                <w:color w:val="auto"/>
              </w:rPr>
            </w:pPr>
            <w:r>
              <w:rPr>
                <w:rFonts w:ascii="Arial" w:cs="Arial" w:eastAsia="Arial" w:hAnsi="Arial"/>
                <w:sz w:val="12"/>
                <w:szCs w:val="12"/>
                <w:color w:val="auto"/>
              </w:rPr>
              <w:t>331,547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production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31,018</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14,461</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5,338</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23,444</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9,376</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4,528</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88,165</w:t>
            </w: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Future development costs</w:t>
            </w:r>
          </w:p>
        </w:tc>
        <w:tc>
          <w:tcPr>
            <w:tcW w:w="14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8,986</w:t>
            </w:r>
          </w:p>
        </w:tc>
        <w:tc>
          <w:tcPr>
            <w:tcW w:w="1280" w:type="dxa"/>
            <w:vAlign w:val="bottom"/>
          </w:tcPr>
          <w:p>
            <w:pPr>
              <w:jc w:val="right"/>
              <w:ind w:right="458"/>
              <w:spacing w:after="0" w:line="133" w:lineRule="exact"/>
              <w:rPr>
                <w:sz w:val="20"/>
                <w:szCs w:val="20"/>
                <w:color w:val="auto"/>
              </w:rPr>
            </w:pPr>
            <w:r>
              <w:rPr>
                <w:rFonts w:ascii="Arial" w:cs="Arial" w:eastAsia="Arial" w:hAnsi="Arial"/>
                <w:sz w:val="12"/>
                <w:szCs w:val="12"/>
                <w:color w:val="auto"/>
              </w:rPr>
              <w:t>5,052</w:t>
            </w:r>
          </w:p>
        </w:tc>
        <w:tc>
          <w:tcPr>
            <w:tcW w:w="11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4,756</w:t>
            </w:r>
          </w:p>
        </w:tc>
        <w:tc>
          <w:tcPr>
            <w:tcW w:w="1400" w:type="dxa"/>
            <w:vAlign w:val="bottom"/>
          </w:tcPr>
          <w:p>
            <w:pPr>
              <w:jc w:val="right"/>
              <w:ind w:right="478"/>
              <w:spacing w:after="0" w:line="133" w:lineRule="exact"/>
              <w:rPr>
                <w:sz w:val="20"/>
                <w:szCs w:val="20"/>
                <w:color w:val="auto"/>
              </w:rPr>
            </w:pPr>
            <w:r>
              <w:rPr>
                <w:rFonts w:ascii="Arial" w:cs="Arial" w:eastAsia="Arial" w:hAnsi="Arial"/>
                <w:sz w:val="12"/>
                <w:szCs w:val="12"/>
                <w:color w:val="auto"/>
              </w:rPr>
              <w:t>19,618</w:t>
            </w:r>
          </w:p>
        </w:tc>
        <w:tc>
          <w:tcPr>
            <w:tcW w:w="112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2,490</w:t>
            </w:r>
          </w:p>
        </w:tc>
        <w:tc>
          <w:tcPr>
            <w:tcW w:w="96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974</w:t>
            </w:r>
          </w:p>
        </w:tc>
        <w:tc>
          <w:tcPr>
            <w:tcW w:w="76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41,876</w:t>
            </w:r>
          </w:p>
        </w:tc>
        <w:tc>
          <w:tcPr>
            <w:tcW w:w="0" w:type="dxa"/>
            <w:vAlign w:val="bottom"/>
          </w:tcPr>
          <w:p>
            <w:pPr>
              <w:spacing w:after="0"/>
              <w:rPr>
                <w:sz w:val="1"/>
                <w:szCs w:val="1"/>
                <w:color w:val="auto"/>
              </w:rPr>
            </w:pPr>
          </w:p>
        </w:tc>
      </w:tr>
      <w:tr>
        <w:trPr>
          <w:trHeight w:val="139"/>
        </w:trPr>
        <w:tc>
          <w:tcPr>
            <w:tcW w:w="3380" w:type="dxa"/>
            <w:vAlign w:val="bottom"/>
          </w:tcPr>
          <w:p>
            <w:pPr>
              <w:spacing w:after="0"/>
              <w:rPr>
                <w:sz w:val="20"/>
                <w:szCs w:val="20"/>
                <w:color w:val="auto"/>
              </w:rPr>
            </w:pPr>
            <w:r>
              <w:rPr>
                <w:rFonts w:ascii="Arial" w:cs="Arial" w:eastAsia="Arial" w:hAnsi="Arial"/>
                <w:sz w:val="12"/>
                <w:szCs w:val="12"/>
                <w:color w:val="auto"/>
              </w:rPr>
              <w:t>Future tax expenses</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39,808</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18,071</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4,776</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18,444</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13,743</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3,215</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98,057</w:t>
            </w:r>
          </w:p>
        </w:tc>
        <w:tc>
          <w:tcPr>
            <w:tcW w:w="0" w:type="dxa"/>
            <w:vAlign w:val="bottom"/>
          </w:tcPr>
          <w:p>
            <w:pPr>
              <w:spacing w:after="0"/>
              <w:rPr>
                <w:sz w:val="1"/>
                <w:szCs w:val="1"/>
                <w:color w:val="auto"/>
              </w:rPr>
            </w:pPr>
          </w:p>
        </w:tc>
      </w:tr>
      <w:tr>
        <w:trPr>
          <w:trHeight w:val="134"/>
        </w:trPr>
        <w:tc>
          <w:tcPr>
            <w:tcW w:w="3380" w:type="dxa"/>
            <w:vAlign w:val="bottom"/>
            <w:tcBorders>
              <w:top w:val="single" w:sz="8" w:color="auto"/>
            </w:tcBorders>
          </w:tcPr>
          <w:p>
            <w:pPr>
              <w:spacing w:after="0" w:line="134" w:lineRule="exact"/>
              <w:rPr>
                <w:sz w:val="20"/>
                <w:szCs w:val="20"/>
                <w:color w:val="auto"/>
              </w:rPr>
            </w:pPr>
            <w:r>
              <w:rPr>
                <w:rFonts w:ascii="Arial" w:cs="Arial" w:eastAsia="Arial" w:hAnsi="Arial"/>
                <w:sz w:val="12"/>
                <w:szCs w:val="12"/>
                <w:color w:val="auto"/>
              </w:rPr>
              <w:t>Future net cash flows</w:t>
            </w:r>
          </w:p>
        </w:tc>
        <w:tc>
          <w:tcPr>
            <w:tcW w:w="1440" w:type="dxa"/>
            <w:vAlign w:val="bottom"/>
            <w:tcBorders>
              <w:top w:val="single" w:sz="8" w:color="auto"/>
            </w:tcBorders>
          </w:tcPr>
          <w:p>
            <w:pPr>
              <w:jc w:val="right"/>
              <w:ind w:right="338"/>
              <w:spacing w:after="0" w:line="134" w:lineRule="exact"/>
              <w:rPr>
                <w:sz w:val="20"/>
                <w:szCs w:val="20"/>
                <w:color w:val="auto"/>
              </w:rPr>
            </w:pPr>
            <w:r>
              <w:rPr>
                <w:rFonts w:ascii="Arial" w:cs="Arial" w:eastAsia="Arial" w:hAnsi="Arial"/>
                <w:sz w:val="12"/>
                <w:szCs w:val="12"/>
                <w:color w:val="auto"/>
              </w:rPr>
              <w:t>20,856</w:t>
            </w:r>
          </w:p>
        </w:tc>
        <w:tc>
          <w:tcPr>
            <w:tcW w:w="1280" w:type="dxa"/>
            <w:vAlign w:val="bottom"/>
            <w:tcBorders>
              <w:top w:val="single" w:sz="8" w:color="auto"/>
            </w:tcBorders>
          </w:tcPr>
          <w:p>
            <w:pPr>
              <w:jc w:val="right"/>
              <w:ind w:right="458"/>
              <w:spacing w:after="0" w:line="134" w:lineRule="exact"/>
              <w:rPr>
                <w:sz w:val="20"/>
                <w:szCs w:val="20"/>
                <w:color w:val="auto"/>
              </w:rPr>
            </w:pPr>
            <w:r>
              <w:rPr>
                <w:rFonts w:ascii="Arial" w:cs="Arial" w:eastAsia="Arial" w:hAnsi="Arial"/>
                <w:sz w:val="12"/>
                <w:szCs w:val="12"/>
                <w:color w:val="auto"/>
              </w:rPr>
              <w:t>15,678</w:t>
            </w:r>
          </w:p>
        </w:tc>
        <w:tc>
          <w:tcPr>
            <w:tcW w:w="1100" w:type="dxa"/>
            <w:vAlign w:val="bottom"/>
            <w:tcBorders>
              <w:top w:val="single" w:sz="8" w:color="auto"/>
            </w:tcBorders>
          </w:tcPr>
          <w:p>
            <w:pPr>
              <w:jc w:val="right"/>
              <w:ind w:right="318"/>
              <w:spacing w:after="0" w:line="134" w:lineRule="exact"/>
              <w:rPr>
                <w:sz w:val="20"/>
                <w:szCs w:val="20"/>
                <w:color w:val="auto"/>
              </w:rPr>
            </w:pPr>
            <w:r>
              <w:rPr>
                <w:rFonts w:ascii="Arial" w:cs="Arial" w:eastAsia="Arial" w:hAnsi="Arial"/>
                <w:sz w:val="12"/>
                <w:szCs w:val="12"/>
                <w:color w:val="auto"/>
              </w:rPr>
              <w:t>9,303</w:t>
            </w:r>
          </w:p>
        </w:tc>
        <w:tc>
          <w:tcPr>
            <w:tcW w:w="1400" w:type="dxa"/>
            <w:vAlign w:val="bottom"/>
            <w:tcBorders>
              <w:top w:val="single" w:sz="8" w:color="auto"/>
            </w:tcBorders>
          </w:tcPr>
          <w:p>
            <w:pPr>
              <w:jc w:val="right"/>
              <w:ind w:right="478"/>
              <w:spacing w:after="0" w:line="134" w:lineRule="exact"/>
              <w:rPr>
                <w:sz w:val="20"/>
                <w:szCs w:val="20"/>
                <w:color w:val="auto"/>
              </w:rPr>
            </w:pPr>
            <w:r>
              <w:rPr>
                <w:rFonts w:ascii="Arial" w:cs="Arial" w:eastAsia="Arial" w:hAnsi="Arial"/>
                <w:sz w:val="12"/>
                <w:szCs w:val="12"/>
                <w:color w:val="auto"/>
              </w:rPr>
              <w:t>26,154</w:t>
            </w:r>
          </w:p>
        </w:tc>
        <w:tc>
          <w:tcPr>
            <w:tcW w:w="1120" w:type="dxa"/>
            <w:vAlign w:val="bottom"/>
            <w:tcBorders>
              <w:top w:val="single" w:sz="8" w:color="auto"/>
            </w:tcBorders>
          </w:tcPr>
          <w:p>
            <w:pPr>
              <w:jc w:val="right"/>
              <w:ind w:right="278"/>
              <w:spacing w:after="0" w:line="134" w:lineRule="exact"/>
              <w:rPr>
                <w:sz w:val="20"/>
                <w:szCs w:val="20"/>
                <w:color w:val="auto"/>
              </w:rPr>
            </w:pPr>
            <w:r>
              <w:rPr>
                <w:rFonts w:ascii="Arial" w:cs="Arial" w:eastAsia="Arial" w:hAnsi="Arial"/>
                <w:sz w:val="12"/>
                <w:szCs w:val="12"/>
                <w:color w:val="auto"/>
              </w:rPr>
              <w:t>23,031</w:t>
            </w:r>
          </w:p>
        </w:tc>
        <w:tc>
          <w:tcPr>
            <w:tcW w:w="960" w:type="dxa"/>
            <w:vAlign w:val="bottom"/>
            <w:tcBorders>
              <w:top w:val="single" w:sz="8" w:color="auto"/>
            </w:tcBorders>
          </w:tcPr>
          <w:p>
            <w:pPr>
              <w:jc w:val="right"/>
              <w:ind w:right="178"/>
              <w:spacing w:after="0" w:line="134" w:lineRule="exact"/>
              <w:rPr>
                <w:sz w:val="20"/>
                <w:szCs w:val="20"/>
                <w:color w:val="auto"/>
              </w:rPr>
            </w:pPr>
            <w:r>
              <w:rPr>
                <w:rFonts w:ascii="Arial" w:cs="Arial" w:eastAsia="Arial" w:hAnsi="Arial"/>
                <w:sz w:val="12"/>
                <w:szCs w:val="12"/>
                <w:color w:val="auto"/>
              </w:rPr>
              <w:t>8,427</w:t>
            </w:r>
          </w:p>
        </w:tc>
        <w:tc>
          <w:tcPr>
            <w:tcW w:w="7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103,449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80" w:type="dxa"/>
            <w:vAlign w:val="bottom"/>
          </w:tcPr>
          <w:p>
            <w:pPr>
              <w:spacing w:after="0"/>
              <w:rPr>
                <w:sz w:val="20"/>
                <w:szCs w:val="20"/>
                <w:color w:val="auto"/>
              </w:rPr>
            </w:pPr>
            <w:r>
              <w:rPr>
                <w:rFonts w:ascii="Arial" w:cs="Arial" w:eastAsia="Arial" w:hAnsi="Arial"/>
                <w:sz w:val="12"/>
                <w:szCs w:val="12"/>
                <w:color w:val="auto"/>
              </w:rPr>
              <w:t>Effect of discounting cash flows at 10%</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6,745</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4,359</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3,954</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19,175</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8,177</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2,781</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45,191</w:t>
            </w:r>
          </w:p>
        </w:tc>
        <w:tc>
          <w:tcPr>
            <w:tcW w:w="0" w:type="dxa"/>
            <w:vAlign w:val="bottom"/>
          </w:tcPr>
          <w:p>
            <w:pPr>
              <w:spacing w:after="0"/>
              <w:rPr>
                <w:sz w:val="1"/>
                <w:szCs w:val="1"/>
                <w:color w:val="auto"/>
              </w:rPr>
            </w:pPr>
          </w:p>
        </w:tc>
      </w:tr>
      <w:tr>
        <w:trPr>
          <w:trHeight w:val="120"/>
        </w:trPr>
        <w:tc>
          <w:tcPr>
            <w:tcW w:w="338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Standardised measure of discounted future net cash</w:t>
            </w:r>
          </w:p>
        </w:tc>
        <w:tc>
          <w:tcPr>
            <w:tcW w:w="14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flows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14,111</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11,319</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5,349</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6,979</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14,854</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5,646</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58,258</w:t>
            </w:r>
          </w:p>
        </w:tc>
        <w:tc>
          <w:tcPr>
            <w:tcW w:w="0" w:type="dxa"/>
            <w:vAlign w:val="bottom"/>
          </w:tcPr>
          <w:p>
            <w:pPr>
              <w:spacing w:after="0"/>
              <w:rPr>
                <w:sz w:val="1"/>
                <w:szCs w:val="1"/>
                <w:color w:val="auto"/>
              </w:rPr>
            </w:pPr>
          </w:p>
        </w:tc>
      </w:tr>
      <w:tr>
        <w:trPr>
          <w:trHeight w:val="140"/>
        </w:trPr>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Shell share of equity-accounted investments</w:t>
            </w:r>
          </w:p>
        </w:tc>
        <w:tc>
          <w:tcPr>
            <w:tcW w:w="14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8,597</w:t>
            </w:r>
          </w:p>
        </w:tc>
        <w:tc>
          <w:tcPr>
            <w:tcW w:w="1280" w:type="dxa"/>
            <w:vAlign w:val="bottom"/>
            <w:tcBorders>
              <w:bottom w:val="single" w:sz="8" w:color="auto"/>
            </w:tcBorders>
          </w:tcPr>
          <w:p>
            <w:pPr>
              <w:jc w:val="right"/>
              <w:ind w:right="458"/>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2,887</w:t>
            </w:r>
          </w:p>
        </w:tc>
        <w:tc>
          <w:tcPr>
            <w:tcW w:w="1400" w:type="dxa"/>
            <w:vAlign w:val="bottom"/>
            <w:tcBorders>
              <w:bottom w:val="single" w:sz="8" w:color="auto"/>
            </w:tcBorders>
          </w:tcPr>
          <w:p>
            <w:pPr>
              <w:jc w:val="right"/>
              <w:ind w:right="478"/>
              <w:spacing w:after="0"/>
              <w:rPr>
                <w:sz w:val="20"/>
                <w:szCs w:val="20"/>
                <w:color w:val="auto"/>
              </w:rPr>
            </w:pPr>
            <w:r>
              <w:rPr>
                <w:rFonts w:ascii="Arial" w:cs="Arial" w:eastAsia="Arial" w:hAnsi="Arial"/>
                <w:sz w:val="12"/>
                <w:szCs w:val="12"/>
                <w:color w:val="auto"/>
              </w:rPr>
              <w:t>980</w:t>
            </w:r>
          </w:p>
        </w:tc>
        <w:tc>
          <w:tcPr>
            <w:tcW w:w="11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4,339</w:t>
            </w:r>
          </w:p>
        </w:tc>
        <w:tc>
          <w:tcPr>
            <w:tcW w:w="9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16,803</w:t>
            </w:r>
          </w:p>
        </w:tc>
        <w:tc>
          <w:tcPr>
            <w:tcW w:w="0" w:type="dxa"/>
            <w:vAlign w:val="bottom"/>
          </w:tcPr>
          <w:p>
            <w:pPr>
              <w:spacing w:after="0"/>
              <w:rPr>
                <w:sz w:val="1"/>
                <w:szCs w:val="1"/>
                <w:color w:val="auto"/>
              </w:rPr>
            </w:pPr>
          </w:p>
        </w:tc>
      </w:tr>
      <w:tr>
        <w:trPr>
          <w:trHeight w:val="146"/>
        </w:trPr>
        <w:tc>
          <w:tcPr>
            <w:tcW w:w="3380" w:type="dxa"/>
            <w:vAlign w:val="bottom"/>
          </w:tcPr>
          <w:p>
            <w:pPr>
              <w:spacing w:after="0"/>
              <w:rPr>
                <w:sz w:val="20"/>
                <w:szCs w:val="20"/>
                <w:color w:val="auto"/>
              </w:rPr>
            </w:pPr>
            <w:r>
              <w:rPr>
                <w:rFonts w:ascii="Arial" w:cs="Arial" w:eastAsia="Arial" w:hAnsi="Arial"/>
                <w:sz w:val="12"/>
                <w:szCs w:val="12"/>
                <w:b w:val="1"/>
                <w:bCs w:val="1"/>
                <w:color w:val="auto"/>
              </w:rPr>
              <w:t>Minority interests included</w:t>
            </w:r>
          </w:p>
        </w:tc>
        <w:tc>
          <w:tcPr>
            <w:tcW w:w="144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58"/>
              <w:spacing w:after="0"/>
              <w:rPr>
                <w:sz w:val="20"/>
                <w:szCs w:val="20"/>
                <w:color w:val="auto"/>
              </w:rPr>
            </w:pPr>
            <w:r>
              <w:rPr>
                <w:rFonts w:ascii="Arial" w:cs="Arial" w:eastAsia="Arial" w:hAnsi="Arial"/>
                <w:sz w:val="12"/>
                <w:szCs w:val="12"/>
                <w:color w:val="auto"/>
              </w:rPr>
              <w:t>174</w:t>
            </w:r>
          </w:p>
        </w:tc>
        <w:tc>
          <w:tcPr>
            <w:tcW w:w="1100" w:type="dxa"/>
            <w:vAlign w:val="bottom"/>
          </w:tcPr>
          <w:p>
            <w:pPr>
              <w:jc w:val="right"/>
              <w:ind w:right="318"/>
              <w:spacing w:after="0"/>
              <w:rPr>
                <w:sz w:val="20"/>
                <w:szCs w:val="20"/>
                <w:color w:val="auto"/>
              </w:rPr>
            </w:pPr>
            <w:r>
              <w:rPr>
                <w:rFonts w:ascii="Arial" w:cs="Arial" w:eastAsia="Arial" w:hAnsi="Arial"/>
                <w:sz w:val="12"/>
                <w:szCs w:val="12"/>
                <w:color w:val="auto"/>
              </w:rPr>
              <w:t>20</w:t>
            </w:r>
          </w:p>
        </w:tc>
        <w:tc>
          <w:tcPr>
            <w:tcW w:w="1400" w:type="dxa"/>
            <w:vAlign w:val="bottom"/>
          </w:tcPr>
          <w:p>
            <w:pPr>
              <w:jc w:val="right"/>
              <w:ind w:right="478"/>
              <w:spacing w:after="0"/>
              <w:rPr>
                <w:sz w:val="20"/>
                <w:szCs w:val="20"/>
                <w:color w:val="auto"/>
              </w:rPr>
            </w:pPr>
            <w:r>
              <w:rPr>
                <w:rFonts w:ascii="Arial" w:cs="Arial" w:eastAsia="Arial" w:hAnsi="Arial"/>
                <w:sz w:val="12"/>
                <w:szCs w:val="12"/>
                <w:color w:val="auto"/>
              </w:rPr>
              <w:t>1,687</w:t>
            </w:r>
          </w:p>
        </w:tc>
        <w:tc>
          <w:tcPr>
            <w:tcW w:w="112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178"/>
              <w:spacing w:after="0"/>
              <w:rPr>
                <w:sz w:val="20"/>
                <w:szCs w:val="20"/>
                <w:color w:val="auto"/>
              </w:rPr>
            </w:pPr>
            <w:r>
              <w:rPr>
                <w:rFonts w:ascii="Arial" w:cs="Arial" w:eastAsia="Arial" w:hAnsi="Arial"/>
                <w:sz w:val="12"/>
                <w:szCs w:val="12"/>
                <w:color w:val="auto"/>
              </w:rPr>
              <w:t>885</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2,766</w:t>
            </w:r>
          </w:p>
        </w:tc>
        <w:tc>
          <w:tcPr>
            <w:tcW w:w="0" w:type="dxa"/>
            <w:vAlign w:val="bottom"/>
          </w:tcPr>
          <w:p>
            <w:pPr>
              <w:spacing w:after="0"/>
              <w:rPr>
                <w:sz w:val="1"/>
                <w:szCs w:val="1"/>
                <w:color w:val="auto"/>
              </w:rPr>
            </w:pPr>
          </w:p>
        </w:tc>
      </w:tr>
      <w:tr>
        <w:trPr>
          <w:trHeight w:val="141"/>
        </w:trPr>
        <w:tc>
          <w:tcPr>
            <w:tcW w:w="33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 Excludes Egypt.</w:t>
            </w:r>
          </w:p>
        </w:tc>
        <w:tc>
          <w:tcPr>
            <w:tcW w:w="14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line="133" w:lineRule="exact"/>
              <w:rPr>
                <w:sz w:val="20"/>
                <w:szCs w:val="20"/>
                <w:color w:val="auto"/>
              </w:rPr>
            </w:pPr>
            <w:r>
              <w:rPr>
                <w:rFonts w:ascii="Arial" w:cs="Arial" w:eastAsia="Arial" w:hAnsi="Arial"/>
                <w:sz w:val="12"/>
                <w:szCs w:val="12"/>
                <w:color w:val="auto"/>
              </w:rPr>
              <w:t>[B] Excludes Sakhalin.</w:t>
            </w:r>
          </w:p>
        </w:tc>
        <w:tc>
          <w:tcPr>
            <w:tcW w:w="14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20"/>
                <w:szCs w:val="20"/>
                <w:color w:val="auto"/>
              </w:rPr>
            </w:pPr>
            <w:r>
              <w:rPr>
                <w:rFonts w:ascii="Arial" w:cs="Arial" w:eastAsia="Arial" w:hAnsi="Arial"/>
                <w:sz w:val="12"/>
                <w:szCs w:val="12"/>
                <w:color w:val="auto"/>
              </w:rPr>
              <w:t>[C] Includes Caspian region, Egypt and Sakhalin.</w:t>
            </w:r>
          </w:p>
        </w:tc>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2364105</wp:posOffset>
            </wp:positionH>
            <wp:positionV relativeFrom="paragraph">
              <wp:posOffset>-4555490</wp:posOffset>
            </wp:positionV>
            <wp:extent cx="4338955" cy="262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338955" cy="262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-3049905</wp:posOffset>
            </wp:positionV>
            <wp:extent cx="4338955" cy="262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338955" cy="262255"/>
                    </a:xfrm>
                    <a:prstGeom prst="rect">
                      <a:avLst/>
                    </a:prstGeom>
                    <a:noFill/>
                  </pic:spPr>
                </pic:pic>
              </a:graphicData>
            </a:graphic>
          </wp:anchor>
        </w:drawing>
        <w:drawing>
          <wp:anchor simplePos="0" relativeHeight="251657728" behindDoc="1" locked="0" layoutInCell="0" allowOverlap="1">
            <wp:simplePos x="0" y="0"/>
            <wp:positionH relativeFrom="column">
              <wp:posOffset>2364105</wp:posOffset>
            </wp:positionH>
            <wp:positionV relativeFrom="paragraph">
              <wp:posOffset>-1544955</wp:posOffset>
            </wp:positionV>
            <wp:extent cx="4338955" cy="262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338955" cy="262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40" w:hanging="333"/>
        <w:spacing w:after="0"/>
        <w:tabs>
          <w:tab w:leader="none" w:pos="340" w:val="left"/>
        </w:tabs>
        <w:numPr>
          <w:ilvl w:val="0"/>
          <w:numId w:val="151"/>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520" w:type="dxa"/>
            <w:vAlign w:val="bottom"/>
            <w:tcBorders>
              <w:right w:val="single" w:sz="8" w:color="009AC8"/>
            </w:tcBorders>
            <w:shd w:val="clear" w:color="auto" w:fill="009AC8"/>
          </w:tcPr>
          <w:p>
            <w:pPr>
              <w:spacing w:after="0"/>
              <w:rPr>
                <w:sz w:val="20"/>
                <w:szCs w:val="20"/>
                <w:color w:val="auto"/>
              </w:rPr>
            </w:pPr>
            <w:r>
              <w:rPr>
                <w:rFonts w:ascii="Arial" w:cs="Arial" w:eastAsia="Arial" w:hAnsi="Arial"/>
                <w:sz w:val="12"/>
                <w:szCs w:val="12"/>
                <w:b w:val="1"/>
                <w:bCs w:val="1"/>
                <w:color w:val="FFFFFF"/>
              </w:rPr>
              <w:t>Change in standardised measure of Shell subsidiaries discounted future net cash flows relating to proved oil and gas reserves</w:t>
            </w:r>
          </w:p>
        </w:tc>
        <w:tc>
          <w:tcPr>
            <w:tcW w:w="580" w:type="dxa"/>
            <w:vAlign w:val="bottom"/>
            <w:shd w:val="clear" w:color="auto" w:fill="009AC8"/>
          </w:tcPr>
          <w:p>
            <w:pPr>
              <w:spacing w:after="0"/>
              <w:rPr>
                <w:sz w:val="12"/>
                <w:szCs w:val="12"/>
                <w:color w:val="auto"/>
              </w:rPr>
            </w:pPr>
          </w:p>
        </w:tc>
        <w:tc>
          <w:tcPr>
            <w:tcW w:w="1600" w:type="dxa"/>
            <w:vAlign w:val="bottom"/>
            <w:shd w:val="clear" w:color="auto" w:fill="009AC8"/>
          </w:tcPr>
          <w:p>
            <w:pPr>
              <w:spacing w:after="0"/>
              <w:rPr>
                <w:sz w:val="12"/>
                <w:szCs w:val="12"/>
                <w:color w:val="auto"/>
              </w:rPr>
            </w:pPr>
          </w:p>
        </w:tc>
        <w:tc>
          <w:tcPr>
            <w:tcW w:w="92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520" w:type="dxa"/>
            <w:vAlign w:val="bottom"/>
            <w:tcBorders>
              <w:right w:val="single" w:sz="8" w:color="CECAC6"/>
            </w:tcBorders>
            <w:shd w:val="clear" w:color="auto" w:fill="CECAC6"/>
          </w:tcPr>
          <w:p>
            <w:pPr>
              <w:spacing w:after="0"/>
              <w:rPr>
                <w:sz w:val="11"/>
                <w:szCs w:val="11"/>
                <w:color w:val="auto"/>
              </w:rPr>
            </w:pPr>
          </w:p>
        </w:tc>
        <w:tc>
          <w:tcPr>
            <w:tcW w:w="58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600" w:type="dxa"/>
            <w:vAlign w:val="bottom"/>
            <w:shd w:val="clear" w:color="auto" w:fill="CECAC6"/>
          </w:tcPr>
          <w:p>
            <w:pPr>
              <w:jc w:val="right"/>
              <w:ind w:right="378"/>
              <w:spacing w:after="0" w:line="133" w:lineRule="exact"/>
              <w:rPr>
                <w:sz w:val="20"/>
                <w:szCs w:val="20"/>
                <w:color w:val="auto"/>
              </w:rPr>
            </w:pPr>
            <w:r>
              <w:rPr>
                <w:rFonts w:ascii="Arial" w:cs="Arial" w:eastAsia="Arial" w:hAnsi="Arial"/>
                <w:sz w:val="12"/>
                <w:szCs w:val="12"/>
                <w:color w:val="auto"/>
              </w:rPr>
              <w:t>2006</w:t>
            </w:r>
          </w:p>
        </w:tc>
        <w:tc>
          <w:tcPr>
            <w:tcW w:w="9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127"/>
        </w:trPr>
        <w:tc>
          <w:tcPr>
            <w:tcW w:w="7520" w:type="dxa"/>
            <w:vAlign w:val="bottom"/>
            <w:tcBorders>
              <w:right w:val="single" w:sz="8" w:color="E4E3E1"/>
            </w:tcBorders>
          </w:tcPr>
          <w:p>
            <w:pPr>
              <w:spacing w:after="0" w:line="128" w:lineRule="exact"/>
              <w:rPr>
                <w:sz w:val="20"/>
                <w:szCs w:val="20"/>
                <w:color w:val="auto"/>
              </w:rPr>
            </w:pPr>
            <w:r>
              <w:rPr>
                <w:rFonts w:ascii="Arial" w:cs="Arial" w:eastAsia="Arial" w:hAnsi="Arial"/>
                <w:sz w:val="12"/>
                <w:szCs w:val="12"/>
                <w:b w:val="1"/>
                <w:bCs w:val="1"/>
                <w:color w:val="auto"/>
              </w:rPr>
              <w:t>At January 1</w:t>
            </w:r>
          </w:p>
        </w:tc>
        <w:tc>
          <w:tcPr>
            <w:tcW w:w="58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43,045</w:t>
            </w:r>
          </w:p>
        </w:tc>
        <w:tc>
          <w:tcPr>
            <w:tcW w:w="16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58,258</w:t>
            </w:r>
          </w:p>
        </w:tc>
        <w:tc>
          <w:tcPr>
            <w:tcW w:w="92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45,525</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Net changes in prices and production costs</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59,064</w:t>
            </w:r>
          </w:p>
        </w:tc>
        <w:tc>
          <w:tcPr>
            <w:tcW w:w="16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(18,339)</w:t>
            </w:r>
          </w:p>
        </w:tc>
        <w:tc>
          <w:tcPr>
            <w:tcW w:w="9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45,352</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Extensions, discoveries and improved recovery</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9,258</w:t>
            </w:r>
          </w:p>
        </w:tc>
        <w:tc>
          <w:tcPr>
            <w:tcW w:w="16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10,540</w:t>
            </w:r>
          </w:p>
        </w:tc>
        <w:tc>
          <w:tcPr>
            <w:tcW w:w="9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14,467</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Purchases and sales of minerals in place</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(9,257)</w:t>
            </w:r>
          </w:p>
        </w:tc>
        <w:tc>
          <w:tcPr>
            <w:tcW w:w="16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456</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(236)</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Revisions of previous reserve estimates</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5,781</w:t>
            </w:r>
          </w:p>
        </w:tc>
        <w:tc>
          <w:tcPr>
            <w:tcW w:w="16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2,232</w:t>
            </w:r>
          </w:p>
        </w:tc>
        <w:tc>
          <w:tcPr>
            <w:tcW w:w="9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1,278</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Development cost related to future production</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w w:val="98"/>
              </w:rPr>
              <w:t>(14,601)</w:t>
            </w:r>
          </w:p>
        </w:tc>
        <w:tc>
          <w:tcPr>
            <w:tcW w:w="16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(11,236)</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(14,030)</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Sales and transfers of oil and gas, net of production costs</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w w:val="98"/>
              </w:rPr>
              <w:t>(37,263)</w:t>
            </w:r>
          </w:p>
        </w:tc>
        <w:tc>
          <w:tcPr>
            <w:tcW w:w="160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(37,351)</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(33,646)</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Development cost incurred during the year</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10,447</w:t>
            </w:r>
          </w:p>
        </w:tc>
        <w:tc>
          <w:tcPr>
            <w:tcW w:w="16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11,323</w:t>
            </w:r>
          </w:p>
        </w:tc>
        <w:tc>
          <w:tcPr>
            <w:tcW w:w="9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9,154</w:t>
            </w:r>
          </w:p>
        </w:tc>
      </w:tr>
      <w:tr>
        <w:trPr>
          <w:trHeight w:val="133"/>
        </w:trPr>
        <w:tc>
          <w:tcPr>
            <w:tcW w:w="752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Accretion of discount</w:t>
            </w:r>
          </w:p>
        </w:tc>
        <w:tc>
          <w:tcPr>
            <w:tcW w:w="58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6,862</w:t>
            </w:r>
          </w:p>
        </w:tc>
        <w:tc>
          <w:tcPr>
            <w:tcW w:w="16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10,958</w:t>
            </w:r>
          </w:p>
        </w:tc>
        <w:tc>
          <w:tcPr>
            <w:tcW w:w="9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8,259</w:t>
            </w:r>
          </w:p>
        </w:tc>
      </w:tr>
      <w:tr>
        <w:trPr>
          <w:trHeight w:val="139"/>
        </w:trPr>
        <w:tc>
          <w:tcPr>
            <w:tcW w:w="75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Net change in income tax</w:t>
            </w:r>
          </w:p>
        </w:tc>
        <w:tc>
          <w:tcPr>
            <w:tcW w:w="58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w w:val="98"/>
              </w:rPr>
              <w:t>(18,977)</w:t>
            </w:r>
          </w:p>
        </w:tc>
        <w:tc>
          <w:tcPr>
            <w:tcW w:w="16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16,204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(17,865)</w:t>
            </w:r>
          </w:p>
        </w:tc>
      </w:tr>
      <w:tr>
        <w:trPr>
          <w:trHeight w:val="146"/>
        </w:trPr>
        <w:tc>
          <w:tcPr>
            <w:tcW w:w="752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b w:val="1"/>
                <w:bCs w:val="1"/>
                <w:color w:val="auto"/>
              </w:rPr>
              <w:t>At December 31</w:t>
            </w:r>
          </w:p>
        </w:tc>
        <w:tc>
          <w:tcPr>
            <w:tcW w:w="58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54,359</w:t>
            </w:r>
          </w:p>
        </w:tc>
        <w:tc>
          <w:tcPr>
            <w:tcW w:w="16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43,045</w:t>
            </w: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58,258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-997585</wp:posOffset>
            </wp:positionV>
            <wp:extent cx="282575" cy="75780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82575" cy="757809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INFORMATION CONCERNING PROVED RESERVES</w:t>
      </w:r>
    </w:p>
    <w:p>
      <w:pPr>
        <w:spacing w:after="0" w:line="6"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Proved reserves can be either developed or undeveloped. Subsidiaries proved reserves at December 31, 2007 were divided into 43% developed and 57% undeveloped on a barrel of oil equivalent basis.</w:t>
      </w:r>
    </w:p>
    <w:p>
      <w:pPr>
        <w:spacing w:after="0" w:line="74" w:lineRule="exact"/>
        <w:rPr>
          <w:sz w:val="20"/>
          <w:szCs w:val="20"/>
          <w:color w:val="auto"/>
        </w:rPr>
      </w:pPr>
    </w:p>
    <w:p>
      <w:pPr>
        <w:ind w:right="300"/>
        <w:spacing w:after="0" w:line="235" w:lineRule="auto"/>
        <w:rPr>
          <w:sz w:val="20"/>
          <w:szCs w:val="20"/>
          <w:color w:val="auto"/>
        </w:rPr>
      </w:pPr>
      <w:r>
        <w:rPr>
          <w:rFonts w:ascii="Arial" w:cs="Arial" w:eastAsia="Arial" w:hAnsi="Arial"/>
          <w:sz w:val="14"/>
          <w:szCs w:val="14"/>
          <w:color w:val="auto"/>
        </w:rPr>
        <w:t>Proved reserves are recognised under various forms of contractual agreements. Shell’s proved reserves volumes present in agreements such as production-sharing contracts (PSCs) or other forms of economic entitlement contracts where Shell share of reserves can vary with actual year-end price are approximately 1,025 million barrels of crude oil and natural gas liquids, and 12,448 thousand million standard cubic feet of gas.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1418590</wp:posOffset>
            </wp:positionV>
            <wp:extent cx="7252970" cy="209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Oil sands (unaudited)</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RESERVES</w:t>
      </w:r>
    </w:p>
    <w:p>
      <w:pPr>
        <w:spacing w:after="0" w:line="6" w:lineRule="exact"/>
        <w:rPr>
          <w:sz w:val="20"/>
          <w:szCs w:val="20"/>
          <w:color w:val="auto"/>
        </w:rPr>
      </w:pPr>
    </w:p>
    <w:p>
      <w:pPr>
        <w:ind w:right="140"/>
        <w:spacing w:after="0" w:line="229" w:lineRule="auto"/>
        <w:rPr>
          <w:sz w:val="20"/>
          <w:szCs w:val="20"/>
          <w:color w:val="auto"/>
        </w:rPr>
      </w:pPr>
      <w:r>
        <w:rPr>
          <w:rFonts w:ascii="Arial" w:cs="Arial" w:eastAsia="Arial" w:hAnsi="Arial"/>
          <w:sz w:val="14"/>
          <w:szCs w:val="14"/>
          <w:color w:val="auto"/>
        </w:rPr>
        <w:t>In addition to proved conventional liquids and natural gas reserves, Shell has considerable interests in minable oil sands reserves in Canada associated with the Athabasca Oil Sands Project. Since the SEC regulations define these reserves as mining related and not part of conventional oil and gas reserves, these are presented separately. These mining reserves are not included in the standardised measure of discounted cash flows for conventional oil and gas reserves presented on pages 168-169.</w:t>
      </w:r>
    </w:p>
    <w:p>
      <w:pPr>
        <w:spacing w:after="0" w:line="73"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SEC Industry Guide 7 for Significant Mining Operations states that mining reserves are defined as that part of a mineral deposit that could be economically and legally extracted or produced at the time of reserve determination. SEC Industry Guide 7 provides the following reserve definitions which have been tailored to minable oil sands:</w:t>
      </w:r>
    </w:p>
    <w:p>
      <w:pPr>
        <w:spacing w:after="0" w:line="68" w:lineRule="exact"/>
        <w:rPr>
          <w:sz w:val="20"/>
          <w:szCs w:val="20"/>
          <w:color w:val="auto"/>
        </w:rPr>
      </w:pPr>
    </w:p>
    <w:p>
      <w:pPr>
        <w:ind w:left="460" w:right="240"/>
        <w:spacing w:after="0" w:line="328" w:lineRule="auto"/>
        <w:rPr>
          <w:sz w:val="20"/>
          <w:szCs w:val="20"/>
          <w:color w:val="auto"/>
        </w:rPr>
      </w:pPr>
      <w:r>
        <w:rPr>
          <w:rFonts w:ascii="Arial" w:cs="Arial" w:eastAsia="Arial" w:hAnsi="Arial"/>
          <w:sz w:val="12"/>
          <w:szCs w:val="12"/>
          <w:color w:val="auto"/>
        </w:rPr>
        <w:t>Proven minable oil sands reserves are computed from dimensions revealed in drill holes and the bitumen grades are computed from the results of detailed sampling. The sites for inspection, sampling, and measurement are spaced so closely and the geological character is so well defined that size, shape, depth, and bitumen content of the reserves are well established.</w:t>
      </w:r>
    </w:p>
    <w:p>
      <w:pPr>
        <w:spacing w:after="0" w:line="22" w:lineRule="exact"/>
        <w:rPr>
          <w:sz w:val="20"/>
          <w:szCs w:val="20"/>
          <w:color w:val="auto"/>
        </w:rPr>
      </w:pPr>
    </w:p>
    <w:p>
      <w:pPr>
        <w:ind w:left="460" w:right="200"/>
        <w:spacing w:after="0" w:line="285" w:lineRule="auto"/>
        <w:rPr>
          <w:sz w:val="20"/>
          <w:szCs w:val="20"/>
          <w:color w:val="auto"/>
        </w:rPr>
      </w:pPr>
      <w:r>
        <w:rPr>
          <w:rFonts w:ascii="Arial" w:cs="Arial" w:eastAsia="Arial" w:hAnsi="Arial"/>
          <w:sz w:val="13"/>
          <w:szCs w:val="13"/>
          <w:color w:val="auto"/>
        </w:rPr>
        <w:t>Probable minable oil sands reserves are computed from information similar to that used for proven reserves, however, the sites for inspection, sampling, and measurement are farther apart or are otherwise less adequately spaced. Although the degree of assurance is less than that for proven reserves, it is sufficient to assume continuity between points of observation.</w:t>
      </w:r>
    </w:p>
    <w:p>
      <w:pPr>
        <w:spacing w:after="0" w:line="45" w:lineRule="exact"/>
        <w:rPr>
          <w:sz w:val="20"/>
          <w:szCs w:val="20"/>
          <w:color w:val="auto"/>
        </w:rPr>
      </w:pPr>
    </w:p>
    <w:p>
      <w:pPr>
        <w:ind w:right="140"/>
        <w:spacing w:after="0" w:line="235" w:lineRule="auto"/>
        <w:rPr>
          <w:sz w:val="20"/>
          <w:szCs w:val="20"/>
          <w:color w:val="auto"/>
        </w:rPr>
      </w:pPr>
      <w:r>
        <w:rPr>
          <w:rFonts w:ascii="Arial" w:cs="Arial" w:eastAsia="Arial" w:hAnsi="Arial"/>
          <w:sz w:val="14"/>
          <w:szCs w:val="14"/>
          <w:color w:val="auto"/>
        </w:rPr>
        <w:t>Shell’s minable oil sands reserve estimates are based upon a detailed geological assessment including drilling and laboratory testing. They also consider current mine plans, planned operating life and regulatory requirements. The proven plus probable minable oil sands reserves are within the development areas covered by approvals from the Alberta Energy Resources Conservation Board. The reserve estimates are based on actual barrels to be shipped for processing at the expanded Scotford Upgrader.</w:t>
      </w:r>
    </w:p>
    <w:p>
      <w:pPr>
        <w:spacing w:after="0" w:line="73" w:lineRule="exact"/>
        <w:rPr>
          <w:sz w:val="20"/>
          <w:szCs w:val="20"/>
          <w:color w:val="auto"/>
        </w:rPr>
      </w:pPr>
    </w:p>
    <w:p>
      <w:pPr>
        <w:jc w:val="both"/>
        <w:ind w:right="60"/>
        <w:spacing w:after="0" w:line="235" w:lineRule="auto"/>
        <w:rPr>
          <w:sz w:val="20"/>
          <w:szCs w:val="20"/>
          <w:color w:val="auto"/>
        </w:rPr>
      </w:pPr>
      <w:r>
        <w:rPr>
          <w:rFonts w:ascii="Arial" w:cs="Arial" w:eastAsia="Arial" w:hAnsi="Arial"/>
          <w:sz w:val="14"/>
          <w:szCs w:val="14"/>
          <w:color w:val="auto"/>
        </w:rPr>
        <w:t>Net proven and probable minable oil sands reserves are defined as reserves after the deduction of royalty obligations to the Alberta Government. Under the Alberta Oil Sand Royalty Regulation 1997, royalties depend on project cash flows. Therefore the calculation of royalties depends on price, production rates, capital costs, and operating costs over the life of the development. The price profile for the calculation of royalty barrels for 2007 is based on the average commodity price taken over the last three years.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Shell subsidiaries’ estimated net proven and probable minable oil sands reserves at the end of the year, and the changes in such reserves during the year are set out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802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MINABLE OIL SANDS RESERVES</w:t>
            </w:r>
          </w:p>
        </w:tc>
        <w:tc>
          <w:tcPr>
            <w:tcW w:w="560" w:type="dxa"/>
            <w:vAlign w:val="bottom"/>
            <w:shd w:val="clear" w:color="auto" w:fill="009AC8"/>
          </w:tcPr>
          <w:p>
            <w:pPr>
              <w:spacing w:after="0"/>
              <w:rPr>
                <w:sz w:val="12"/>
                <w:szCs w:val="12"/>
                <w:color w:val="auto"/>
              </w:rPr>
            </w:pPr>
          </w:p>
        </w:tc>
        <w:tc>
          <w:tcPr>
            <w:tcW w:w="120" w:type="dxa"/>
            <w:vAlign w:val="bottom"/>
            <w:shd w:val="clear" w:color="auto" w:fill="009AC8"/>
          </w:tcPr>
          <w:p>
            <w:pPr>
              <w:spacing w:after="0"/>
              <w:rPr>
                <w:sz w:val="12"/>
                <w:szCs w:val="12"/>
                <w:color w:val="auto"/>
              </w:rPr>
            </w:pPr>
          </w:p>
        </w:tc>
        <w:tc>
          <w:tcPr>
            <w:tcW w:w="1600" w:type="dxa"/>
            <w:vAlign w:val="bottom"/>
            <w:shd w:val="clear" w:color="auto" w:fill="009AC8"/>
          </w:tcPr>
          <w:p>
            <w:pPr>
              <w:spacing w:after="0"/>
              <w:rPr>
                <w:sz w:val="12"/>
                <w:szCs w:val="12"/>
                <w:color w:val="auto"/>
              </w:rPr>
            </w:pPr>
          </w:p>
        </w:tc>
        <w:tc>
          <w:tcPr>
            <w:tcW w:w="112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million barrels</w:t>
            </w:r>
          </w:p>
        </w:tc>
      </w:tr>
      <w:tr>
        <w:trPr>
          <w:trHeight w:val="133"/>
        </w:trPr>
        <w:tc>
          <w:tcPr>
            <w:tcW w:w="8020" w:type="dxa"/>
            <w:vAlign w:val="bottom"/>
            <w:shd w:val="clear" w:color="auto" w:fill="CECAC6"/>
          </w:tcPr>
          <w:p>
            <w:pPr>
              <w:spacing w:after="0"/>
              <w:rPr>
                <w:sz w:val="11"/>
                <w:szCs w:val="11"/>
                <w:color w:val="auto"/>
              </w:rPr>
            </w:pPr>
          </w:p>
        </w:tc>
        <w:tc>
          <w:tcPr>
            <w:tcW w:w="680" w:type="dxa"/>
            <w:vAlign w:val="bottom"/>
            <w:gridSpan w:val="2"/>
            <w:shd w:val="clear" w:color="auto" w:fill="CECAC6"/>
          </w:tcPr>
          <w:p>
            <w:pPr>
              <w:jc w:val="right"/>
              <w:ind w:right="120"/>
              <w:spacing w:after="0" w:line="133" w:lineRule="exact"/>
              <w:rPr>
                <w:sz w:val="20"/>
                <w:szCs w:val="20"/>
                <w:color w:val="auto"/>
              </w:rPr>
            </w:pPr>
            <w:r>
              <w:rPr>
                <w:rFonts w:ascii="Arial" w:cs="Arial" w:eastAsia="Arial" w:hAnsi="Arial"/>
                <w:sz w:val="12"/>
                <w:szCs w:val="12"/>
                <w:color w:val="auto"/>
              </w:rPr>
              <w:t>2007</w:t>
            </w:r>
          </w:p>
        </w:tc>
        <w:tc>
          <w:tcPr>
            <w:tcW w:w="1600" w:type="dxa"/>
            <w:vAlign w:val="bottom"/>
            <w:shd w:val="clear" w:color="auto" w:fill="CECAC6"/>
          </w:tcPr>
          <w:p>
            <w:pPr>
              <w:jc w:val="right"/>
              <w:ind w:right="278"/>
              <w:spacing w:after="0" w:line="133" w:lineRule="exact"/>
              <w:rPr>
                <w:sz w:val="20"/>
                <w:szCs w:val="20"/>
                <w:color w:val="auto"/>
              </w:rPr>
            </w:pPr>
            <w:r>
              <w:rPr>
                <w:rFonts w:ascii="Arial" w:cs="Arial" w:eastAsia="Arial" w:hAnsi="Arial"/>
                <w:sz w:val="12"/>
                <w:szCs w:val="12"/>
                <w:color w:val="auto"/>
              </w:rPr>
              <w:t>2006</w:t>
            </w:r>
          </w:p>
        </w:tc>
        <w:tc>
          <w:tcPr>
            <w:tcW w:w="11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2005</w:t>
            </w:r>
          </w:p>
        </w:tc>
      </w:tr>
      <w:tr>
        <w:trPr>
          <w:trHeight w:val="113"/>
        </w:trPr>
        <w:tc>
          <w:tcPr>
            <w:tcW w:w="802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 net proven reserves</w:t>
            </w:r>
          </w:p>
        </w:tc>
        <w:tc>
          <w:tcPr>
            <w:tcW w:w="560" w:type="dxa"/>
            <w:vAlign w:val="bottom"/>
            <w:shd w:val="clear" w:color="auto" w:fill="E4E3E1"/>
          </w:tcPr>
          <w:p>
            <w:pPr>
              <w:spacing w:after="0"/>
              <w:rPr>
                <w:sz w:val="9"/>
                <w:szCs w:val="9"/>
                <w:color w:val="auto"/>
              </w:rPr>
            </w:pPr>
          </w:p>
        </w:tc>
        <w:tc>
          <w:tcPr>
            <w:tcW w:w="120" w:type="dxa"/>
            <w:vAlign w:val="bottom"/>
            <w:shd w:val="clear" w:color="auto" w:fill="E4E3E1"/>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7"/>
        </w:trPr>
        <w:tc>
          <w:tcPr>
            <w:tcW w:w="802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1,134</w:t>
            </w:r>
          </w:p>
        </w:tc>
        <w:tc>
          <w:tcPr>
            <w:tcW w:w="120" w:type="dxa"/>
            <w:vAlign w:val="bottom"/>
            <w:shd w:val="clear" w:color="auto" w:fill="E4E3E1"/>
          </w:tcPr>
          <w:p>
            <w:pPr>
              <w:spacing w:after="0"/>
              <w:rPr>
                <w:sz w:val="12"/>
                <w:szCs w:val="12"/>
                <w:color w:val="auto"/>
              </w:rPr>
            </w:pPr>
          </w:p>
        </w:tc>
        <w:tc>
          <w:tcPr>
            <w:tcW w:w="1600" w:type="dxa"/>
            <w:vAlign w:val="bottom"/>
          </w:tcPr>
          <w:p>
            <w:pPr>
              <w:jc w:val="right"/>
              <w:ind w:right="278"/>
              <w:spacing w:after="0"/>
              <w:rPr>
                <w:sz w:val="20"/>
                <w:szCs w:val="20"/>
                <w:color w:val="auto"/>
              </w:rPr>
            </w:pPr>
            <w:r>
              <w:rPr>
                <w:rFonts w:ascii="Arial" w:cs="Arial" w:eastAsia="Arial" w:hAnsi="Arial"/>
                <w:sz w:val="12"/>
                <w:szCs w:val="12"/>
                <w:color w:val="auto"/>
              </w:rPr>
              <w:t>746</w:t>
            </w: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615</w:t>
            </w:r>
          </w:p>
        </w:tc>
      </w:tr>
      <w:tr>
        <w:trPr>
          <w:trHeight w:val="133"/>
        </w:trPr>
        <w:tc>
          <w:tcPr>
            <w:tcW w:w="802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w:t>
            </w:r>
          </w:p>
        </w:tc>
        <w:tc>
          <w:tcPr>
            <w:tcW w:w="120" w:type="dxa"/>
            <w:vAlign w:val="bottom"/>
            <w:shd w:val="clear" w:color="auto" w:fill="E4E3E1"/>
          </w:tcPr>
          <w:p>
            <w:pPr>
              <w:spacing w:after="0"/>
              <w:rPr>
                <w:sz w:val="11"/>
                <w:szCs w:val="11"/>
                <w:color w:val="auto"/>
              </w:rPr>
            </w:pPr>
          </w:p>
        </w:tc>
        <w:tc>
          <w:tcPr>
            <w:tcW w:w="16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(19)</w:t>
            </w:r>
          </w:p>
        </w:tc>
        <w:tc>
          <w:tcPr>
            <w:tcW w:w="11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166</w:t>
            </w:r>
          </w:p>
        </w:tc>
      </w:tr>
      <w:tr>
        <w:trPr>
          <w:trHeight w:val="133"/>
        </w:trPr>
        <w:tc>
          <w:tcPr>
            <w:tcW w:w="8020" w:type="dxa"/>
            <w:vAlign w:val="bottom"/>
          </w:tcPr>
          <w:p>
            <w:pPr>
              <w:spacing w:after="0" w:line="133" w:lineRule="exact"/>
              <w:rPr>
                <w:sz w:val="20"/>
                <w:szCs w:val="20"/>
                <w:color w:val="auto"/>
              </w:rPr>
            </w:pPr>
            <w:r>
              <w:rPr>
                <w:rFonts w:ascii="Arial" w:cs="Arial" w:eastAsia="Arial" w:hAnsi="Arial"/>
                <w:sz w:val="12"/>
                <w:szCs w:val="12"/>
                <w:color w:val="auto"/>
              </w:rPr>
              <w:t>Extensions and discoveries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w:t>
            </w:r>
          </w:p>
        </w:tc>
        <w:tc>
          <w:tcPr>
            <w:tcW w:w="120" w:type="dxa"/>
            <w:vAlign w:val="bottom"/>
            <w:shd w:val="clear" w:color="auto" w:fill="E4E3E1"/>
          </w:tcPr>
          <w:p>
            <w:pPr>
              <w:spacing w:after="0"/>
              <w:rPr>
                <w:sz w:val="11"/>
                <w:szCs w:val="11"/>
                <w:color w:val="auto"/>
              </w:rPr>
            </w:pPr>
          </w:p>
        </w:tc>
        <w:tc>
          <w:tcPr>
            <w:tcW w:w="160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437</w:t>
            </w:r>
          </w:p>
        </w:tc>
        <w:tc>
          <w:tcPr>
            <w:tcW w:w="112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r>
      <w:tr>
        <w:trPr>
          <w:trHeight w:val="139"/>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Production</w:t>
            </w:r>
          </w:p>
        </w:tc>
        <w:tc>
          <w:tcPr>
            <w:tcW w:w="5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(29)</w:t>
            </w:r>
          </w:p>
        </w:tc>
        <w:tc>
          <w:tcPr>
            <w:tcW w:w="120" w:type="dxa"/>
            <w:vAlign w:val="bottom"/>
            <w:tcBorders>
              <w:bottom w:val="single" w:sz="8" w:color="auto"/>
            </w:tcBorders>
            <w:shd w:val="clear" w:color="auto" w:fill="E4E3E1"/>
          </w:tcPr>
          <w:p>
            <w:pPr>
              <w:spacing w:after="0"/>
              <w:rPr>
                <w:sz w:val="12"/>
                <w:szCs w:val="12"/>
                <w:color w:val="auto"/>
              </w:rPr>
            </w:pPr>
          </w:p>
        </w:tc>
        <w:tc>
          <w:tcPr>
            <w:tcW w:w="16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r>
      <w:tr>
        <w:trPr>
          <w:trHeight w:val="146"/>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680" w:type="dxa"/>
            <w:vAlign w:val="bottom"/>
            <w:tcBorders>
              <w:bottom w:val="single" w:sz="8" w:color="auto"/>
            </w:tcBorders>
            <w:gridSpan w:val="2"/>
            <w:shd w:val="clear" w:color="auto" w:fill="E4E3E1"/>
          </w:tcPr>
          <w:p>
            <w:pPr>
              <w:jc w:val="right"/>
              <w:ind w:right="120"/>
              <w:spacing w:after="0"/>
              <w:rPr>
                <w:sz w:val="20"/>
                <w:szCs w:val="20"/>
                <w:color w:val="auto"/>
              </w:rPr>
            </w:pPr>
            <w:r>
              <w:rPr>
                <w:rFonts w:ascii="Arial" w:cs="Arial" w:eastAsia="Arial" w:hAnsi="Arial"/>
                <w:sz w:val="12"/>
                <w:szCs w:val="12"/>
                <w:color w:val="auto"/>
              </w:rPr>
              <w:t>1,111</w:t>
            </w:r>
          </w:p>
        </w:tc>
        <w:tc>
          <w:tcPr>
            <w:tcW w:w="160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1,134</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746</w:t>
            </w:r>
          </w:p>
        </w:tc>
      </w:tr>
      <w:tr>
        <w:trPr>
          <w:trHeight w:val="140"/>
        </w:trPr>
        <w:tc>
          <w:tcPr>
            <w:tcW w:w="8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shd w:val="clear" w:color="auto" w:fill="E4E3E1"/>
          </w:tcPr>
          <w:p>
            <w:pPr>
              <w:spacing w:after="0"/>
              <w:rPr>
                <w:sz w:val="12"/>
                <w:szCs w:val="12"/>
                <w:color w:val="auto"/>
              </w:rPr>
            </w:pPr>
          </w:p>
        </w:tc>
        <w:tc>
          <w:tcPr>
            <w:tcW w:w="120" w:type="dxa"/>
            <w:vAlign w:val="bottom"/>
            <w:tcBorders>
              <w:bottom w:val="single" w:sz="8" w:color="auto"/>
            </w:tcBorders>
            <w:shd w:val="clear" w:color="auto" w:fill="E4E3E1"/>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13"/>
        </w:trPr>
        <w:tc>
          <w:tcPr>
            <w:tcW w:w="8020" w:type="dxa"/>
            <w:vAlign w:val="bottom"/>
          </w:tcPr>
          <w:p>
            <w:pPr>
              <w:spacing w:after="0" w:line="114" w:lineRule="exact"/>
              <w:rPr>
                <w:sz w:val="20"/>
                <w:szCs w:val="20"/>
                <w:color w:val="auto"/>
              </w:rPr>
            </w:pPr>
            <w:r>
              <w:rPr>
                <w:rFonts w:ascii="Arial" w:cs="Arial" w:eastAsia="Arial" w:hAnsi="Arial"/>
                <w:sz w:val="12"/>
                <w:szCs w:val="12"/>
                <w:b w:val="1"/>
                <w:bCs w:val="1"/>
                <w:color w:val="auto"/>
              </w:rPr>
              <w:t>Shell subsidiaries’ net probable reserves</w:t>
            </w:r>
          </w:p>
        </w:tc>
        <w:tc>
          <w:tcPr>
            <w:tcW w:w="560" w:type="dxa"/>
            <w:vAlign w:val="bottom"/>
            <w:shd w:val="clear" w:color="auto" w:fill="E4E3E1"/>
          </w:tcPr>
          <w:p>
            <w:pPr>
              <w:spacing w:after="0"/>
              <w:rPr>
                <w:sz w:val="9"/>
                <w:szCs w:val="9"/>
                <w:color w:val="auto"/>
              </w:rPr>
            </w:pPr>
          </w:p>
        </w:tc>
        <w:tc>
          <w:tcPr>
            <w:tcW w:w="120" w:type="dxa"/>
            <w:vAlign w:val="bottom"/>
            <w:shd w:val="clear" w:color="auto" w:fill="E4E3E1"/>
          </w:tcPr>
          <w:p>
            <w:pPr>
              <w:spacing w:after="0"/>
              <w:rPr>
                <w:sz w:val="9"/>
                <w:szCs w:val="9"/>
                <w:color w:val="auto"/>
              </w:rPr>
            </w:pPr>
          </w:p>
        </w:tc>
        <w:tc>
          <w:tcPr>
            <w:tcW w:w="160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7"/>
        </w:trPr>
        <w:tc>
          <w:tcPr>
            <w:tcW w:w="8020" w:type="dxa"/>
            <w:vAlign w:val="bottom"/>
          </w:tcPr>
          <w:p>
            <w:pPr>
              <w:spacing w:after="0"/>
              <w:rPr>
                <w:sz w:val="20"/>
                <w:szCs w:val="20"/>
                <w:color w:val="auto"/>
              </w:rPr>
            </w:pPr>
            <w:r>
              <w:rPr>
                <w:rFonts w:ascii="Arial" w:cs="Arial" w:eastAsia="Arial" w:hAnsi="Arial"/>
                <w:sz w:val="12"/>
                <w:szCs w:val="12"/>
                <w:b w:val="1"/>
                <w:bCs w:val="1"/>
                <w:color w:val="auto"/>
              </w:rPr>
              <w:t>At January 1</w:t>
            </w:r>
          </w:p>
        </w:tc>
        <w:tc>
          <w:tcPr>
            <w:tcW w:w="560" w:type="dxa"/>
            <w:vAlign w:val="bottom"/>
            <w:shd w:val="clear" w:color="auto" w:fill="E4E3E1"/>
          </w:tcPr>
          <w:p>
            <w:pPr>
              <w:jc w:val="right"/>
              <w:spacing w:after="0"/>
              <w:rPr>
                <w:sz w:val="20"/>
                <w:szCs w:val="20"/>
                <w:color w:val="auto"/>
              </w:rPr>
            </w:pPr>
            <w:r>
              <w:rPr>
                <w:rFonts w:ascii="Arial" w:cs="Arial" w:eastAsia="Arial" w:hAnsi="Arial"/>
                <w:sz w:val="12"/>
                <w:szCs w:val="12"/>
                <w:color w:val="auto"/>
              </w:rPr>
              <w:t>341</w:t>
            </w:r>
          </w:p>
        </w:tc>
        <w:tc>
          <w:tcPr>
            <w:tcW w:w="120" w:type="dxa"/>
            <w:vAlign w:val="bottom"/>
            <w:shd w:val="clear" w:color="auto" w:fill="E4E3E1"/>
          </w:tcPr>
          <w:p>
            <w:pPr>
              <w:spacing w:after="0"/>
              <w:rPr>
                <w:sz w:val="12"/>
                <w:szCs w:val="12"/>
                <w:color w:val="auto"/>
              </w:rPr>
            </w:pPr>
          </w:p>
        </w:tc>
        <w:tc>
          <w:tcPr>
            <w:tcW w:w="1600" w:type="dxa"/>
            <w:vAlign w:val="bottom"/>
          </w:tcPr>
          <w:p>
            <w:pPr>
              <w:jc w:val="right"/>
              <w:ind w:right="278"/>
              <w:spacing w:after="0"/>
              <w:rPr>
                <w:sz w:val="20"/>
                <w:szCs w:val="20"/>
                <w:color w:val="auto"/>
              </w:rPr>
            </w:pPr>
            <w:r>
              <w:rPr>
                <w:rFonts w:ascii="Arial" w:cs="Arial" w:eastAsia="Arial" w:hAnsi="Arial"/>
                <w:sz w:val="12"/>
                <w:szCs w:val="12"/>
                <w:color w:val="auto"/>
              </w:rPr>
              <w:t>119</w:t>
            </w:r>
          </w:p>
        </w:tc>
        <w:tc>
          <w:tcPr>
            <w:tcW w:w="1120" w:type="dxa"/>
            <w:vAlign w:val="bottom"/>
          </w:tcPr>
          <w:p>
            <w:pPr>
              <w:jc w:val="right"/>
              <w:ind w:right="38"/>
              <w:spacing w:after="0"/>
              <w:rPr>
                <w:sz w:val="20"/>
                <w:szCs w:val="20"/>
                <w:color w:val="auto"/>
              </w:rPr>
            </w:pPr>
            <w:r>
              <w:rPr>
                <w:rFonts w:ascii="Arial" w:cs="Arial" w:eastAsia="Arial" w:hAnsi="Arial"/>
                <w:sz w:val="12"/>
                <w:szCs w:val="12"/>
                <w:color w:val="auto"/>
              </w:rPr>
              <w:t>347</w:t>
            </w:r>
          </w:p>
        </w:tc>
      </w:tr>
      <w:tr>
        <w:trPr>
          <w:trHeight w:val="133"/>
        </w:trPr>
        <w:tc>
          <w:tcPr>
            <w:tcW w:w="8020" w:type="dxa"/>
            <w:vAlign w:val="bottom"/>
          </w:tcPr>
          <w:p>
            <w:pPr>
              <w:spacing w:after="0" w:line="133" w:lineRule="exact"/>
              <w:rPr>
                <w:sz w:val="20"/>
                <w:szCs w:val="20"/>
                <w:color w:val="auto"/>
              </w:rPr>
            </w:pPr>
            <w:r>
              <w:rPr>
                <w:rFonts w:ascii="Arial" w:cs="Arial" w:eastAsia="Arial" w:hAnsi="Arial"/>
                <w:sz w:val="12"/>
                <w:szCs w:val="12"/>
                <w:color w:val="auto"/>
              </w:rPr>
              <w:t>Revisions and reclassifications</w:t>
            </w:r>
          </w:p>
        </w:tc>
        <w:tc>
          <w:tcPr>
            <w:tcW w:w="56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21</w:t>
            </w:r>
          </w:p>
        </w:tc>
        <w:tc>
          <w:tcPr>
            <w:tcW w:w="120" w:type="dxa"/>
            <w:vAlign w:val="bottom"/>
            <w:shd w:val="clear" w:color="auto" w:fill="E4E3E1"/>
          </w:tcPr>
          <w:p>
            <w:pPr>
              <w:spacing w:after="0"/>
              <w:rPr>
                <w:sz w:val="11"/>
                <w:szCs w:val="11"/>
                <w:color w:val="auto"/>
              </w:rPr>
            </w:pPr>
          </w:p>
        </w:tc>
        <w:tc>
          <w:tcPr>
            <w:tcW w:w="160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(16)</w:t>
            </w:r>
          </w:p>
        </w:tc>
        <w:tc>
          <w:tcPr>
            <w:tcW w:w="1120" w:type="dxa"/>
            <w:vAlign w:val="bottom"/>
          </w:tcPr>
          <w:p>
            <w:pPr>
              <w:jc w:val="right"/>
              <w:spacing w:after="0" w:line="133" w:lineRule="exact"/>
              <w:rPr>
                <w:sz w:val="20"/>
                <w:szCs w:val="20"/>
                <w:color w:val="auto"/>
              </w:rPr>
            </w:pPr>
            <w:r>
              <w:rPr>
                <w:rFonts w:ascii="Arial" w:cs="Arial" w:eastAsia="Arial" w:hAnsi="Arial"/>
                <w:sz w:val="12"/>
                <w:szCs w:val="12"/>
                <w:color w:val="auto"/>
              </w:rPr>
              <w:t>(228)</w:t>
            </w:r>
          </w:p>
        </w:tc>
      </w:tr>
      <w:tr>
        <w:trPr>
          <w:trHeight w:val="164"/>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Extensions and discoveries</w:t>
            </w:r>
          </w:p>
        </w:tc>
        <w:tc>
          <w:tcPr>
            <w:tcW w:w="5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E4E3E1"/>
          </w:tcPr>
          <w:p>
            <w:pPr>
              <w:spacing w:after="0"/>
              <w:rPr>
                <w:sz w:val="13"/>
                <w:szCs w:val="13"/>
                <w:color w:val="auto"/>
              </w:rPr>
            </w:pPr>
          </w:p>
        </w:tc>
        <w:tc>
          <w:tcPr>
            <w:tcW w:w="160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238</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26"/>
        </w:trPr>
        <w:tc>
          <w:tcPr>
            <w:tcW w:w="8020" w:type="dxa"/>
            <w:vAlign w:val="bottom"/>
            <w:tcBorders>
              <w:top w:val="single" w:sz="8" w:color="E4E3E1"/>
              <w:bottom w:val="single" w:sz="8" w:color="auto"/>
            </w:tcBorders>
          </w:tcPr>
          <w:p>
            <w:pPr>
              <w:spacing w:after="0" w:line="120" w:lineRule="exact"/>
              <w:rPr>
                <w:sz w:val="20"/>
                <w:szCs w:val="20"/>
                <w:color w:val="auto"/>
              </w:rPr>
            </w:pPr>
            <w:r>
              <w:rPr>
                <w:rFonts w:ascii="Arial" w:cs="Arial" w:eastAsia="Arial" w:hAnsi="Arial"/>
                <w:sz w:val="12"/>
                <w:szCs w:val="12"/>
                <w:b w:val="1"/>
                <w:bCs w:val="1"/>
                <w:color w:val="auto"/>
              </w:rPr>
              <w:t>At December 31</w:t>
            </w:r>
          </w:p>
        </w:tc>
        <w:tc>
          <w:tcPr>
            <w:tcW w:w="680" w:type="dxa"/>
            <w:vAlign w:val="bottom"/>
            <w:tcBorders>
              <w:top w:val="single" w:sz="8" w:color="E4E3E1"/>
              <w:bottom w:val="single" w:sz="8" w:color="auto"/>
            </w:tcBorders>
            <w:gridSpan w:val="2"/>
            <w:shd w:val="clear" w:color="auto" w:fill="E4E3E1"/>
          </w:tcPr>
          <w:p>
            <w:pPr>
              <w:jc w:val="right"/>
              <w:ind w:right="120"/>
              <w:spacing w:after="0" w:line="120" w:lineRule="exact"/>
              <w:rPr>
                <w:sz w:val="20"/>
                <w:szCs w:val="20"/>
                <w:color w:val="auto"/>
              </w:rPr>
            </w:pPr>
            <w:r>
              <w:rPr>
                <w:rFonts w:ascii="Arial" w:cs="Arial" w:eastAsia="Arial" w:hAnsi="Arial"/>
                <w:sz w:val="12"/>
                <w:szCs w:val="12"/>
                <w:color w:val="auto"/>
              </w:rPr>
              <w:t>362</w:t>
            </w:r>
          </w:p>
        </w:tc>
        <w:tc>
          <w:tcPr>
            <w:tcW w:w="1600" w:type="dxa"/>
            <w:vAlign w:val="bottom"/>
            <w:tcBorders>
              <w:top w:val="single" w:sz="8" w:color="E4E3E1"/>
              <w:bottom w:val="single" w:sz="8" w:color="auto"/>
            </w:tcBorders>
          </w:tcPr>
          <w:p>
            <w:pPr>
              <w:jc w:val="right"/>
              <w:ind w:right="278"/>
              <w:spacing w:after="0" w:line="120" w:lineRule="exact"/>
              <w:rPr>
                <w:sz w:val="20"/>
                <w:szCs w:val="20"/>
                <w:color w:val="auto"/>
              </w:rPr>
            </w:pPr>
            <w:r>
              <w:rPr>
                <w:rFonts w:ascii="Arial" w:cs="Arial" w:eastAsia="Arial" w:hAnsi="Arial"/>
                <w:sz w:val="12"/>
                <w:szCs w:val="12"/>
                <w:color w:val="auto"/>
              </w:rPr>
              <w:t>341</w:t>
            </w:r>
          </w:p>
        </w:tc>
        <w:tc>
          <w:tcPr>
            <w:tcW w:w="1120" w:type="dxa"/>
            <w:vAlign w:val="bottom"/>
            <w:tcBorders>
              <w:top w:val="single" w:sz="8" w:color="E4E3E1"/>
              <w:bottom w:val="single" w:sz="8" w:color="auto"/>
            </w:tcBorders>
          </w:tcPr>
          <w:p>
            <w:pPr>
              <w:jc w:val="right"/>
              <w:ind w:right="38"/>
              <w:spacing w:after="0" w:line="120" w:lineRule="exact"/>
              <w:rPr>
                <w:sz w:val="20"/>
                <w:szCs w:val="20"/>
                <w:color w:val="auto"/>
              </w:rPr>
            </w:pPr>
            <w:r>
              <w:rPr>
                <w:rFonts w:ascii="Arial" w:cs="Arial" w:eastAsia="Arial" w:hAnsi="Arial"/>
                <w:sz w:val="12"/>
                <w:szCs w:val="12"/>
                <w:color w:val="auto"/>
              </w:rPr>
              <w:t>119</w:t>
            </w:r>
          </w:p>
        </w:tc>
      </w:tr>
      <w:tr>
        <w:trPr>
          <w:trHeight w:val="140"/>
        </w:trPr>
        <w:tc>
          <w:tcPr>
            <w:tcW w:w="8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shd w:val="clear" w:color="auto" w:fill="E4E3E1"/>
          </w:tcPr>
          <w:p>
            <w:pPr>
              <w:spacing w:after="0"/>
              <w:rPr>
                <w:sz w:val="12"/>
                <w:szCs w:val="12"/>
                <w:color w:val="auto"/>
              </w:rPr>
            </w:pPr>
          </w:p>
        </w:tc>
        <w:tc>
          <w:tcPr>
            <w:tcW w:w="120" w:type="dxa"/>
            <w:vAlign w:val="bottom"/>
            <w:tcBorders>
              <w:bottom w:val="single" w:sz="8" w:color="auto"/>
            </w:tcBorders>
            <w:shd w:val="clear" w:color="auto" w:fill="E4E3E1"/>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r>
      <w:tr>
        <w:trPr>
          <w:trHeight w:val="158"/>
        </w:trPr>
        <w:tc>
          <w:tcPr>
            <w:tcW w:w="802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b w:val="1"/>
                <w:bCs w:val="1"/>
                <w:color w:val="auto"/>
              </w:rPr>
              <w:t>Minority interests’ share of oil sands at December 31</w:t>
            </w:r>
          </w:p>
        </w:tc>
        <w:tc>
          <w:tcPr>
            <w:tcW w:w="560" w:type="dxa"/>
            <w:vAlign w:val="bottom"/>
            <w:tcBorders>
              <w:bottom w:val="single" w:sz="8" w:color="auto"/>
            </w:tcBorders>
            <w:shd w:val="clear" w:color="auto" w:fill="E4E3E1"/>
          </w:tcPr>
          <w:p>
            <w:pPr>
              <w:spacing w:after="0"/>
              <w:rPr>
                <w:sz w:val="13"/>
                <w:szCs w:val="13"/>
                <w:color w:val="auto"/>
              </w:rPr>
            </w:pPr>
          </w:p>
        </w:tc>
        <w:tc>
          <w:tcPr>
            <w:tcW w:w="120" w:type="dxa"/>
            <w:vAlign w:val="bottom"/>
            <w:tcBorders>
              <w:bottom w:val="single" w:sz="8" w:color="auto"/>
            </w:tcBorders>
            <w:shd w:val="clear" w:color="auto" w:fill="E4E3E1"/>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14"/>
        </w:trPr>
        <w:tc>
          <w:tcPr>
            <w:tcW w:w="8020" w:type="dxa"/>
            <w:vAlign w:val="bottom"/>
            <w:tcBorders>
              <w:top w:val="single" w:sz="8" w:color="E4E3E1"/>
            </w:tcBorders>
          </w:tcPr>
          <w:p>
            <w:pPr>
              <w:spacing w:after="0" w:line="114" w:lineRule="exact"/>
              <w:rPr>
                <w:sz w:val="20"/>
                <w:szCs w:val="20"/>
                <w:color w:val="auto"/>
              </w:rPr>
            </w:pPr>
            <w:r>
              <w:rPr>
                <w:rFonts w:ascii="Arial" w:cs="Arial" w:eastAsia="Arial" w:hAnsi="Arial"/>
                <w:sz w:val="12"/>
                <w:szCs w:val="12"/>
                <w:color w:val="auto"/>
              </w:rPr>
              <w:t>Net proven reserves</w:t>
            </w:r>
          </w:p>
        </w:tc>
        <w:tc>
          <w:tcPr>
            <w:tcW w:w="560" w:type="dxa"/>
            <w:vAlign w:val="bottom"/>
            <w:tcBorders>
              <w:top w:val="single" w:sz="8" w:color="E4E3E1"/>
            </w:tcBorders>
            <w:shd w:val="clear" w:color="auto" w:fill="E4E3E1"/>
          </w:tcPr>
          <w:p>
            <w:pPr>
              <w:jc w:val="right"/>
              <w:spacing w:after="0" w:line="114"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E4E3E1"/>
            </w:tcBorders>
            <w:shd w:val="clear" w:color="auto" w:fill="E4E3E1"/>
          </w:tcPr>
          <w:p>
            <w:pPr>
              <w:spacing w:after="0"/>
              <w:rPr>
                <w:sz w:val="9"/>
                <w:szCs w:val="9"/>
                <w:color w:val="auto"/>
              </w:rPr>
            </w:pPr>
          </w:p>
        </w:tc>
        <w:tc>
          <w:tcPr>
            <w:tcW w:w="1600" w:type="dxa"/>
            <w:vAlign w:val="bottom"/>
            <w:tcBorders>
              <w:top w:val="single" w:sz="8" w:color="E4E3E1"/>
            </w:tcBorders>
          </w:tcPr>
          <w:p>
            <w:pPr>
              <w:jc w:val="right"/>
              <w:ind w:right="278"/>
              <w:spacing w:after="0" w:line="114" w:lineRule="exact"/>
              <w:rPr>
                <w:sz w:val="20"/>
                <w:szCs w:val="20"/>
                <w:color w:val="auto"/>
              </w:rPr>
            </w:pPr>
            <w:r>
              <w:rPr>
                <w:rFonts w:ascii="Arial" w:cs="Arial" w:eastAsia="Arial" w:hAnsi="Arial"/>
                <w:sz w:val="12"/>
                <w:szCs w:val="12"/>
                <w:color w:val="auto"/>
              </w:rPr>
              <w:t>250</w:t>
            </w:r>
          </w:p>
        </w:tc>
        <w:tc>
          <w:tcPr>
            <w:tcW w:w="1120" w:type="dxa"/>
            <w:vAlign w:val="bottom"/>
            <w:tcBorders>
              <w:top w:val="single" w:sz="8" w:color="E4E3E1"/>
            </w:tcBorders>
          </w:tcPr>
          <w:p>
            <w:pPr>
              <w:jc w:val="right"/>
              <w:ind w:right="38"/>
              <w:spacing w:after="0" w:line="114" w:lineRule="exact"/>
              <w:rPr>
                <w:sz w:val="20"/>
                <w:szCs w:val="20"/>
                <w:color w:val="auto"/>
              </w:rPr>
            </w:pPr>
            <w:r>
              <w:rPr>
                <w:rFonts w:ascii="Arial" w:cs="Arial" w:eastAsia="Arial" w:hAnsi="Arial"/>
                <w:sz w:val="12"/>
                <w:szCs w:val="12"/>
                <w:color w:val="auto"/>
              </w:rPr>
              <w:t>164</w:t>
            </w:r>
          </w:p>
        </w:tc>
      </w:tr>
      <w:tr>
        <w:trPr>
          <w:trHeight w:val="146"/>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Net probable reserves</w:t>
            </w:r>
          </w:p>
        </w:tc>
        <w:tc>
          <w:tcPr>
            <w:tcW w:w="5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E4E3E1"/>
          </w:tcPr>
          <w:p>
            <w:pPr>
              <w:spacing w:after="0"/>
              <w:rPr>
                <w:sz w:val="12"/>
                <w:szCs w:val="12"/>
                <w:color w:val="auto"/>
              </w:rPr>
            </w:pPr>
          </w:p>
        </w:tc>
        <w:tc>
          <w:tcPr>
            <w:tcW w:w="160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75</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0" w:hanging="333"/>
        <w:spacing w:after="0"/>
        <w:tabs>
          <w:tab w:leader="none" w:pos="340" w:val="left"/>
        </w:tabs>
        <w:numPr>
          <w:ilvl w:val="0"/>
          <w:numId w:val="152"/>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252970" cy="20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right="660"/>
        <w:spacing w:after="0" w:line="261" w:lineRule="auto"/>
        <w:rPr>
          <w:sz w:val="20"/>
          <w:szCs w:val="20"/>
          <w:color w:val="auto"/>
        </w:rPr>
      </w:pPr>
      <w:r>
        <w:rPr>
          <w:rFonts w:ascii="Arial" w:cs="Arial" w:eastAsia="Arial" w:hAnsi="Arial"/>
          <w:sz w:val="36"/>
          <w:szCs w:val="36"/>
          <w:color w:val="auto"/>
        </w:rPr>
        <w:t>Derivatives and other financial instruments and derivative commodity instruments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-419100</wp:posOffset>
            </wp:positionV>
            <wp:extent cx="282575" cy="729932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82575" cy="7299325"/>
                    </a:xfrm>
                    <a:prstGeom prst="rect">
                      <a:avLst/>
                    </a:prstGeom>
                    <a:noFill/>
                  </pic:spPr>
                </pic:pic>
              </a:graphicData>
            </a:graphic>
          </wp:anchor>
        </w:drawing>
      </w:r>
    </w:p>
    <w:p>
      <w:pPr>
        <w:spacing w:after="0" w:line="20" w:lineRule="exact"/>
        <w:rPr>
          <w:sz w:val="20"/>
          <w:szCs w:val="20"/>
          <w:color w:val="auto"/>
        </w:rPr>
      </w:pPr>
    </w:p>
    <w:p>
      <w:pPr>
        <w:ind w:right="420"/>
        <w:spacing w:after="0" w:line="328" w:lineRule="auto"/>
        <w:rPr>
          <w:sz w:val="20"/>
          <w:szCs w:val="20"/>
          <w:color w:val="auto"/>
        </w:rPr>
      </w:pPr>
      <w:r>
        <w:rPr>
          <w:rFonts w:ascii="Arial" w:cs="Arial" w:eastAsia="Arial" w:hAnsi="Arial"/>
          <w:sz w:val="12"/>
          <w:szCs w:val="12"/>
          <w:color w:val="auto"/>
        </w:rPr>
        <w:t>The following information is provided in accordance with the Securities and Exchange Commission rules issued in 1997. Variable interest rates stated are spot rates applying as at December 31. Amounts denominated in non-US dollar currencies have been translated using spot exchange rates at December 31. Equity-accounted investments data are excluded.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SECURITIES HELD FOR TRADING PURPOSES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There were no debt securities held for trading purposes by subsidiaries at December 31, 2007, or at December 31, 2006.</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SECURITIES HELD FOR PURPOSES OTHER THAN TRADING</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two tables give details of debt securities held for purposes other than trading by subsidiaries at December 31, at estimated fair value, by year of maturity.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6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2007</w:t>
            </w:r>
          </w:p>
        </w:tc>
        <w:tc>
          <w:tcPr>
            <w:tcW w:w="1480" w:type="dxa"/>
            <w:vAlign w:val="bottom"/>
            <w:shd w:val="clear" w:color="auto" w:fill="009AC8"/>
          </w:tcPr>
          <w:p>
            <w:pPr>
              <w:spacing w:after="0"/>
              <w:rPr>
                <w:sz w:val="12"/>
                <w:szCs w:val="12"/>
                <w:color w:val="auto"/>
              </w:rPr>
            </w:pPr>
          </w:p>
        </w:tc>
        <w:tc>
          <w:tcPr>
            <w:tcW w:w="1200" w:type="dxa"/>
            <w:vAlign w:val="bottom"/>
            <w:shd w:val="clear" w:color="auto" w:fill="009AC8"/>
          </w:tcPr>
          <w:p>
            <w:pPr>
              <w:spacing w:after="0"/>
              <w:rPr>
                <w:sz w:val="12"/>
                <w:szCs w:val="12"/>
                <w:color w:val="auto"/>
              </w:rPr>
            </w:pPr>
          </w:p>
        </w:tc>
        <w:tc>
          <w:tcPr>
            <w:tcW w:w="1180" w:type="dxa"/>
            <w:vAlign w:val="bottom"/>
            <w:shd w:val="clear" w:color="auto" w:fill="009AC8"/>
          </w:tcPr>
          <w:p>
            <w:pPr>
              <w:spacing w:after="0"/>
              <w:rPr>
                <w:sz w:val="12"/>
                <w:szCs w:val="12"/>
                <w:color w:val="auto"/>
              </w:rPr>
            </w:pPr>
          </w:p>
        </w:tc>
        <w:tc>
          <w:tcPr>
            <w:tcW w:w="1160" w:type="dxa"/>
            <w:vAlign w:val="bottom"/>
            <w:shd w:val="clear" w:color="auto" w:fill="009AC8"/>
          </w:tcPr>
          <w:p>
            <w:pPr>
              <w:spacing w:after="0"/>
              <w:rPr>
                <w:sz w:val="12"/>
                <w:szCs w:val="12"/>
                <w:color w:val="auto"/>
              </w:rPr>
            </w:pPr>
          </w:p>
        </w:tc>
        <w:tc>
          <w:tcPr>
            <w:tcW w:w="1080" w:type="dxa"/>
            <w:vAlign w:val="bottom"/>
            <w:shd w:val="clear" w:color="auto" w:fill="009AC8"/>
          </w:tcPr>
          <w:p>
            <w:pPr>
              <w:spacing w:after="0"/>
              <w:rPr>
                <w:sz w:val="12"/>
                <w:szCs w:val="12"/>
                <w:color w:val="auto"/>
              </w:rPr>
            </w:pPr>
          </w:p>
        </w:tc>
        <w:tc>
          <w:tcPr>
            <w:tcW w:w="1200" w:type="dxa"/>
            <w:vAlign w:val="bottom"/>
            <w:shd w:val="clear" w:color="auto" w:fill="009AC8"/>
          </w:tcPr>
          <w:p>
            <w:pPr>
              <w:spacing w:after="0"/>
              <w:rPr>
                <w:sz w:val="12"/>
                <w:szCs w:val="12"/>
                <w:color w:val="auto"/>
              </w:rPr>
            </w:pPr>
          </w:p>
        </w:tc>
        <w:tc>
          <w:tcPr>
            <w:tcW w:w="86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27"/>
        </w:trPr>
        <w:tc>
          <w:tcPr>
            <w:tcW w:w="2460" w:type="dxa"/>
            <w:vAlign w:val="bottom"/>
            <w:shd w:val="clear" w:color="auto" w:fill="CECAC6"/>
          </w:tcPr>
          <w:p>
            <w:pPr>
              <w:spacing w:after="0"/>
              <w:rPr>
                <w:sz w:val="11"/>
                <w:szCs w:val="11"/>
                <w:color w:val="auto"/>
              </w:rPr>
            </w:pPr>
          </w:p>
        </w:tc>
        <w:tc>
          <w:tcPr>
            <w:tcW w:w="148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1200" w:type="dxa"/>
            <w:vAlign w:val="bottom"/>
            <w:shd w:val="clear" w:color="auto" w:fill="CECAC6"/>
          </w:tcPr>
          <w:p>
            <w:pPr>
              <w:jc w:val="right"/>
              <w:ind w:right="318"/>
              <w:spacing w:after="0" w:line="128" w:lineRule="exact"/>
              <w:rPr>
                <w:sz w:val="20"/>
                <w:szCs w:val="20"/>
                <w:color w:val="auto"/>
              </w:rPr>
            </w:pPr>
            <w:r>
              <w:rPr>
                <w:rFonts w:ascii="Arial" w:cs="Arial" w:eastAsia="Arial" w:hAnsi="Arial"/>
                <w:sz w:val="12"/>
                <w:szCs w:val="12"/>
                <w:color w:val="auto"/>
              </w:rPr>
              <w:t>2013</w:t>
            </w:r>
          </w:p>
        </w:tc>
        <w:tc>
          <w:tcPr>
            <w:tcW w:w="860" w:type="dxa"/>
            <w:vAlign w:val="bottom"/>
            <w:shd w:val="clear" w:color="auto" w:fill="CECAC6"/>
          </w:tcPr>
          <w:p>
            <w:pPr>
              <w:spacing w:after="0"/>
              <w:rPr>
                <w:sz w:val="11"/>
                <w:szCs w:val="11"/>
                <w:color w:val="auto"/>
              </w:rPr>
            </w:pPr>
          </w:p>
        </w:tc>
      </w:tr>
      <w:tr>
        <w:trPr>
          <w:trHeight w:val="139"/>
        </w:trPr>
        <w:tc>
          <w:tcPr>
            <w:tcW w:w="2460" w:type="dxa"/>
            <w:vAlign w:val="bottom"/>
            <w:shd w:val="clear" w:color="auto" w:fill="CECAC6"/>
          </w:tcPr>
          <w:p>
            <w:pPr>
              <w:spacing w:after="0"/>
              <w:rPr>
                <w:sz w:val="12"/>
                <w:szCs w:val="12"/>
                <w:color w:val="auto"/>
              </w:rPr>
            </w:pPr>
          </w:p>
        </w:tc>
        <w:tc>
          <w:tcPr>
            <w:tcW w:w="148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2008</w:t>
            </w:r>
          </w:p>
        </w:tc>
        <w:tc>
          <w:tcPr>
            <w:tcW w:w="120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2009</w:t>
            </w:r>
          </w:p>
        </w:tc>
        <w:tc>
          <w:tcPr>
            <w:tcW w:w="1180" w:type="dxa"/>
            <w:vAlign w:val="bottom"/>
            <w:shd w:val="clear" w:color="auto" w:fill="CECAC6"/>
          </w:tcPr>
          <w:p>
            <w:pPr>
              <w:jc w:val="right"/>
              <w:ind w:right="398"/>
              <w:spacing w:after="0"/>
              <w:rPr>
                <w:sz w:val="20"/>
                <w:szCs w:val="20"/>
                <w:color w:val="auto"/>
              </w:rPr>
            </w:pPr>
            <w:r>
              <w:rPr>
                <w:rFonts w:ascii="Arial" w:cs="Arial" w:eastAsia="Arial" w:hAnsi="Arial"/>
                <w:sz w:val="12"/>
                <w:szCs w:val="12"/>
                <w:color w:val="auto"/>
              </w:rPr>
              <w:t>2010</w:t>
            </w:r>
          </w:p>
        </w:tc>
        <w:tc>
          <w:tcPr>
            <w:tcW w:w="116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2011</w:t>
            </w:r>
          </w:p>
        </w:tc>
        <w:tc>
          <w:tcPr>
            <w:tcW w:w="10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2012</w:t>
            </w:r>
          </w:p>
        </w:tc>
        <w:tc>
          <w:tcPr>
            <w:tcW w:w="12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and after</w:t>
            </w:r>
          </w:p>
        </w:tc>
        <w:tc>
          <w:tcPr>
            <w:tcW w:w="8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r>
      <w:tr>
        <w:trPr>
          <w:trHeight w:val="127"/>
        </w:trPr>
        <w:tc>
          <w:tcPr>
            <w:tcW w:w="2460" w:type="dxa"/>
            <w:vAlign w:val="bottom"/>
          </w:tcPr>
          <w:p>
            <w:pPr>
              <w:spacing w:after="0" w:line="128" w:lineRule="exact"/>
              <w:rPr>
                <w:sz w:val="20"/>
                <w:szCs w:val="20"/>
                <w:color w:val="auto"/>
              </w:rPr>
            </w:pPr>
            <w:r>
              <w:rPr>
                <w:rFonts w:ascii="Arial" w:cs="Arial" w:eastAsia="Arial" w:hAnsi="Arial"/>
                <w:sz w:val="12"/>
                <w:szCs w:val="12"/>
                <w:color w:val="auto"/>
              </w:rPr>
              <w:t>Fixed rate dollar debt securities</w:t>
            </w:r>
          </w:p>
        </w:tc>
        <w:tc>
          <w:tcPr>
            <w:tcW w:w="148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74</w:t>
            </w:r>
          </w:p>
        </w:tc>
        <w:tc>
          <w:tcPr>
            <w:tcW w:w="12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118</w:t>
            </w:r>
          </w:p>
        </w:tc>
        <w:tc>
          <w:tcPr>
            <w:tcW w:w="1180" w:type="dxa"/>
            <w:vAlign w:val="bottom"/>
          </w:tcPr>
          <w:p>
            <w:pPr>
              <w:jc w:val="right"/>
              <w:ind w:right="398"/>
              <w:spacing w:after="0" w:line="128" w:lineRule="exact"/>
              <w:rPr>
                <w:sz w:val="20"/>
                <w:szCs w:val="20"/>
                <w:color w:val="auto"/>
              </w:rPr>
            </w:pPr>
            <w:r>
              <w:rPr>
                <w:rFonts w:ascii="Arial" w:cs="Arial" w:eastAsia="Arial" w:hAnsi="Arial"/>
                <w:sz w:val="12"/>
                <w:szCs w:val="12"/>
                <w:color w:val="auto"/>
              </w:rPr>
              <w:t>46</w:t>
            </w:r>
          </w:p>
        </w:tc>
        <w:tc>
          <w:tcPr>
            <w:tcW w:w="116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41</w:t>
            </w:r>
          </w:p>
        </w:tc>
        <w:tc>
          <w:tcPr>
            <w:tcW w:w="1080" w:type="dxa"/>
            <w:vAlign w:val="bottom"/>
          </w:tcPr>
          <w:p>
            <w:pPr>
              <w:jc w:val="right"/>
              <w:ind w:right="278"/>
              <w:spacing w:after="0" w:line="128" w:lineRule="exact"/>
              <w:rPr>
                <w:sz w:val="20"/>
                <w:szCs w:val="20"/>
                <w:color w:val="auto"/>
              </w:rPr>
            </w:pPr>
            <w:r>
              <w:rPr>
                <w:rFonts w:ascii="Arial" w:cs="Arial" w:eastAsia="Arial" w:hAnsi="Arial"/>
                <w:sz w:val="12"/>
                <w:szCs w:val="12"/>
                <w:color w:val="auto"/>
              </w:rPr>
              <w:t>37</w:t>
            </w:r>
          </w:p>
        </w:tc>
        <w:tc>
          <w:tcPr>
            <w:tcW w:w="1200" w:type="dxa"/>
            <w:vAlign w:val="bottom"/>
          </w:tcPr>
          <w:p>
            <w:pPr>
              <w:jc w:val="right"/>
              <w:ind w:right="318"/>
              <w:spacing w:after="0" w:line="128" w:lineRule="exact"/>
              <w:rPr>
                <w:sz w:val="20"/>
                <w:szCs w:val="20"/>
                <w:color w:val="auto"/>
              </w:rPr>
            </w:pPr>
            <w:r>
              <w:rPr>
                <w:rFonts w:ascii="Arial" w:cs="Arial" w:eastAsia="Arial" w:hAnsi="Arial"/>
                <w:sz w:val="12"/>
                <w:szCs w:val="12"/>
                <w:color w:val="auto"/>
              </w:rPr>
              <w:t>103</w:t>
            </w:r>
          </w:p>
        </w:tc>
        <w:tc>
          <w:tcPr>
            <w:tcW w:w="860" w:type="dxa"/>
            <w:vAlign w:val="bottom"/>
          </w:tcPr>
          <w:p>
            <w:pPr>
              <w:jc w:val="right"/>
              <w:ind w:right="38"/>
              <w:spacing w:after="0" w:line="128" w:lineRule="exact"/>
              <w:rPr>
                <w:sz w:val="20"/>
                <w:szCs w:val="20"/>
                <w:color w:val="auto"/>
              </w:rPr>
            </w:pPr>
            <w:r>
              <w:rPr>
                <w:rFonts w:ascii="Arial" w:cs="Arial" w:eastAsia="Arial" w:hAnsi="Arial"/>
                <w:sz w:val="12"/>
                <w:szCs w:val="12"/>
                <w:color w:val="auto"/>
              </w:rPr>
              <w:t>419</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4.4%</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4.2%</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4.5%</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4.7%</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5.2%</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5.4%</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Variable rate dollar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25</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35</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60</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5.3%</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2.0%</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euro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25</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44</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22</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192</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292</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4.7%</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3.4%</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4.9%</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4.9%</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4.6%</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4.6%</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Variable rate euro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6.6%</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6.7%</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UK pound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6</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3</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47</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59</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5.5%</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4.8%</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4.9%</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5.0%</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Danish krone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35</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36</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71</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4.2%</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4.0%</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Other fixed rate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176</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7</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34</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223</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5.5%</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15.8%</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5.1%</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5.7%</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6.5%</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Other variable rate debt securities</w:t>
            </w:r>
          </w:p>
        </w:tc>
        <w:tc>
          <w:tcPr>
            <w:tcW w:w="148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29</w:t>
            </w:r>
          </w:p>
        </w:tc>
        <w:tc>
          <w:tcPr>
            <w:tcW w:w="12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3</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32</w:t>
            </w:r>
          </w:p>
        </w:tc>
      </w:tr>
      <w:tr>
        <w:trPr>
          <w:trHeight w:val="139"/>
        </w:trPr>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Average interest rate</w:t>
            </w:r>
          </w:p>
        </w:tc>
        <w:tc>
          <w:tcPr>
            <w:tcW w:w="14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7.7%</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5.9%</w:t>
            </w:r>
          </w:p>
        </w:tc>
        <w:tc>
          <w:tcPr>
            <w:tcW w:w="860" w:type="dxa"/>
            <w:vAlign w:val="bottom"/>
            <w:tcBorders>
              <w:bottom w:val="single" w:sz="8" w:color="auto"/>
            </w:tcBorders>
          </w:tcPr>
          <w:p>
            <w:pPr>
              <w:spacing w:after="0"/>
              <w:rPr>
                <w:sz w:val="12"/>
                <w:szCs w:val="12"/>
                <w:color w:val="auto"/>
              </w:rPr>
            </w:pPr>
          </w:p>
        </w:tc>
      </w:tr>
      <w:tr>
        <w:trPr>
          <w:trHeight w:val="146"/>
        </w:trPr>
        <w:tc>
          <w:tcPr>
            <w:tcW w:w="2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48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343</w:t>
            </w:r>
          </w:p>
        </w:tc>
        <w:tc>
          <w:tcPr>
            <w:tcW w:w="12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134</w:t>
            </w: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76</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121</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69</w:t>
            </w: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418</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1,161</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60" w:type="dxa"/>
            <w:vAlign w:val="bottom"/>
            <w:shd w:val="clear" w:color="auto" w:fill="009AC8"/>
          </w:tcPr>
          <w:p>
            <w:pPr>
              <w:spacing w:after="0"/>
              <w:rPr>
                <w:sz w:val="20"/>
                <w:szCs w:val="20"/>
                <w:color w:val="auto"/>
              </w:rPr>
            </w:pPr>
            <w:r>
              <w:rPr>
                <w:rFonts w:ascii="Arial" w:cs="Arial" w:eastAsia="Arial" w:hAnsi="Arial"/>
                <w:sz w:val="12"/>
                <w:szCs w:val="12"/>
                <w:b w:val="1"/>
                <w:bCs w:val="1"/>
                <w:color w:val="FFFFFF"/>
              </w:rPr>
              <w:t>2006</w:t>
            </w:r>
          </w:p>
        </w:tc>
        <w:tc>
          <w:tcPr>
            <w:tcW w:w="1500" w:type="dxa"/>
            <w:vAlign w:val="bottom"/>
            <w:shd w:val="clear" w:color="auto" w:fill="009AC8"/>
          </w:tcPr>
          <w:p>
            <w:pPr>
              <w:spacing w:after="0"/>
              <w:rPr>
                <w:sz w:val="12"/>
                <w:szCs w:val="12"/>
                <w:color w:val="auto"/>
              </w:rPr>
            </w:pPr>
          </w:p>
        </w:tc>
        <w:tc>
          <w:tcPr>
            <w:tcW w:w="1180" w:type="dxa"/>
            <w:vAlign w:val="bottom"/>
            <w:shd w:val="clear" w:color="auto" w:fill="009AC8"/>
          </w:tcPr>
          <w:p>
            <w:pPr>
              <w:spacing w:after="0"/>
              <w:rPr>
                <w:sz w:val="12"/>
                <w:szCs w:val="12"/>
                <w:color w:val="auto"/>
              </w:rPr>
            </w:pPr>
          </w:p>
        </w:tc>
        <w:tc>
          <w:tcPr>
            <w:tcW w:w="1180" w:type="dxa"/>
            <w:vAlign w:val="bottom"/>
            <w:shd w:val="clear" w:color="auto" w:fill="009AC8"/>
          </w:tcPr>
          <w:p>
            <w:pPr>
              <w:spacing w:after="0"/>
              <w:rPr>
                <w:sz w:val="12"/>
                <w:szCs w:val="12"/>
                <w:color w:val="auto"/>
              </w:rPr>
            </w:pPr>
          </w:p>
        </w:tc>
        <w:tc>
          <w:tcPr>
            <w:tcW w:w="1160" w:type="dxa"/>
            <w:vAlign w:val="bottom"/>
            <w:shd w:val="clear" w:color="auto" w:fill="009AC8"/>
          </w:tcPr>
          <w:p>
            <w:pPr>
              <w:spacing w:after="0"/>
              <w:rPr>
                <w:sz w:val="12"/>
                <w:szCs w:val="12"/>
                <w:color w:val="auto"/>
              </w:rPr>
            </w:pPr>
          </w:p>
        </w:tc>
        <w:tc>
          <w:tcPr>
            <w:tcW w:w="1080" w:type="dxa"/>
            <w:vAlign w:val="bottom"/>
            <w:shd w:val="clear" w:color="auto" w:fill="009AC8"/>
          </w:tcPr>
          <w:p>
            <w:pPr>
              <w:spacing w:after="0"/>
              <w:rPr>
                <w:sz w:val="12"/>
                <w:szCs w:val="12"/>
                <w:color w:val="auto"/>
              </w:rPr>
            </w:pPr>
          </w:p>
        </w:tc>
        <w:tc>
          <w:tcPr>
            <w:tcW w:w="1200" w:type="dxa"/>
            <w:vAlign w:val="bottom"/>
            <w:shd w:val="clear" w:color="auto" w:fill="009AC8"/>
          </w:tcPr>
          <w:p>
            <w:pPr>
              <w:spacing w:after="0"/>
              <w:rPr>
                <w:sz w:val="12"/>
                <w:szCs w:val="12"/>
                <w:color w:val="auto"/>
              </w:rPr>
            </w:pPr>
          </w:p>
        </w:tc>
        <w:tc>
          <w:tcPr>
            <w:tcW w:w="86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 million</w:t>
            </w:r>
          </w:p>
        </w:tc>
      </w:tr>
      <w:tr>
        <w:trPr>
          <w:trHeight w:val="127"/>
        </w:trPr>
        <w:tc>
          <w:tcPr>
            <w:tcW w:w="2460" w:type="dxa"/>
            <w:vAlign w:val="bottom"/>
            <w:shd w:val="clear" w:color="auto" w:fill="CECAC6"/>
          </w:tcPr>
          <w:p>
            <w:pPr>
              <w:spacing w:after="0"/>
              <w:rPr>
                <w:sz w:val="11"/>
                <w:szCs w:val="11"/>
                <w:color w:val="auto"/>
              </w:rPr>
            </w:pPr>
          </w:p>
        </w:tc>
        <w:tc>
          <w:tcPr>
            <w:tcW w:w="150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80" w:type="dxa"/>
            <w:vAlign w:val="bottom"/>
            <w:shd w:val="clear" w:color="auto" w:fill="CECAC6"/>
          </w:tcPr>
          <w:p>
            <w:pPr>
              <w:spacing w:after="0"/>
              <w:rPr>
                <w:sz w:val="11"/>
                <w:szCs w:val="11"/>
                <w:color w:val="auto"/>
              </w:rPr>
            </w:pPr>
          </w:p>
        </w:tc>
        <w:tc>
          <w:tcPr>
            <w:tcW w:w="1160" w:type="dxa"/>
            <w:vAlign w:val="bottom"/>
            <w:shd w:val="clear" w:color="auto" w:fill="CECAC6"/>
          </w:tcPr>
          <w:p>
            <w:pPr>
              <w:spacing w:after="0"/>
              <w:rPr>
                <w:sz w:val="11"/>
                <w:szCs w:val="11"/>
                <w:color w:val="auto"/>
              </w:rPr>
            </w:pPr>
          </w:p>
        </w:tc>
        <w:tc>
          <w:tcPr>
            <w:tcW w:w="1080" w:type="dxa"/>
            <w:vAlign w:val="bottom"/>
            <w:shd w:val="clear" w:color="auto" w:fill="CECAC6"/>
          </w:tcPr>
          <w:p>
            <w:pPr>
              <w:spacing w:after="0"/>
              <w:rPr>
                <w:sz w:val="11"/>
                <w:szCs w:val="11"/>
                <w:color w:val="auto"/>
              </w:rPr>
            </w:pPr>
          </w:p>
        </w:tc>
        <w:tc>
          <w:tcPr>
            <w:tcW w:w="1200" w:type="dxa"/>
            <w:vAlign w:val="bottom"/>
            <w:shd w:val="clear" w:color="auto" w:fill="CECAC6"/>
          </w:tcPr>
          <w:p>
            <w:pPr>
              <w:jc w:val="right"/>
              <w:ind w:right="318"/>
              <w:spacing w:after="0" w:line="128" w:lineRule="exact"/>
              <w:rPr>
                <w:sz w:val="20"/>
                <w:szCs w:val="20"/>
                <w:color w:val="auto"/>
              </w:rPr>
            </w:pPr>
            <w:r>
              <w:rPr>
                <w:rFonts w:ascii="Arial" w:cs="Arial" w:eastAsia="Arial" w:hAnsi="Arial"/>
                <w:sz w:val="12"/>
                <w:szCs w:val="12"/>
                <w:color w:val="auto"/>
              </w:rPr>
              <w:t>2012</w:t>
            </w:r>
          </w:p>
        </w:tc>
        <w:tc>
          <w:tcPr>
            <w:tcW w:w="860" w:type="dxa"/>
            <w:vAlign w:val="bottom"/>
            <w:shd w:val="clear" w:color="auto" w:fill="CECAC6"/>
          </w:tcPr>
          <w:p>
            <w:pPr>
              <w:spacing w:after="0"/>
              <w:rPr>
                <w:sz w:val="11"/>
                <w:szCs w:val="11"/>
                <w:color w:val="auto"/>
              </w:rPr>
            </w:pPr>
          </w:p>
        </w:tc>
      </w:tr>
      <w:tr>
        <w:trPr>
          <w:trHeight w:val="139"/>
        </w:trPr>
        <w:tc>
          <w:tcPr>
            <w:tcW w:w="2460" w:type="dxa"/>
            <w:vAlign w:val="bottom"/>
            <w:shd w:val="clear" w:color="auto" w:fill="CECAC6"/>
          </w:tcPr>
          <w:p>
            <w:pPr>
              <w:spacing w:after="0"/>
              <w:rPr>
                <w:sz w:val="12"/>
                <w:szCs w:val="12"/>
                <w:color w:val="auto"/>
              </w:rPr>
            </w:pPr>
          </w:p>
        </w:tc>
        <w:tc>
          <w:tcPr>
            <w:tcW w:w="150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2007</w:t>
            </w:r>
          </w:p>
        </w:tc>
        <w:tc>
          <w:tcPr>
            <w:tcW w:w="118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2008</w:t>
            </w:r>
          </w:p>
        </w:tc>
        <w:tc>
          <w:tcPr>
            <w:tcW w:w="1180" w:type="dxa"/>
            <w:vAlign w:val="bottom"/>
            <w:shd w:val="clear" w:color="auto" w:fill="CECAC6"/>
          </w:tcPr>
          <w:p>
            <w:pPr>
              <w:jc w:val="right"/>
              <w:ind w:right="398"/>
              <w:spacing w:after="0"/>
              <w:rPr>
                <w:sz w:val="20"/>
                <w:szCs w:val="20"/>
                <w:color w:val="auto"/>
              </w:rPr>
            </w:pPr>
            <w:r>
              <w:rPr>
                <w:rFonts w:ascii="Arial" w:cs="Arial" w:eastAsia="Arial" w:hAnsi="Arial"/>
                <w:sz w:val="12"/>
                <w:szCs w:val="12"/>
                <w:color w:val="auto"/>
              </w:rPr>
              <w:t>2009</w:t>
            </w:r>
          </w:p>
        </w:tc>
        <w:tc>
          <w:tcPr>
            <w:tcW w:w="1160" w:type="dxa"/>
            <w:vAlign w:val="bottom"/>
            <w:shd w:val="clear" w:color="auto" w:fill="CECAC6"/>
          </w:tcPr>
          <w:p>
            <w:pPr>
              <w:jc w:val="right"/>
              <w:ind w:right="378"/>
              <w:spacing w:after="0"/>
              <w:rPr>
                <w:sz w:val="20"/>
                <w:szCs w:val="20"/>
                <w:color w:val="auto"/>
              </w:rPr>
            </w:pPr>
            <w:r>
              <w:rPr>
                <w:rFonts w:ascii="Arial" w:cs="Arial" w:eastAsia="Arial" w:hAnsi="Arial"/>
                <w:sz w:val="12"/>
                <w:szCs w:val="12"/>
                <w:color w:val="auto"/>
              </w:rPr>
              <w:t>2010</w:t>
            </w:r>
          </w:p>
        </w:tc>
        <w:tc>
          <w:tcPr>
            <w:tcW w:w="108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2011</w:t>
            </w:r>
          </w:p>
        </w:tc>
        <w:tc>
          <w:tcPr>
            <w:tcW w:w="1200" w:type="dxa"/>
            <w:vAlign w:val="bottom"/>
            <w:shd w:val="clear" w:color="auto" w:fill="CECAC6"/>
          </w:tcPr>
          <w:p>
            <w:pPr>
              <w:jc w:val="right"/>
              <w:ind w:right="318"/>
              <w:spacing w:after="0"/>
              <w:rPr>
                <w:sz w:val="20"/>
                <w:szCs w:val="20"/>
                <w:color w:val="auto"/>
              </w:rPr>
            </w:pPr>
            <w:r>
              <w:rPr>
                <w:rFonts w:ascii="Arial" w:cs="Arial" w:eastAsia="Arial" w:hAnsi="Arial"/>
                <w:sz w:val="12"/>
                <w:szCs w:val="12"/>
                <w:color w:val="auto"/>
              </w:rPr>
              <w:t>and after</w:t>
            </w:r>
          </w:p>
        </w:tc>
        <w:tc>
          <w:tcPr>
            <w:tcW w:w="8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Total</w:t>
            </w:r>
          </w:p>
        </w:tc>
      </w:tr>
      <w:tr>
        <w:trPr>
          <w:trHeight w:val="127"/>
        </w:trPr>
        <w:tc>
          <w:tcPr>
            <w:tcW w:w="2460" w:type="dxa"/>
            <w:vAlign w:val="bottom"/>
          </w:tcPr>
          <w:p>
            <w:pPr>
              <w:spacing w:after="0" w:line="128" w:lineRule="exact"/>
              <w:rPr>
                <w:sz w:val="20"/>
                <w:szCs w:val="20"/>
                <w:color w:val="auto"/>
              </w:rPr>
            </w:pPr>
            <w:r>
              <w:rPr>
                <w:rFonts w:ascii="Arial" w:cs="Arial" w:eastAsia="Arial" w:hAnsi="Arial"/>
                <w:sz w:val="12"/>
                <w:szCs w:val="12"/>
                <w:color w:val="auto"/>
              </w:rPr>
              <w:t>Fixed rate dollar debt securities</w:t>
            </w:r>
          </w:p>
        </w:tc>
        <w:tc>
          <w:tcPr>
            <w:tcW w:w="150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255</w:t>
            </w:r>
          </w:p>
        </w:tc>
        <w:tc>
          <w:tcPr>
            <w:tcW w:w="118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30</w:t>
            </w:r>
          </w:p>
        </w:tc>
        <w:tc>
          <w:tcPr>
            <w:tcW w:w="1180" w:type="dxa"/>
            <w:vAlign w:val="bottom"/>
          </w:tcPr>
          <w:p>
            <w:pPr>
              <w:jc w:val="right"/>
              <w:ind w:right="398"/>
              <w:spacing w:after="0" w:line="128" w:lineRule="exact"/>
              <w:rPr>
                <w:sz w:val="20"/>
                <w:szCs w:val="20"/>
                <w:color w:val="auto"/>
              </w:rPr>
            </w:pPr>
            <w:r>
              <w:rPr>
                <w:rFonts w:ascii="Arial" w:cs="Arial" w:eastAsia="Arial" w:hAnsi="Arial"/>
                <w:sz w:val="12"/>
                <w:szCs w:val="12"/>
                <w:color w:val="auto"/>
              </w:rPr>
              <w:t>12</w:t>
            </w:r>
          </w:p>
        </w:tc>
        <w:tc>
          <w:tcPr>
            <w:tcW w:w="1160" w:type="dxa"/>
            <w:vAlign w:val="bottom"/>
          </w:tcPr>
          <w:p>
            <w:pPr>
              <w:jc w:val="right"/>
              <w:ind w:right="378"/>
              <w:spacing w:after="0" w:line="128" w:lineRule="exact"/>
              <w:rPr>
                <w:sz w:val="20"/>
                <w:szCs w:val="20"/>
                <w:color w:val="auto"/>
              </w:rPr>
            </w:pPr>
            <w:r>
              <w:rPr>
                <w:rFonts w:ascii="Arial" w:cs="Arial" w:eastAsia="Arial" w:hAnsi="Arial"/>
                <w:sz w:val="12"/>
                <w:szCs w:val="12"/>
                <w:color w:val="auto"/>
              </w:rPr>
              <w:t>26</w:t>
            </w:r>
          </w:p>
        </w:tc>
        <w:tc>
          <w:tcPr>
            <w:tcW w:w="1080" w:type="dxa"/>
            <w:vAlign w:val="bottom"/>
          </w:tcPr>
          <w:p>
            <w:pPr>
              <w:jc w:val="right"/>
              <w:ind w:right="278"/>
              <w:spacing w:after="0" w:line="128" w:lineRule="exact"/>
              <w:rPr>
                <w:sz w:val="20"/>
                <w:szCs w:val="20"/>
                <w:color w:val="auto"/>
              </w:rPr>
            </w:pPr>
            <w:r>
              <w:rPr>
                <w:rFonts w:ascii="Arial" w:cs="Arial" w:eastAsia="Arial" w:hAnsi="Arial"/>
                <w:sz w:val="12"/>
                <w:szCs w:val="12"/>
                <w:color w:val="auto"/>
              </w:rPr>
              <w:t>3</w:t>
            </w:r>
          </w:p>
        </w:tc>
        <w:tc>
          <w:tcPr>
            <w:tcW w:w="1200" w:type="dxa"/>
            <w:vAlign w:val="bottom"/>
          </w:tcPr>
          <w:p>
            <w:pPr>
              <w:jc w:val="right"/>
              <w:ind w:right="318"/>
              <w:spacing w:after="0" w:line="128" w:lineRule="exact"/>
              <w:rPr>
                <w:sz w:val="20"/>
                <w:szCs w:val="20"/>
                <w:color w:val="auto"/>
              </w:rPr>
            </w:pPr>
            <w:r>
              <w:rPr>
                <w:rFonts w:ascii="Arial" w:cs="Arial" w:eastAsia="Arial" w:hAnsi="Arial"/>
                <w:sz w:val="12"/>
                <w:szCs w:val="12"/>
                <w:color w:val="auto"/>
              </w:rPr>
              <w:t>54</w:t>
            </w:r>
          </w:p>
        </w:tc>
        <w:tc>
          <w:tcPr>
            <w:tcW w:w="860" w:type="dxa"/>
            <w:vAlign w:val="bottom"/>
          </w:tcPr>
          <w:p>
            <w:pPr>
              <w:jc w:val="right"/>
              <w:ind w:right="38"/>
              <w:spacing w:after="0" w:line="128" w:lineRule="exact"/>
              <w:rPr>
                <w:sz w:val="20"/>
                <w:szCs w:val="20"/>
                <w:color w:val="auto"/>
              </w:rPr>
            </w:pPr>
            <w:r>
              <w:rPr>
                <w:rFonts w:ascii="Arial" w:cs="Arial" w:eastAsia="Arial" w:hAnsi="Arial"/>
                <w:sz w:val="12"/>
                <w:szCs w:val="12"/>
                <w:color w:val="auto"/>
              </w:rPr>
              <w:t>380</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5.5%</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6.1%</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3.8%</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4.0%</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5.3%</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6.8%</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Variable rate dollar debt securities</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3.2%</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euro debt securities</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68</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25</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20</w:t>
            </w:r>
          </w:p>
        </w:tc>
        <w:tc>
          <w:tcPr>
            <w:tcW w:w="1080" w:type="dxa"/>
            <w:vAlign w:val="bottom"/>
          </w:tcPr>
          <w:p>
            <w:pPr>
              <w:spacing w:after="0"/>
              <w:rPr>
                <w:sz w:val="11"/>
                <w:szCs w:val="11"/>
                <w:color w:val="auto"/>
              </w:rPr>
            </w:pP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126</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239</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4.8%</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4.0%</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5.8%</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5.0%</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UK pound debt securities</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7</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27</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34</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5.0%</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6.5%</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Fixed rate Canadian dollar debt securities</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1</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10</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11</w:t>
            </w:r>
          </w:p>
        </w:tc>
      </w:tr>
      <w:tr>
        <w:trPr>
          <w:trHeight w:val="133"/>
        </w:trPr>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Average interest rate</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4.5%</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8.4%</w:t>
            </w:r>
          </w:p>
        </w:tc>
        <w:tc>
          <w:tcPr>
            <w:tcW w:w="860" w:type="dxa"/>
            <w:vAlign w:val="bottom"/>
          </w:tcPr>
          <w:p>
            <w:pPr>
              <w:spacing w:after="0"/>
              <w:rPr>
                <w:sz w:val="11"/>
                <w:szCs w:val="11"/>
                <w:color w:val="auto"/>
              </w:rPr>
            </w:pPr>
          </w:p>
        </w:tc>
      </w:tr>
      <w:tr>
        <w:trPr>
          <w:trHeight w:val="133"/>
        </w:trPr>
        <w:tc>
          <w:tcPr>
            <w:tcW w:w="2460" w:type="dxa"/>
            <w:vAlign w:val="bottom"/>
          </w:tcPr>
          <w:p>
            <w:pPr>
              <w:spacing w:after="0" w:line="133" w:lineRule="exact"/>
              <w:rPr>
                <w:sz w:val="20"/>
                <w:szCs w:val="20"/>
                <w:color w:val="auto"/>
              </w:rPr>
            </w:pPr>
            <w:r>
              <w:rPr>
                <w:rFonts w:ascii="Arial" w:cs="Arial" w:eastAsia="Arial" w:hAnsi="Arial"/>
                <w:sz w:val="12"/>
                <w:szCs w:val="12"/>
                <w:color w:val="auto"/>
              </w:rPr>
              <w:t>Other fixed rate debt securities</w:t>
            </w:r>
          </w:p>
        </w:tc>
        <w:tc>
          <w:tcPr>
            <w:tcW w:w="150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27</w:t>
            </w:r>
          </w:p>
        </w:tc>
        <w:tc>
          <w:tcPr>
            <w:tcW w:w="118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w:t>
            </w:r>
          </w:p>
        </w:tc>
        <w:tc>
          <w:tcPr>
            <w:tcW w:w="1160" w:type="dxa"/>
            <w:vAlign w:val="bottom"/>
          </w:tcPr>
          <w:p>
            <w:pPr>
              <w:jc w:val="right"/>
              <w:ind w:right="378"/>
              <w:spacing w:after="0" w:line="133" w:lineRule="exact"/>
              <w:rPr>
                <w:sz w:val="20"/>
                <w:szCs w:val="20"/>
                <w:color w:val="auto"/>
              </w:rPr>
            </w:pPr>
            <w:r>
              <w:rPr>
                <w:rFonts w:ascii="Arial" w:cs="Arial" w:eastAsia="Arial" w:hAnsi="Arial"/>
                <w:sz w:val="12"/>
                <w:szCs w:val="12"/>
                <w:color w:val="auto"/>
              </w:rPr>
              <w:t>–</w:t>
            </w:r>
          </w:p>
        </w:tc>
        <w:tc>
          <w:tcPr>
            <w:tcW w:w="108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3</w:t>
            </w:r>
          </w:p>
        </w:tc>
        <w:tc>
          <w:tcPr>
            <w:tcW w:w="12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10</w:t>
            </w:r>
          </w:p>
        </w:tc>
        <w:tc>
          <w:tcPr>
            <w:tcW w:w="8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40</w:t>
            </w:r>
          </w:p>
        </w:tc>
      </w:tr>
      <w:tr>
        <w:trPr>
          <w:trHeight w:val="139"/>
        </w:trPr>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Average interest rate</w:t>
            </w:r>
          </w:p>
        </w:tc>
        <w:tc>
          <w:tcPr>
            <w:tcW w:w="15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6.6%</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5.3%</w:t>
            </w: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5.2%</w:t>
            </w:r>
          </w:p>
        </w:tc>
        <w:tc>
          <w:tcPr>
            <w:tcW w:w="860" w:type="dxa"/>
            <w:vAlign w:val="bottom"/>
            <w:tcBorders>
              <w:bottom w:val="single" w:sz="8" w:color="auto"/>
            </w:tcBorders>
          </w:tcPr>
          <w:p>
            <w:pPr>
              <w:spacing w:after="0"/>
              <w:rPr>
                <w:sz w:val="12"/>
                <w:szCs w:val="12"/>
                <w:color w:val="auto"/>
              </w:rPr>
            </w:pPr>
          </w:p>
        </w:tc>
      </w:tr>
      <w:tr>
        <w:trPr>
          <w:trHeight w:val="146"/>
        </w:trPr>
        <w:tc>
          <w:tcPr>
            <w:tcW w:w="2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15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353</w:t>
            </w:r>
          </w:p>
        </w:tc>
        <w:tc>
          <w:tcPr>
            <w:tcW w:w="118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37</w:t>
            </w:r>
          </w:p>
        </w:tc>
        <w:tc>
          <w:tcPr>
            <w:tcW w:w="11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37</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46</w:t>
            </w:r>
          </w:p>
        </w:tc>
        <w:tc>
          <w:tcPr>
            <w:tcW w:w="108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6</w:t>
            </w:r>
          </w:p>
        </w:tc>
        <w:tc>
          <w:tcPr>
            <w:tcW w:w="12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227</w:t>
            </w:r>
          </w:p>
        </w:tc>
        <w:tc>
          <w:tcPr>
            <w:tcW w:w="8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706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SECURITIES HELD FOR PURPOSES OTHER THAN TRADING</w:t>
      </w:r>
    </w:p>
    <w:p>
      <w:pPr>
        <w:spacing w:after="0" w:line="6" w:lineRule="exact"/>
        <w:rPr>
          <w:sz w:val="20"/>
          <w:szCs w:val="20"/>
          <w:color w:val="auto"/>
        </w:rPr>
      </w:pPr>
    </w:p>
    <w:p>
      <w:pPr>
        <w:ind w:right="120"/>
        <w:spacing w:after="0" w:line="229" w:lineRule="auto"/>
        <w:rPr>
          <w:sz w:val="20"/>
          <w:szCs w:val="20"/>
          <w:color w:val="auto"/>
        </w:rPr>
      </w:pPr>
      <w:r>
        <w:rPr>
          <w:rFonts w:ascii="Arial" w:cs="Arial" w:eastAsia="Arial" w:hAnsi="Arial"/>
          <w:sz w:val="14"/>
          <w:szCs w:val="14"/>
          <w:color w:val="auto"/>
        </w:rPr>
        <w:t>At December 31, 2007, subsidiaries held equity securities for purposes other than trading amounting to $4,919 million (2006: $7,140 million). These included shares of Royal Dutch Shell, amounting to $2,392 million (2006: $3,316 million), held in connection with share-based compensation plans. The portfolio held by Shell’s insurance companies was sold in 2007 (see Note 29 to the Consolidated Financial Statements on page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1824990</wp:posOffset>
            </wp:positionV>
            <wp:extent cx="7252970"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DERIVATIVES AND OTHER FINANCIAL INSTRUMENTS AND DERIVATIVE COMMODITY INSTRUMENTS (UNAUDITED)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Note 19 to the Consolidated Financial Statements gives details of debt owed by subsidiaries at December 31, 2007 and 2006 by year of maturity.</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SWAPS/FORWARD RATE AGREEMENTS</w:t>
      </w:r>
    </w:p>
    <w:p>
      <w:pPr>
        <w:spacing w:after="0" w:line="6" w:lineRule="exact"/>
        <w:rPr>
          <w:sz w:val="20"/>
          <w:szCs w:val="20"/>
          <w:color w:val="auto"/>
        </w:rPr>
      </w:pPr>
    </w:p>
    <w:p>
      <w:pPr>
        <w:ind w:right="40"/>
        <w:spacing w:after="0" w:line="234" w:lineRule="auto"/>
        <w:rPr>
          <w:sz w:val="20"/>
          <w:szCs w:val="20"/>
          <w:color w:val="auto"/>
        </w:rPr>
      </w:pPr>
      <w:r>
        <w:rPr>
          <w:rFonts w:ascii="Arial" w:cs="Arial" w:eastAsia="Arial" w:hAnsi="Arial"/>
          <w:sz w:val="14"/>
          <w:szCs w:val="14"/>
          <w:color w:val="auto"/>
        </w:rPr>
        <w:t>Note 26 to the Consolidated Financial Statements gives details of interest rate swaps/forward rate agreements held by subsidiaries at December 31, 2007 and 2006 by expected year of maturity. These are held for purposes other than trading. The variable interest rate component of contracts is generally linked to inter-bank offer rates.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 FOREIGN EXCHANGE CONTRACTS AND CURRENCY SWAPS</w:t>
      </w:r>
    </w:p>
    <w:p>
      <w:pPr>
        <w:spacing w:after="0" w:line="6" w:lineRule="exact"/>
        <w:rPr>
          <w:sz w:val="20"/>
          <w:szCs w:val="20"/>
          <w:color w:val="auto"/>
        </w:rPr>
      </w:pPr>
    </w:p>
    <w:p>
      <w:pPr>
        <w:ind w:right="260"/>
        <w:spacing w:after="0" w:line="234" w:lineRule="auto"/>
        <w:rPr>
          <w:sz w:val="20"/>
          <w:szCs w:val="20"/>
          <w:color w:val="auto"/>
        </w:rPr>
      </w:pPr>
      <w:r>
        <w:rPr>
          <w:rFonts w:ascii="Arial" w:cs="Arial" w:eastAsia="Arial" w:hAnsi="Arial"/>
          <w:sz w:val="14"/>
          <w:szCs w:val="14"/>
          <w:color w:val="auto"/>
        </w:rPr>
        <w:t>Note 26 to the Consolidated Financial Statements gives details of forward foreign exchange contracts and currency swaps held by subsidiaries at December 31, 2007 and 2006 by expected year of maturity. These are held for purposes other than trading.</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COMMODITY SWAPS, OPTIONS AND FUTURES HELD FOR TRADING PURPOSES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 xml:space="preserve">Following Shell’s implementation of IFRS 7 </w:t>
      </w:r>
      <w:r>
        <w:rPr>
          <w:rFonts w:ascii="Arial" w:cs="Arial" w:eastAsia="Arial" w:hAnsi="Arial"/>
          <w:sz w:val="14"/>
          <w:szCs w:val="14"/>
          <w:i w:val="1"/>
          <w:iCs w:val="1"/>
          <w:color w:val="auto"/>
        </w:rPr>
        <w:t>Financial Instruments: Disclosures</w:t>
      </w:r>
      <w:r>
        <w:rPr>
          <w:rFonts w:ascii="Arial" w:cs="Arial" w:eastAsia="Arial" w:hAnsi="Arial"/>
          <w:sz w:val="14"/>
          <w:szCs w:val="14"/>
          <w:color w:val="auto"/>
        </w:rPr>
        <w:t>, tabular presentations of commodity swaps, options and futures contracts have been replaced with information on a value-at-risk basis (see Note 26 to the Consolidated Financial Statements). In addition to instruments previously covered by the tables, the value-at-risk disclosures also reflect the impact of contracts used in trading operations that may be settled by the physical delivery or receipt of the commodity (see Note 26[C] to the Consolidated Financial Statements on page 149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80" w:hanging="373"/>
        <w:spacing w:after="0"/>
        <w:tabs>
          <w:tab w:leader="none" w:pos="380" w:val="left"/>
        </w:tabs>
        <w:numPr>
          <w:ilvl w:val="0"/>
          <w:numId w:val="153"/>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Control of registrant (unaudited)</w:t>
      </w:r>
    </w:p>
    <w:p>
      <w:pPr>
        <w:spacing w:after="0" w:line="3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Royal Dutch Shell is not directly or indirectly owned or controlled by another corporation or by any government. The company does not know of any arrangements that may, at a subsequent date, result in a change of control of the company. As of February 26, 2008, there were the following interests in more than 3% of the issued Class A and Class B ordinary share capital of Royal Dutch Shell.</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480" w:type="dxa"/>
            <w:vAlign w:val="bottom"/>
            <w:shd w:val="clear" w:color="auto" w:fill="009AC8"/>
          </w:tcPr>
          <w:p>
            <w:pPr>
              <w:ind w:left="20"/>
              <w:spacing w:after="0"/>
              <w:rPr>
                <w:sz w:val="20"/>
                <w:szCs w:val="20"/>
                <w:color w:val="auto"/>
              </w:rPr>
            </w:pPr>
            <w:r>
              <w:rPr>
                <w:rFonts w:ascii="Arial" w:cs="Arial" w:eastAsia="Arial" w:hAnsi="Arial"/>
                <w:sz w:val="12"/>
                <w:szCs w:val="12"/>
                <w:b w:val="1"/>
                <w:bCs w:val="1"/>
                <w:color w:val="FFFFFF"/>
              </w:rPr>
              <w:t>Investor</w:t>
            </w:r>
          </w:p>
        </w:tc>
        <w:tc>
          <w:tcPr>
            <w:tcW w:w="1480" w:type="dxa"/>
            <w:vAlign w:val="bottom"/>
            <w:shd w:val="clear" w:color="auto" w:fill="009AC8"/>
          </w:tcPr>
          <w:p>
            <w:pPr>
              <w:jc w:val="right"/>
              <w:ind w:right="211"/>
              <w:spacing w:after="0"/>
              <w:rPr>
                <w:sz w:val="20"/>
                <w:szCs w:val="20"/>
                <w:color w:val="auto"/>
              </w:rPr>
            </w:pPr>
            <w:r>
              <w:rPr>
                <w:rFonts w:ascii="Arial" w:cs="Arial" w:eastAsia="Arial" w:hAnsi="Arial"/>
                <w:sz w:val="12"/>
                <w:szCs w:val="12"/>
                <w:b w:val="1"/>
                <w:bCs w:val="1"/>
                <w:color w:val="FFFFFF"/>
              </w:rPr>
              <w:t>Class A shares</w:t>
            </w:r>
          </w:p>
        </w:tc>
        <w:tc>
          <w:tcPr>
            <w:tcW w:w="1140" w:type="dxa"/>
            <w:vAlign w:val="bottom"/>
            <w:shd w:val="clear" w:color="auto" w:fill="009AC8"/>
          </w:tcPr>
          <w:p>
            <w:pPr>
              <w:jc w:val="right"/>
              <w:spacing w:after="0"/>
              <w:rPr>
                <w:sz w:val="20"/>
                <w:szCs w:val="20"/>
                <w:color w:val="auto"/>
              </w:rPr>
            </w:pPr>
            <w:r>
              <w:rPr>
                <w:rFonts w:ascii="Arial" w:cs="Arial" w:eastAsia="Arial" w:hAnsi="Arial"/>
                <w:sz w:val="12"/>
                <w:szCs w:val="12"/>
                <w:b w:val="1"/>
                <w:bCs w:val="1"/>
                <w:color w:val="FFFFFF"/>
              </w:rPr>
              <w:t>Class B shares</w:t>
            </w:r>
          </w:p>
        </w:tc>
        <w:tc>
          <w:tcPr>
            <w:tcW w:w="20" w:type="dxa"/>
            <w:vAlign w:val="bottom"/>
          </w:tcPr>
          <w:p>
            <w:pPr>
              <w:spacing w:after="0"/>
              <w:rPr>
                <w:sz w:val="12"/>
                <w:szCs w:val="12"/>
                <w:color w:val="auto"/>
              </w:rPr>
            </w:pPr>
          </w:p>
        </w:tc>
      </w:tr>
      <w:tr>
        <w:trPr>
          <w:trHeight w:val="335"/>
        </w:trPr>
        <w:tc>
          <w:tcPr>
            <w:tcW w:w="2480" w:type="dxa"/>
            <w:vAlign w:val="bottom"/>
          </w:tcPr>
          <w:p>
            <w:pPr>
              <w:ind w:left="20"/>
              <w:spacing w:after="0"/>
              <w:rPr>
                <w:sz w:val="20"/>
                <w:szCs w:val="20"/>
                <w:color w:val="auto"/>
              </w:rPr>
            </w:pPr>
            <w:r>
              <w:rPr>
                <w:rFonts w:ascii="Arial" w:cs="Arial" w:eastAsia="Arial" w:hAnsi="Arial"/>
                <w:sz w:val="14"/>
                <w:szCs w:val="14"/>
                <w:color w:val="auto"/>
              </w:rPr>
              <w:t>Barclays PLC</w:t>
            </w:r>
          </w:p>
        </w:tc>
        <w:tc>
          <w:tcPr>
            <w:tcW w:w="1480" w:type="dxa"/>
            <w:vAlign w:val="bottom"/>
          </w:tcPr>
          <w:p>
            <w:pPr>
              <w:jc w:val="right"/>
              <w:ind w:right="231"/>
              <w:spacing w:after="0"/>
              <w:rPr>
                <w:sz w:val="20"/>
                <w:szCs w:val="20"/>
                <w:color w:val="auto"/>
              </w:rPr>
            </w:pPr>
            <w:r>
              <w:rPr>
                <w:rFonts w:ascii="Arial" w:cs="Arial" w:eastAsia="Arial" w:hAnsi="Arial"/>
                <w:sz w:val="14"/>
                <w:szCs w:val="14"/>
                <w:color w:val="auto"/>
              </w:rPr>
              <w:t>1.83%</w:t>
            </w:r>
          </w:p>
        </w:tc>
        <w:tc>
          <w:tcPr>
            <w:tcW w:w="1140" w:type="dxa"/>
            <w:vAlign w:val="bottom"/>
          </w:tcPr>
          <w:p>
            <w:pPr>
              <w:jc w:val="right"/>
              <w:spacing w:after="0"/>
              <w:rPr>
                <w:sz w:val="20"/>
                <w:szCs w:val="20"/>
                <w:color w:val="auto"/>
              </w:rPr>
            </w:pPr>
            <w:r>
              <w:rPr>
                <w:rFonts w:ascii="Arial" w:cs="Arial" w:eastAsia="Arial" w:hAnsi="Arial"/>
                <w:sz w:val="14"/>
                <w:szCs w:val="14"/>
                <w:color w:val="auto"/>
              </w:rPr>
              <w:t>2.39%</w:t>
            </w:r>
          </w:p>
        </w:tc>
        <w:tc>
          <w:tcPr>
            <w:tcW w:w="20" w:type="dxa"/>
            <w:vAlign w:val="bottom"/>
          </w:tcPr>
          <w:p>
            <w:pPr>
              <w:spacing w:after="0"/>
              <w:rPr>
                <w:sz w:val="24"/>
                <w:szCs w:val="24"/>
                <w:color w:val="auto"/>
              </w:rPr>
            </w:pPr>
          </w:p>
        </w:tc>
      </w:tr>
      <w:tr>
        <w:trPr>
          <w:trHeight w:val="320"/>
        </w:trPr>
        <w:tc>
          <w:tcPr>
            <w:tcW w:w="2480" w:type="dxa"/>
            <w:vAlign w:val="bottom"/>
          </w:tcPr>
          <w:p>
            <w:pPr>
              <w:ind w:left="20"/>
              <w:spacing w:after="0"/>
              <w:rPr>
                <w:sz w:val="20"/>
                <w:szCs w:val="20"/>
                <w:color w:val="auto"/>
              </w:rPr>
            </w:pPr>
            <w:r>
              <w:rPr>
                <w:rFonts w:ascii="Arial" w:cs="Arial" w:eastAsia="Arial" w:hAnsi="Arial"/>
                <w:sz w:val="14"/>
                <w:szCs w:val="14"/>
                <w:color w:val="auto"/>
              </w:rPr>
              <w:t>Legal &amp; General Group Plc</w:t>
            </w:r>
          </w:p>
        </w:tc>
        <w:tc>
          <w:tcPr>
            <w:tcW w:w="1480" w:type="dxa"/>
            <w:vAlign w:val="bottom"/>
          </w:tcPr>
          <w:p>
            <w:pPr>
              <w:jc w:val="right"/>
              <w:ind w:right="231"/>
              <w:spacing w:after="0"/>
              <w:rPr>
                <w:sz w:val="20"/>
                <w:szCs w:val="20"/>
                <w:color w:val="auto"/>
              </w:rPr>
            </w:pPr>
            <w:r>
              <w:rPr>
                <w:rFonts w:ascii="Arial" w:cs="Arial" w:eastAsia="Arial" w:hAnsi="Arial"/>
                <w:sz w:val="14"/>
                <w:szCs w:val="14"/>
                <w:color w:val="auto"/>
              </w:rPr>
              <w:t>4.38%</w:t>
            </w:r>
          </w:p>
        </w:tc>
        <w:tc>
          <w:tcPr>
            <w:tcW w:w="1140" w:type="dxa"/>
            <w:vAlign w:val="bottom"/>
          </w:tcPr>
          <w:p>
            <w:pPr>
              <w:jc w:val="right"/>
              <w:spacing w:after="0"/>
              <w:rPr>
                <w:sz w:val="20"/>
                <w:szCs w:val="20"/>
                <w:color w:val="auto"/>
              </w:rPr>
            </w:pPr>
            <w:r>
              <w:rPr>
                <w:rFonts w:ascii="Arial" w:cs="Arial" w:eastAsia="Arial" w:hAnsi="Arial"/>
                <w:sz w:val="14"/>
                <w:szCs w:val="14"/>
                <w:color w:val="auto"/>
              </w:rPr>
              <w:t>5.04%</w:t>
            </w:r>
          </w:p>
        </w:tc>
        <w:tc>
          <w:tcPr>
            <w:tcW w:w="20" w:type="dxa"/>
            <w:vAlign w:val="bottom"/>
          </w:tcPr>
          <w:p>
            <w:pPr>
              <w:spacing w:after="0"/>
              <w:rPr>
                <w:sz w:val="24"/>
                <w:szCs w:val="24"/>
                <w:color w:val="auto"/>
              </w:rPr>
            </w:pPr>
          </w:p>
        </w:tc>
      </w:tr>
      <w:tr>
        <w:trPr>
          <w:trHeight w:val="311"/>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The Capital Group Companies Inc</w:t>
            </w: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auto"/>
              </w:rPr>
              <w:t>4.52%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20" w:type="dxa"/>
            <w:vAlign w:val="bottom"/>
          </w:tcPr>
          <w:p>
            <w:pPr>
              <w:spacing w:after="0"/>
              <w:rPr>
                <w:sz w:val="24"/>
                <w:szCs w:val="24"/>
                <w:color w:val="auto"/>
              </w:rPr>
            </w:pPr>
          </w:p>
        </w:tc>
      </w:tr>
    </w:tbl>
    <w:p>
      <w:pPr>
        <w:spacing w:after="0" w:line="110"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As of February 26, 2008, the Directors and Senior Management of Royal Dutch Shell beneficially owned individually and in aggregate (including shares under option) less than 1% of the total shares of each class of Royal Dutch Shell shares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NATURE OF TRADING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2391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239135" cy="8255"/>
                    </a:xfrm>
                    <a:prstGeom prst="rect">
                      <a:avLst/>
                    </a:prstGeom>
                    <a:noFill/>
                  </pic:spPr>
                </pic:pic>
              </a:graphicData>
            </a:graphic>
          </wp:anchor>
        </w:drawing>
      </w:r>
    </w:p>
    <w:p>
      <w:pPr>
        <w:spacing w:after="0" w:line="11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principal trading market for the Class A ordinary shares of Royal Dutch Shell is Euronext Amsterdam. The principal trading market for the Class B ordinary shares of Royal Dutch Shell is the London Stock Exchange. Ordinary shares are traded in registered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American Depositary Receipts representing Class A ADRs and Class B ADRs outstanding are listed on the New York Stock Exchange. The depositary receipts are issued, cancelled and exchanged at the office of The Bank of New York Mellon, 101 Barclay Street, New York, NY 10286, as depositary (the “Depositary”) under a deposit agreement between Royal Dutch Shell, the Depositary and the holders of ADRs.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-1096645</wp:posOffset>
            </wp:positionV>
            <wp:extent cx="282575" cy="844931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82575" cy="8449310"/>
                    </a:xfrm>
                    <a:prstGeom prst="rect">
                      <a:avLst/>
                    </a:prstGeom>
                    <a:noFill/>
                  </pic:spPr>
                </pic:pic>
              </a:graphicData>
            </a:graphic>
          </wp:anchor>
        </w:drawing>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Each American Depositary Receipt represents two €0.07 shares of Royal Dutch Shell deposited under the agreement. At February 26, 2008, there were outstanding 417,984,547 Class A ADRs and 77,243,765 Class B ADRs representing approximately 23.47% and 5.60% of the respective share capital class of Royal Dutch Shell plc, held by 8,718 and 1,099 holders of record, with an address in the USA, respectively.</w:t>
      </w:r>
    </w:p>
    <w:p>
      <w:pPr>
        <w:spacing w:after="0" w:line="7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At February 26, 2008, there were 49,226 Class A shares and 814,783 Class B shares of €0.07 each representing less than 1.09% of the share capital of Royal Dutch Shell held by 856 holders of record registered with an address in the USA.</w:t>
      </w:r>
    </w:p>
    <w:p>
      <w:pPr>
        <w:spacing w:after="0" w:line="81" w:lineRule="exact"/>
        <w:rPr>
          <w:sz w:val="20"/>
          <w:szCs w:val="20"/>
          <w:color w:val="auto"/>
        </w:rPr>
      </w:pPr>
    </w:p>
    <w:p>
      <w:pPr>
        <w:jc w:val="both"/>
        <w:ind w:right="400"/>
        <w:spacing w:after="0" w:line="301" w:lineRule="auto"/>
        <w:rPr>
          <w:sz w:val="20"/>
          <w:szCs w:val="20"/>
          <w:color w:val="auto"/>
        </w:rPr>
      </w:pPr>
      <w:r>
        <w:rPr>
          <w:rFonts w:ascii="Arial" w:cs="Arial" w:eastAsia="Arial" w:hAnsi="Arial"/>
          <w:sz w:val="14"/>
          <w:szCs w:val="14"/>
          <w:color w:val="auto"/>
        </w:rPr>
        <w:t>The following tables set forth the high and low intra-day prices for Royal Dutch Shell’s registered ordinary shares on the principal trading markets:</w:t>
      </w:r>
    </w:p>
    <w:p>
      <w:pPr>
        <w:ind w:left="200" w:hanging="193"/>
        <w:spacing w:after="0"/>
        <w:tabs>
          <w:tab w:leader="none" w:pos="200"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of €0.07 nominal value on the London Stock Exchange;</w:t>
      </w:r>
    </w:p>
    <w:p>
      <w:pPr>
        <w:spacing w:after="0" w:line="15" w:lineRule="exact"/>
        <w:rPr>
          <w:rFonts w:ascii="Arial" w:cs="Arial" w:eastAsia="Arial" w:hAnsi="Arial"/>
          <w:sz w:val="16"/>
          <w:szCs w:val="16"/>
          <w:b w:val="1"/>
          <w:bCs w:val="1"/>
          <w:color w:val="auto"/>
        </w:rPr>
      </w:pPr>
    </w:p>
    <w:p>
      <w:pPr>
        <w:ind w:left="200" w:hanging="193"/>
        <w:spacing w:after="0"/>
        <w:tabs>
          <w:tab w:leader="none" w:pos="200"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of €0.07 nominal value on Euronext Amsterdam; and</w:t>
      </w:r>
    </w:p>
    <w:p>
      <w:pPr>
        <w:spacing w:after="0" w:line="15" w:lineRule="exact"/>
        <w:rPr>
          <w:rFonts w:ascii="Arial" w:cs="Arial" w:eastAsia="Arial" w:hAnsi="Arial"/>
          <w:sz w:val="16"/>
          <w:szCs w:val="16"/>
          <w:b w:val="1"/>
          <w:bCs w:val="1"/>
          <w:color w:val="auto"/>
        </w:rPr>
      </w:pPr>
    </w:p>
    <w:p>
      <w:pPr>
        <w:ind w:left="200" w:right="300" w:hanging="193"/>
        <w:spacing w:after="0" w:line="281" w:lineRule="auto"/>
        <w:tabs>
          <w:tab w:leader="none" w:pos="200" w:val="left"/>
        </w:tabs>
        <w:numPr>
          <w:ilvl w:val="0"/>
          <w:numId w:val="154"/>
        </w:numPr>
        <w:rPr>
          <w:rFonts w:ascii="Arial" w:cs="Arial" w:eastAsia="Arial" w:hAnsi="Arial"/>
          <w:sz w:val="16"/>
          <w:szCs w:val="16"/>
          <w:b w:val="1"/>
          <w:bCs w:val="1"/>
          <w:color w:val="auto"/>
        </w:rPr>
      </w:pPr>
      <w:r>
        <w:rPr>
          <w:rFonts w:ascii="Arial" w:cs="Arial" w:eastAsia="Arial" w:hAnsi="Arial"/>
          <w:sz w:val="16"/>
          <w:szCs w:val="16"/>
          <w:color w:val="auto"/>
        </w:rPr>
        <w:t>of the ADRs on the New York Stock Exchange for the periods specified (ADRs do not have a nominal value):</w:t>
      </w:r>
    </w:p>
    <w:p>
      <w:pPr>
        <w:spacing w:after="0" w:line="200" w:lineRule="exact"/>
        <w:rPr>
          <w:sz w:val="20"/>
          <w:szCs w:val="20"/>
          <w:color w:val="auto"/>
        </w:rPr>
      </w:pPr>
    </w:p>
    <w:p>
      <w:pPr>
        <w:sectPr>
          <w:pgSz w:w="11900" w:h="16838" w:orient="portrait"/>
          <w:cols w:equalWidth="0" w:num="2">
            <w:col w:w="5120" w:space="400"/>
            <w:col w:w="5100"/>
          </w:cols>
          <w:pgMar w:left="240" w:top="415" w:right="1039" w:bottom="1440" w:gutter="0" w:footer="0" w:header="0"/>
        </w:sectPr>
      </w:pP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shd w:val="clear" w:color="auto" w:fill="009AC8"/>
          </w:tcPr>
          <w:p>
            <w:pPr>
              <w:spacing w:after="0"/>
              <w:rPr>
                <w:sz w:val="12"/>
                <w:szCs w:val="12"/>
                <w:color w:val="auto"/>
              </w:rPr>
            </w:pPr>
          </w:p>
        </w:tc>
        <w:tc>
          <w:tcPr>
            <w:tcW w:w="2360" w:type="dxa"/>
            <w:vAlign w:val="bottom"/>
            <w:gridSpan w:val="2"/>
            <w:shd w:val="clear" w:color="auto" w:fill="009AC8"/>
          </w:tcPr>
          <w:p>
            <w:pPr>
              <w:jc w:val="right"/>
              <w:ind w:right="272"/>
              <w:spacing w:after="0"/>
              <w:rPr>
                <w:sz w:val="20"/>
                <w:szCs w:val="20"/>
                <w:color w:val="auto"/>
              </w:rPr>
            </w:pPr>
            <w:r>
              <w:rPr>
                <w:rFonts w:ascii="Arial" w:cs="Arial" w:eastAsia="Arial" w:hAnsi="Arial"/>
                <w:sz w:val="12"/>
                <w:szCs w:val="12"/>
                <w:b w:val="1"/>
                <w:bCs w:val="1"/>
                <w:color w:val="FFFFFF"/>
              </w:rPr>
              <w:t>Euronext Amsterdam</w:t>
            </w:r>
          </w:p>
        </w:tc>
        <w:tc>
          <w:tcPr>
            <w:tcW w:w="2080" w:type="dxa"/>
            <w:vAlign w:val="bottom"/>
            <w:gridSpan w:val="2"/>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London Stock Exchange</w:t>
            </w:r>
          </w:p>
        </w:tc>
        <w:tc>
          <w:tcPr>
            <w:tcW w:w="2120" w:type="dxa"/>
            <w:vAlign w:val="bottom"/>
            <w:gridSpan w:val="2"/>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New York Stock Exchange</w:t>
            </w:r>
          </w:p>
        </w:tc>
        <w:tc>
          <w:tcPr>
            <w:tcW w:w="1920" w:type="dxa"/>
            <w:vAlign w:val="bottom"/>
            <w:gridSpan w:val="2"/>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New York Stock Exchange</w:t>
            </w:r>
          </w:p>
        </w:tc>
      </w:tr>
      <w:tr>
        <w:trPr>
          <w:trHeight w:val="153"/>
        </w:trPr>
        <w:tc>
          <w:tcPr>
            <w:tcW w:w="2140" w:type="dxa"/>
            <w:vAlign w:val="bottom"/>
            <w:shd w:val="clear" w:color="auto" w:fill="009AC8"/>
          </w:tcPr>
          <w:p>
            <w:pPr>
              <w:spacing w:after="0"/>
              <w:rPr>
                <w:sz w:val="13"/>
                <w:szCs w:val="13"/>
                <w:color w:val="auto"/>
              </w:rPr>
            </w:pPr>
          </w:p>
        </w:tc>
        <w:tc>
          <w:tcPr>
            <w:tcW w:w="1040" w:type="dxa"/>
            <w:vAlign w:val="bottom"/>
            <w:shd w:val="clear" w:color="auto" w:fill="009AC8"/>
          </w:tcPr>
          <w:p>
            <w:pPr>
              <w:spacing w:after="0"/>
              <w:rPr>
                <w:sz w:val="13"/>
                <w:szCs w:val="13"/>
                <w:color w:val="auto"/>
              </w:rPr>
            </w:pPr>
          </w:p>
        </w:tc>
        <w:tc>
          <w:tcPr>
            <w:tcW w:w="1320" w:type="dxa"/>
            <w:vAlign w:val="bottom"/>
            <w:shd w:val="clear" w:color="auto" w:fill="009AC8"/>
          </w:tcPr>
          <w:p>
            <w:pPr>
              <w:jc w:val="right"/>
              <w:ind w:right="272"/>
              <w:spacing w:after="0"/>
              <w:rPr>
                <w:sz w:val="20"/>
                <w:szCs w:val="20"/>
                <w:color w:val="auto"/>
              </w:rPr>
            </w:pPr>
            <w:r>
              <w:rPr>
                <w:rFonts w:ascii="Arial" w:cs="Arial" w:eastAsia="Arial" w:hAnsi="Arial"/>
                <w:sz w:val="12"/>
                <w:szCs w:val="12"/>
                <w:b w:val="1"/>
                <w:bCs w:val="1"/>
                <w:color w:val="FFFFFF"/>
              </w:rPr>
              <w:t>Class A shares</w:t>
            </w:r>
          </w:p>
        </w:tc>
        <w:tc>
          <w:tcPr>
            <w:tcW w:w="820" w:type="dxa"/>
            <w:vAlign w:val="bottom"/>
            <w:shd w:val="clear" w:color="auto" w:fill="009AC8"/>
          </w:tcPr>
          <w:p>
            <w:pPr>
              <w:spacing w:after="0"/>
              <w:rPr>
                <w:sz w:val="13"/>
                <w:szCs w:val="13"/>
                <w:color w:val="auto"/>
              </w:rPr>
            </w:pPr>
          </w:p>
        </w:tc>
        <w:tc>
          <w:tcPr>
            <w:tcW w:w="1260" w:type="dxa"/>
            <w:vAlign w:val="bottom"/>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Class B shares</w:t>
            </w:r>
          </w:p>
        </w:tc>
        <w:tc>
          <w:tcPr>
            <w:tcW w:w="900" w:type="dxa"/>
            <w:vAlign w:val="bottom"/>
            <w:shd w:val="clear" w:color="auto" w:fill="009AC8"/>
          </w:tcPr>
          <w:p>
            <w:pPr>
              <w:spacing w:after="0"/>
              <w:rPr>
                <w:sz w:val="13"/>
                <w:szCs w:val="13"/>
                <w:color w:val="auto"/>
              </w:rPr>
            </w:pPr>
          </w:p>
        </w:tc>
        <w:tc>
          <w:tcPr>
            <w:tcW w:w="1220" w:type="dxa"/>
            <w:vAlign w:val="bottom"/>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Class A ADRs</w:t>
            </w:r>
          </w:p>
        </w:tc>
        <w:tc>
          <w:tcPr>
            <w:tcW w:w="900" w:type="dxa"/>
            <w:vAlign w:val="bottom"/>
            <w:shd w:val="clear" w:color="auto" w:fill="009AC8"/>
          </w:tcPr>
          <w:p>
            <w:pPr>
              <w:spacing w:after="0"/>
              <w:rPr>
                <w:sz w:val="13"/>
                <w:szCs w:val="13"/>
                <w:color w:val="auto"/>
              </w:rPr>
            </w:pPr>
          </w:p>
        </w:tc>
        <w:tc>
          <w:tcPr>
            <w:tcW w:w="1020" w:type="dxa"/>
            <w:vAlign w:val="bottom"/>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Class B ADRs</w:t>
            </w:r>
          </w:p>
        </w:tc>
      </w:tr>
      <w:tr>
        <w:trPr>
          <w:trHeight w:val="119"/>
        </w:trPr>
        <w:tc>
          <w:tcPr>
            <w:tcW w:w="2140" w:type="dxa"/>
            <w:vAlign w:val="bottom"/>
            <w:shd w:val="clear" w:color="auto" w:fill="D8D1C9"/>
          </w:tcPr>
          <w:p>
            <w:pPr>
              <w:spacing w:after="0"/>
              <w:rPr>
                <w:sz w:val="10"/>
                <w:szCs w:val="10"/>
                <w:color w:val="auto"/>
              </w:rPr>
            </w:pPr>
          </w:p>
        </w:tc>
        <w:tc>
          <w:tcPr>
            <w:tcW w:w="1040" w:type="dxa"/>
            <w:vAlign w:val="bottom"/>
            <w:shd w:val="clear" w:color="auto" w:fill="D8D1C9"/>
          </w:tcPr>
          <w:p>
            <w:pPr>
              <w:jc w:val="right"/>
              <w:ind w:right="12"/>
              <w:spacing w:after="0" w:line="120" w:lineRule="exact"/>
              <w:rPr>
                <w:sz w:val="20"/>
                <w:szCs w:val="20"/>
                <w:color w:val="auto"/>
              </w:rPr>
            </w:pPr>
            <w:r>
              <w:rPr>
                <w:rFonts w:ascii="Arial" w:cs="Arial" w:eastAsia="Arial" w:hAnsi="Arial"/>
                <w:sz w:val="12"/>
                <w:szCs w:val="12"/>
                <w:color w:val="auto"/>
              </w:rPr>
              <w:t>High</w:t>
            </w:r>
          </w:p>
        </w:tc>
        <w:tc>
          <w:tcPr>
            <w:tcW w:w="1320" w:type="dxa"/>
            <w:vAlign w:val="bottom"/>
            <w:shd w:val="clear" w:color="auto" w:fill="D8D1C9"/>
          </w:tcPr>
          <w:p>
            <w:pPr>
              <w:jc w:val="right"/>
              <w:ind w:right="272"/>
              <w:spacing w:after="0" w:line="120" w:lineRule="exact"/>
              <w:rPr>
                <w:sz w:val="20"/>
                <w:szCs w:val="20"/>
                <w:color w:val="auto"/>
              </w:rPr>
            </w:pPr>
            <w:r>
              <w:rPr>
                <w:rFonts w:ascii="Arial" w:cs="Arial" w:eastAsia="Arial" w:hAnsi="Arial"/>
                <w:sz w:val="12"/>
                <w:szCs w:val="12"/>
                <w:color w:val="auto"/>
              </w:rPr>
              <w:t>Low</w:t>
            </w:r>
          </w:p>
        </w:tc>
        <w:tc>
          <w:tcPr>
            <w:tcW w:w="82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High</w:t>
            </w:r>
          </w:p>
        </w:tc>
        <w:tc>
          <w:tcPr>
            <w:tcW w:w="1260" w:type="dxa"/>
            <w:vAlign w:val="bottom"/>
            <w:shd w:val="clear" w:color="auto" w:fill="D8D1C9"/>
          </w:tcPr>
          <w:p>
            <w:pPr>
              <w:jc w:val="right"/>
              <w:ind w:right="212"/>
              <w:spacing w:after="0" w:line="120" w:lineRule="exact"/>
              <w:rPr>
                <w:sz w:val="20"/>
                <w:szCs w:val="20"/>
                <w:color w:val="auto"/>
              </w:rPr>
            </w:pPr>
            <w:r>
              <w:rPr>
                <w:rFonts w:ascii="Arial" w:cs="Arial" w:eastAsia="Arial" w:hAnsi="Arial"/>
                <w:sz w:val="12"/>
                <w:szCs w:val="12"/>
                <w:color w:val="auto"/>
              </w:rPr>
              <w:t>Low</w:t>
            </w:r>
          </w:p>
        </w:tc>
        <w:tc>
          <w:tcPr>
            <w:tcW w:w="900" w:type="dxa"/>
            <w:vAlign w:val="bottom"/>
            <w:shd w:val="clear" w:color="auto" w:fill="D8D1C9"/>
          </w:tcPr>
          <w:p>
            <w:pPr>
              <w:jc w:val="right"/>
              <w:ind w:right="52"/>
              <w:spacing w:after="0" w:line="120" w:lineRule="exact"/>
              <w:rPr>
                <w:sz w:val="20"/>
                <w:szCs w:val="20"/>
                <w:color w:val="auto"/>
              </w:rPr>
            </w:pPr>
            <w:r>
              <w:rPr>
                <w:rFonts w:ascii="Arial" w:cs="Arial" w:eastAsia="Arial" w:hAnsi="Arial"/>
                <w:sz w:val="12"/>
                <w:szCs w:val="12"/>
                <w:color w:val="auto"/>
              </w:rPr>
              <w:t>High</w:t>
            </w:r>
          </w:p>
        </w:tc>
        <w:tc>
          <w:tcPr>
            <w:tcW w:w="1220" w:type="dxa"/>
            <w:vAlign w:val="bottom"/>
            <w:shd w:val="clear" w:color="auto" w:fill="D8D1C9"/>
          </w:tcPr>
          <w:p>
            <w:pPr>
              <w:jc w:val="right"/>
              <w:ind w:right="212"/>
              <w:spacing w:after="0" w:line="120" w:lineRule="exact"/>
              <w:rPr>
                <w:sz w:val="20"/>
                <w:szCs w:val="20"/>
                <w:color w:val="auto"/>
              </w:rPr>
            </w:pPr>
            <w:r>
              <w:rPr>
                <w:rFonts w:ascii="Arial" w:cs="Arial" w:eastAsia="Arial" w:hAnsi="Arial"/>
                <w:sz w:val="12"/>
                <w:szCs w:val="12"/>
                <w:color w:val="auto"/>
              </w:rPr>
              <w:t>Low</w:t>
            </w:r>
          </w:p>
        </w:tc>
        <w:tc>
          <w:tcPr>
            <w:tcW w:w="90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High</w:t>
            </w:r>
          </w:p>
        </w:tc>
        <w:tc>
          <w:tcPr>
            <w:tcW w:w="102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Low</w:t>
            </w:r>
          </w:p>
        </w:tc>
      </w:tr>
      <w:tr>
        <w:trPr>
          <w:trHeight w:val="147"/>
        </w:trPr>
        <w:tc>
          <w:tcPr>
            <w:tcW w:w="2140" w:type="dxa"/>
            <w:vAlign w:val="bottom"/>
            <w:shd w:val="clear" w:color="auto" w:fill="D8D1C9"/>
          </w:tcPr>
          <w:p>
            <w:pPr>
              <w:spacing w:after="0"/>
              <w:rPr>
                <w:sz w:val="12"/>
                <w:szCs w:val="12"/>
                <w:color w:val="auto"/>
              </w:rPr>
            </w:pPr>
          </w:p>
        </w:tc>
        <w:tc>
          <w:tcPr>
            <w:tcW w:w="1040" w:type="dxa"/>
            <w:vAlign w:val="bottom"/>
            <w:shd w:val="clear" w:color="auto" w:fill="D8D1C9"/>
          </w:tcPr>
          <w:p>
            <w:pPr>
              <w:jc w:val="right"/>
              <w:ind w:right="1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8D1C9"/>
          </w:tcPr>
          <w:p>
            <w:pPr>
              <w:jc w:val="right"/>
              <w:ind w:right="272"/>
              <w:spacing w:after="0"/>
              <w:rPr>
                <w:sz w:val="20"/>
                <w:szCs w:val="20"/>
                <w:color w:val="auto"/>
              </w:rPr>
            </w:pPr>
            <w:r>
              <w:rPr>
                <w:rFonts w:ascii="Arial" w:cs="Arial" w:eastAsia="Arial" w:hAnsi="Arial"/>
                <w:sz w:val="12"/>
                <w:szCs w:val="12"/>
                <w:color w:val="auto"/>
              </w:rPr>
              <w:t>€</w:t>
            </w:r>
          </w:p>
        </w:tc>
        <w:tc>
          <w:tcPr>
            <w:tcW w:w="82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pence</w:t>
            </w:r>
          </w:p>
        </w:tc>
        <w:tc>
          <w:tcPr>
            <w:tcW w:w="1260" w:type="dxa"/>
            <w:vAlign w:val="bottom"/>
            <w:shd w:val="clear" w:color="auto" w:fill="D8D1C9"/>
          </w:tcPr>
          <w:p>
            <w:pPr>
              <w:jc w:val="right"/>
              <w:ind w:right="212"/>
              <w:spacing w:after="0"/>
              <w:rPr>
                <w:sz w:val="20"/>
                <w:szCs w:val="20"/>
                <w:color w:val="auto"/>
              </w:rPr>
            </w:pPr>
            <w:r>
              <w:rPr>
                <w:rFonts w:ascii="Arial" w:cs="Arial" w:eastAsia="Arial" w:hAnsi="Arial"/>
                <w:sz w:val="12"/>
                <w:szCs w:val="12"/>
                <w:color w:val="auto"/>
              </w:rPr>
              <w:t>pence</w:t>
            </w:r>
          </w:p>
        </w:tc>
        <w:tc>
          <w:tcPr>
            <w:tcW w:w="900" w:type="dxa"/>
            <w:vAlign w:val="bottom"/>
            <w:shd w:val="clear" w:color="auto" w:fill="D8D1C9"/>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shd w:val="clear" w:color="auto" w:fill="D8D1C9"/>
          </w:tcPr>
          <w:p>
            <w:pPr>
              <w:jc w:val="right"/>
              <w:ind w:right="212"/>
              <w:spacing w:after="0"/>
              <w:rPr>
                <w:sz w:val="20"/>
                <w:szCs w:val="20"/>
                <w:color w:val="auto"/>
              </w:rPr>
            </w:pPr>
            <w:r>
              <w:rPr>
                <w:rFonts w:ascii="Arial" w:cs="Arial" w:eastAsia="Arial" w:hAnsi="Arial"/>
                <w:sz w:val="12"/>
                <w:szCs w:val="12"/>
                <w:color w:val="auto"/>
              </w:rPr>
              <w:t>$</w:t>
            </w:r>
          </w:p>
        </w:tc>
        <w:tc>
          <w:tcPr>
            <w:tcW w:w="90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w:t>
            </w:r>
          </w:p>
        </w:tc>
      </w:tr>
      <w:tr>
        <w:trPr>
          <w:trHeight w:val="324"/>
        </w:trPr>
        <w:tc>
          <w:tcPr>
            <w:tcW w:w="2140" w:type="dxa"/>
            <w:vAlign w:val="bottom"/>
          </w:tcPr>
          <w:p>
            <w:pPr>
              <w:spacing w:after="0"/>
              <w:rPr>
                <w:sz w:val="20"/>
                <w:szCs w:val="20"/>
                <w:color w:val="auto"/>
              </w:rPr>
            </w:pPr>
            <w:r>
              <w:rPr>
                <w:rFonts w:ascii="Arial" w:cs="Arial" w:eastAsia="Arial" w:hAnsi="Arial"/>
                <w:sz w:val="14"/>
                <w:szCs w:val="14"/>
                <w:color w:val="auto"/>
              </w:rPr>
              <w:t>2006 (Jan 1 – Dec 31)</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28.53</w:t>
            </w:r>
          </w:p>
        </w:tc>
        <w:tc>
          <w:tcPr>
            <w:tcW w:w="1320" w:type="dxa"/>
            <w:vAlign w:val="bottom"/>
          </w:tcPr>
          <w:p>
            <w:pPr>
              <w:jc w:val="right"/>
              <w:ind w:right="272"/>
              <w:spacing w:after="0"/>
              <w:rPr>
                <w:sz w:val="20"/>
                <w:szCs w:val="20"/>
                <w:color w:val="auto"/>
              </w:rPr>
            </w:pPr>
            <w:r>
              <w:rPr>
                <w:rFonts w:ascii="Arial" w:cs="Arial" w:eastAsia="Arial" w:hAnsi="Arial"/>
                <w:sz w:val="14"/>
                <w:szCs w:val="14"/>
                <w:color w:val="auto"/>
              </w:rPr>
              <w:t>24.32</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2,071</w:t>
            </w:r>
          </w:p>
        </w:tc>
        <w:tc>
          <w:tcPr>
            <w:tcW w:w="1260" w:type="dxa"/>
            <w:vAlign w:val="bottom"/>
          </w:tcPr>
          <w:p>
            <w:pPr>
              <w:jc w:val="right"/>
              <w:ind w:right="212"/>
              <w:spacing w:after="0"/>
              <w:rPr>
                <w:sz w:val="20"/>
                <w:szCs w:val="20"/>
                <w:color w:val="auto"/>
              </w:rPr>
            </w:pPr>
            <w:r>
              <w:rPr>
                <w:rFonts w:ascii="Arial" w:cs="Arial" w:eastAsia="Arial" w:hAnsi="Arial"/>
                <w:sz w:val="14"/>
                <w:szCs w:val="14"/>
                <w:color w:val="auto"/>
              </w:rPr>
              <w:t>1,686</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72.38</w:t>
            </w:r>
          </w:p>
        </w:tc>
        <w:tc>
          <w:tcPr>
            <w:tcW w:w="1220" w:type="dxa"/>
            <w:vAlign w:val="bottom"/>
          </w:tcPr>
          <w:p>
            <w:pPr>
              <w:jc w:val="right"/>
              <w:ind w:right="212"/>
              <w:spacing w:after="0"/>
              <w:rPr>
                <w:sz w:val="20"/>
                <w:szCs w:val="20"/>
                <w:color w:val="auto"/>
              </w:rPr>
            </w:pPr>
            <w:r>
              <w:rPr>
                <w:rFonts w:ascii="Arial" w:cs="Arial" w:eastAsia="Arial" w:hAnsi="Arial"/>
                <w:sz w:val="14"/>
                <w:szCs w:val="14"/>
                <w:color w:val="auto"/>
              </w:rPr>
              <w:t>60.17</w:t>
            </w: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74.93</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62.75</w:t>
            </w:r>
          </w:p>
        </w:tc>
      </w:tr>
      <w:tr>
        <w:trPr>
          <w:trHeight w:val="162"/>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2007 (Jan 1 – Dec 31)</w:t>
            </w:r>
          </w:p>
        </w:tc>
        <w:tc>
          <w:tcPr>
            <w:tcW w:w="10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31.35</w:t>
            </w:r>
          </w:p>
        </w:tc>
        <w:tc>
          <w:tcPr>
            <w:tcW w:w="13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23.72</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2,173</w:t>
            </w:r>
          </w:p>
        </w:tc>
        <w:tc>
          <w:tcPr>
            <w:tcW w:w="12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1,600</w:t>
            </w:r>
          </w:p>
        </w:tc>
        <w:tc>
          <w:tcPr>
            <w:tcW w:w="9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88.31</w:t>
            </w:r>
          </w:p>
        </w:tc>
        <w:tc>
          <w:tcPr>
            <w:tcW w:w="12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62.71</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87.94</w:t>
            </w:r>
          </w:p>
        </w:tc>
        <w:tc>
          <w:tcPr>
            <w:tcW w:w="10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62.20</w:t>
            </w:r>
          </w:p>
        </w:tc>
      </w:tr>
      <w:tr>
        <w:trPr>
          <w:trHeight w:val="333"/>
        </w:trPr>
        <w:tc>
          <w:tcPr>
            <w:tcW w:w="2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3"/>
        </w:trPr>
        <w:tc>
          <w:tcPr>
            <w:tcW w:w="2140" w:type="dxa"/>
            <w:vAlign w:val="bottom"/>
            <w:shd w:val="clear" w:color="auto" w:fill="009AC8"/>
          </w:tcPr>
          <w:p>
            <w:pPr>
              <w:spacing w:after="0"/>
              <w:rPr>
                <w:sz w:val="9"/>
                <w:szCs w:val="9"/>
                <w:color w:val="auto"/>
              </w:rPr>
            </w:pPr>
          </w:p>
        </w:tc>
        <w:tc>
          <w:tcPr>
            <w:tcW w:w="2360" w:type="dxa"/>
            <w:vAlign w:val="bottom"/>
            <w:gridSpan w:val="2"/>
            <w:shd w:val="clear" w:color="auto" w:fill="009AC8"/>
          </w:tcPr>
          <w:p>
            <w:pPr>
              <w:jc w:val="right"/>
              <w:ind w:right="272"/>
              <w:spacing w:after="0" w:line="114" w:lineRule="exact"/>
              <w:rPr>
                <w:sz w:val="20"/>
                <w:szCs w:val="20"/>
                <w:color w:val="auto"/>
              </w:rPr>
            </w:pPr>
            <w:r>
              <w:rPr>
                <w:rFonts w:ascii="Arial" w:cs="Arial" w:eastAsia="Arial" w:hAnsi="Arial"/>
                <w:sz w:val="12"/>
                <w:szCs w:val="12"/>
                <w:b w:val="1"/>
                <w:bCs w:val="1"/>
                <w:color w:val="FFFFFF"/>
              </w:rPr>
              <w:t>Euronext Amsterdam</w:t>
            </w:r>
          </w:p>
        </w:tc>
        <w:tc>
          <w:tcPr>
            <w:tcW w:w="2080" w:type="dxa"/>
            <w:vAlign w:val="bottom"/>
            <w:gridSpan w:val="2"/>
            <w:shd w:val="clear" w:color="auto" w:fill="009AC8"/>
          </w:tcPr>
          <w:p>
            <w:pPr>
              <w:jc w:val="right"/>
              <w:ind w:right="212"/>
              <w:spacing w:after="0" w:line="114" w:lineRule="exact"/>
              <w:rPr>
                <w:sz w:val="20"/>
                <w:szCs w:val="20"/>
                <w:color w:val="auto"/>
              </w:rPr>
            </w:pPr>
            <w:r>
              <w:rPr>
                <w:rFonts w:ascii="Arial" w:cs="Arial" w:eastAsia="Arial" w:hAnsi="Arial"/>
                <w:sz w:val="12"/>
                <w:szCs w:val="12"/>
                <w:b w:val="1"/>
                <w:bCs w:val="1"/>
                <w:color w:val="FFFFFF"/>
              </w:rPr>
              <w:t>London Stock Exchange</w:t>
            </w:r>
          </w:p>
        </w:tc>
        <w:tc>
          <w:tcPr>
            <w:tcW w:w="2120" w:type="dxa"/>
            <w:vAlign w:val="bottom"/>
            <w:gridSpan w:val="2"/>
            <w:shd w:val="clear" w:color="auto" w:fill="009AC8"/>
          </w:tcPr>
          <w:p>
            <w:pPr>
              <w:jc w:val="right"/>
              <w:ind w:right="212"/>
              <w:spacing w:after="0" w:line="114" w:lineRule="exact"/>
              <w:rPr>
                <w:sz w:val="20"/>
                <w:szCs w:val="20"/>
                <w:color w:val="auto"/>
              </w:rPr>
            </w:pPr>
            <w:r>
              <w:rPr>
                <w:rFonts w:ascii="Arial" w:cs="Arial" w:eastAsia="Arial" w:hAnsi="Arial"/>
                <w:sz w:val="12"/>
                <w:szCs w:val="12"/>
                <w:b w:val="1"/>
                <w:bCs w:val="1"/>
                <w:color w:val="FFFFFF"/>
              </w:rPr>
              <w:t>New York Stock Exchange</w:t>
            </w:r>
          </w:p>
        </w:tc>
        <w:tc>
          <w:tcPr>
            <w:tcW w:w="1920" w:type="dxa"/>
            <w:vAlign w:val="bottom"/>
            <w:gridSpan w:val="2"/>
            <w:shd w:val="clear" w:color="auto" w:fill="009AC8"/>
          </w:tcPr>
          <w:p>
            <w:pPr>
              <w:jc w:val="right"/>
              <w:ind w:right="32"/>
              <w:spacing w:after="0" w:line="114" w:lineRule="exact"/>
              <w:rPr>
                <w:sz w:val="20"/>
                <w:szCs w:val="20"/>
                <w:color w:val="auto"/>
              </w:rPr>
            </w:pPr>
            <w:r>
              <w:rPr>
                <w:rFonts w:ascii="Arial" w:cs="Arial" w:eastAsia="Arial" w:hAnsi="Arial"/>
                <w:sz w:val="12"/>
                <w:szCs w:val="12"/>
                <w:b w:val="1"/>
                <w:bCs w:val="1"/>
                <w:color w:val="FFFFFF"/>
              </w:rPr>
              <w:t>New York Stock Exchange</w:t>
            </w:r>
          </w:p>
        </w:tc>
      </w:tr>
      <w:tr>
        <w:trPr>
          <w:trHeight w:val="153"/>
        </w:trPr>
        <w:tc>
          <w:tcPr>
            <w:tcW w:w="2140" w:type="dxa"/>
            <w:vAlign w:val="bottom"/>
            <w:shd w:val="clear" w:color="auto" w:fill="009AC8"/>
          </w:tcPr>
          <w:p>
            <w:pPr>
              <w:spacing w:after="0"/>
              <w:rPr>
                <w:sz w:val="13"/>
                <w:szCs w:val="13"/>
                <w:color w:val="auto"/>
              </w:rPr>
            </w:pPr>
          </w:p>
        </w:tc>
        <w:tc>
          <w:tcPr>
            <w:tcW w:w="1040" w:type="dxa"/>
            <w:vAlign w:val="bottom"/>
            <w:shd w:val="clear" w:color="auto" w:fill="009AC8"/>
          </w:tcPr>
          <w:p>
            <w:pPr>
              <w:spacing w:after="0"/>
              <w:rPr>
                <w:sz w:val="13"/>
                <w:szCs w:val="13"/>
                <w:color w:val="auto"/>
              </w:rPr>
            </w:pPr>
          </w:p>
        </w:tc>
        <w:tc>
          <w:tcPr>
            <w:tcW w:w="1320" w:type="dxa"/>
            <w:vAlign w:val="bottom"/>
            <w:shd w:val="clear" w:color="auto" w:fill="009AC8"/>
          </w:tcPr>
          <w:p>
            <w:pPr>
              <w:jc w:val="right"/>
              <w:ind w:right="272"/>
              <w:spacing w:after="0"/>
              <w:rPr>
                <w:sz w:val="20"/>
                <w:szCs w:val="20"/>
                <w:color w:val="auto"/>
              </w:rPr>
            </w:pPr>
            <w:r>
              <w:rPr>
                <w:rFonts w:ascii="Arial" w:cs="Arial" w:eastAsia="Arial" w:hAnsi="Arial"/>
                <w:sz w:val="12"/>
                <w:szCs w:val="12"/>
                <w:b w:val="1"/>
                <w:bCs w:val="1"/>
                <w:color w:val="FFFFFF"/>
              </w:rPr>
              <w:t>Class A shares</w:t>
            </w:r>
          </w:p>
        </w:tc>
        <w:tc>
          <w:tcPr>
            <w:tcW w:w="820" w:type="dxa"/>
            <w:vAlign w:val="bottom"/>
            <w:shd w:val="clear" w:color="auto" w:fill="009AC8"/>
          </w:tcPr>
          <w:p>
            <w:pPr>
              <w:spacing w:after="0"/>
              <w:rPr>
                <w:sz w:val="13"/>
                <w:szCs w:val="13"/>
                <w:color w:val="auto"/>
              </w:rPr>
            </w:pPr>
          </w:p>
        </w:tc>
        <w:tc>
          <w:tcPr>
            <w:tcW w:w="1260" w:type="dxa"/>
            <w:vAlign w:val="bottom"/>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Class B shares</w:t>
            </w:r>
          </w:p>
        </w:tc>
        <w:tc>
          <w:tcPr>
            <w:tcW w:w="900" w:type="dxa"/>
            <w:vAlign w:val="bottom"/>
            <w:shd w:val="clear" w:color="auto" w:fill="009AC8"/>
          </w:tcPr>
          <w:p>
            <w:pPr>
              <w:spacing w:after="0"/>
              <w:rPr>
                <w:sz w:val="13"/>
                <w:szCs w:val="13"/>
                <w:color w:val="auto"/>
              </w:rPr>
            </w:pPr>
          </w:p>
        </w:tc>
        <w:tc>
          <w:tcPr>
            <w:tcW w:w="1220" w:type="dxa"/>
            <w:vAlign w:val="bottom"/>
            <w:shd w:val="clear" w:color="auto" w:fill="009AC8"/>
          </w:tcPr>
          <w:p>
            <w:pPr>
              <w:jc w:val="right"/>
              <w:ind w:right="212"/>
              <w:spacing w:after="0"/>
              <w:rPr>
                <w:sz w:val="20"/>
                <w:szCs w:val="20"/>
                <w:color w:val="auto"/>
              </w:rPr>
            </w:pPr>
            <w:r>
              <w:rPr>
                <w:rFonts w:ascii="Arial" w:cs="Arial" w:eastAsia="Arial" w:hAnsi="Arial"/>
                <w:sz w:val="12"/>
                <w:szCs w:val="12"/>
                <w:b w:val="1"/>
                <w:bCs w:val="1"/>
                <w:color w:val="FFFFFF"/>
              </w:rPr>
              <w:t>Class A ADRs</w:t>
            </w:r>
          </w:p>
        </w:tc>
        <w:tc>
          <w:tcPr>
            <w:tcW w:w="900" w:type="dxa"/>
            <w:vAlign w:val="bottom"/>
            <w:shd w:val="clear" w:color="auto" w:fill="009AC8"/>
          </w:tcPr>
          <w:p>
            <w:pPr>
              <w:spacing w:after="0"/>
              <w:rPr>
                <w:sz w:val="13"/>
                <w:szCs w:val="13"/>
                <w:color w:val="auto"/>
              </w:rPr>
            </w:pPr>
          </w:p>
        </w:tc>
        <w:tc>
          <w:tcPr>
            <w:tcW w:w="1020" w:type="dxa"/>
            <w:vAlign w:val="bottom"/>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Class B ADRs</w:t>
            </w:r>
          </w:p>
        </w:tc>
      </w:tr>
      <w:tr>
        <w:trPr>
          <w:trHeight w:val="119"/>
        </w:trPr>
        <w:tc>
          <w:tcPr>
            <w:tcW w:w="2140" w:type="dxa"/>
            <w:vAlign w:val="bottom"/>
            <w:shd w:val="clear" w:color="auto" w:fill="D8D1C9"/>
          </w:tcPr>
          <w:p>
            <w:pPr>
              <w:spacing w:after="0"/>
              <w:rPr>
                <w:sz w:val="10"/>
                <w:szCs w:val="10"/>
                <w:color w:val="auto"/>
              </w:rPr>
            </w:pPr>
          </w:p>
        </w:tc>
        <w:tc>
          <w:tcPr>
            <w:tcW w:w="1040" w:type="dxa"/>
            <w:vAlign w:val="bottom"/>
            <w:shd w:val="clear" w:color="auto" w:fill="D8D1C9"/>
          </w:tcPr>
          <w:p>
            <w:pPr>
              <w:jc w:val="right"/>
              <w:ind w:right="12"/>
              <w:spacing w:after="0" w:line="120" w:lineRule="exact"/>
              <w:rPr>
                <w:sz w:val="20"/>
                <w:szCs w:val="20"/>
                <w:color w:val="auto"/>
              </w:rPr>
            </w:pPr>
            <w:r>
              <w:rPr>
                <w:rFonts w:ascii="Arial" w:cs="Arial" w:eastAsia="Arial" w:hAnsi="Arial"/>
                <w:sz w:val="12"/>
                <w:szCs w:val="12"/>
                <w:color w:val="auto"/>
              </w:rPr>
              <w:t>High</w:t>
            </w:r>
          </w:p>
        </w:tc>
        <w:tc>
          <w:tcPr>
            <w:tcW w:w="1320" w:type="dxa"/>
            <w:vAlign w:val="bottom"/>
            <w:shd w:val="clear" w:color="auto" w:fill="D8D1C9"/>
          </w:tcPr>
          <w:p>
            <w:pPr>
              <w:jc w:val="right"/>
              <w:ind w:right="272"/>
              <w:spacing w:after="0" w:line="120" w:lineRule="exact"/>
              <w:rPr>
                <w:sz w:val="20"/>
                <w:szCs w:val="20"/>
                <w:color w:val="auto"/>
              </w:rPr>
            </w:pPr>
            <w:r>
              <w:rPr>
                <w:rFonts w:ascii="Arial" w:cs="Arial" w:eastAsia="Arial" w:hAnsi="Arial"/>
                <w:sz w:val="12"/>
                <w:szCs w:val="12"/>
                <w:color w:val="auto"/>
              </w:rPr>
              <w:t>Low</w:t>
            </w:r>
          </w:p>
        </w:tc>
        <w:tc>
          <w:tcPr>
            <w:tcW w:w="82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High</w:t>
            </w:r>
          </w:p>
        </w:tc>
        <w:tc>
          <w:tcPr>
            <w:tcW w:w="1260" w:type="dxa"/>
            <w:vAlign w:val="bottom"/>
            <w:shd w:val="clear" w:color="auto" w:fill="D8D1C9"/>
          </w:tcPr>
          <w:p>
            <w:pPr>
              <w:jc w:val="right"/>
              <w:ind w:right="212"/>
              <w:spacing w:after="0" w:line="120" w:lineRule="exact"/>
              <w:rPr>
                <w:sz w:val="20"/>
                <w:szCs w:val="20"/>
                <w:color w:val="auto"/>
              </w:rPr>
            </w:pPr>
            <w:r>
              <w:rPr>
                <w:rFonts w:ascii="Arial" w:cs="Arial" w:eastAsia="Arial" w:hAnsi="Arial"/>
                <w:sz w:val="12"/>
                <w:szCs w:val="12"/>
                <w:color w:val="auto"/>
              </w:rPr>
              <w:t>Low</w:t>
            </w:r>
          </w:p>
        </w:tc>
        <w:tc>
          <w:tcPr>
            <w:tcW w:w="900" w:type="dxa"/>
            <w:vAlign w:val="bottom"/>
            <w:shd w:val="clear" w:color="auto" w:fill="D8D1C9"/>
          </w:tcPr>
          <w:p>
            <w:pPr>
              <w:jc w:val="right"/>
              <w:ind w:right="52"/>
              <w:spacing w:after="0" w:line="120" w:lineRule="exact"/>
              <w:rPr>
                <w:sz w:val="20"/>
                <w:szCs w:val="20"/>
                <w:color w:val="auto"/>
              </w:rPr>
            </w:pPr>
            <w:r>
              <w:rPr>
                <w:rFonts w:ascii="Arial" w:cs="Arial" w:eastAsia="Arial" w:hAnsi="Arial"/>
                <w:sz w:val="12"/>
                <w:szCs w:val="12"/>
                <w:color w:val="auto"/>
              </w:rPr>
              <w:t>High</w:t>
            </w:r>
          </w:p>
        </w:tc>
        <w:tc>
          <w:tcPr>
            <w:tcW w:w="1220" w:type="dxa"/>
            <w:vAlign w:val="bottom"/>
            <w:shd w:val="clear" w:color="auto" w:fill="D8D1C9"/>
          </w:tcPr>
          <w:p>
            <w:pPr>
              <w:jc w:val="right"/>
              <w:ind w:right="212"/>
              <w:spacing w:after="0" w:line="120" w:lineRule="exact"/>
              <w:rPr>
                <w:sz w:val="20"/>
                <w:szCs w:val="20"/>
                <w:color w:val="auto"/>
              </w:rPr>
            </w:pPr>
            <w:r>
              <w:rPr>
                <w:rFonts w:ascii="Arial" w:cs="Arial" w:eastAsia="Arial" w:hAnsi="Arial"/>
                <w:sz w:val="12"/>
                <w:szCs w:val="12"/>
                <w:color w:val="auto"/>
              </w:rPr>
              <w:t>Low</w:t>
            </w:r>
          </w:p>
        </w:tc>
        <w:tc>
          <w:tcPr>
            <w:tcW w:w="90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High</w:t>
            </w:r>
          </w:p>
        </w:tc>
        <w:tc>
          <w:tcPr>
            <w:tcW w:w="102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Low</w:t>
            </w:r>
          </w:p>
        </w:tc>
      </w:tr>
      <w:tr>
        <w:trPr>
          <w:trHeight w:val="147"/>
        </w:trPr>
        <w:tc>
          <w:tcPr>
            <w:tcW w:w="2140" w:type="dxa"/>
            <w:vAlign w:val="bottom"/>
            <w:shd w:val="clear" w:color="auto" w:fill="D8D1C9"/>
          </w:tcPr>
          <w:p>
            <w:pPr>
              <w:spacing w:after="0"/>
              <w:rPr>
                <w:sz w:val="12"/>
                <w:szCs w:val="12"/>
                <w:color w:val="auto"/>
              </w:rPr>
            </w:pPr>
          </w:p>
        </w:tc>
        <w:tc>
          <w:tcPr>
            <w:tcW w:w="1040" w:type="dxa"/>
            <w:vAlign w:val="bottom"/>
            <w:shd w:val="clear" w:color="auto" w:fill="D8D1C9"/>
          </w:tcPr>
          <w:p>
            <w:pPr>
              <w:jc w:val="right"/>
              <w:ind w:right="12"/>
              <w:spacing w:after="0"/>
              <w:rPr>
                <w:sz w:val="20"/>
                <w:szCs w:val="20"/>
                <w:color w:val="auto"/>
              </w:rPr>
            </w:pPr>
            <w:r>
              <w:rPr>
                <w:rFonts w:ascii="Arial" w:cs="Arial" w:eastAsia="Arial" w:hAnsi="Arial"/>
                <w:sz w:val="12"/>
                <w:szCs w:val="12"/>
                <w:color w:val="auto"/>
              </w:rPr>
              <w:t>€</w:t>
            </w:r>
          </w:p>
        </w:tc>
        <w:tc>
          <w:tcPr>
            <w:tcW w:w="1320" w:type="dxa"/>
            <w:vAlign w:val="bottom"/>
            <w:shd w:val="clear" w:color="auto" w:fill="D8D1C9"/>
          </w:tcPr>
          <w:p>
            <w:pPr>
              <w:jc w:val="right"/>
              <w:ind w:right="272"/>
              <w:spacing w:after="0"/>
              <w:rPr>
                <w:sz w:val="20"/>
                <w:szCs w:val="20"/>
                <w:color w:val="auto"/>
              </w:rPr>
            </w:pPr>
            <w:r>
              <w:rPr>
                <w:rFonts w:ascii="Arial" w:cs="Arial" w:eastAsia="Arial" w:hAnsi="Arial"/>
                <w:sz w:val="12"/>
                <w:szCs w:val="12"/>
                <w:color w:val="auto"/>
              </w:rPr>
              <w:t>€</w:t>
            </w:r>
          </w:p>
        </w:tc>
        <w:tc>
          <w:tcPr>
            <w:tcW w:w="82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pence</w:t>
            </w:r>
          </w:p>
        </w:tc>
        <w:tc>
          <w:tcPr>
            <w:tcW w:w="1260" w:type="dxa"/>
            <w:vAlign w:val="bottom"/>
            <w:shd w:val="clear" w:color="auto" w:fill="D8D1C9"/>
          </w:tcPr>
          <w:p>
            <w:pPr>
              <w:jc w:val="right"/>
              <w:ind w:right="212"/>
              <w:spacing w:after="0"/>
              <w:rPr>
                <w:sz w:val="20"/>
                <w:szCs w:val="20"/>
                <w:color w:val="auto"/>
              </w:rPr>
            </w:pPr>
            <w:r>
              <w:rPr>
                <w:rFonts w:ascii="Arial" w:cs="Arial" w:eastAsia="Arial" w:hAnsi="Arial"/>
                <w:sz w:val="12"/>
                <w:szCs w:val="12"/>
                <w:color w:val="auto"/>
              </w:rPr>
              <w:t>pence</w:t>
            </w:r>
          </w:p>
        </w:tc>
        <w:tc>
          <w:tcPr>
            <w:tcW w:w="900" w:type="dxa"/>
            <w:vAlign w:val="bottom"/>
            <w:shd w:val="clear" w:color="auto" w:fill="D8D1C9"/>
          </w:tcPr>
          <w:p>
            <w:pPr>
              <w:jc w:val="right"/>
              <w:ind w:right="52"/>
              <w:spacing w:after="0"/>
              <w:rPr>
                <w:sz w:val="20"/>
                <w:szCs w:val="20"/>
                <w:color w:val="auto"/>
              </w:rPr>
            </w:pPr>
            <w:r>
              <w:rPr>
                <w:rFonts w:ascii="Arial" w:cs="Arial" w:eastAsia="Arial" w:hAnsi="Arial"/>
                <w:sz w:val="12"/>
                <w:szCs w:val="12"/>
                <w:color w:val="auto"/>
              </w:rPr>
              <w:t>$</w:t>
            </w:r>
          </w:p>
        </w:tc>
        <w:tc>
          <w:tcPr>
            <w:tcW w:w="1220" w:type="dxa"/>
            <w:vAlign w:val="bottom"/>
            <w:shd w:val="clear" w:color="auto" w:fill="D8D1C9"/>
          </w:tcPr>
          <w:p>
            <w:pPr>
              <w:jc w:val="right"/>
              <w:ind w:right="212"/>
              <w:spacing w:after="0"/>
              <w:rPr>
                <w:sz w:val="20"/>
                <w:szCs w:val="20"/>
                <w:color w:val="auto"/>
              </w:rPr>
            </w:pPr>
            <w:r>
              <w:rPr>
                <w:rFonts w:ascii="Arial" w:cs="Arial" w:eastAsia="Arial" w:hAnsi="Arial"/>
                <w:sz w:val="12"/>
                <w:szCs w:val="12"/>
                <w:color w:val="auto"/>
              </w:rPr>
              <w:t>$</w:t>
            </w:r>
          </w:p>
        </w:tc>
        <w:tc>
          <w:tcPr>
            <w:tcW w:w="90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w:t>
            </w:r>
          </w:p>
        </w:tc>
        <w:tc>
          <w:tcPr>
            <w:tcW w:w="102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w:t>
            </w:r>
          </w:p>
        </w:tc>
      </w:tr>
      <w:tr>
        <w:trPr>
          <w:trHeight w:val="324"/>
        </w:trPr>
        <w:tc>
          <w:tcPr>
            <w:tcW w:w="2140" w:type="dxa"/>
            <w:vAlign w:val="bottom"/>
          </w:tcPr>
          <w:p>
            <w:pPr>
              <w:spacing w:after="0"/>
              <w:rPr>
                <w:sz w:val="20"/>
                <w:szCs w:val="20"/>
                <w:color w:val="auto"/>
              </w:rPr>
            </w:pPr>
            <w:r>
              <w:rPr>
                <w:rFonts w:ascii="Arial" w:cs="Arial" w:eastAsia="Arial" w:hAnsi="Arial"/>
                <w:sz w:val="14"/>
                <w:szCs w:val="14"/>
                <w:color w:val="auto"/>
              </w:rPr>
              <w:t>2005</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3rd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27.67</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24.61</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1,966</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1,753</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68.08</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59.50</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70.94</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61.77</w:t>
            </w: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4th Quarter</w:t>
            </w:r>
          </w:p>
        </w:tc>
        <w:tc>
          <w:tcPr>
            <w:tcW w:w="10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27.66</w:t>
            </w:r>
          </w:p>
        </w:tc>
        <w:tc>
          <w:tcPr>
            <w:tcW w:w="13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24.12</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1,968</w:t>
            </w:r>
          </w:p>
        </w:tc>
        <w:tc>
          <w:tcPr>
            <w:tcW w:w="12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1,717</w:t>
            </w:r>
          </w:p>
        </w:tc>
        <w:tc>
          <w:tcPr>
            <w:tcW w:w="9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65.93</w:t>
            </w:r>
          </w:p>
        </w:tc>
        <w:tc>
          <w:tcPr>
            <w:tcW w:w="12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57.79</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69.04</w:t>
            </w:r>
          </w:p>
        </w:tc>
        <w:tc>
          <w:tcPr>
            <w:tcW w:w="10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60.69</w:t>
            </w:r>
          </w:p>
        </w:tc>
      </w:tr>
      <w:tr>
        <w:trPr>
          <w:trHeight w:val="171"/>
        </w:trPr>
        <w:tc>
          <w:tcPr>
            <w:tcW w:w="2140" w:type="dxa"/>
            <w:vAlign w:val="bottom"/>
          </w:tcPr>
          <w:p>
            <w:pPr>
              <w:spacing w:after="0"/>
              <w:rPr>
                <w:sz w:val="20"/>
                <w:szCs w:val="20"/>
                <w:color w:val="auto"/>
              </w:rPr>
            </w:pPr>
            <w:r>
              <w:rPr>
                <w:rFonts w:ascii="Arial" w:cs="Arial" w:eastAsia="Arial" w:hAnsi="Arial"/>
                <w:sz w:val="14"/>
                <w:szCs w:val="14"/>
                <w:color w:val="auto"/>
              </w:rPr>
              <w:t>2006</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1st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28.49</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24.91</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2,046</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1,792</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68.45</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60.17</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72.09</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62.75</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2nd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28.53</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24.32</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2,071</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1,686</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70.39</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61.19</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73.77</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63.77</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3rd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28.19</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25.15</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2,005</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1,733</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72.38</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64.07</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74.93</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66.09</w:t>
            </w: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4th Quarter</w:t>
            </w:r>
          </w:p>
        </w:tc>
        <w:tc>
          <w:tcPr>
            <w:tcW w:w="10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27.97</w:t>
            </w:r>
          </w:p>
        </w:tc>
        <w:tc>
          <w:tcPr>
            <w:tcW w:w="13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25.34</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1,938</w:t>
            </w:r>
          </w:p>
        </w:tc>
        <w:tc>
          <w:tcPr>
            <w:tcW w:w="12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1,752</w:t>
            </w:r>
          </w:p>
        </w:tc>
        <w:tc>
          <w:tcPr>
            <w:tcW w:w="9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71.89</w:t>
            </w:r>
          </w:p>
        </w:tc>
        <w:tc>
          <w:tcPr>
            <w:tcW w:w="12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64.09</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74.14</w:t>
            </w:r>
          </w:p>
        </w:tc>
        <w:tc>
          <w:tcPr>
            <w:tcW w:w="10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66.10</w:t>
            </w:r>
          </w:p>
        </w:tc>
      </w:tr>
      <w:tr>
        <w:trPr>
          <w:trHeight w:val="171"/>
        </w:trPr>
        <w:tc>
          <w:tcPr>
            <w:tcW w:w="2140" w:type="dxa"/>
            <w:vAlign w:val="bottom"/>
          </w:tcPr>
          <w:p>
            <w:pPr>
              <w:spacing w:after="0"/>
              <w:rPr>
                <w:sz w:val="20"/>
                <w:szCs w:val="20"/>
                <w:color w:val="auto"/>
              </w:rPr>
            </w:pPr>
            <w:r>
              <w:rPr>
                <w:rFonts w:ascii="Arial" w:cs="Arial" w:eastAsia="Arial" w:hAnsi="Arial"/>
                <w:sz w:val="14"/>
                <w:szCs w:val="14"/>
                <w:color w:val="auto"/>
              </w:rPr>
              <w:t>2007</w:t>
            </w: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1st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26.98</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23.72</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1,823</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1,600</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70.91</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62.71</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71.29</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62.20</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2nd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30.23</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24.72</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2,089</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1,671</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81.62</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65.15</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83.81</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66.36</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3rd Quarter</w:t>
            </w:r>
          </w:p>
        </w:tc>
        <w:tc>
          <w:tcPr>
            <w:tcW w:w="1040" w:type="dxa"/>
            <w:vAlign w:val="bottom"/>
          </w:tcPr>
          <w:p>
            <w:pPr>
              <w:jc w:val="right"/>
              <w:ind w:right="12"/>
              <w:spacing w:after="0" w:line="160" w:lineRule="exact"/>
              <w:rPr>
                <w:sz w:val="20"/>
                <w:szCs w:val="20"/>
                <w:color w:val="auto"/>
              </w:rPr>
            </w:pPr>
            <w:r>
              <w:rPr>
                <w:rFonts w:ascii="Arial" w:cs="Arial" w:eastAsia="Arial" w:hAnsi="Arial"/>
                <w:sz w:val="14"/>
                <w:szCs w:val="14"/>
                <w:color w:val="auto"/>
              </w:rPr>
              <w:t>31.35</w:t>
            </w:r>
          </w:p>
        </w:tc>
        <w:tc>
          <w:tcPr>
            <w:tcW w:w="13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25.59</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2,173</w:t>
            </w:r>
          </w:p>
        </w:tc>
        <w:tc>
          <w:tcPr>
            <w:tcW w:w="126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1,737</w:t>
            </w:r>
          </w:p>
        </w:tc>
        <w:tc>
          <w:tcPr>
            <w:tcW w:w="900" w:type="dxa"/>
            <w:vAlign w:val="bottom"/>
          </w:tcPr>
          <w:p>
            <w:pPr>
              <w:jc w:val="right"/>
              <w:ind w:right="52"/>
              <w:spacing w:after="0" w:line="160" w:lineRule="exact"/>
              <w:rPr>
                <w:sz w:val="20"/>
                <w:szCs w:val="20"/>
                <w:color w:val="auto"/>
              </w:rPr>
            </w:pPr>
            <w:r>
              <w:rPr>
                <w:rFonts w:ascii="Arial" w:cs="Arial" w:eastAsia="Arial" w:hAnsi="Arial"/>
                <w:sz w:val="14"/>
                <w:szCs w:val="14"/>
                <w:color w:val="auto"/>
              </w:rPr>
              <w:t>85.48</w:t>
            </w:r>
          </w:p>
        </w:tc>
        <w:tc>
          <w:tcPr>
            <w:tcW w:w="1220" w:type="dxa"/>
            <w:vAlign w:val="bottom"/>
          </w:tcPr>
          <w:p>
            <w:pPr>
              <w:jc w:val="right"/>
              <w:ind w:right="212"/>
              <w:spacing w:after="0" w:line="160" w:lineRule="exact"/>
              <w:rPr>
                <w:sz w:val="20"/>
                <w:szCs w:val="20"/>
                <w:color w:val="auto"/>
              </w:rPr>
            </w:pPr>
            <w:r>
              <w:rPr>
                <w:rFonts w:ascii="Arial" w:cs="Arial" w:eastAsia="Arial" w:hAnsi="Arial"/>
                <w:sz w:val="14"/>
                <w:szCs w:val="14"/>
                <w:color w:val="auto"/>
              </w:rPr>
              <w:t>69.56</w:t>
            </w:r>
          </w:p>
        </w:tc>
        <w:tc>
          <w:tcPr>
            <w:tcW w:w="900" w:type="dxa"/>
            <w:vAlign w:val="bottom"/>
          </w:tcPr>
          <w:p>
            <w:pPr>
              <w:jc w:val="right"/>
              <w:ind w:right="32"/>
              <w:spacing w:after="0" w:line="160" w:lineRule="exact"/>
              <w:rPr>
                <w:sz w:val="20"/>
                <w:szCs w:val="20"/>
                <w:color w:val="auto"/>
              </w:rPr>
            </w:pPr>
            <w:r>
              <w:rPr>
                <w:rFonts w:ascii="Arial" w:cs="Arial" w:eastAsia="Arial" w:hAnsi="Arial"/>
                <w:sz w:val="14"/>
                <w:szCs w:val="14"/>
                <w:color w:val="auto"/>
              </w:rPr>
              <w:t>87.79</w:t>
            </w:r>
          </w:p>
        </w:tc>
        <w:tc>
          <w:tcPr>
            <w:tcW w:w="10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69.47</w:t>
            </w:r>
          </w:p>
        </w:tc>
      </w:tr>
      <w:tr>
        <w:trPr>
          <w:trHeight w:val="162"/>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4th Quarter</w:t>
            </w:r>
          </w:p>
        </w:tc>
        <w:tc>
          <w:tcPr>
            <w:tcW w:w="104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30.74</w:t>
            </w:r>
          </w:p>
        </w:tc>
        <w:tc>
          <w:tcPr>
            <w:tcW w:w="13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color w:val="auto"/>
              </w:rPr>
              <w:t>26.84</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2,145</w:t>
            </w:r>
          </w:p>
        </w:tc>
        <w:tc>
          <w:tcPr>
            <w:tcW w:w="12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1,904</w:t>
            </w:r>
          </w:p>
        </w:tc>
        <w:tc>
          <w:tcPr>
            <w:tcW w:w="90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88.31</w:t>
            </w:r>
          </w:p>
        </w:tc>
        <w:tc>
          <w:tcPr>
            <w:tcW w:w="12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color w:val="auto"/>
              </w:rPr>
              <w:t>78.96</w:t>
            </w:r>
          </w:p>
        </w:tc>
        <w:tc>
          <w:tcPr>
            <w:tcW w:w="90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87.94</w:t>
            </w:r>
          </w:p>
        </w:tc>
        <w:tc>
          <w:tcPr>
            <w:tcW w:w="10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78.23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9180"/>
        <w:spacing w:after="0"/>
        <w:tabs>
          <w:tab w:leader="none" w:pos="104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716915</wp:posOffset>
            </wp:positionV>
            <wp:extent cx="7252970"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CONTROL OF REGISTRANT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shd w:val="clear" w:color="auto" w:fill="009AC8"/>
          </w:tcPr>
          <w:p>
            <w:pPr>
              <w:spacing w:after="0"/>
              <w:rPr>
                <w:sz w:val="12"/>
                <w:szCs w:val="12"/>
                <w:color w:val="auto"/>
              </w:rPr>
            </w:pPr>
          </w:p>
        </w:tc>
        <w:tc>
          <w:tcPr>
            <w:tcW w:w="980" w:type="dxa"/>
            <w:vAlign w:val="bottom"/>
            <w:shd w:val="clear" w:color="auto" w:fill="009AC8"/>
          </w:tcPr>
          <w:p>
            <w:pPr>
              <w:spacing w:after="0"/>
              <w:rPr>
                <w:sz w:val="12"/>
                <w:szCs w:val="12"/>
                <w:color w:val="auto"/>
              </w:rPr>
            </w:pPr>
          </w:p>
        </w:tc>
        <w:tc>
          <w:tcPr>
            <w:tcW w:w="1660" w:type="dxa"/>
            <w:vAlign w:val="bottom"/>
            <w:shd w:val="clear" w:color="auto" w:fill="009AC8"/>
          </w:tcPr>
          <w:p>
            <w:pPr>
              <w:jc w:val="right"/>
              <w:ind w:right="313"/>
              <w:spacing w:after="0"/>
              <w:rPr>
                <w:sz w:val="20"/>
                <w:szCs w:val="20"/>
                <w:color w:val="auto"/>
              </w:rPr>
            </w:pPr>
            <w:r>
              <w:rPr>
                <w:rFonts w:ascii="Arial" w:cs="Arial" w:eastAsia="Arial" w:hAnsi="Arial"/>
                <w:sz w:val="12"/>
                <w:szCs w:val="12"/>
                <w:b w:val="1"/>
                <w:bCs w:val="1"/>
                <w:color w:val="FFFFFF"/>
              </w:rPr>
              <w:t>Euronext Amsterdam</w:t>
            </w:r>
          </w:p>
        </w:tc>
        <w:tc>
          <w:tcPr>
            <w:tcW w:w="2180" w:type="dxa"/>
            <w:vAlign w:val="bottom"/>
            <w:gridSpan w:val="2"/>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London Stock Exchange</w:t>
            </w:r>
          </w:p>
        </w:tc>
        <w:tc>
          <w:tcPr>
            <w:tcW w:w="2360" w:type="dxa"/>
            <w:vAlign w:val="bottom"/>
            <w:gridSpan w:val="2"/>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New York Stock Exchange</w:t>
            </w:r>
          </w:p>
        </w:tc>
        <w:tc>
          <w:tcPr>
            <w:tcW w:w="2100" w:type="dxa"/>
            <w:vAlign w:val="bottom"/>
            <w:gridSpan w:val="2"/>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New York Stock Exchange</w:t>
            </w:r>
          </w:p>
        </w:tc>
      </w:tr>
      <w:tr>
        <w:trPr>
          <w:trHeight w:val="153"/>
        </w:trPr>
        <w:tc>
          <w:tcPr>
            <w:tcW w:w="2140" w:type="dxa"/>
            <w:vAlign w:val="bottom"/>
            <w:shd w:val="clear" w:color="auto" w:fill="009AC8"/>
          </w:tcPr>
          <w:p>
            <w:pPr>
              <w:spacing w:after="0"/>
              <w:rPr>
                <w:sz w:val="13"/>
                <w:szCs w:val="13"/>
                <w:color w:val="auto"/>
              </w:rPr>
            </w:pPr>
          </w:p>
        </w:tc>
        <w:tc>
          <w:tcPr>
            <w:tcW w:w="980" w:type="dxa"/>
            <w:vAlign w:val="bottom"/>
            <w:shd w:val="clear" w:color="auto" w:fill="009AC8"/>
          </w:tcPr>
          <w:p>
            <w:pPr>
              <w:spacing w:after="0"/>
              <w:rPr>
                <w:sz w:val="13"/>
                <w:szCs w:val="13"/>
                <w:color w:val="auto"/>
              </w:rPr>
            </w:pPr>
          </w:p>
        </w:tc>
        <w:tc>
          <w:tcPr>
            <w:tcW w:w="1660" w:type="dxa"/>
            <w:vAlign w:val="bottom"/>
            <w:shd w:val="clear" w:color="auto" w:fill="009AC8"/>
          </w:tcPr>
          <w:p>
            <w:pPr>
              <w:jc w:val="right"/>
              <w:ind w:right="293"/>
              <w:spacing w:after="0"/>
              <w:rPr>
                <w:sz w:val="20"/>
                <w:szCs w:val="20"/>
                <w:color w:val="auto"/>
              </w:rPr>
            </w:pPr>
            <w:r>
              <w:rPr>
                <w:rFonts w:ascii="Arial" w:cs="Arial" w:eastAsia="Arial" w:hAnsi="Arial"/>
                <w:sz w:val="12"/>
                <w:szCs w:val="12"/>
                <w:b w:val="1"/>
                <w:bCs w:val="1"/>
                <w:color w:val="FFFFFF"/>
              </w:rPr>
              <w:t>Class A shares</w:t>
            </w:r>
          </w:p>
        </w:tc>
        <w:tc>
          <w:tcPr>
            <w:tcW w:w="820" w:type="dxa"/>
            <w:vAlign w:val="bottom"/>
            <w:shd w:val="clear" w:color="auto" w:fill="009AC8"/>
          </w:tcPr>
          <w:p>
            <w:pPr>
              <w:spacing w:after="0"/>
              <w:rPr>
                <w:sz w:val="13"/>
                <w:szCs w:val="13"/>
                <w:color w:val="auto"/>
              </w:rPr>
            </w:pPr>
          </w:p>
        </w:tc>
        <w:tc>
          <w:tcPr>
            <w:tcW w:w="136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Class B shares</w:t>
            </w:r>
          </w:p>
        </w:tc>
        <w:tc>
          <w:tcPr>
            <w:tcW w:w="960" w:type="dxa"/>
            <w:vAlign w:val="bottom"/>
            <w:shd w:val="clear" w:color="auto" w:fill="009AC8"/>
          </w:tcPr>
          <w:p>
            <w:pPr>
              <w:spacing w:after="0"/>
              <w:rPr>
                <w:sz w:val="13"/>
                <w:szCs w:val="13"/>
                <w:color w:val="auto"/>
              </w:rPr>
            </w:pPr>
          </w:p>
        </w:tc>
        <w:tc>
          <w:tcPr>
            <w:tcW w:w="140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Class A ADRs</w:t>
            </w:r>
          </w:p>
        </w:tc>
        <w:tc>
          <w:tcPr>
            <w:tcW w:w="940" w:type="dxa"/>
            <w:vAlign w:val="bottom"/>
            <w:shd w:val="clear" w:color="auto" w:fill="009AC8"/>
          </w:tcPr>
          <w:p>
            <w:pPr>
              <w:spacing w:after="0"/>
              <w:rPr>
                <w:sz w:val="13"/>
                <w:szCs w:val="13"/>
                <w:color w:val="auto"/>
              </w:rPr>
            </w:pPr>
          </w:p>
        </w:tc>
        <w:tc>
          <w:tcPr>
            <w:tcW w:w="1160" w:type="dxa"/>
            <w:vAlign w:val="bottom"/>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Class B ADRs</w:t>
            </w:r>
          </w:p>
        </w:tc>
      </w:tr>
      <w:tr>
        <w:trPr>
          <w:trHeight w:val="119"/>
        </w:trPr>
        <w:tc>
          <w:tcPr>
            <w:tcW w:w="2140" w:type="dxa"/>
            <w:vAlign w:val="bottom"/>
            <w:shd w:val="clear" w:color="auto" w:fill="D8D1C9"/>
          </w:tcPr>
          <w:p>
            <w:pPr>
              <w:spacing w:after="0"/>
              <w:rPr>
                <w:sz w:val="10"/>
                <w:szCs w:val="10"/>
                <w:color w:val="auto"/>
              </w:rPr>
            </w:pPr>
          </w:p>
        </w:tc>
        <w:tc>
          <w:tcPr>
            <w:tcW w:w="980" w:type="dxa"/>
            <w:vAlign w:val="bottom"/>
            <w:shd w:val="clear" w:color="auto" w:fill="D8D1C9"/>
          </w:tcPr>
          <w:p>
            <w:pPr>
              <w:jc w:val="right"/>
              <w:spacing w:after="0" w:line="120" w:lineRule="exact"/>
              <w:rPr>
                <w:sz w:val="20"/>
                <w:szCs w:val="20"/>
                <w:color w:val="auto"/>
              </w:rPr>
            </w:pPr>
            <w:r>
              <w:rPr>
                <w:rFonts w:ascii="Arial" w:cs="Arial" w:eastAsia="Arial" w:hAnsi="Arial"/>
                <w:sz w:val="12"/>
                <w:szCs w:val="12"/>
                <w:color w:val="auto"/>
              </w:rPr>
              <w:t>High</w:t>
            </w:r>
          </w:p>
        </w:tc>
        <w:tc>
          <w:tcPr>
            <w:tcW w:w="1660" w:type="dxa"/>
            <w:vAlign w:val="bottom"/>
            <w:shd w:val="clear" w:color="auto" w:fill="D8D1C9"/>
          </w:tcPr>
          <w:p>
            <w:pPr>
              <w:jc w:val="right"/>
              <w:ind w:right="313"/>
              <w:spacing w:after="0" w:line="120" w:lineRule="exact"/>
              <w:rPr>
                <w:sz w:val="20"/>
                <w:szCs w:val="20"/>
                <w:color w:val="auto"/>
              </w:rPr>
            </w:pPr>
            <w:r>
              <w:rPr>
                <w:rFonts w:ascii="Arial" w:cs="Arial" w:eastAsia="Arial" w:hAnsi="Arial"/>
                <w:sz w:val="12"/>
                <w:szCs w:val="12"/>
                <w:color w:val="auto"/>
              </w:rPr>
              <w:t>Low</w:t>
            </w:r>
          </w:p>
        </w:tc>
        <w:tc>
          <w:tcPr>
            <w:tcW w:w="82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High</w:t>
            </w:r>
          </w:p>
        </w:tc>
        <w:tc>
          <w:tcPr>
            <w:tcW w:w="1360" w:type="dxa"/>
            <w:vAlign w:val="bottom"/>
            <w:shd w:val="clear" w:color="auto" w:fill="D8D1C9"/>
          </w:tcPr>
          <w:p>
            <w:pPr>
              <w:jc w:val="right"/>
              <w:ind w:right="292"/>
              <w:spacing w:after="0" w:line="120" w:lineRule="exact"/>
              <w:rPr>
                <w:sz w:val="20"/>
                <w:szCs w:val="20"/>
                <w:color w:val="auto"/>
              </w:rPr>
            </w:pPr>
            <w:r>
              <w:rPr>
                <w:rFonts w:ascii="Arial" w:cs="Arial" w:eastAsia="Arial" w:hAnsi="Arial"/>
                <w:sz w:val="12"/>
                <w:szCs w:val="12"/>
                <w:color w:val="auto"/>
              </w:rPr>
              <w:t>Low</w:t>
            </w:r>
          </w:p>
        </w:tc>
        <w:tc>
          <w:tcPr>
            <w:tcW w:w="960" w:type="dxa"/>
            <w:vAlign w:val="bottom"/>
            <w:shd w:val="clear" w:color="auto" w:fill="D8D1C9"/>
          </w:tcPr>
          <w:p>
            <w:pPr>
              <w:jc w:val="right"/>
              <w:ind w:right="152"/>
              <w:spacing w:after="0" w:line="120" w:lineRule="exact"/>
              <w:rPr>
                <w:sz w:val="20"/>
                <w:szCs w:val="20"/>
                <w:color w:val="auto"/>
              </w:rPr>
            </w:pPr>
            <w:r>
              <w:rPr>
                <w:rFonts w:ascii="Arial" w:cs="Arial" w:eastAsia="Arial" w:hAnsi="Arial"/>
                <w:sz w:val="12"/>
                <w:szCs w:val="12"/>
                <w:color w:val="auto"/>
              </w:rPr>
              <w:t>High</w:t>
            </w:r>
          </w:p>
        </w:tc>
        <w:tc>
          <w:tcPr>
            <w:tcW w:w="1400" w:type="dxa"/>
            <w:vAlign w:val="bottom"/>
            <w:shd w:val="clear" w:color="auto" w:fill="D8D1C9"/>
          </w:tcPr>
          <w:p>
            <w:pPr>
              <w:jc w:val="right"/>
              <w:ind w:right="292"/>
              <w:spacing w:after="0" w:line="120" w:lineRule="exact"/>
              <w:rPr>
                <w:sz w:val="20"/>
                <w:szCs w:val="20"/>
                <w:color w:val="auto"/>
              </w:rPr>
            </w:pPr>
            <w:r>
              <w:rPr>
                <w:rFonts w:ascii="Arial" w:cs="Arial" w:eastAsia="Arial" w:hAnsi="Arial"/>
                <w:sz w:val="12"/>
                <w:szCs w:val="12"/>
                <w:color w:val="auto"/>
              </w:rPr>
              <w:t>Low</w:t>
            </w:r>
          </w:p>
        </w:tc>
        <w:tc>
          <w:tcPr>
            <w:tcW w:w="940" w:type="dxa"/>
            <w:vAlign w:val="bottom"/>
            <w:shd w:val="clear" w:color="auto" w:fill="D8D1C9"/>
          </w:tcPr>
          <w:p>
            <w:pPr>
              <w:jc w:val="right"/>
              <w:ind w:right="152"/>
              <w:spacing w:after="0" w:line="120" w:lineRule="exact"/>
              <w:rPr>
                <w:sz w:val="20"/>
                <w:szCs w:val="20"/>
                <w:color w:val="auto"/>
              </w:rPr>
            </w:pPr>
            <w:r>
              <w:rPr>
                <w:rFonts w:ascii="Arial" w:cs="Arial" w:eastAsia="Arial" w:hAnsi="Arial"/>
                <w:sz w:val="12"/>
                <w:szCs w:val="12"/>
                <w:color w:val="auto"/>
              </w:rPr>
              <w:t>High</w:t>
            </w:r>
          </w:p>
        </w:tc>
        <w:tc>
          <w:tcPr>
            <w:tcW w:w="1160" w:type="dxa"/>
            <w:vAlign w:val="bottom"/>
            <w:shd w:val="clear" w:color="auto" w:fill="D8D1C9"/>
          </w:tcPr>
          <w:p>
            <w:pPr>
              <w:jc w:val="right"/>
              <w:ind w:right="32"/>
              <w:spacing w:after="0" w:line="120" w:lineRule="exact"/>
              <w:rPr>
                <w:sz w:val="20"/>
                <w:szCs w:val="20"/>
                <w:color w:val="auto"/>
              </w:rPr>
            </w:pPr>
            <w:r>
              <w:rPr>
                <w:rFonts w:ascii="Arial" w:cs="Arial" w:eastAsia="Arial" w:hAnsi="Arial"/>
                <w:sz w:val="12"/>
                <w:szCs w:val="12"/>
                <w:color w:val="auto"/>
              </w:rPr>
              <w:t>Low</w:t>
            </w:r>
          </w:p>
        </w:tc>
      </w:tr>
      <w:tr>
        <w:trPr>
          <w:trHeight w:val="147"/>
        </w:trPr>
        <w:tc>
          <w:tcPr>
            <w:tcW w:w="2140" w:type="dxa"/>
            <w:vAlign w:val="bottom"/>
            <w:shd w:val="clear" w:color="auto" w:fill="D8D1C9"/>
          </w:tcPr>
          <w:p>
            <w:pPr>
              <w:spacing w:after="0"/>
              <w:rPr>
                <w:sz w:val="12"/>
                <w:szCs w:val="12"/>
                <w:color w:val="auto"/>
              </w:rPr>
            </w:pPr>
          </w:p>
        </w:tc>
        <w:tc>
          <w:tcPr>
            <w:tcW w:w="980" w:type="dxa"/>
            <w:vAlign w:val="bottom"/>
            <w:shd w:val="clear" w:color="auto" w:fill="D8D1C9"/>
          </w:tcPr>
          <w:p>
            <w:pPr>
              <w:jc w:val="right"/>
              <w:spacing w:after="0"/>
              <w:rPr>
                <w:sz w:val="20"/>
                <w:szCs w:val="20"/>
                <w:color w:val="auto"/>
              </w:rPr>
            </w:pPr>
            <w:r>
              <w:rPr>
                <w:rFonts w:ascii="Arial" w:cs="Arial" w:eastAsia="Arial" w:hAnsi="Arial"/>
                <w:sz w:val="12"/>
                <w:szCs w:val="12"/>
                <w:color w:val="auto"/>
              </w:rPr>
              <w:t>€</w:t>
            </w:r>
          </w:p>
        </w:tc>
        <w:tc>
          <w:tcPr>
            <w:tcW w:w="1660" w:type="dxa"/>
            <w:vAlign w:val="bottom"/>
            <w:shd w:val="clear" w:color="auto" w:fill="D8D1C9"/>
          </w:tcPr>
          <w:p>
            <w:pPr>
              <w:jc w:val="right"/>
              <w:ind w:right="313"/>
              <w:spacing w:after="0"/>
              <w:rPr>
                <w:sz w:val="20"/>
                <w:szCs w:val="20"/>
                <w:color w:val="auto"/>
              </w:rPr>
            </w:pPr>
            <w:r>
              <w:rPr>
                <w:rFonts w:ascii="Arial" w:cs="Arial" w:eastAsia="Arial" w:hAnsi="Arial"/>
                <w:sz w:val="12"/>
                <w:szCs w:val="12"/>
                <w:color w:val="auto"/>
              </w:rPr>
              <w:t>€</w:t>
            </w:r>
          </w:p>
        </w:tc>
        <w:tc>
          <w:tcPr>
            <w:tcW w:w="82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pence</w:t>
            </w:r>
          </w:p>
        </w:tc>
        <w:tc>
          <w:tcPr>
            <w:tcW w:w="1360" w:type="dxa"/>
            <w:vAlign w:val="bottom"/>
            <w:shd w:val="clear" w:color="auto" w:fill="D8D1C9"/>
          </w:tcPr>
          <w:p>
            <w:pPr>
              <w:jc w:val="right"/>
              <w:ind w:right="292"/>
              <w:spacing w:after="0"/>
              <w:rPr>
                <w:sz w:val="20"/>
                <w:szCs w:val="20"/>
                <w:color w:val="auto"/>
              </w:rPr>
            </w:pPr>
            <w:r>
              <w:rPr>
                <w:rFonts w:ascii="Arial" w:cs="Arial" w:eastAsia="Arial" w:hAnsi="Arial"/>
                <w:sz w:val="12"/>
                <w:szCs w:val="12"/>
                <w:color w:val="auto"/>
              </w:rPr>
              <w:t>pence</w:t>
            </w:r>
          </w:p>
        </w:tc>
        <w:tc>
          <w:tcPr>
            <w:tcW w:w="960" w:type="dxa"/>
            <w:vAlign w:val="bottom"/>
            <w:shd w:val="clear" w:color="auto" w:fill="D8D1C9"/>
          </w:tcPr>
          <w:p>
            <w:pPr>
              <w:jc w:val="right"/>
              <w:ind w:right="152"/>
              <w:spacing w:after="0"/>
              <w:rPr>
                <w:sz w:val="20"/>
                <w:szCs w:val="20"/>
                <w:color w:val="auto"/>
              </w:rPr>
            </w:pPr>
            <w:r>
              <w:rPr>
                <w:rFonts w:ascii="Arial" w:cs="Arial" w:eastAsia="Arial" w:hAnsi="Arial"/>
                <w:sz w:val="12"/>
                <w:szCs w:val="12"/>
                <w:color w:val="auto"/>
              </w:rPr>
              <w:t>$</w:t>
            </w:r>
          </w:p>
        </w:tc>
        <w:tc>
          <w:tcPr>
            <w:tcW w:w="1400" w:type="dxa"/>
            <w:vAlign w:val="bottom"/>
            <w:shd w:val="clear" w:color="auto" w:fill="D8D1C9"/>
          </w:tcPr>
          <w:p>
            <w:pPr>
              <w:jc w:val="right"/>
              <w:ind w:right="292"/>
              <w:spacing w:after="0"/>
              <w:rPr>
                <w:sz w:val="20"/>
                <w:szCs w:val="20"/>
                <w:color w:val="auto"/>
              </w:rPr>
            </w:pPr>
            <w:r>
              <w:rPr>
                <w:rFonts w:ascii="Arial" w:cs="Arial" w:eastAsia="Arial" w:hAnsi="Arial"/>
                <w:sz w:val="12"/>
                <w:szCs w:val="12"/>
                <w:color w:val="auto"/>
              </w:rPr>
              <w:t>$</w:t>
            </w:r>
          </w:p>
        </w:tc>
        <w:tc>
          <w:tcPr>
            <w:tcW w:w="940" w:type="dxa"/>
            <w:vAlign w:val="bottom"/>
            <w:shd w:val="clear" w:color="auto" w:fill="D8D1C9"/>
          </w:tcPr>
          <w:p>
            <w:pPr>
              <w:jc w:val="right"/>
              <w:ind w:right="152"/>
              <w:spacing w:after="0"/>
              <w:rPr>
                <w:sz w:val="20"/>
                <w:szCs w:val="20"/>
                <w:color w:val="auto"/>
              </w:rPr>
            </w:pPr>
            <w:r>
              <w:rPr>
                <w:rFonts w:ascii="Arial" w:cs="Arial" w:eastAsia="Arial" w:hAnsi="Arial"/>
                <w:sz w:val="12"/>
                <w:szCs w:val="12"/>
                <w:color w:val="auto"/>
              </w:rPr>
              <w:t>$</w:t>
            </w:r>
          </w:p>
        </w:tc>
        <w:tc>
          <w:tcPr>
            <w:tcW w:w="1160" w:type="dxa"/>
            <w:vAlign w:val="bottom"/>
            <w:shd w:val="clear" w:color="auto" w:fill="D8D1C9"/>
          </w:tcPr>
          <w:p>
            <w:pPr>
              <w:jc w:val="right"/>
              <w:ind w:right="32"/>
              <w:spacing w:after="0"/>
              <w:rPr>
                <w:sz w:val="20"/>
                <w:szCs w:val="20"/>
                <w:color w:val="auto"/>
              </w:rPr>
            </w:pPr>
            <w:r>
              <w:rPr>
                <w:rFonts w:ascii="Arial" w:cs="Arial" w:eastAsia="Arial" w:hAnsi="Arial"/>
                <w:sz w:val="12"/>
                <w:szCs w:val="12"/>
                <w:color w:val="auto"/>
              </w:rPr>
              <w:t>$</w:t>
            </w:r>
          </w:p>
        </w:tc>
      </w:tr>
      <w:tr>
        <w:trPr>
          <w:trHeight w:val="165"/>
        </w:trPr>
        <w:tc>
          <w:tcPr>
            <w:tcW w:w="2140" w:type="dxa"/>
            <w:vAlign w:val="bottom"/>
          </w:tcPr>
          <w:p>
            <w:pPr>
              <w:spacing w:after="0"/>
              <w:rPr>
                <w:sz w:val="20"/>
                <w:szCs w:val="20"/>
                <w:color w:val="auto"/>
              </w:rPr>
            </w:pPr>
            <w:r>
              <w:rPr>
                <w:rFonts w:ascii="Arial" w:cs="Arial" w:eastAsia="Arial" w:hAnsi="Arial"/>
                <w:sz w:val="14"/>
                <w:szCs w:val="14"/>
                <w:color w:val="auto"/>
              </w:rPr>
              <w:t>2007</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September</w:t>
            </w:r>
          </w:p>
        </w:tc>
        <w:tc>
          <w:tcPr>
            <w:tcW w:w="980" w:type="dxa"/>
            <w:vAlign w:val="bottom"/>
          </w:tcPr>
          <w:p>
            <w:pPr>
              <w:jc w:val="right"/>
              <w:spacing w:after="0" w:line="160" w:lineRule="exact"/>
              <w:rPr>
                <w:sz w:val="20"/>
                <w:szCs w:val="20"/>
                <w:color w:val="auto"/>
              </w:rPr>
            </w:pPr>
            <w:r>
              <w:rPr>
                <w:rFonts w:ascii="Arial" w:cs="Arial" w:eastAsia="Arial" w:hAnsi="Arial"/>
                <w:sz w:val="14"/>
                <w:szCs w:val="14"/>
                <w:color w:val="auto"/>
              </w:rPr>
              <w:t>30.16</w:t>
            </w:r>
          </w:p>
        </w:tc>
        <w:tc>
          <w:tcPr>
            <w:tcW w:w="1660" w:type="dxa"/>
            <w:vAlign w:val="bottom"/>
          </w:tcPr>
          <w:p>
            <w:pPr>
              <w:jc w:val="right"/>
              <w:ind w:right="313"/>
              <w:spacing w:after="0" w:line="160" w:lineRule="exact"/>
              <w:rPr>
                <w:sz w:val="20"/>
                <w:szCs w:val="20"/>
                <w:color w:val="auto"/>
              </w:rPr>
            </w:pPr>
            <w:r>
              <w:rPr>
                <w:rFonts w:ascii="Arial" w:cs="Arial" w:eastAsia="Arial" w:hAnsi="Arial"/>
                <w:sz w:val="14"/>
                <w:szCs w:val="14"/>
                <w:color w:val="auto"/>
              </w:rPr>
              <w:t>28.28</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2,112</w:t>
            </w:r>
          </w:p>
        </w:tc>
        <w:tc>
          <w:tcPr>
            <w:tcW w:w="136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1,921</w:t>
            </w:r>
          </w:p>
        </w:tc>
        <w:tc>
          <w:tcPr>
            <w:tcW w:w="96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84.45</w:t>
            </w:r>
          </w:p>
        </w:tc>
        <w:tc>
          <w:tcPr>
            <w:tcW w:w="14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78.37</w:t>
            </w:r>
          </w:p>
        </w:tc>
        <w:tc>
          <w:tcPr>
            <w:tcW w:w="94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84.49</w:t>
            </w:r>
          </w:p>
        </w:tc>
        <w:tc>
          <w:tcPr>
            <w:tcW w:w="11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78.60</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October</w:t>
            </w:r>
          </w:p>
        </w:tc>
        <w:tc>
          <w:tcPr>
            <w:tcW w:w="980" w:type="dxa"/>
            <w:vAlign w:val="bottom"/>
          </w:tcPr>
          <w:p>
            <w:pPr>
              <w:jc w:val="right"/>
              <w:spacing w:after="0" w:line="160" w:lineRule="exact"/>
              <w:rPr>
                <w:sz w:val="20"/>
                <w:szCs w:val="20"/>
                <w:color w:val="auto"/>
              </w:rPr>
            </w:pPr>
            <w:r>
              <w:rPr>
                <w:rFonts w:ascii="Arial" w:cs="Arial" w:eastAsia="Arial" w:hAnsi="Arial"/>
                <w:sz w:val="14"/>
                <w:szCs w:val="14"/>
                <w:color w:val="auto"/>
              </w:rPr>
              <w:t>30.74</w:t>
            </w:r>
          </w:p>
        </w:tc>
        <w:tc>
          <w:tcPr>
            <w:tcW w:w="1660" w:type="dxa"/>
            <w:vAlign w:val="bottom"/>
          </w:tcPr>
          <w:p>
            <w:pPr>
              <w:jc w:val="right"/>
              <w:ind w:right="313"/>
              <w:spacing w:after="0" w:line="160" w:lineRule="exact"/>
              <w:rPr>
                <w:sz w:val="20"/>
                <w:szCs w:val="20"/>
                <w:color w:val="auto"/>
              </w:rPr>
            </w:pPr>
            <w:r>
              <w:rPr>
                <w:rFonts w:ascii="Arial" w:cs="Arial" w:eastAsia="Arial" w:hAnsi="Arial"/>
                <w:sz w:val="14"/>
                <w:szCs w:val="14"/>
                <w:color w:val="auto"/>
              </w:rPr>
              <w:t>27.87</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2,145</w:t>
            </w:r>
          </w:p>
        </w:tc>
        <w:tc>
          <w:tcPr>
            <w:tcW w:w="136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1,932</w:t>
            </w:r>
          </w:p>
        </w:tc>
        <w:tc>
          <w:tcPr>
            <w:tcW w:w="96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88.31</w:t>
            </w:r>
          </w:p>
        </w:tc>
        <w:tc>
          <w:tcPr>
            <w:tcW w:w="14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78.96</w:t>
            </w:r>
          </w:p>
        </w:tc>
        <w:tc>
          <w:tcPr>
            <w:tcW w:w="94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87.94</w:t>
            </w:r>
          </w:p>
        </w:tc>
        <w:tc>
          <w:tcPr>
            <w:tcW w:w="11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78.68</w:t>
            </w: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November</w:t>
            </w:r>
          </w:p>
        </w:tc>
        <w:tc>
          <w:tcPr>
            <w:tcW w:w="980" w:type="dxa"/>
            <w:vAlign w:val="bottom"/>
          </w:tcPr>
          <w:p>
            <w:pPr>
              <w:jc w:val="right"/>
              <w:spacing w:after="0" w:line="160" w:lineRule="exact"/>
              <w:rPr>
                <w:sz w:val="20"/>
                <w:szCs w:val="20"/>
                <w:color w:val="auto"/>
              </w:rPr>
            </w:pPr>
            <w:r>
              <w:rPr>
                <w:rFonts w:ascii="Arial" w:cs="Arial" w:eastAsia="Arial" w:hAnsi="Arial"/>
                <w:sz w:val="14"/>
                <w:szCs w:val="14"/>
                <w:color w:val="auto"/>
              </w:rPr>
              <w:t>30.49</w:t>
            </w:r>
          </w:p>
        </w:tc>
        <w:tc>
          <w:tcPr>
            <w:tcW w:w="1660" w:type="dxa"/>
            <w:vAlign w:val="bottom"/>
          </w:tcPr>
          <w:p>
            <w:pPr>
              <w:jc w:val="right"/>
              <w:ind w:right="313"/>
              <w:spacing w:after="0" w:line="160" w:lineRule="exact"/>
              <w:rPr>
                <w:sz w:val="20"/>
                <w:szCs w:val="20"/>
                <w:color w:val="auto"/>
              </w:rPr>
            </w:pPr>
            <w:r>
              <w:rPr>
                <w:rFonts w:ascii="Arial" w:cs="Arial" w:eastAsia="Arial" w:hAnsi="Arial"/>
                <w:sz w:val="14"/>
                <w:szCs w:val="14"/>
                <w:color w:val="auto"/>
              </w:rPr>
              <w:t>26.84</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2,110</w:t>
            </w:r>
          </w:p>
        </w:tc>
        <w:tc>
          <w:tcPr>
            <w:tcW w:w="136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1,904</w:t>
            </w:r>
          </w:p>
        </w:tc>
        <w:tc>
          <w:tcPr>
            <w:tcW w:w="96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86.30</w:t>
            </w:r>
          </w:p>
        </w:tc>
        <w:tc>
          <w:tcPr>
            <w:tcW w:w="14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79.04</w:t>
            </w:r>
          </w:p>
        </w:tc>
        <w:tc>
          <w:tcPr>
            <w:tcW w:w="94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85.95</w:t>
            </w:r>
          </w:p>
        </w:tc>
        <w:tc>
          <w:tcPr>
            <w:tcW w:w="11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78.23</w:t>
            </w:r>
          </w:p>
        </w:tc>
      </w:tr>
      <w:tr>
        <w:trPr>
          <w:trHeight w:val="155"/>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December</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29.18</w:t>
            </w:r>
          </w:p>
        </w:tc>
        <w:tc>
          <w:tcPr>
            <w:tcW w:w="16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27.23</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2,115</w:t>
            </w:r>
          </w:p>
        </w:tc>
        <w:tc>
          <w:tcPr>
            <w:tcW w:w="13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1,915</w:t>
            </w:r>
          </w:p>
        </w:tc>
        <w:tc>
          <w:tcPr>
            <w:tcW w:w="9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84.99</w:t>
            </w:r>
          </w:p>
        </w:tc>
        <w:tc>
          <w:tcPr>
            <w:tcW w:w="14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79.65</w:t>
            </w:r>
          </w:p>
        </w:tc>
        <w:tc>
          <w:tcPr>
            <w:tcW w:w="9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84.34</w:t>
            </w:r>
          </w:p>
        </w:tc>
        <w:tc>
          <w:tcPr>
            <w:tcW w:w="11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78.37</w:t>
            </w:r>
          </w:p>
        </w:tc>
      </w:tr>
      <w:tr>
        <w:trPr>
          <w:trHeight w:val="171"/>
        </w:trPr>
        <w:tc>
          <w:tcPr>
            <w:tcW w:w="2140" w:type="dxa"/>
            <w:vAlign w:val="bottom"/>
          </w:tcPr>
          <w:p>
            <w:pPr>
              <w:spacing w:after="0"/>
              <w:rPr>
                <w:sz w:val="20"/>
                <w:szCs w:val="20"/>
                <w:color w:val="auto"/>
              </w:rPr>
            </w:pPr>
            <w:r>
              <w:rPr>
                <w:rFonts w:ascii="Arial" w:cs="Arial" w:eastAsia="Arial" w:hAnsi="Arial"/>
                <w:sz w:val="14"/>
                <w:szCs w:val="14"/>
                <w:color w:val="auto"/>
              </w:rPr>
              <w:t>2008</w:t>
            </w:r>
          </w:p>
        </w:tc>
        <w:tc>
          <w:tcPr>
            <w:tcW w:w="9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0"/>
        </w:trPr>
        <w:tc>
          <w:tcPr>
            <w:tcW w:w="2140" w:type="dxa"/>
            <w:vAlign w:val="bottom"/>
          </w:tcPr>
          <w:p>
            <w:pPr>
              <w:spacing w:after="0" w:line="160" w:lineRule="exact"/>
              <w:rPr>
                <w:sz w:val="20"/>
                <w:szCs w:val="20"/>
                <w:color w:val="auto"/>
              </w:rPr>
            </w:pPr>
            <w:r>
              <w:rPr>
                <w:rFonts w:ascii="Arial" w:cs="Arial" w:eastAsia="Arial" w:hAnsi="Arial"/>
                <w:sz w:val="14"/>
                <w:szCs w:val="14"/>
                <w:color w:val="auto"/>
              </w:rPr>
              <w:t>January</w:t>
            </w:r>
          </w:p>
        </w:tc>
        <w:tc>
          <w:tcPr>
            <w:tcW w:w="980" w:type="dxa"/>
            <w:vAlign w:val="bottom"/>
          </w:tcPr>
          <w:p>
            <w:pPr>
              <w:jc w:val="right"/>
              <w:spacing w:after="0" w:line="160" w:lineRule="exact"/>
              <w:rPr>
                <w:sz w:val="20"/>
                <w:szCs w:val="20"/>
                <w:color w:val="auto"/>
              </w:rPr>
            </w:pPr>
            <w:r>
              <w:rPr>
                <w:rFonts w:ascii="Arial" w:cs="Arial" w:eastAsia="Arial" w:hAnsi="Arial"/>
                <w:sz w:val="14"/>
                <w:szCs w:val="14"/>
                <w:color w:val="auto"/>
              </w:rPr>
              <w:t>29.63</w:t>
            </w:r>
          </w:p>
        </w:tc>
        <w:tc>
          <w:tcPr>
            <w:tcW w:w="1660" w:type="dxa"/>
            <w:vAlign w:val="bottom"/>
          </w:tcPr>
          <w:p>
            <w:pPr>
              <w:jc w:val="right"/>
              <w:ind w:right="313"/>
              <w:spacing w:after="0" w:line="160" w:lineRule="exact"/>
              <w:rPr>
                <w:sz w:val="20"/>
                <w:szCs w:val="20"/>
                <w:color w:val="auto"/>
              </w:rPr>
            </w:pPr>
            <w:r>
              <w:rPr>
                <w:rFonts w:ascii="Arial" w:cs="Arial" w:eastAsia="Arial" w:hAnsi="Arial"/>
                <w:sz w:val="14"/>
                <w:szCs w:val="14"/>
                <w:color w:val="auto"/>
              </w:rPr>
              <w:t>23.19</w:t>
            </w:r>
          </w:p>
        </w:tc>
        <w:tc>
          <w:tcPr>
            <w:tcW w:w="820" w:type="dxa"/>
            <w:vAlign w:val="bottom"/>
          </w:tcPr>
          <w:p>
            <w:pPr>
              <w:jc w:val="right"/>
              <w:ind w:right="32"/>
              <w:spacing w:after="0" w:line="160" w:lineRule="exact"/>
              <w:rPr>
                <w:sz w:val="20"/>
                <w:szCs w:val="20"/>
                <w:color w:val="auto"/>
              </w:rPr>
            </w:pPr>
            <w:r>
              <w:rPr>
                <w:rFonts w:ascii="Arial" w:cs="Arial" w:eastAsia="Arial" w:hAnsi="Arial"/>
                <w:sz w:val="14"/>
                <w:szCs w:val="14"/>
                <w:color w:val="auto"/>
              </w:rPr>
              <w:t>2,178</w:t>
            </w:r>
          </w:p>
        </w:tc>
        <w:tc>
          <w:tcPr>
            <w:tcW w:w="136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1,687</w:t>
            </w:r>
          </w:p>
        </w:tc>
        <w:tc>
          <w:tcPr>
            <w:tcW w:w="96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86.41</w:t>
            </w:r>
          </w:p>
        </w:tc>
        <w:tc>
          <w:tcPr>
            <w:tcW w:w="14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66.82</w:t>
            </w:r>
          </w:p>
        </w:tc>
        <w:tc>
          <w:tcPr>
            <w:tcW w:w="940" w:type="dxa"/>
            <w:vAlign w:val="bottom"/>
          </w:tcPr>
          <w:p>
            <w:pPr>
              <w:jc w:val="right"/>
              <w:ind w:right="152"/>
              <w:spacing w:after="0" w:line="160" w:lineRule="exact"/>
              <w:rPr>
                <w:sz w:val="20"/>
                <w:szCs w:val="20"/>
                <w:color w:val="auto"/>
              </w:rPr>
            </w:pPr>
            <w:r>
              <w:rPr>
                <w:rFonts w:ascii="Arial" w:cs="Arial" w:eastAsia="Arial" w:hAnsi="Arial"/>
                <w:sz w:val="14"/>
                <w:szCs w:val="14"/>
                <w:color w:val="auto"/>
              </w:rPr>
              <w:t>85.30</w:t>
            </w:r>
          </w:p>
        </w:tc>
        <w:tc>
          <w:tcPr>
            <w:tcW w:w="11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64.77</w:t>
            </w:r>
          </w:p>
        </w:tc>
      </w:tr>
      <w:tr>
        <w:trPr>
          <w:trHeight w:val="162"/>
        </w:trPr>
        <w:tc>
          <w:tcPr>
            <w:tcW w:w="2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February</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24.68</w:t>
            </w:r>
          </w:p>
        </w:tc>
        <w:tc>
          <w:tcPr>
            <w:tcW w:w="16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color w:val="auto"/>
              </w:rPr>
              <w:t>22.85</w:t>
            </w:r>
          </w:p>
        </w:tc>
        <w:tc>
          <w:tcPr>
            <w:tcW w:w="82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1,838</w:t>
            </w:r>
          </w:p>
        </w:tc>
        <w:tc>
          <w:tcPr>
            <w:tcW w:w="136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1,660</w:t>
            </w:r>
          </w:p>
        </w:tc>
        <w:tc>
          <w:tcPr>
            <w:tcW w:w="9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73.79</w:t>
            </w:r>
          </w:p>
        </w:tc>
        <w:tc>
          <w:tcPr>
            <w:tcW w:w="14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66.75</w:t>
            </w:r>
          </w:p>
        </w:tc>
        <w:tc>
          <w:tcPr>
            <w:tcW w:w="94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72.63</w:t>
            </w:r>
          </w:p>
        </w:tc>
        <w:tc>
          <w:tcPr>
            <w:tcW w:w="11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65.18</w:t>
            </w:r>
          </w:p>
        </w:tc>
      </w:tr>
    </w:tbl>
    <w:p>
      <w:pPr>
        <w:spacing w:after="0" w:line="200" w:lineRule="exact"/>
        <w:rPr>
          <w:sz w:val="20"/>
          <w:szCs w:val="20"/>
          <w:color w:val="auto"/>
        </w:rPr>
      </w:pPr>
    </w:p>
    <w:p>
      <w:pPr>
        <w:sectPr>
          <w:pgSz w:w="11900" w:h="16838" w:orient="portrait"/>
          <w:cols w:equalWidth="0" w:num="1">
            <w:col w:w="11420"/>
          </w:cols>
          <w:pgMar w:left="240" w:top="415"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ORDINARY SHARES</w:t>
      </w:r>
    </w:p>
    <w:p>
      <w:pPr>
        <w:spacing w:after="0" w:line="16"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following is a summary of the material terms of Royal Dutch Shell’s ordinary shares, including brief descriptions of the provisions contained in our Memorandum and Articles of Association and applicable laws of England in effect on the date of this document. This summary does not purport to include complete statements of these provisions.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SHARE CAPITAL</w:t>
      </w:r>
    </w:p>
    <w:p>
      <w:pPr>
        <w:spacing w:after="0" w:line="1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As of February 26, 2008, the authorised, issued and fully paid share capital of Royal Dutch Shell was as follows:</w:t>
      </w:r>
    </w:p>
    <w:p>
      <w:pPr>
        <w:spacing w:after="0" w:line="791" w:lineRule="exact"/>
        <w:rPr>
          <w:sz w:val="20"/>
          <w:szCs w:val="20"/>
          <w:color w:val="auto"/>
        </w:rPr>
      </w:pPr>
    </w:p>
    <w:p>
      <w:pPr>
        <w:sectPr>
          <w:pgSz w:w="11900" w:h="16838" w:orient="portrait"/>
          <w:cols w:equalWidth="0" w:num="2">
            <w:col w:w="5380" w:space="560"/>
            <w:col w:w="5480"/>
          </w:cols>
          <w:pgMar w:left="240" w:top="415" w:right="239" w:bottom="1440" w:gutter="0" w:footer="0" w:header="0"/>
          <w:type w:val="continuous"/>
        </w:sectPr>
      </w:pP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160" w:type="dxa"/>
            <w:vAlign w:val="bottom"/>
            <w:shd w:val="clear" w:color="auto" w:fill="009AC8"/>
          </w:tcPr>
          <w:p>
            <w:pPr>
              <w:spacing w:after="0"/>
              <w:rPr>
                <w:sz w:val="12"/>
                <w:szCs w:val="12"/>
                <w:color w:val="auto"/>
              </w:rPr>
            </w:pPr>
          </w:p>
        </w:tc>
        <w:tc>
          <w:tcPr>
            <w:tcW w:w="188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Authorised</w:t>
            </w:r>
          </w:p>
        </w:tc>
        <w:tc>
          <w:tcPr>
            <w:tcW w:w="150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Authorised</w:t>
            </w:r>
          </w:p>
        </w:tc>
        <w:tc>
          <w:tcPr>
            <w:tcW w:w="162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Issued</w:t>
            </w:r>
          </w:p>
        </w:tc>
        <w:tc>
          <w:tcPr>
            <w:tcW w:w="1260" w:type="dxa"/>
            <w:vAlign w:val="bottom"/>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Issued</w:t>
            </w:r>
          </w:p>
        </w:tc>
      </w:tr>
      <w:tr>
        <w:trPr>
          <w:trHeight w:val="153"/>
        </w:trPr>
        <w:tc>
          <w:tcPr>
            <w:tcW w:w="5160" w:type="dxa"/>
            <w:vAlign w:val="bottom"/>
            <w:shd w:val="clear" w:color="auto" w:fill="009AC8"/>
          </w:tcPr>
          <w:p>
            <w:pPr>
              <w:spacing w:after="0"/>
              <w:rPr>
                <w:sz w:val="13"/>
                <w:szCs w:val="13"/>
                <w:color w:val="auto"/>
              </w:rPr>
            </w:pPr>
          </w:p>
        </w:tc>
        <w:tc>
          <w:tcPr>
            <w:tcW w:w="188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(number)</w:t>
            </w:r>
          </w:p>
        </w:tc>
        <w:tc>
          <w:tcPr>
            <w:tcW w:w="1500" w:type="dxa"/>
            <w:vAlign w:val="bottom"/>
            <w:shd w:val="clear" w:color="auto" w:fill="009AC8"/>
          </w:tcPr>
          <w:p>
            <w:pPr>
              <w:jc w:val="right"/>
              <w:ind w:right="292"/>
              <w:spacing w:after="0"/>
              <w:rPr>
                <w:sz w:val="20"/>
                <w:szCs w:val="20"/>
                <w:color w:val="auto"/>
              </w:rPr>
            </w:pPr>
            <w:r>
              <w:rPr>
                <w:rFonts w:ascii="Arial" w:cs="Arial" w:eastAsia="Arial" w:hAnsi="Arial"/>
                <w:sz w:val="12"/>
                <w:szCs w:val="12"/>
                <w:b w:val="1"/>
                <w:bCs w:val="1"/>
                <w:color w:val="FFFFFF"/>
              </w:rPr>
              <w:t>(amount)</w:t>
            </w:r>
          </w:p>
        </w:tc>
        <w:tc>
          <w:tcPr>
            <w:tcW w:w="1620" w:type="dxa"/>
            <w:vAlign w:val="bottom"/>
            <w:shd w:val="clear" w:color="auto" w:fill="009AC8"/>
          </w:tcPr>
          <w:p>
            <w:pPr>
              <w:jc w:val="right"/>
              <w:ind w:right="272"/>
              <w:spacing w:after="0"/>
              <w:rPr>
                <w:sz w:val="20"/>
                <w:szCs w:val="20"/>
                <w:color w:val="auto"/>
              </w:rPr>
            </w:pPr>
            <w:r>
              <w:rPr>
                <w:rFonts w:ascii="Arial" w:cs="Arial" w:eastAsia="Arial" w:hAnsi="Arial"/>
                <w:sz w:val="12"/>
                <w:szCs w:val="12"/>
                <w:b w:val="1"/>
                <w:bCs w:val="1"/>
                <w:color w:val="FFFFFF"/>
              </w:rPr>
              <w:t>(number)</w:t>
            </w:r>
          </w:p>
        </w:tc>
        <w:tc>
          <w:tcPr>
            <w:tcW w:w="1260" w:type="dxa"/>
            <w:vAlign w:val="bottom"/>
            <w:shd w:val="clear" w:color="auto" w:fill="009AC8"/>
          </w:tcPr>
          <w:p>
            <w:pPr>
              <w:jc w:val="right"/>
              <w:ind w:right="32"/>
              <w:spacing w:after="0"/>
              <w:rPr>
                <w:sz w:val="20"/>
                <w:szCs w:val="20"/>
                <w:color w:val="auto"/>
              </w:rPr>
            </w:pPr>
            <w:r>
              <w:rPr>
                <w:rFonts w:ascii="Arial" w:cs="Arial" w:eastAsia="Arial" w:hAnsi="Arial"/>
                <w:sz w:val="12"/>
                <w:szCs w:val="12"/>
                <w:b w:val="1"/>
                <w:bCs w:val="1"/>
                <w:color w:val="FFFFFF"/>
              </w:rPr>
              <w:t>(amount)</w:t>
            </w:r>
          </w:p>
        </w:tc>
      </w:tr>
      <w:tr>
        <w:trPr>
          <w:trHeight w:val="165"/>
        </w:trPr>
        <w:tc>
          <w:tcPr>
            <w:tcW w:w="5160" w:type="dxa"/>
            <w:vAlign w:val="bottom"/>
          </w:tcPr>
          <w:p>
            <w:pPr>
              <w:spacing w:after="0"/>
              <w:rPr>
                <w:sz w:val="20"/>
                <w:szCs w:val="20"/>
                <w:color w:val="auto"/>
              </w:rPr>
            </w:pPr>
            <w:r>
              <w:rPr>
                <w:rFonts w:ascii="Arial" w:cs="Arial" w:eastAsia="Arial" w:hAnsi="Arial"/>
                <w:sz w:val="14"/>
                <w:szCs w:val="14"/>
                <w:color w:val="auto"/>
              </w:rPr>
              <w:t>Class A ordinary shares of €0.07 each</w:t>
            </w:r>
          </w:p>
        </w:tc>
        <w:tc>
          <w:tcPr>
            <w:tcW w:w="1880" w:type="dxa"/>
            <w:vAlign w:val="bottom"/>
          </w:tcPr>
          <w:p>
            <w:pPr>
              <w:jc w:val="right"/>
              <w:ind w:right="292"/>
              <w:spacing w:after="0"/>
              <w:rPr>
                <w:sz w:val="20"/>
                <w:szCs w:val="20"/>
                <w:color w:val="auto"/>
              </w:rPr>
            </w:pPr>
            <w:r>
              <w:rPr>
                <w:rFonts w:ascii="Arial" w:cs="Arial" w:eastAsia="Arial" w:hAnsi="Arial"/>
                <w:sz w:val="14"/>
                <w:szCs w:val="14"/>
                <w:color w:val="auto"/>
              </w:rPr>
              <w:t>4,077,359,886</w:t>
            </w:r>
          </w:p>
        </w:tc>
        <w:tc>
          <w:tcPr>
            <w:tcW w:w="1500" w:type="dxa"/>
            <w:vAlign w:val="bottom"/>
          </w:tcPr>
          <w:p>
            <w:pPr>
              <w:jc w:val="right"/>
              <w:ind w:right="292"/>
              <w:spacing w:after="0"/>
              <w:rPr>
                <w:sz w:val="20"/>
                <w:szCs w:val="20"/>
                <w:color w:val="auto"/>
              </w:rPr>
            </w:pPr>
            <w:r>
              <w:rPr>
                <w:rFonts w:ascii="Arial" w:cs="Arial" w:eastAsia="Arial" w:hAnsi="Arial"/>
                <w:sz w:val="14"/>
                <w:szCs w:val="14"/>
                <w:color w:val="auto"/>
              </w:rPr>
              <w:t>285,415,192</w:t>
            </w:r>
          </w:p>
        </w:tc>
        <w:tc>
          <w:tcPr>
            <w:tcW w:w="1620" w:type="dxa"/>
            <w:vAlign w:val="bottom"/>
          </w:tcPr>
          <w:p>
            <w:pPr>
              <w:jc w:val="right"/>
              <w:ind w:right="292"/>
              <w:spacing w:after="0"/>
              <w:rPr>
                <w:sz w:val="20"/>
                <w:szCs w:val="20"/>
                <w:color w:val="auto"/>
              </w:rPr>
            </w:pPr>
            <w:r>
              <w:rPr>
                <w:rFonts w:ascii="Arial" w:cs="Arial" w:eastAsia="Arial" w:hAnsi="Arial"/>
                <w:sz w:val="14"/>
                <w:szCs w:val="14"/>
                <w:color w:val="auto"/>
              </w:rPr>
              <w:t>3,562,225,000</w:t>
            </w:r>
          </w:p>
        </w:tc>
        <w:tc>
          <w:tcPr>
            <w:tcW w:w="1260" w:type="dxa"/>
            <w:vAlign w:val="bottom"/>
          </w:tcPr>
          <w:p>
            <w:pPr>
              <w:jc w:val="right"/>
              <w:ind w:right="32"/>
              <w:spacing w:after="0"/>
              <w:rPr>
                <w:sz w:val="20"/>
                <w:szCs w:val="20"/>
                <w:color w:val="auto"/>
              </w:rPr>
            </w:pPr>
            <w:r>
              <w:rPr>
                <w:rFonts w:ascii="Arial" w:cs="Arial" w:eastAsia="Arial" w:hAnsi="Arial"/>
                <w:sz w:val="14"/>
                <w:szCs w:val="14"/>
                <w:color w:val="auto"/>
              </w:rPr>
              <w:t>249,355,750</w:t>
            </w:r>
          </w:p>
        </w:tc>
      </w:tr>
      <w:tr>
        <w:trPr>
          <w:trHeight w:val="160"/>
        </w:trPr>
        <w:tc>
          <w:tcPr>
            <w:tcW w:w="5160" w:type="dxa"/>
            <w:vAlign w:val="bottom"/>
          </w:tcPr>
          <w:p>
            <w:pPr>
              <w:spacing w:after="0" w:line="160" w:lineRule="exact"/>
              <w:rPr>
                <w:sz w:val="20"/>
                <w:szCs w:val="20"/>
                <w:color w:val="auto"/>
              </w:rPr>
            </w:pPr>
            <w:r>
              <w:rPr>
                <w:rFonts w:ascii="Arial" w:cs="Arial" w:eastAsia="Arial" w:hAnsi="Arial"/>
                <w:sz w:val="14"/>
                <w:szCs w:val="14"/>
                <w:color w:val="auto"/>
              </w:rPr>
              <w:t>Class B ordinary shares of €0.07 each</w:t>
            </w:r>
          </w:p>
        </w:tc>
        <w:tc>
          <w:tcPr>
            <w:tcW w:w="188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2,759,360,000</w:t>
            </w:r>
          </w:p>
        </w:tc>
        <w:tc>
          <w:tcPr>
            <w:tcW w:w="15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193,155,200</w:t>
            </w:r>
          </w:p>
        </w:tc>
        <w:tc>
          <w:tcPr>
            <w:tcW w:w="162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2,759,360,000</w:t>
            </w:r>
          </w:p>
        </w:tc>
        <w:tc>
          <w:tcPr>
            <w:tcW w:w="12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193,155,200</w:t>
            </w:r>
          </w:p>
        </w:tc>
      </w:tr>
      <w:tr>
        <w:trPr>
          <w:trHeight w:val="160"/>
        </w:trPr>
        <w:tc>
          <w:tcPr>
            <w:tcW w:w="5160" w:type="dxa"/>
            <w:vAlign w:val="bottom"/>
          </w:tcPr>
          <w:p>
            <w:pPr>
              <w:spacing w:after="0" w:line="160" w:lineRule="exact"/>
              <w:rPr>
                <w:sz w:val="20"/>
                <w:szCs w:val="20"/>
                <w:color w:val="auto"/>
              </w:rPr>
            </w:pPr>
            <w:r>
              <w:rPr>
                <w:rFonts w:ascii="Arial" w:cs="Arial" w:eastAsia="Arial" w:hAnsi="Arial"/>
                <w:sz w:val="14"/>
                <w:szCs w:val="14"/>
                <w:color w:val="auto"/>
              </w:rPr>
              <w:t>Sterling deferred shares of £1 each</w:t>
            </w:r>
          </w:p>
        </w:tc>
        <w:tc>
          <w:tcPr>
            <w:tcW w:w="188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50,000</w:t>
            </w:r>
          </w:p>
        </w:tc>
        <w:tc>
          <w:tcPr>
            <w:tcW w:w="15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50,000</w:t>
            </w:r>
          </w:p>
        </w:tc>
        <w:tc>
          <w:tcPr>
            <w:tcW w:w="1620" w:type="dxa"/>
            <w:vAlign w:val="bottom"/>
          </w:tcPr>
          <w:p>
            <w:pPr>
              <w:jc w:val="right"/>
              <w:ind w:right="272"/>
              <w:spacing w:after="0" w:line="160" w:lineRule="exact"/>
              <w:rPr>
                <w:sz w:val="20"/>
                <w:szCs w:val="20"/>
                <w:color w:val="auto"/>
              </w:rPr>
            </w:pPr>
            <w:r>
              <w:rPr>
                <w:rFonts w:ascii="Arial" w:cs="Arial" w:eastAsia="Arial" w:hAnsi="Arial"/>
                <w:sz w:val="14"/>
                <w:szCs w:val="14"/>
                <w:color w:val="auto"/>
              </w:rPr>
              <w:t>50,000</w:t>
            </w:r>
          </w:p>
        </w:tc>
        <w:tc>
          <w:tcPr>
            <w:tcW w:w="12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50,000</w:t>
            </w:r>
          </w:p>
        </w:tc>
      </w:tr>
      <w:tr>
        <w:trPr>
          <w:trHeight w:val="160"/>
        </w:trPr>
        <w:tc>
          <w:tcPr>
            <w:tcW w:w="5160" w:type="dxa"/>
            <w:vAlign w:val="bottom"/>
          </w:tcPr>
          <w:p>
            <w:pPr>
              <w:spacing w:after="0" w:line="160" w:lineRule="exact"/>
              <w:rPr>
                <w:sz w:val="20"/>
                <w:szCs w:val="20"/>
                <w:color w:val="auto"/>
              </w:rPr>
            </w:pPr>
            <w:r>
              <w:rPr>
                <w:rFonts w:ascii="Arial" w:cs="Arial" w:eastAsia="Arial" w:hAnsi="Arial"/>
                <w:sz w:val="14"/>
                <w:szCs w:val="14"/>
                <w:color w:val="auto"/>
              </w:rPr>
              <w:t>Euro deferred shares of €0.07 each</w:t>
            </w:r>
          </w:p>
        </w:tc>
        <w:tc>
          <w:tcPr>
            <w:tcW w:w="188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62,280,114</w:t>
            </w:r>
          </w:p>
        </w:tc>
        <w:tc>
          <w:tcPr>
            <w:tcW w:w="150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4,359,608</w:t>
            </w:r>
          </w:p>
        </w:tc>
        <w:tc>
          <w:tcPr>
            <w:tcW w:w="1620" w:type="dxa"/>
            <w:vAlign w:val="bottom"/>
          </w:tcPr>
          <w:p>
            <w:pPr>
              <w:jc w:val="right"/>
              <w:ind w:right="292"/>
              <w:spacing w:after="0" w:line="160" w:lineRule="exact"/>
              <w:rPr>
                <w:sz w:val="20"/>
                <w:szCs w:val="20"/>
                <w:color w:val="auto"/>
              </w:rPr>
            </w:pPr>
            <w:r>
              <w:rPr>
                <w:rFonts w:ascii="Arial" w:cs="Arial" w:eastAsia="Arial" w:hAnsi="Arial"/>
                <w:sz w:val="14"/>
                <w:szCs w:val="14"/>
                <w:color w:val="auto"/>
              </w:rPr>
              <w:t>Nil</w:t>
            </w:r>
          </w:p>
        </w:tc>
        <w:tc>
          <w:tcPr>
            <w:tcW w:w="1260" w:type="dxa"/>
            <w:vAlign w:val="bottom"/>
          </w:tcPr>
          <w:p>
            <w:pPr>
              <w:jc w:val="right"/>
              <w:ind w:right="32"/>
              <w:spacing w:after="0" w:line="160" w:lineRule="exact"/>
              <w:rPr>
                <w:sz w:val="20"/>
                <w:szCs w:val="20"/>
                <w:color w:val="auto"/>
              </w:rPr>
            </w:pPr>
            <w:r>
              <w:rPr>
                <w:rFonts w:ascii="Arial" w:cs="Arial" w:eastAsia="Arial" w:hAnsi="Arial"/>
                <w:sz w:val="14"/>
                <w:szCs w:val="14"/>
                <w:color w:val="auto"/>
              </w:rPr>
              <w:t>Nil</w:t>
            </w:r>
          </w:p>
        </w:tc>
      </w:tr>
      <w:tr>
        <w:trPr>
          <w:trHeight w:val="155"/>
        </w:trPr>
        <w:tc>
          <w:tcPr>
            <w:tcW w:w="5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Unclassified shares of €0.07 each</w:t>
            </w:r>
          </w:p>
        </w:tc>
        <w:tc>
          <w:tcPr>
            <w:tcW w:w="1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3,101,000,000</w:t>
            </w:r>
          </w:p>
        </w:tc>
        <w:tc>
          <w:tcPr>
            <w:tcW w:w="15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217,070,000</w:t>
            </w:r>
          </w:p>
        </w:tc>
        <w:tc>
          <w:tcPr>
            <w:tcW w:w="162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color w:val="auto"/>
              </w:rPr>
              <w:t>Nil</w:t>
            </w:r>
          </w:p>
        </w:tc>
        <w:tc>
          <w:tcPr>
            <w:tcW w:w="126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Nil</w:t>
            </w:r>
          </w:p>
        </w:tc>
      </w:tr>
    </w:tbl>
    <w:p>
      <w:pPr>
        <w:spacing w:after="0" w:line="200" w:lineRule="exact"/>
        <w:rPr>
          <w:sz w:val="20"/>
          <w:szCs w:val="20"/>
          <w:color w:val="auto"/>
        </w:rPr>
      </w:pPr>
    </w:p>
    <w:p>
      <w:pPr>
        <w:sectPr>
          <w:pgSz w:w="11900" w:h="16838" w:orient="portrait"/>
          <w:cols w:equalWidth="0" w:num="1">
            <w:col w:w="11420"/>
          </w:cols>
          <w:pgMar w:left="240" w:top="415" w:right="239" w:bottom="1440" w:gutter="0" w:footer="0" w:header="0"/>
          <w:type w:val="continuous"/>
        </w:sectPr>
      </w:pPr>
    </w:p>
    <w:p>
      <w:pPr>
        <w:spacing w:after="0" w:line="123" w:lineRule="exact"/>
        <w:rPr>
          <w:sz w:val="20"/>
          <w:szCs w:val="20"/>
          <w:color w:val="auto"/>
        </w:rPr>
      </w:pPr>
    </w:p>
    <w:p>
      <w:pPr>
        <w:jc w:val="both"/>
        <w:ind w:right="140"/>
        <w:spacing w:after="0" w:line="300" w:lineRule="auto"/>
        <w:rPr>
          <w:sz w:val="20"/>
          <w:szCs w:val="20"/>
          <w:color w:val="auto"/>
        </w:rPr>
      </w:pPr>
      <w:r>
        <w:rPr>
          <w:rFonts w:ascii="Arial" w:cs="Arial" w:eastAsia="Arial" w:hAnsi="Arial"/>
          <w:sz w:val="15"/>
          <w:szCs w:val="15"/>
          <w:color w:val="auto"/>
        </w:rPr>
        <w:t>On February 26, 2008, trusts and trust-like entities holding shares for the benefit of employee plans of Shell held 131 million shares of Royal Dutch Shell with a book amount of $9.15 million and a face amount of $4,773 million.</w:t>
      </w:r>
    </w:p>
    <w:p>
      <w:pPr>
        <w:spacing w:after="0" w:line="5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unclassified shares can be issued as Class A ordinary shares or Class B ordinary shares at the discretion of the Board of Directors.</w:t>
      </w:r>
    </w:p>
    <w:p>
      <w:pPr>
        <w:spacing w:after="0" w:line="66"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All Class A ordinary shares and Class B ordinary shares will be fully paid and free from all liens, equities, charges, encumbrances and other interest and not subject to calls of any kind. All Class A ordinary shares and Class B ordinary shares will rank equally for all dividends and distributions on our ordinary share capital declared. Our Class A ordinary shares and Class B ordinary shares are admitted to the Official List of the UK Listing Authority and to trading on the market for listed securities of the London Stock Exchange. Our Class A ordinary shares and Class B ordinary shares are also admitted to listing on Eurolist by Euronext Amsterdam. Class A ADRs and Class B ADRs are listed at the New York Stock Exchange.</w:t>
      </w:r>
    </w:p>
    <w:p>
      <w:pPr>
        <w:spacing w:after="0" w:line="74"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of February 26, 2008, the authorised share capital consisted of (i) 50,000 sterling deferred shares of £1 each and (ii) €700,000,000 divided into 4,077,359,886 Class A ordinary shares, 2,759,360,000 Class B ordinary shares, 62,280,114 euro deferred shares, 3,101,000,000 unclassified shares of €0.07 each to be classified as Class A ordinary shares or Class B ordinary shares upon issue at the discretion of our Directors. As of February 26, 2008, the issued share capital consisted of 50,000 sterling deferred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shares of £1 each and 3,562,225,000 Class A ordinary shares of €0.07 each and 2,759,360,000 Class B ordinary shares of €0.07 each. All Class A and Class B ordinary shares and sterling deferred shares are fully paid and not subject to calls for additional payments of any kind.</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MEMORANDUM AND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4759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15" w:lineRule="exact"/>
        <w:rPr>
          <w:sz w:val="20"/>
          <w:szCs w:val="20"/>
          <w:color w:val="auto"/>
        </w:rPr>
      </w:pPr>
    </w:p>
    <w:p>
      <w:pPr>
        <w:ind w:right="120"/>
        <w:spacing w:after="0" w:line="319" w:lineRule="auto"/>
        <w:rPr>
          <w:sz w:val="20"/>
          <w:szCs w:val="20"/>
          <w:color w:val="auto"/>
        </w:rPr>
      </w:pPr>
      <w:r>
        <w:rPr>
          <w:rFonts w:ascii="Arial" w:cs="Arial" w:eastAsia="Arial" w:hAnsi="Arial"/>
          <w:sz w:val="14"/>
          <w:szCs w:val="14"/>
          <w:color w:val="auto"/>
        </w:rPr>
        <w:t>The following summarises certain provisions of Royal Dutch Shell’s Memorandum and Articles of Association and of the applicable laws of England and Wales. This summary is qualified in its entirety by reference to the UK Companies Acts of 1985 and 2006 and Royal Dutch Shell’s Memorandum and Articles of Association.</w:t>
      </w:r>
    </w:p>
    <w:p>
      <w:pPr>
        <w:spacing w:after="0" w:line="5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Copies of Royal Dutch Shell’s Memorandum and Articles of Association have been previously filed with the SEC and are incorporated by reference as exhibits to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0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Royal Dutch Shell was incorporated in England and Wales on February 5, 2002, as a private company under the Companies Act of England and Wales 1985, as amended. On October 27, 2004, Royal Dutch Shell was re-registered as a public company limited by shares and changed its name from Forthdeal Limited to Royal Dutch Shell. Royal Dutch Shell is registered at Companies House, Cardiff under company number 4366849, and the Chamber of Commerce, The Hague under number 34179503.</w:t>
      </w:r>
    </w:p>
    <w:p>
      <w:pPr>
        <w:spacing w:after="0" w:line="200" w:lineRule="exact"/>
        <w:rPr>
          <w:sz w:val="20"/>
          <w:szCs w:val="20"/>
          <w:color w:val="auto"/>
        </w:rPr>
      </w:pPr>
    </w:p>
    <w:p>
      <w:pPr>
        <w:sectPr>
          <w:pgSz w:w="11900" w:h="16838" w:orient="portrait"/>
          <w:cols w:equalWidth="0" w:num="2">
            <w:col w:w="5460" w:space="480"/>
            <w:col w:w="548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hanging="333"/>
        <w:spacing w:after="0"/>
        <w:tabs>
          <w:tab w:leader="none" w:pos="340" w:val="left"/>
        </w:tabs>
        <w:numPr>
          <w:ilvl w:val="0"/>
          <w:numId w:val="155"/>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52970" cy="209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color w:val="auto"/>
        </w:rPr>
        <w:t>Royal Dutch Shell’s registered office is at:</w:t>
      </w:r>
    </w:p>
    <w:p>
      <w:pPr>
        <w:spacing w:after="0" w:line="218" w:lineRule="auto"/>
        <w:rPr>
          <w:sz w:val="20"/>
          <w:szCs w:val="20"/>
          <w:color w:val="auto"/>
        </w:rPr>
      </w:pPr>
      <w:r>
        <w:rPr>
          <w:rFonts w:ascii="Arial" w:cs="Arial" w:eastAsia="Arial" w:hAnsi="Arial"/>
          <w:sz w:val="14"/>
          <w:szCs w:val="14"/>
          <w:color w:val="auto"/>
        </w:rPr>
        <w:t>Shell Centre</w:t>
      </w:r>
    </w:p>
    <w:p>
      <w:pPr>
        <w:spacing w:after="0" w:line="218" w:lineRule="auto"/>
        <w:rPr>
          <w:sz w:val="20"/>
          <w:szCs w:val="20"/>
          <w:color w:val="auto"/>
        </w:rPr>
      </w:pPr>
      <w:r>
        <w:rPr>
          <w:rFonts w:ascii="Arial" w:cs="Arial" w:eastAsia="Arial" w:hAnsi="Arial"/>
          <w:sz w:val="14"/>
          <w:szCs w:val="14"/>
          <w:color w:val="auto"/>
        </w:rPr>
        <w:t>London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SE1 7NA, United Kingdom</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Royal Dutch Shell’s headquarters are at:</w:t>
      </w:r>
    </w:p>
    <w:p>
      <w:pPr>
        <w:spacing w:after="0" w:line="218" w:lineRule="auto"/>
        <w:rPr>
          <w:sz w:val="20"/>
          <w:szCs w:val="20"/>
          <w:color w:val="auto"/>
        </w:rPr>
      </w:pPr>
      <w:r>
        <w:rPr>
          <w:rFonts w:ascii="Arial" w:cs="Arial" w:eastAsia="Arial" w:hAnsi="Arial"/>
          <w:sz w:val="14"/>
          <w:szCs w:val="14"/>
          <w:color w:val="auto"/>
        </w:rPr>
        <w:t>Carel van Bylandtlaan 30</w:t>
      </w:r>
    </w:p>
    <w:p>
      <w:pPr>
        <w:spacing w:after="0" w:line="218" w:lineRule="auto"/>
        <w:rPr>
          <w:sz w:val="20"/>
          <w:szCs w:val="20"/>
          <w:color w:val="auto"/>
        </w:rPr>
      </w:pPr>
      <w:r>
        <w:rPr>
          <w:rFonts w:ascii="Arial" w:cs="Arial" w:eastAsia="Arial" w:hAnsi="Arial"/>
          <w:sz w:val="14"/>
          <w:szCs w:val="14"/>
          <w:color w:val="auto"/>
        </w:rPr>
        <w:t>2596 HR The Hague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Netherlands</w:t>
      </w:r>
    </w:p>
    <w:p>
      <w:pPr>
        <w:spacing w:after="0" w:line="80"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auto"/>
        </w:rPr>
        <w:t>Royal Dutch Shell is resident in the Netherlands for Dutch and UK tax purposes. Royal Dutch Shell’s Memorandum of Association provides that its primary objective is to carry on the business of a holding company.</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226" w:lineRule="auto"/>
        <w:rPr>
          <w:sz w:val="20"/>
          <w:szCs w:val="20"/>
          <w:color w:val="auto"/>
        </w:rPr>
      </w:pPr>
      <w:r>
        <w:rPr>
          <w:rFonts w:ascii="Arial" w:cs="Arial" w:eastAsia="Arial" w:hAnsi="Arial"/>
          <w:sz w:val="14"/>
          <w:szCs w:val="14"/>
          <w:color w:val="auto"/>
        </w:rPr>
        <w:t>Under Royal Dutch Shell’s Articles of Association:</w:t>
      </w:r>
    </w:p>
    <w:p>
      <w:pPr>
        <w:ind w:left="200" w:right="20" w:hanging="193"/>
        <w:spacing w:after="0" w:line="254" w:lineRule="auto"/>
        <w:tabs>
          <w:tab w:leader="none" w:pos="200" w:val="left"/>
        </w:tabs>
        <w:numPr>
          <w:ilvl w:val="0"/>
          <w:numId w:val="156"/>
        </w:numPr>
        <w:rPr>
          <w:rFonts w:ascii="Arial" w:cs="Arial" w:eastAsia="Arial" w:hAnsi="Arial"/>
          <w:sz w:val="12"/>
          <w:szCs w:val="12"/>
          <w:b w:val="1"/>
          <w:bCs w:val="1"/>
          <w:color w:val="auto"/>
        </w:rPr>
      </w:pPr>
      <w:r>
        <w:rPr>
          <w:rFonts w:ascii="Arial" w:cs="Arial" w:eastAsia="Arial" w:hAnsi="Arial"/>
          <w:sz w:val="12"/>
          <w:szCs w:val="12"/>
          <w:color w:val="auto"/>
        </w:rPr>
        <w:t>a Director may not vote or be counted in the quorum in respect of any matter in which he is materially interested including any matter related to his own compensation;</w:t>
      </w:r>
    </w:p>
    <w:p>
      <w:pPr>
        <w:ind w:left="200" w:hanging="193"/>
        <w:spacing w:after="0" w:line="218" w:lineRule="auto"/>
        <w:tabs>
          <w:tab w:leader="none" w:pos="200" w:val="left"/>
        </w:tabs>
        <w:numPr>
          <w:ilvl w:val="0"/>
          <w:numId w:val="156"/>
        </w:numPr>
        <w:rPr>
          <w:rFonts w:ascii="Arial" w:cs="Arial" w:eastAsia="Arial" w:hAnsi="Arial"/>
          <w:sz w:val="14"/>
          <w:szCs w:val="14"/>
          <w:b w:val="1"/>
          <w:bCs w:val="1"/>
          <w:color w:val="auto"/>
        </w:rPr>
      </w:pPr>
      <w:r>
        <w:rPr>
          <w:rFonts w:ascii="Arial" w:cs="Arial" w:eastAsia="Arial" w:hAnsi="Arial"/>
          <w:sz w:val="14"/>
          <w:szCs w:val="14"/>
          <w:color w:val="auto"/>
        </w:rPr>
        <w:t>the Directors may exercise Royal Dutch Shell’s power to borrow money provided that the borrowings of Shell shall not, without the consent of an ordinary resolution of shareholders of Royal Dutch Shell, exceed two times Royal Dutch Shell’s adjusted capital and reserves (these powers relating to borrowing may only be varied by special resolution of shareholders);</w:t>
      </w:r>
    </w:p>
    <w:p>
      <w:pPr>
        <w:spacing w:after="0" w:line="1" w:lineRule="exact"/>
        <w:rPr>
          <w:rFonts w:ascii="Arial" w:cs="Arial" w:eastAsia="Arial" w:hAnsi="Arial"/>
          <w:sz w:val="14"/>
          <w:szCs w:val="14"/>
          <w:b w:val="1"/>
          <w:bCs w:val="1"/>
          <w:color w:val="auto"/>
        </w:rPr>
      </w:pPr>
    </w:p>
    <w:p>
      <w:pPr>
        <w:ind w:left="200" w:right="40" w:hanging="193"/>
        <w:spacing w:after="0" w:line="218" w:lineRule="auto"/>
        <w:tabs>
          <w:tab w:leader="none" w:pos="200" w:val="left"/>
        </w:tabs>
        <w:numPr>
          <w:ilvl w:val="0"/>
          <w:numId w:val="156"/>
        </w:numPr>
        <w:rPr>
          <w:rFonts w:ascii="Arial" w:cs="Arial" w:eastAsia="Arial" w:hAnsi="Arial"/>
          <w:sz w:val="14"/>
          <w:szCs w:val="14"/>
          <w:b w:val="1"/>
          <w:bCs w:val="1"/>
          <w:color w:val="auto"/>
        </w:rPr>
      </w:pPr>
      <w:r>
        <w:rPr>
          <w:rFonts w:ascii="Arial" w:cs="Arial" w:eastAsia="Arial" w:hAnsi="Arial"/>
          <w:sz w:val="14"/>
          <w:szCs w:val="14"/>
          <w:color w:val="auto"/>
        </w:rPr>
        <w:t>Directors are not required to hold shares of Royal Dutch Shell to qualify as a director; and</w:t>
      </w:r>
    </w:p>
    <w:p>
      <w:pPr>
        <w:ind w:left="200" w:right="220" w:hanging="193"/>
        <w:spacing w:after="0" w:line="234" w:lineRule="auto"/>
        <w:tabs>
          <w:tab w:leader="none" w:pos="200" w:val="left"/>
        </w:tabs>
        <w:numPr>
          <w:ilvl w:val="0"/>
          <w:numId w:val="156"/>
        </w:numPr>
        <w:rPr>
          <w:rFonts w:ascii="Arial" w:cs="Arial" w:eastAsia="Arial" w:hAnsi="Arial"/>
          <w:sz w:val="14"/>
          <w:szCs w:val="14"/>
          <w:b w:val="1"/>
          <w:bCs w:val="1"/>
          <w:color w:val="auto"/>
        </w:rPr>
      </w:pPr>
      <w:r>
        <w:rPr>
          <w:rFonts w:ascii="Arial" w:cs="Arial" w:eastAsia="Arial" w:hAnsi="Arial"/>
          <w:sz w:val="14"/>
          <w:szCs w:val="14"/>
          <w:color w:val="auto"/>
        </w:rPr>
        <w:t>Directors are appointed in accordance with the Articles of Association and need to stand for re-election at least every third annual general meeting.</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The Executive and Non-executive Directors of Royal Dutch Shell plc are:</w:t>
      </w:r>
    </w:p>
    <w:p>
      <w:pPr>
        <w:spacing w:after="0" w:line="218" w:lineRule="auto"/>
        <w:rPr>
          <w:sz w:val="20"/>
          <w:szCs w:val="20"/>
          <w:color w:val="auto"/>
        </w:rPr>
      </w:pPr>
      <w:r>
        <w:rPr>
          <w:rFonts w:ascii="Arial" w:cs="Arial" w:eastAsia="Arial" w:hAnsi="Arial"/>
          <w:sz w:val="14"/>
          <w:szCs w:val="14"/>
          <w:color w:val="auto"/>
        </w:rPr>
        <w:t xml:space="preserve">Jorma Ollila, </w:t>
      </w:r>
      <w:r>
        <w:rPr>
          <w:rFonts w:ascii="Arial" w:cs="Arial" w:eastAsia="Arial" w:hAnsi="Arial"/>
          <w:sz w:val="14"/>
          <w:szCs w:val="14"/>
          <w:i w:val="1"/>
          <w:iCs w:val="1"/>
          <w:color w:val="auto"/>
        </w:rPr>
        <w:t>Chairman</w:t>
      </w:r>
    </w:p>
    <w:p>
      <w:pPr>
        <w:ind w:left="220" w:right="1900" w:hanging="212"/>
        <w:spacing w:after="0" w:line="218" w:lineRule="auto"/>
        <w:rPr>
          <w:sz w:val="20"/>
          <w:szCs w:val="20"/>
          <w:color w:val="auto"/>
        </w:rPr>
      </w:pPr>
      <w:r>
        <w:rPr>
          <w:rFonts w:ascii="Arial" w:cs="Arial" w:eastAsia="Arial" w:hAnsi="Arial"/>
          <w:sz w:val="14"/>
          <w:szCs w:val="14"/>
          <w:color w:val="auto"/>
        </w:rPr>
        <w:t xml:space="preserve">Lord Kerr of Kinlochard GCMG, </w:t>
      </w:r>
      <w:r>
        <w:rPr>
          <w:rFonts w:ascii="Arial" w:cs="Arial" w:eastAsia="Arial" w:hAnsi="Arial"/>
          <w:sz w:val="14"/>
          <w:szCs w:val="14"/>
          <w:i w:val="1"/>
          <w:iCs w:val="1"/>
          <w:color w:val="auto"/>
        </w:rPr>
        <w:t>Deputy Chairman and</w:t>
      </w:r>
      <w:r>
        <w:rPr>
          <w:rFonts w:ascii="Arial" w:cs="Arial" w:eastAsia="Arial" w:hAnsi="Arial"/>
          <w:sz w:val="14"/>
          <w:szCs w:val="14"/>
          <w:color w:val="auto"/>
        </w:rPr>
        <w:t xml:space="preserve"> </w:t>
      </w:r>
      <w:r>
        <w:rPr>
          <w:rFonts w:ascii="Arial" w:cs="Arial" w:eastAsia="Arial" w:hAnsi="Arial"/>
          <w:sz w:val="14"/>
          <w:szCs w:val="14"/>
          <w:i w:val="1"/>
          <w:iCs w:val="1"/>
          <w:color w:val="auto"/>
        </w:rPr>
        <w:t>Senior Independent Non-executive Director</w:t>
      </w:r>
    </w:p>
    <w:p>
      <w:pPr>
        <w:spacing w:after="0" w:line="219" w:lineRule="auto"/>
        <w:rPr>
          <w:sz w:val="20"/>
          <w:szCs w:val="20"/>
          <w:color w:val="auto"/>
        </w:rPr>
      </w:pPr>
      <w:r>
        <w:rPr>
          <w:rFonts w:ascii="Arial" w:cs="Arial" w:eastAsia="Arial" w:hAnsi="Arial"/>
          <w:sz w:val="14"/>
          <w:szCs w:val="14"/>
          <w:color w:val="auto"/>
        </w:rPr>
        <w:t xml:space="preserve">Jeroen van der Veer, </w:t>
      </w:r>
      <w:r>
        <w:rPr>
          <w:rFonts w:ascii="Arial" w:cs="Arial" w:eastAsia="Arial" w:hAnsi="Arial"/>
          <w:sz w:val="14"/>
          <w:szCs w:val="14"/>
          <w:i w:val="1"/>
          <w:iCs w:val="1"/>
          <w:color w:val="auto"/>
        </w:rPr>
        <w:t>Chief Executive</w:t>
      </w:r>
    </w:p>
    <w:p>
      <w:pPr>
        <w:spacing w:after="0" w:line="218" w:lineRule="auto"/>
        <w:rPr>
          <w:sz w:val="20"/>
          <w:szCs w:val="20"/>
          <w:color w:val="auto"/>
        </w:rPr>
      </w:pPr>
      <w:r>
        <w:rPr>
          <w:rFonts w:ascii="Arial" w:cs="Arial" w:eastAsia="Arial" w:hAnsi="Arial"/>
          <w:sz w:val="14"/>
          <w:szCs w:val="14"/>
          <w:color w:val="auto"/>
        </w:rPr>
        <w:t xml:space="preserve">Peter Voser, </w:t>
      </w:r>
      <w:r>
        <w:rPr>
          <w:rFonts w:ascii="Arial" w:cs="Arial" w:eastAsia="Arial" w:hAnsi="Arial"/>
          <w:sz w:val="14"/>
          <w:szCs w:val="14"/>
          <w:i w:val="1"/>
          <w:iCs w:val="1"/>
          <w:color w:val="auto"/>
        </w:rPr>
        <w:t>Chief Financial Officer</w:t>
      </w:r>
    </w:p>
    <w:p>
      <w:pPr>
        <w:ind w:left="180" w:right="1320" w:hanging="176"/>
        <w:spacing w:after="0" w:line="218" w:lineRule="auto"/>
        <w:rPr>
          <w:sz w:val="20"/>
          <w:szCs w:val="20"/>
          <w:color w:val="auto"/>
        </w:rPr>
      </w:pPr>
      <w:r>
        <w:rPr>
          <w:rFonts w:ascii="Arial" w:cs="Arial" w:eastAsia="Arial" w:hAnsi="Arial"/>
          <w:sz w:val="14"/>
          <w:szCs w:val="14"/>
          <w:color w:val="auto"/>
        </w:rPr>
        <w:t xml:space="preserve">Malcolm Brinded CBE FREng, </w:t>
      </w:r>
      <w:r>
        <w:rPr>
          <w:rFonts w:ascii="Arial" w:cs="Arial" w:eastAsia="Arial" w:hAnsi="Arial"/>
          <w:sz w:val="14"/>
          <w:szCs w:val="14"/>
          <w:i w:val="1"/>
          <w:iCs w:val="1"/>
          <w:color w:val="auto"/>
        </w:rPr>
        <w:t>Executive Director, Exploration &amp;</w:t>
      </w:r>
      <w:r>
        <w:rPr>
          <w:rFonts w:ascii="Arial" w:cs="Arial" w:eastAsia="Arial" w:hAnsi="Arial"/>
          <w:sz w:val="14"/>
          <w:szCs w:val="14"/>
          <w:color w:val="auto"/>
        </w:rPr>
        <w:t xml:space="preserve"> </w:t>
      </w:r>
      <w:r>
        <w:rPr>
          <w:rFonts w:ascii="Arial" w:cs="Arial" w:eastAsia="Arial" w:hAnsi="Arial"/>
          <w:sz w:val="14"/>
          <w:szCs w:val="14"/>
          <w:i w:val="1"/>
          <w:iCs w:val="1"/>
          <w:color w:val="auto"/>
        </w:rPr>
        <w:t>Production</w:t>
      </w:r>
    </w:p>
    <w:p>
      <w:pPr>
        <w:spacing w:after="0" w:line="1" w:lineRule="exact"/>
        <w:rPr>
          <w:sz w:val="20"/>
          <w:szCs w:val="20"/>
          <w:color w:val="auto"/>
        </w:rPr>
      </w:pPr>
    </w:p>
    <w:p>
      <w:pPr>
        <w:ind w:left="180" w:right="1160" w:hanging="176"/>
        <w:spacing w:after="0" w:line="218" w:lineRule="auto"/>
        <w:rPr>
          <w:sz w:val="20"/>
          <w:szCs w:val="20"/>
          <w:color w:val="auto"/>
        </w:rPr>
      </w:pPr>
      <w:r>
        <w:rPr>
          <w:rFonts w:ascii="Arial" w:cs="Arial" w:eastAsia="Arial" w:hAnsi="Arial"/>
          <w:sz w:val="14"/>
          <w:szCs w:val="14"/>
          <w:color w:val="auto"/>
        </w:rPr>
        <w:t xml:space="preserve">Linda Cook, </w:t>
      </w:r>
      <w:r>
        <w:rPr>
          <w:rFonts w:ascii="Arial" w:cs="Arial" w:eastAsia="Arial" w:hAnsi="Arial"/>
          <w:sz w:val="14"/>
          <w:szCs w:val="14"/>
          <w:i w:val="1"/>
          <w:iCs w:val="1"/>
          <w:color w:val="auto"/>
        </w:rPr>
        <w:t>Executive Director, Gas &amp; Power, Shell Trading, Global</w:t>
      </w:r>
      <w:r>
        <w:rPr>
          <w:rFonts w:ascii="Arial" w:cs="Arial" w:eastAsia="Arial" w:hAnsi="Arial"/>
          <w:sz w:val="14"/>
          <w:szCs w:val="14"/>
          <w:color w:val="auto"/>
        </w:rPr>
        <w:t xml:space="preserve"> </w:t>
      </w:r>
      <w:r>
        <w:rPr>
          <w:rFonts w:ascii="Arial" w:cs="Arial" w:eastAsia="Arial" w:hAnsi="Arial"/>
          <w:sz w:val="14"/>
          <w:szCs w:val="14"/>
          <w:i w:val="1"/>
          <w:iCs w:val="1"/>
          <w:color w:val="auto"/>
        </w:rPr>
        <w:t>Solutions and Technology</w:t>
      </w:r>
    </w:p>
    <w:p>
      <w:pPr>
        <w:spacing w:after="0" w:line="1" w:lineRule="exact"/>
        <w:rPr>
          <w:sz w:val="20"/>
          <w:szCs w:val="20"/>
          <w:color w:val="auto"/>
        </w:rPr>
      </w:pPr>
    </w:p>
    <w:p>
      <w:pPr>
        <w:ind w:left="180" w:right="1700" w:hanging="176"/>
        <w:spacing w:after="0" w:line="218" w:lineRule="auto"/>
        <w:rPr>
          <w:sz w:val="20"/>
          <w:szCs w:val="20"/>
          <w:color w:val="auto"/>
        </w:rPr>
      </w:pPr>
      <w:r>
        <w:rPr>
          <w:rFonts w:ascii="Arial" w:cs="Arial" w:eastAsia="Arial" w:hAnsi="Arial"/>
          <w:sz w:val="14"/>
          <w:szCs w:val="14"/>
          <w:color w:val="auto"/>
        </w:rPr>
        <w:t xml:space="preserve">Rob Routs, </w:t>
      </w:r>
      <w:r>
        <w:rPr>
          <w:rFonts w:ascii="Arial" w:cs="Arial" w:eastAsia="Arial" w:hAnsi="Arial"/>
          <w:sz w:val="14"/>
          <w:szCs w:val="14"/>
          <w:i w:val="1"/>
          <w:iCs w:val="1"/>
          <w:color w:val="auto"/>
        </w:rPr>
        <w:t>Executive Director, Oil Sands, Oil Products and</w:t>
      </w:r>
      <w:r>
        <w:rPr>
          <w:rFonts w:ascii="Arial" w:cs="Arial" w:eastAsia="Arial" w:hAnsi="Arial"/>
          <w:sz w:val="14"/>
          <w:szCs w:val="14"/>
          <w:color w:val="auto"/>
        </w:rPr>
        <w:t xml:space="preserve"> </w:t>
      </w:r>
      <w:r>
        <w:rPr>
          <w:rFonts w:ascii="Arial" w:cs="Arial" w:eastAsia="Arial" w:hAnsi="Arial"/>
          <w:sz w:val="14"/>
          <w:szCs w:val="14"/>
          <w:i w:val="1"/>
          <w:iCs w:val="1"/>
          <w:color w:val="auto"/>
        </w:rPr>
        <w:t>Chemicals</w:t>
      </w:r>
    </w:p>
    <w:p>
      <w:pPr>
        <w:spacing w:after="0" w:line="219" w:lineRule="auto"/>
        <w:rPr>
          <w:sz w:val="20"/>
          <w:szCs w:val="20"/>
          <w:color w:val="auto"/>
        </w:rPr>
      </w:pPr>
      <w:r>
        <w:rPr>
          <w:rFonts w:ascii="Arial" w:cs="Arial" w:eastAsia="Arial" w:hAnsi="Arial"/>
          <w:sz w:val="14"/>
          <w:szCs w:val="14"/>
          <w:color w:val="auto"/>
        </w:rPr>
        <w:t xml:space="preserve">Maarten van den Bergh, </w:t>
      </w:r>
      <w:r>
        <w:rPr>
          <w:rFonts w:ascii="Arial" w:cs="Arial" w:eastAsia="Arial" w:hAnsi="Arial"/>
          <w:sz w:val="14"/>
          <w:szCs w:val="14"/>
          <w:i w:val="1"/>
          <w:iCs w:val="1"/>
          <w:color w:val="auto"/>
        </w:rPr>
        <w:t>Non-executive Director</w:t>
      </w:r>
    </w:p>
    <w:p>
      <w:pPr>
        <w:spacing w:after="0" w:line="218" w:lineRule="auto"/>
        <w:rPr>
          <w:sz w:val="20"/>
          <w:szCs w:val="20"/>
          <w:color w:val="auto"/>
        </w:rPr>
      </w:pPr>
      <w:r>
        <w:rPr>
          <w:rFonts w:ascii="Arial" w:cs="Arial" w:eastAsia="Arial" w:hAnsi="Arial"/>
          <w:sz w:val="14"/>
          <w:szCs w:val="14"/>
          <w:color w:val="auto"/>
        </w:rPr>
        <w:t xml:space="preserve">Nina Henderson, </w:t>
      </w:r>
      <w:r>
        <w:rPr>
          <w:rFonts w:ascii="Arial" w:cs="Arial" w:eastAsia="Arial" w:hAnsi="Arial"/>
          <w:sz w:val="14"/>
          <w:szCs w:val="14"/>
          <w:i w:val="1"/>
          <w:iCs w:val="1"/>
          <w:color w:val="auto"/>
        </w:rPr>
        <w:t>Non-executive Director</w:t>
      </w:r>
    </w:p>
    <w:p>
      <w:pPr>
        <w:spacing w:after="0" w:line="219" w:lineRule="auto"/>
        <w:rPr>
          <w:sz w:val="20"/>
          <w:szCs w:val="20"/>
          <w:color w:val="auto"/>
        </w:rPr>
      </w:pPr>
      <w:r>
        <w:rPr>
          <w:rFonts w:ascii="Arial" w:cs="Arial" w:eastAsia="Arial" w:hAnsi="Arial"/>
          <w:sz w:val="14"/>
          <w:szCs w:val="14"/>
          <w:color w:val="auto"/>
        </w:rPr>
        <w:t xml:space="preserve">Sir Peter Job KBE, </w:t>
      </w:r>
      <w:r>
        <w:rPr>
          <w:rFonts w:ascii="Arial" w:cs="Arial" w:eastAsia="Arial" w:hAnsi="Arial"/>
          <w:sz w:val="14"/>
          <w:szCs w:val="14"/>
          <w:i w:val="1"/>
          <w:iCs w:val="1"/>
          <w:color w:val="auto"/>
        </w:rPr>
        <w:t>Non-executive Director</w:t>
      </w:r>
    </w:p>
    <w:p>
      <w:pPr>
        <w:spacing w:after="0" w:line="218" w:lineRule="auto"/>
        <w:rPr>
          <w:sz w:val="20"/>
          <w:szCs w:val="20"/>
          <w:color w:val="auto"/>
        </w:rPr>
      </w:pPr>
      <w:r>
        <w:rPr>
          <w:rFonts w:ascii="Arial" w:cs="Arial" w:eastAsia="Arial" w:hAnsi="Arial"/>
          <w:sz w:val="14"/>
          <w:szCs w:val="14"/>
          <w:color w:val="auto"/>
        </w:rPr>
        <w:t xml:space="preserve">Wim Kok, </w:t>
      </w:r>
      <w:r>
        <w:rPr>
          <w:rFonts w:ascii="Arial" w:cs="Arial" w:eastAsia="Arial" w:hAnsi="Arial"/>
          <w:sz w:val="14"/>
          <w:szCs w:val="14"/>
          <w:i w:val="1"/>
          <w:iCs w:val="1"/>
          <w:color w:val="auto"/>
        </w:rPr>
        <w:t>Non-executive Director</w:t>
      </w:r>
    </w:p>
    <w:p>
      <w:pPr>
        <w:spacing w:after="0" w:line="218" w:lineRule="auto"/>
        <w:rPr>
          <w:sz w:val="20"/>
          <w:szCs w:val="20"/>
          <w:color w:val="auto"/>
        </w:rPr>
      </w:pPr>
      <w:r>
        <w:rPr>
          <w:rFonts w:ascii="Arial" w:cs="Arial" w:eastAsia="Arial" w:hAnsi="Arial"/>
          <w:sz w:val="14"/>
          <w:szCs w:val="14"/>
          <w:color w:val="auto"/>
        </w:rPr>
        <w:t xml:space="preserve">Nick Land, </w:t>
      </w:r>
      <w:r>
        <w:rPr>
          <w:rFonts w:ascii="Arial" w:cs="Arial" w:eastAsia="Arial" w:hAnsi="Arial"/>
          <w:sz w:val="14"/>
          <w:szCs w:val="14"/>
          <w:i w:val="1"/>
          <w:iCs w:val="1"/>
          <w:color w:val="auto"/>
        </w:rPr>
        <w:t>Non-executive Director</w:t>
      </w:r>
    </w:p>
    <w:p>
      <w:pPr>
        <w:spacing w:after="0" w:line="219" w:lineRule="auto"/>
        <w:rPr>
          <w:sz w:val="20"/>
          <w:szCs w:val="20"/>
          <w:color w:val="auto"/>
        </w:rPr>
      </w:pPr>
      <w:r>
        <w:rPr>
          <w:rFonts w:ascii="Arial" w:cs="Arial" w:eastAsia="Arial" w:hAnsi="Arial"/>
          <w:sz w:val="14"/>
          <w:szCs w:val="14"/>
          <w:color w:val="auto"/>
        </w:rPr>
        <w:t xml:space="preserve">Christine Morin-Postel, </w:t>
      </w:r>
      <w:r>
        <w:rPr>
          <w:rFonts w:ascii="Arial" w:cs="Arial" w:eastAsia="Arial" w:hAnsi="Arial"/>
          <w:sz w:val="14"/>
          <w:szCs w:val="14"/>
          <w:i w:val="1"/>
          <w:iCs w:val="1"/>
          <w:color w:val="auto"/>
        </w:rPr>
        <w:t>Non-executive Director</w:t>
      </w:r>
    </w:p>
    <w:p>
      <w:pPr>
        <w:spacing w:after="0"/>
        <w:rPr>
          <w:sz w:val="20"/>
          <w:szCs w:val="20"/>
          <w:color w:val="auto"/>
        </w:rPr>
      </w:pPr>
      <w:r>
        <w:rPr>
          <w:rFonts w:ascii="Arial" w:cs="Arial" w:eastAsia="Arial" w:hAnsi="Arial"/>
          <w:sz w:val="14"/>
          <w:szCs w:val="14"/>
          <w:color w:val="auto"/>
        </w:rPr>
        <w:t xml:space="preserve">Lawrence Ricciardi, </w:t>
      </w:r>
      <w:r>
        <w:rPr>
          <w:rFonts w:ascii="Arial" w:cs="Arial" w:eastAsia="Arial" w:hAnsi="Arial"/>
          <w:sz w:val="14"/>
          <w:szCs w:val="14"/>
          <w:i w:val="1"/>
          <w:iCs w:val="1"/>
          <w:color w:val="auto"/>
        </w:rPr>
        <w:t>Non-executive Director</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MANAGEMENT OF ROYAL DUTCH SHELL PLC</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the Executive Directors listed above, Royal Dutch Shell has the following</w:t>
      </w:r>
    </w:p>
    <w:p>
      <w:pPr>
        <w:spacing w:after="0"/>
        <w:rPr>
          <w:sz w:val="20"/>
          <w:szCs w:val="20"/>
          <w:color w:val="auto"/>
        </w:rPr>
      </w:pPr>
      <w:r>
        <w:rPr>
          <w:rFonts w:ascii="Arial" w:cs="Arial" w:eastAsia="Arial" w:hAnsi="Arial"/>
          <w:sz w:val="14"/>
          <w:szCs w:val="14"/>
          <w:color w:val="auto"/>
        </w:rPr>
        <w:t>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Roxanne J. Decyk</w:t>
      </w:r>
      <w:r>
        <w:rPr>
          <w:rFonts w:ascii="Arial" w:cs="Arial" w:eastAsia="Arial" w:hAnsi="Arial"/>
          <w:sz w:val="12"/>
          <w:szCs w:val="12"/>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-88265</wp:posOffset>
            </wp:positionV>
            <wp:extent cx="282575" cy="8153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2575" cy="8153400"/>
                    </a:xfrm>
                    <a:prstGeom prst="rect">
                      <a:avLst/>
                    </a:prstGeom>
                    <a:noFill/>
                  </pic:spPr>
                </pic:pic>
              </a:graphicData>
            </a:graphic>
          </wp:anchor>
        </w:drawing>
      </w:r>
    </w:p>
    <w:p>
      <w:pPr>
        <w:ind w:right="420"/>
        <w:spacing w:after="0" w:line="226" w:lineRule="auto"/>
        <w:rPr>
          <w:sz w:val="20"/>
          <w:szCs w:val="20"/>
          <w:color w:val="auto"/>
        </w:rPr>
      </w:pPr>
      <w:r>
        <w:rPr>
          <w:rFonts w:ascii="Arial" w:cs="Arial" w:eastAsia="Arial" w:hAnsi="Arial"/>
          <w:sz w:val="14"/>
          <w:szCs w:val="14"/>
          <w:color w:val="auto"/>
        </w:rPr>
        <w:t>Born November 5, 1952. A US national, appointed as Corporate Affairs Director in July 2005. Previously, she was Senior Vice President of Corporate Affairs/Human Resources for Shell Oil and Vice President of Corporate Strategy. She is also a Non-executive board director of Snap-On Inc.</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Beat Hess</w:t>
      </w:r>
      <w:r>
        <w:rPr>
          <w:rFonts w:ascii="Arial" w:cs="Arial" w:eastAsia="Arial" w:hAnsi="Arial"/>
          <w:sz w:val="12"/>
          <w:szCs w:val="12"/>
          <w:b w:val="1"/>
          <w:bCs w:val="1"/>
          <w:color w:val="auto"/>
        </w:rPr>
        <w:t>[A]</w:t>
      </w:r>
    </w:p>
    <w:p>
      <w:pPr>
        <w:ind w:right="80"/>
        <w:spacing w:after="0" w:line="229" w:lineRule="auto"/>
        <w:rPr>
          <w:sz w:val="20"/>
          <w:szCs w:val="20"/>
          <w:color w:val="auto"/>
        </w:rPr>
      </w:pPr>
      <w:r>
        <w:rPr>
          <w:rFonts w:ascii="Arial" w:cs="Arial" w:eastAsia="Arial" w:hAnsi="Arial"/>
          <w:sz w:val="14"/>
          <w:szCs w:val="14"/>
          <w:color w:val="auto"/>
        </w:rPr>
        <w:t>Born July 6, 1949. A Swiss national, appointed as Legal Director in June 2003. Previously he was General Counsel of ABB Group from 1988 to 2003. He is also a Non-executive board director of Ciba Specialty Chemicals.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Ken Fisher</w:t>
      </w:r>
      <w:r>
        <w:rPr>
          <w:rFonts w:ascii="Arial" w:cs="Arial" w:eastAsia="Arial" w:hAnsi="Arial"/>
          <w:sz w:val="12"/>
          <w:szCs w:val="12"/>
          <w:b w:val="1"/>
          <w:bCs w:val="1"/>
          <w:color w:val="auto"/>
        </w:rPr>
        <w:t>[A]</w:t>
      </w:r>
    </w:p>
    <w:p>
      <w:pPr>
        <w:ind w:right="80"/>
        <w:spacing w:after="0" w:line="229" w:lineRule="auto"/>
        <w:rPr>
          <w:sz w:val="20"/>
          <w:szCs w:val="20"/>
          <w:color w:val="auto"/>
        </w:rPr>
      </w:pPr>
      <w:r>
        <w:rPr>
          <w:rFonts w:ascii="Arial" w:cs="Arial" w:eastAsia="Arial" w:hAnsi="Arial"/>
          <w:sz w:val="14"/>
          <w:szCs w:val="14"/>
          <w:color w:val="auto"/>
        </w:rPr>
        <w:t>Born December 26, 1961. A US national, appointed as Director of Strategy and Business Development in August 2007. Previously he was Executive Vice President of Strategy and Portfolio for Shell’s global downstream business.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Alan D. Matula</w:t>
      </w:r>
      <w:r>
        <w:rPr>
          <w:rFonts w:ascii="Arial" w:cs="Arial" w:eastAsia="Arial" w:hAnsi="Arial"/>
          <w:sz w:val="12"/>
          <w:szCs w:val="12"/>
          <w:b w:val="1"/>
          <w:bCs w:val="1"/>
          <w:color w:val="auto"/>
        </w:rPr>
        <w:t>[A]</w:t>
      </w:r>
    </w:p>
    <w:p>
      <w:pPr>
        <w:ind w:right="180"/>
        <w:spacing w:after="0" w:line="250" w:lineRule="auto"/>
        <w:rPr>
          <w:sz w:val="20"/>
          <w:szCs w:val="20"/>
          <w:color w:val="auto"/>
        </w:rPr>
      </w:pPr>
      <w:r>
        <w:rPr>
          <w:rFonts w:ascii="Arial" w:cs="Arial" w:eastAsia="Arial" w:hAnsi="Arial"/>
          <w:sz w:val="13"/>
          <w:szCs w:val="13"/>
          <w:color w:val="auto"/>
        </w:rPr>
        <w:t>Born November 11, 1960. A US national, appointed as Chief Information Officer in January 2006. Previously, he was General Manager of Strategy and Projects &amp; Solutions for Shell International B.V. He is a Non-executive board director of Airbiquity.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Hugh S. Mitchell</w:t>
      </w:r>
      <w:r>
        <w:rPr>
          <w:rFonts w:ascii="Arial" w:cs="Arial" w:eastAsia="Arial" w:hAnsi="Arial"/>
          <w:sz w:val="12"/>
          <w:szCs w:val="12"/>
          <w:b w:val="1"/>
          <w:bCs w:val="1"/>
          <w:color w:val="auto"/>
        </w:rPr>
        <w:t>[A]</w:t>
      </w:r>
    </w:p>
    <w:p>
      <w:pPr>
        <w:jc w:val="both"/>
        <w:ind w:right="260"/>
        <w:spacing w:after="0" w:line="218" w:lineRule="auto"/>
        <w:rPr>
          <w:sz w:val="20"/>
          <w:szCs w:val="20"/>
          <w:color w:val="auto"/>
        </w:rPr>
      </w:pPr>
      <w:r>
        <w:rPr>
          <w:rFonts w:ascii="Arial" w:cs="Arial" w:eastAsia="Arial" w:hAnsi="Arial"/>
          <w:sz w:val="14"/>
          <w:szCs w:val="14"/>
          <w:color w:val="auto"/>
        </w:rPr>
        <w:t>Born February 13, 1957. A British national, appointed as Human Resource Director in March 2005. Previously he was a Director of International Directorate for Royal Dutch Shell group and Human Resource Director of Oil Products.</w:t>
      </w:r>
    </w:p>
    <w:p>
      <w:pPr>
        <w:spacing w:after="0" w:line="2" w:lineRule="exact"/>
        <w:rPr>
          <w:sz w:val="20"/>
          <w:szCs w:val="20"/>
          <w:color w:val="auto"/>
        </w:rPr>
      </w:pPr>
    </w:p>
    <w:p>
      <w:pPr>
        <w:ind w:left="220" w:hanging="214"/>
        <w:spacing w:after="0"/>
        <w:tabs>
          <w:tab w:leader="none" w:pos="220" w:val="left"/>
        </w:tabs>
        <w:numPr>
          <w:ilvl w:val="0"/>
          <w:numId w:val="157"/>
        </w:numPr>
        <w:rPr>
          <w:rFonts w:ascii="Arial" w:cs="Arial" w:eastAsia="Arial" w:hAnsi="Arial"/>
          <w:sz w:val="12"/>
          <w:szCs w:val="12"/>
          <w:b w:val="1"/>
          <w:bCs w:val="1"/>
          <w:color w:val="auto"/>
        </w:rPr>
      </w:pPr>
      <w:r>
        <w:rPr>
          <w:rFonts w:ascii="Arial" w:cs="Arial" w:eastAsia="Arial" w:hAnsi="Arial"/>
          <w:sz w:val="12"/>
          <w:szCs w:val="12"/>
          <w:color w:val="auto"/>
        </w:rPr>
        <w:t>Beneficially owns less than one percent of outstanding classes of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METHOD OF HOLDING SHARES OR AN INTEREST IN SHARE</w:t>
      </w:r>
    </w:p>
    <w:p>
      <w:pPr>
        <w:spacing w:after="0" w:line="6" w:lineRule="exact"/>
        <w:rPr>
          <w:sz w:val="20"/>
          <w:szCs w:val="20"/>
          <w:color w:val="auto"/>
        </w:rPr>
      </w:pPr>
    </w:p>
    <w:p>
      <w:pPr>
        <w:ind w:right="60"/>
        <w:spacing w:after="0" w:line="218" w:lineRule="auto"/>
        <w:rPr>
          <w:sz w:val="20"/>
          <w:szCs w:val="20"/>
          <w:color w:val="auto"/>
        </w:rPr>
      </w:pPr>
      <w:r>
        <w:rPr>
          <w:rFonts w:ascii="Arial" w:cs="Arial" w:eastAsia="Arial" w:hAnsi="Arial"/>
          <w:sz w:val="14"/>
          <w:szCs w:val="14"/>
          <w:color w:val="auto"/>
        </w:rPr>
        <w:t>There are several ways in which Royal Dutch Shell registered shares or an interest in these shares can be held, including:</w:t>
      </w:r>
    </w:p>
    <w:p>
      <w:pPr>
        <w:spacing w:after="0" w:line="1" w:lineRule="exact"/>
        <w:rPr>
          <w:sz w:val="20"/>
          <w:szCs w:val="20"/>
          <w:color w:val="auto"/>
        </w:rPr>
      </w:pPr>
    </w:p>
    <w:p>
      <w:pPr>
        <w:ind w:left="200" w:right="660" w:hanging="194"/>
        <w:spacing w:after="0" w:line="218" w:lineRule="auto"/>
        <w:tabs>
          <w:tab w:leader="none" w:pos="200" w:val="left"/>
        </w:tabs>
        <w:numPr>
          <w:ilvl w:val="0"/>
          <w:numId w:val="158"/>
        </w:numPr>
        <w:rPr>
          <w:rFonts w:ascii="Arial" w:cs="Arial" w:eastAsia="Arial" w:hAnsi="Arial"/>
          <w:sz w:val="14"/>
          <w:szCs w:val="14"/>
          <w:b w:val="1"/>
          <w:bCs w:val="1"/>
          <w:color w:val="auto"/>
        </w:rPr>
      </w:pPr>
      <w:r>
        <w:rPr>
          <w:rFonts w:ascii="Arial" w:cs="Arial" w:eastAsia="Arial" w:hAnsi="Arial"/>
          <w:sz w:val="14"/>
          <w:szCs w:val="14"/>
          <w:color w:val="auto"/>
        </w:rPr>
        <w:t>directly as registered shares in uncertificated form or in certificated form in a shareholder’s own name;</w:t>
      </w:r>
    </w:p>
    <w:p>
      <w:pPr>
        <w:ind w:left="200" w:right="140" w:hanging="194"/>
        <w:spacing w:after="0" w:line="218" w:lineRule="auto"/>
        <w:tabs>
          <w:tab w:leader="none" w:pos="200" w:val="left"/>
        </w:tabs>
        <w:numPr>
          <w:ilvl w:val="0"/>
          <w:numId w:val="158"/>
        </w:numPr>
        <w:rPr>
          <w:rFonts w:ascii="Arial" w:cs="Arial" w:eastAsia="Arial" w:hAnsi="Arial"/>
          <w:sz w:val="14"/>
          <w:szCs w:val="14"/>
          <w:b w:val="1"/>
          <w:bCs w:val="1"/>
          <w:color w:val="auto"/>
        </w:rPr>
      </w:pPr>
      <w:r>
        <w:rPr>
          <w:rFonts w:ascii="Arial" w:cs="Arial" w:eastAsia="Arial" w:hAnsi="Arial"/>
          <w:sz w:val="14"/>
          <w:szCs w:val="14"/>
          <w:color w:val="auto"/>
        </w:rPr>
        <w:t>indirectly through Euroclear Nederland (in respect of which the Dutch Securities Giro Act (Wet giraal effectenverkeer) is applicable);</w:t>
      </w:r>
    </w:p>
    <w:p>
      <w:pPr>
        <w:ind w:left="200" w:hanging="194"/>
        <w:spacing w:after="0" w:line="218" w:lineRule="auto"/>
        <w:tabs>
          <w:tab w:leader="none" w:pos="200" w:val="left"/>
        </w:tabs>
        <w:numPr>
          <w:ilvl w:val="0"/>
          <w:numId w:val="158"/>
        </w:numPr>
        <w:rPr>
          <w:rFonts w:ascii="Arial" w:cs="Arial" w:eastAsia="Arial" w:hAnsi="Arial"/>
          <w:sz w:val="14"/>
          <w:szCs w:val="14"/>
          <w:b w:val="1"/>
          <w:bCs w:val="1"/>
          <w:color w:val="auto"/>
        </w:rPr>
      </w:pPr>
      <w:r>
        <w:rPr>
          <w:rFonts w:ascii="Arial" w:cs="Arial" w:eastAsia="Arial" w:hAnsi="Arial"/>
          <w:sz w:val="14"/>
          <w:szCs w:val="14"/>
          <w:color w:val="auto"/>
        </w:rPr>
        <w:t>through the Royal Dutch Shell Corporate Nominee; and</w:t>
      </w:r>
    </w:p>
    <w:p>
      <w:pPr>
        <w:ind w:left="200" w:hanging="194"/>
        <w:spacing w:after="0"/>
        <w:tabs>
          <w:tab w:leader="none" w:pos="200" w:val="left"/>
        </w:tabs>
        <w:numPr>
          <w:ilvl w:val="0"/>
          <w:numId w:val="158"/>
        </w:numPr>
        <w:rPr>
          <w:rFonts w:ascii="Arial" w:cs="Arial" w:eastAsia="Arial" w:hAnsi="Arial"/>
          <w:sz w:val="13"/>
          <w:szCs w:val="13"/>
          <w:b w:val="1"/>
          <w:bCs w:val="1"/>
          <w:color w:val="auto"/>
        </w:rPr>
      </w:pPr>
      <w:r>
        <w:rPr>
          <w:rFonts w:ascii="Arial" w:cs="Arial" w:eastAsia="Arial" w:hAnsi="Arial"/>
          <w:sz w:val="13"/>
          <w:szCs w:val="13"/>
          <w:color w:val="auto"/>
        </w:rPr>
        <w:t>as a direct or indirect holder of either a Class A or a Class B ADR with the Depositary.</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ATTACHING TO SHARES</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Dividend rights and rights to share in the company’s profit.</w:t>
      </w:r>
    </w:p>
    <w:p>
      <w:pPr>
        <w:spacing w:after="0" w:line="80" w:lineRule="exact"/>
        <w:rPr>
          <w:sz w:val="20"/>
          <w:szCs w:val="20"/>
          <w:color w:val="auto"/>
        </w:rPr>
      </w:pPr>
    </w:p>
    <w:p>
      <w:pPr>
        <w:ind w:right="40"/>
        <w:spacing w:after="0" w:line="251" w:lineRule="auto"/>
        <w:rPr>
          <w:sz w:val="20"/>
          <w:szCs w:val="20"/>
          <w:color w:val="auto"/>
        </w:rPr>
      </w:pPr>
      <w:r>
        <w:rPr>
          <w:rFonts w:ascii="Arial" w:cs="Arial" w:eastAsia="Arial" w:hAnsi="Arial"/>
          <w:sz w:val="13"/>
          <w:szCs w:val="13"/>
          <w:color w:val="auto"/>
        </w:rPr>
        <w:t>Under the applicable laws of England and Wales, dividends are payable on Class A ordinary shares and Class B ordinary shares only out of profits available for distribution, as determined in accordance with the Companies Act 1985 (as from April 6, 2008 the Companies Act 2006) and under International Financial Reporting Standards.</w:t>
      </w:r>
    </w:p>
    <w:p>
      <w:pPr>
        <w:spacing w:after="0" w:line="879" w:lineRule="exact"/>
        <w:rPr>
          <w:sz w:val="20"/>
          <w:szCs w:val="20"/>
          <w:color w:val="auto"/>
        </w:rPr>
      </w:pPr>
    </w:p>
    <w:p>
      <w:pPr>
        <w:sectPr>
          <w:pgSz w:w="11900" w:h="16838" w:orient="portrait"/>
          <w:cols w:equalWidth="0" w:num="2">
            <w:col w:w="5100" w:space="540"/>
            <w:col w:w="5220"/>
          </w:cols>
          <w:pgMar w:left="240" w:top="415"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400"/>
        <w:spacing w:after="0"/>
        <w:tabs>
          <w:tab w:leader="none" w:pos="106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1647190</wp:posOffset>
            </wp:positionV>
            <wp:extent cx="7252970" cy="20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CONTROL OF REGISTRANT (UNAUDITED)</w:t>
      </w:r>
    </w:p>
    <w:p>
      <w:pPr>
        <w:spacing w:after="0" w:line="31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Subject to the Companies Act 1985 (as from April 6, 2008 the Companies Act 2006), if Royal Dutch Shell’s Directors consider that Royal Dutch Shell’s financial position justifies the declaration of a dividend, Royal Dutch Shell can pay an interim dividend.</w:t>
      </w:r>
    </w:p>
    <w:p>
      <w:pPr>
        <w:spacing w:after="0" w:line="81" w:lineRule="exact"/>
        <w:rPr>
          <w:sz w:val="20"/>
          <w:szCs w:val="20"/>
          <w:color w:val="auto"/>
        </w:rPr>
      </w:pPr>
    </w:p>
    <w:p>
      <w:pPr>
        <w:jc w:val="both"/>
        <w:ind w:right="380"/>
        <w:spacing w:after="0" w:line="273" w:lineRule="auto"/>
        <w:rPr>
          <w:sz w:val="20"/>
          <w:szCs w:val="20"/>
          <w:color w:val="auto"/>
        </w:rPr>
      </w:pPr>
      <w:r>
        <w:rPr>
          <w:rFonts w:ascii="Arial" w:cs="Arial" w:eastAsia="Arial" w:hAnsi="Arial"/>
          <w:sz w:val="16"/>
          <w:szCs w:val="16"/>
          <w:color w:val="auto"/>
        </w:rPr>
        <w:t>Royal Dutch Shell’s shareholders can declare dividends by passing an ordinary resolution. Dividends cannot exceed the amount recommended by Royal Dutch Shell’s Directors.</w:t>
      </w:r>
    </w:p>
    <w:p>
      <w:pPr>
        <w:spacing w:after="0" w:line="78" w:lineRule="exact"/>
        <w:rPr>
          <w:sz w:val="20"/>
          <w:szCs w:val="20"/>
          <w:color w:val="auto"/>
        </w:rPr>
      </w:pPr>
    </w:p>
    <w:p>
      <w:pPr>
        <w:ind w:right="200"/>
        <w:spacing w:after="0" w:line="273" w:lineRule="auto"/>
        <w:rPr>
          <w:sz w:val="20"/>
          <w:szCs w:val="20"/>
          <w:color w:val="auto"/>
        </w:rPr>
      </w:pPr>
      <w:r>
        <w:rPr>
          <w:rFonts w:ascii="Arial" w:cs="Arial" w:eastAsia="Arial" w:hAnsi="Arial"/>
          <w:sz w:val="16"/>
          <w:szCs w:val="16"/>
          <w:color w:val="auto"/>
        </w:rPr>
        <w:t>It is the intention that dividends will be declared and paid quarterly. Dividends are payable to persons registered as shareholders on the record date relating to the relevant dividend.</w:t>
      </w:r>
    </w:p>
    <w:p>
      <w:pPr>
        <w:spacing w:after="0" w:line="78" w:lineRule="exact"/>
        <w:rPr>
          <w:sz w:val="20"/>
          <w:szCs w:val="20"/>
          <w:color w:val="auto"/>
        </w:rPr>
      </w:pPr>
    </w:p>
    <w:p>
      <w:pPr>
        <w:ind w:right="120"/>
        <w:spacing w:after="0" w:line="362" w:lineRule="auto"/>
        <w:rPr>
          <w:sz w:val="20"/>
          <w:szCs w:val="20"/>
          <w:color w:val="auto"/>
        </w:rPr>
      </w:pPr>
      <w:r>
        <w:rPr>
          <w:rFonts w:ascii="Arial" w:cs="Arial" w:eastAsia="Arial" w:hAnsi="Arial"/>
          <w:sz w:val="14"/>
          <w:szCs w:val="14"/>
          <w:color w:val="auto"/>
        </w:rPr>
        <w:t>All dividends will be divided and paid in proportions based on the amounts paid up on Royal Dutch Shell’s shares during any period for which that dividend is paid.</w:t>
      </w:r>
    </w:p>
    <w:p>
      <w:pPr>
        <w:spacing w:after="0" w:line="20"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Any dividend payable in cash relating to a share can be paid by sending a cheque, warrant or similar financial instrument payable to the shareholder entitled to the dividend by post addressed to the shareholder’s registered address or it can be made payable to someone else named in a written instruction from the shareholder and sent by post to the address specified in that instruction. A dividend can also be paid by interbank transfer or by other electronic means directly to an account with a bank or other financial institution named in a written instruction from the person entitled to receive the payment. Such bank or other financial institution must be in the UK other than in respect of Royal Dutch Shell’s ordinary shares which are held within Euroclear Nederland and to which the Securities Giro Act (Wet giraal effectenverkeer) applies. Alternatively, a dividend can be paid in some other way requested in writing by a shareholder and agreed to by Royal Dutch Shell. Royal Dutch Shell will not be responsible for a payment which is lost or delayed.</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Where any dividends or other amounts payable on a share have not been claimed, the directors can invest them or use them in any other way for Royal Dutch Shell’s benefit until they are claimed. Royal Dutch Shell will not be a trustee of the money and will not be liable to pay interest on it. If a dividend has not been claimed for 12 years after being declared or becoming due for payment, it will be forfeited and go back to Royal Dutch Shell, unless the Directors decide otherwise.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Royal Dutch Shell expects that dividends on Royal Dutch Shell’s outstanding</w:t>
      </w:r>
    </w:p>
    <w:p>
      <w:pPr>
        <w:spacing w:after="0" w:line="20" w:lineRule="exact"/>
        <w:rPr>
          <w:sz w:val="20"/>
          <w:szCs w:val="20"/>
          <w:color w:val="auto"/>
        </w:rPr>
      </w:pPr>
    </w:p>
    <w:p>
      <w:pPr>
        <w:spacing w:after="0" w:line="307" w:lineRule="auto"/>
        <w:rPr>
          <w:sz w:val="20"/>
          <w:szCs w:val="20"/>
          <w:color w:val="auto"/>
        </w:rPr>
      </w:pPr>
      <w:r>
        <w:rPr>
          <w:rFonts w:ascii="Arial" w:cs="Arial" w:eastAsia="Arial" w:hAnsi="Arial"/>
          <w:sz w:val="14"/>
          <w:szCs w:val="14"/>
          <w:color w:val="auto"/>
        </w:rPr>
        <w:t>Class B ordinary shares will be paid under the dividend access mechanism described below. Royal Dutch Shell’s Articles of Association provide that if any amount is paid by the issuer of the dividend access share by way of dividend on the dividend access share and paid by the dividend access trustee to any holder of Class B ordinary shares, the dividend that Royal Dutch Shell would otherwise pay to such holder of Class B ordinary shares will be reduced by an amount equal to the amount paid to such holder of Class B ordinary shares by the dividend access trustee.</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ACCESS MECHANISM FOR CLASS B ORDINARY SHARES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264" w:lineRule="auto"/>
        <w:rPr>
          <w:sz w:val="20"/>
          <w:szCs w:val="20"/>
          <w:color w:val="auto"/>
        </w:rPr>
      </w:pPr>
      <w:r>
        <w:rPr>
          <w:rFonts w:ascii="Arial" w:cs="Arial" w:eastAsia="Arial" w:hAnsi="Arial"/>
          <w:sz w:val="16"/>
          <w:szCs w:val="16"/>
          <w:color w:val="auto"/>
        </w:rPr>
        <w:t>Class A ordinary shares and Class B ordinary shares have identical rights, except related to the dividend access mechanism, which applies only to the Class B ordinary shares.</w:t>
      </w:r>
    </w:p>
    <w:p>
      <w:pPr>
        <w:spacing w:after="0" w:line="85"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color w:val="auto"/>
        </w:rPr>
        <w:t>Dividends paid on Class A ordinary shares have a Dutch source for tax purposes and are subject to Dutch withholding tax (See section below “Taxation”).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0" w:hanging="333"/>
        <w:spacing w:after="0"/>
        <w:tabs>
          <w:tab w:leader="none" w:pos="340" w:val="left"/>
        </w:tabs>
        <w:numPr>
          <w:ilvl w:val="0"/>
          <w:numId w:val="159"/>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It is the expectation and the intention, although there can be no certainty, that holders of Class B ordinary shares will receive dividends via the dividend access mechanism. Any dividends paid on the dividend access share will have a UK source for Dutch and UK tax purposes; there will be no UK or Dutch withholding tax on such dividends and certain holders (not including US holders) of Class B ordinary shares or Class B ADRs will be entitled to a UK tax credit in respect of their proportional share of such dividends.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 of dividend access mechanism</w:t>
      </w:r>
    </w:p>
    <w:p>
      <w:pPr>
        <w:spacing w:after="0" w:line="9" w:lineRule="exact"/>
        <w:rPr>
          <w:sz w:val="20"/>
          <w:szCs w:val="20"/>
          <w:color w:val="auto"/>
        </w:rPr>
      </w:pPr>
    </w:p>
    <w:p>
      <w:pPr>
        <w:ind w:right="20"/>
        <w:spacing w:after="0" w:line="301" w:lineRule="auto"/>
        <w:rPr>
          <w:sz w:val="20"/>
          <w:szCs w:val="20"/>
          <w:color w:val="auto"/>
        </w:rPr>
      </w:pPr>
      <w:r>
        <w:rPr>
          <w:rFonts w:ascii="Arial" w:cs="Arial" w:eastAsia="Arial" w:hAnsi="Arial"/>
          <w:sz w:val="14"/>
          <w:szCs w:val="14"/>
          <w:color w:val="auto"/>
        </w:rPr>
        <w:t>A dividend access share has been issued by Shell Transport to Lloyds TSB Offshore Trust Company Limited (formerly Hill Samuel Offshore Trust Company Limited) as dividend access trustee. Pursuant to a declaration of trust, Lloyds TSB Offshore Trust Company Limited will hold any dividends paid in respect of the dividend access share on trust for the holders of Class B ordinary shares from time to time and will arrange for prompt disbursement of such dividends to holders of Class B ordinary shares. Interest and other income earned on unclaimed dividends will be for the account of Shell Transport and any dividends which are unclaimed after 12 years will revert to Shell Transport. Holders of Class B ordinary shares will not have any interest in the dividend access share and will not have any rights against Shell Transport as issuer of the dividend access share. The only assets held on trust for the benefit of the holders of Class B ordinary shares will be dividends paid to the dividend access trustee in respect of the dividend access share.</w:t>
      </w:r>
    </w:p>
    <w:p>
      <w:pPr>
        <w:spacing w:after="0" w:line="65" w:lineRule="exact"/>
        <w:rPr>
          <w:sz w:val="20"/>
          <w:szCs w:val="20"/>
          <w:color w:val="auto"/>
        </w:rPr>
      </w:pPr>
    </w:p>
    <w:p>
      <w:pPr>
        <w:ind w:right="60"/>
        <w:spacing w:after="0" w:line="310" w:lineRule="auto"/>
        <w:rPr>
          <w:sz w:val="20"/>
          <w:szCs w:val="20"/>
          <w:color w:val="auto"/>
        </w:rPr>
      </w:pPr>
      <w:r>
        <w:rPr>
          <w:rFonts w:ascii="Arial" w:cs="Arial" w:eastAsia="Arial" w:hAnsi="Arial"/>
          <w:sz w:val="14"/>
          <w:szCs w:val="14"/>
          <w:color w:val="auto"/>
        </w:rPr>
        <w:t>The declaration and payment of dividends on the dividend access share will require board action by Shell Transport and will be subject to any applicable legal or articles limitations in effect from time to time. In no event will the aggregate amount of the dividend paid by Shell Transport under the dividend access mechanism for a particular period exceed the aggregate amount of the dividend declared by the Royal Dutch Shell Board on the Class B ordinary shares in respect of the same period.</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Operation of the dividend access mechanism</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Following the declaration of a dividend by Royal Dutch Shell on the Class B ordinary shares, Shell Transport may declare a dividend on the dividend access share. Shell Transport will not declare a dividend on the dividend access share before Royal Dutch Shell declares a dividend on the Class B ordinary shares, as Shell Transport will need to know what dividend Royal Dutch Shell has declared on the Class B ordinary shares. This is to ensure that the dividend declared on the dividend access share does not exceed an amount equal to the total dividend declared by Royal Dutch Shell on the Class B ordinary shares.</w:t>
      </w:r>
    </w:p>
    <w:p>
      <w:pPr>
        <w:spacing w:after="0" w:line="7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To the extent that a dividend is declared and paid on the dividend access share by Shell Transport, the holders of the Class B ordinary shares will be beneficially entitled to receive their share of that dividend pursuant to the declaration of trust (and arrangements will be made to ensure that the dividend is paid in the same currency in which they would have received a dividend from Royal Dutch Shell).</w:t>
      </w:r>
    </w:p>
    <w:p>
      <w:pPr>
        <w:spacing w:after="0" w:line="67"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If any amount is paid by Shell Transport by way of a dividend on the dividend access share and paid by the dividend access trustee to any holder of Class B ordinary shares, the dividend which Royal Dutch Shell would otherwise pay on the Class B ordinary shares will be reduced by an amount equal to the amount paid to such holders of Class B ordinary shares by the dividend access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1628140</wp:posOffset>
            </wp:positionV>
            <wp:extent cx="7252970" cy="209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60" w:space="480"/>
            <w:col w:w="5480"/>
          </w:cols>
          <w:pgMar w:left="240" w:top="415"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1" w:lineRule="exact"/>
        <w:rPr>
          <w:sz w:val="20"/>
          <w:szCs w:val="20"/>
          <w:color w:val="auto"/>
        </w:rPr>
      </w:pPr>
    </w:p>
    <w:p>
      <w:pPr>
        <w:ind w:right="40"/>
        <w:spacing w:after="0" w:line="224" w:lineRule="auto"/>
        <w:rPr>
          <w:sz w:val="20"/>
          <w:szCs w:val="20"/>
          <w:color w:val="auto"/>
        </w:rPr>
      </w:pPr>
      <w:r>
        <w:rPr>
          <w:rFonts w:ascii="Arial" w:cs="Arial" w:eastAsia="Arial" w:hAnsi="Arial"/>
          <w:sz w:val="14"/>
          <w:szCs w:val="14"/>
          <w:color w:val="auto"/>
        </w:rPr>
        <w:t>Royal Dutch Shell will have a full and unconditional obligation, in the event that the dividend access trustee does not pay an amount to holders of Class B ordinary shares on a cash dividend payment date (even if that amount has been paid to the dividend access trustee), to pay immediately the dividend declared on the Class B ordinary shares. The right of holders of Class B ordinary shares to receive distributions from the dividend access trustee will be reduced by an amount equal to the amount of any payment actually made by Royal Dutch Shell on account of any dividend on Class B ordinary shares.</w:t>
      </w:r>
    </w:p>
    <w:p>
      <w:pPr>
        <w:spacing w:after="0" w:line="77"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color w:val="auto"/>
        </w:rPr>
        <w:t>The dividend access mechanism may be suspended or terminated at any time by Royal Dutch Shell’s Directors or the Directors of Shell Transport, for any reason and without financial recompense. This might, for instance, occur in response to changes in relevant tax legislation.</w:t>
      </w:r>
    </w:p>
    <w:p>
      <w:pPr>
        <w:spacing w:after="0" w:line="73"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The daily operations of the Dividend Access Trust is administered on behalf of Shell by Lloyds TSB Offshore Trust Company Limited, an established trustee services company. Material financial information of the Dividend Access Trust is included in the Consolidated Financial Statements of Shell and is therefore, subject to the same disclosure controls and procedures of Shell.</w:t>
      </w:r>
    </w:p>
    <w:p>
      <w:pPr>
        <w:spacing w:after="0" w:line="186" w:lineRule="exact"/>
        <w:rPr>
          <w:sz w:val="20"/>
          <w:szCs w:val="20"/>
          <w:color w:val="auto"/>
        </w:rPr>
      </w:pPr>
    </w:p>
    <w:p>
      <w:pPr>
        <w:ind w:right="160"/>
        <w:spacing w:after="0" w:line="241" w:lineRule="auto"/>
        <w:rPr>
          <w:sz w:val="20"/>
          <w:szCs w:val="20"/>
          <w:color w:val="auto"/>
        </w:rPr>
      </w:pPr>
      <w:r>
        <w:rPr>
          <w:rFonts w:ascii="Arial" w:cs="Arial" w:eastAsia="Arial" w:hAnsi="Arial"/>
          <w:sz w:val="14"/>
          <w:szCs w:val="14"/>
          <w:b w:val="1"/>
          <w:bCs w:val="1"/>
          <w:color w:val="auto"/>
        </w:rPr>
        <w:t>DISPUTES BETWEEN A SHAREHOLDER OR ADR HOLDER AND ROYAL DUTCH SHELL, ANY SUBSIDIARY, DIRECTOR OR PROFESSIONAL SERVICE PROVIDER</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Except as noted below, all disputes between (a) a shareholder in its capacity as such and Royal Dutch Shell or any of its subsidiaries (or any of Royal Dutch Shell’s or its subsidiaries’ Directors or former Directors) arising out of or in connection with Royal Dutch Shell’s Articles of Association or otherwise, (b) Royal Dutch Shell or its subsidiaries and any of Royal Dutch Shell’s or its subsidiaries’ Directors or former Directors (including all claims made by Royal Dutch Shell or any of its subsidiaries on Royal Dutch Shell’s behalf or on behalf of any of its subsidiaries against any such Director), (c) a shareholder in its capacity as such and any of Royal Dutch Shell’s professional service providers (which could include auditors, legal counsel, bankers and ADR depositaries) that have agreed with Royal Dutch Shell to be bound by the arbitration and exclusive jurisdiction provisions of Royal Dutch Shell’s Articles of Association, and (d) Royal Dutch Shell and its professional service providers arising in connection with any such dispute between a shareholder and a professional service provider, shall be exclusively and finally resolved by arbitration in The Hague, the Netherlands under the Rules of Arbitration of the International Chamber of Commerce (“ICC”). This would include all disputes arising under UK, Dutch or US law (including securities laws), or under any other law, between parties covered by the arbitration provision.</w:t>
      </w:r>
    </w:p>
    <w:p>
      <w:pPr>
        <w:spacing w:after="0" w:line="75" w:lineRule="exact"/>
        <w:rPr>
          <w:sz w:val="20"/>
          <w:szCs w:val="20"/>
          <w:color w:val="auto"/>
        </w:rPr>
      </w:pPr>
    </w:p>
    <w:p>
      <w:pPr>
        <w:ind w:right="100"/>
        <w:spacing w:after="0" w:line="279" w:lineRule="auto"/>
        <w:rPr>
          <w:sz w:val="20"/>
          <w:szCs w:val="20"/>
          <w:color w:val="auto"/>
        </w:rPr>
      </w:pPr>
      <w:r>
        <w:rPr>
          <w:rFonts w:ascii="Arial" w:cs="Arial" w:eastAsia="Arial" w:hAnsi="Arial"/>
          <w:sz w:val="12"/>
          <w:szCs w:val="12"/>
          <w:color w:val="auto"/>
        </w:rPr>
        <w:t>The tribunal shall consist of three arbitrators to be appointed in accordance with the rules of the ICC. The chairman must have at least 20 years’ experience as a lawyer qualified to practise in a common law jurisdiction which is within the Commonwealth and each other arbitrator must have at least 20 years’ experience as a qualified lawyer.</w:t>
      </w:r>
    </w:p>
    <w:p>
      <w:pPr>
        <w:spacing w:after="0" w:line="51"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If a court or other competent authority in any jurisdiction determines that the arbitration requirement described above is invalid or unenforceable in any particular dispute in that jurisdiction, that dispute may only be brought in the courts of England and Wales.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The governing law of Royal Dutch Shell’s Articles of Association is the substantive law of 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-198120</wp:posOffset>
            </wp:positionV>
            <wp:extent cx="282575" cy="76034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82575" cy="7603490"/>
                    </a:xfrm>
                    <a:prstGeom prst="rect">
                      <a:avLst/>
                    </a:prstGeom>
                    <a:noFill/>
                  </pic:spPr>
                </pic:pic>
              </a:graphicData>
            </a:graphic>
          </wp:anchor>
        </w:drawing>
      </w:r>
    </w:p>
    <w:p>
      <w:pPr>
        <w:spacing w:after="0" w:line="48"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color w:val="auto"/>
        </w:rPr>
        <w:t>Disputes relating to (i) Royal Dutch Shell’s failure or alleged failure to pay all or part of a dividend which has been declared and which has fallen due for payment and</w:t>
      </w:r>
    </w:p>
    <w:p>
      <w:pPr>
        <w:spacing w:after="0" w:line="1" w:lineRule="exact"/>
        <w:rPr>
          <w:sz w:val="20"/>
          <w:szCs w:val="20"/>
          <w:color w:val="auto"/>
        </w:rPr>
      </w:pPr>
    </w:p>
    <w:p>
      <w:pPr>
        <w:jc w:val="both"/>
        <w:ind w:right="100" w:firstLine="8"/>
        <w:spacing w:after="0" w:line="229" w:lineRule="auto"/>
        <w:tabs>
          <w:tab w:leader="none" w:pos="209"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any derivative claim bought under the Companies Act 2006 will not be the subject of the arbitration and exclusive jurisdiction provisions of Royal Dutch Shell’s Articles of Association.</w:t>
      </w:r>
    </w:p>
    <w:p>
      <w:pPr>
        <w:spacing w:after="0" w:line="73" w:lineRule="exact"/>
        <w:rPr>
          <w:sz w:val="20"/>
          <w:szCs w:val="20"/>
          <w:color w:val="auto"/>
        </w:rPr>
      </w:pPr>
    </w:p>
    <w:p>
      <w:pPr>
        <w:ind w:right="180"/>
        <w:spacing w:after="0" w:line="235" w:lineRule="auto"/>
        <w:rPr>
          <w:sz w:val="20"/>
          <w:szCs w:val="20"/>
          <w:color w:val="auto"/>
        </w:rPr>
      </w:pPr>
      <w:r>
        <w:rPr>
          <w:rFonts w:ascii="Arial" w:cs="Arial" w:eastAsia="Arial" w:hAnsi="Arial"/>
          <w:sz w:val="14"/>
          <w:szCs w:val="14"/>
          <w:color w:val="auto"/>
        </w:rPr>
        <w:t>Pursuant to the relevant Depositary agreement, each holder of ADRs is bound by the arbitration and exclusive jurisdiction provisions of the Articles of Association as described in this section as if that holder were a shareholder.</w:t>
      </w:r>
    </w:p>
    <w:p>
      <w:pPr>
        <w:spacing w:after="0" w:line="185" w:lineRule="exact"/>
        <w:rPr>
          <w:sz w:val="20"/>
          <w:szCs w:val="20"/>
          <w:color w:val="auto"/>
        </w:rPr>
      </w:pPr>
    </w:p>
    <w:p>
      <w:pPr>
        <w:ind w:right="540"/>
        <w:spacing w:after="0" w:line="233" w:lineRule="auto"/>
        <w:rPr>
          <w:sz w:val="20"/>
          <w:szCs w:val="20"/>
          <w:color w:val="auto"/>
        </w:rPr>
      </w:pPr>
      <w:r>
        <w:rPr>
          <w:rFonts w:ascii="Arial" w:cs="Arial" w:eastAsia="Arial" w:hAnsi="Arial"/>
          <w:sz w:val="14"/>
          <w:szCs w:val="14"/>
          <w:b w:val="1"/>
          <w:bCs w:val="1"/>
          <w:color w:val="auto"/>
        </w:rPr>
        <w:t>VOTING RIGHTS AND GENERAL MEETINGS OF SHAREHOLDERS Shareholders meetings</w:t>
      </w:r>
    </w:p>
    <w:p>
      <w:pPr>
        <w:ind w:right="40"/>
        <w:spacing w:after="0" w:line="223" w:lineRule="auto"/>
        <w:rPr>
          <w:sz w:val="20"/>
          <w:szCs w:val="20"/>
          <w:color w:val="auto"/>
        </w:rPr>
      </w:pPr>
      <w:r>
        <w:rPr>
          <w:rFonts w:ascii="Arial" w:cs="Arial" w:eastAsia="Arial" w:hAnsi="Arial"/>
          <w:sz w:val="14"/>
          <w:szCs w:val="14"/>
          <w:color w:val="auto"/>
        </w:rPr>
        <w:t>Under the applicable laws of England and Wales, Royal Dutch Shell is required in each year to hold an Annual General Meeting (AGM) of shareholders in addition to any other meeting of shareholders that may be held. Not more than 15 months may elapse between the date of one AGM of shareholders and that of the next. Additionally, shareholders may submit resolutions in accordance with section 338 of the Companies Act 2006.</w:t>
      </w:r>
    </w:p>
    <w:p>
      <w:pPr>
        <w:spacing w:after="0" w:line="76" w:lineRule="exact"/>
        <w:rPr>
          <w:sz w:val="20"/>
          <w:szCs w:val="20"/>
          <w:color w:val="auto"/>
        </w:rPr>
      </w:pPr>
    </w:p>
    <w:p>
      <w:pPr>
        <w:ind w:right="60"/>
        <w:spacing w:after="0" w:line="239" w:lineRule="auto"/>
        <w:rPr>
          <w:sz w:val="20"/>
          <w:szCs w:val="20"/>
          <w:color w:val="auto"/>
        </w:rPr>
      </w:pPr>
      <w:r>
        <w:rPr>
          <w:rFonts w:ascii="Arial" w:cs="Arial" w:eastAsia="Arial" w:hAnsi="Arial"/>
          <w:sz w:val="13"/>
          <w:szCs w:val="13"/>
          <w:color w:val="auto"/>
        </w:rPr>
        <w:t>Royal Dutch Shell’s Directors have the power to convene a general meeting of shareholders at any time. In addition, Royal Dutch Shell’s Directors must convene a meeting upon the request of shareholders holding not less than 10% of Royal Dutch Shell’s paid-up capital carrying voting rights at general meetings of shareholders pursuant to section 303 of the Companies Act 2006. A request for a general meeting of shareholders must state the general nature of the business to be dealt with at the meeting, and must be signed by the requesting shareholders and deposited at Royal Dutch Shell’s registered office. If Royal Dutch Shell’s Directors fail to give notice of such meeting to shareholders within 21 days from receipt of notice, the shareholders that requested the general meeting, or any of them representing more than one-half of the total voting rights of all shareholders that requested the meeting, may themselves convene a meeting which must be called within three months. Any such meeting must be convened in the same manner, as readily as possible, as that in which meetings are to be convened by Royal Dutch Shell’s Directors.</w:t>
      </w:r>
    </w:p>
    <w:p>
      <w:pPr>
        <w:spacing w:after="0" w:line="74" w:lineRule="exact"/>
        <w:rPr>
          <w:sz w:val="20"/>
          <w:szCs w:val="20"/>
          <w:color w:val="auto"/>
        </w:rPr>
      </w:pPr>
    </w:p>
    <w:p>
      <w:pPr>
        <w:ind w:right="60"/>
        <w:spacing w:after="0" w:line="222" w:lineRule="auto"/>
        <w:rPr>
          <w:sz w:val="20"/>
          <w:szCs w:val="20"/>
          <w:color w:val="auto"/>
        </w:rPr>
      </w:pPr>
      <w:r>
        <w:rPr>
          <w:rFonts w:ascii="Arial" w:cs="Arial" w:eastAsia="Arial" w:hAnsi="Arial"/>
          <w:sz w:val="14"/>
          <w:szCs w:val="14"/>
          <w:color w:val="auto"/>
        </w:rPr>
        <w:t>Royal Dutch Shell is required to give at least 21 days’ notice of any AGM, any general meeting where a special resolution is to be voted upon, or to pass a resolution of which special notice under the Companies Act 2006 has been given. “Special resolutions” generally involve proposals to:</w:t>
      </w:r>
    </w:p>
    <w:p>
      <w:pPr>
        <w:ind w:left="200" w:hanging="192"/>
        <w:spacing w:after="0" w:line="221"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change the name of a company;</w:t>
      </w:r>
    </w:p>
    <w:p>
      <w:pPr>
        <w:ind w:left="200" w:hanging="192"/>
        <w:spacing w:after="0" w:line="218"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alter a company’s capital structure;</w:t>
      </w:r>
    </w:p>
    <w:p>
      <w:pPr>
        <w:ind w:left="200" w:hanging="192"/>
        <w:spacing w:after="0" w:line="218"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change or amend the rights of shareholders;</w:t>
      </w:r>
    </w:p>
    <w:p>
      <w:pPr>
        <w:ind w:left="200" w:right="100" w:hanging="192"/>
        <w:spacing w:after="0" w:line="218"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permit a company to issue new shares for cash without applying shareholders’ pre-emptive rights;</w:t>
      </w:r>
    </w:p>
    <w:p>
      <w:pPr>
        <w:ind w:left="200" w:hanging="192"/>
        <w:spacing w:after="0" w:line="218"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amend a company’s objects clause in its Memorandum of Association;</w:t>
      </w:r>
    </w:p>
    <w:p>
      <w:pPr>
        <w:ind w:left="200" w:hanging="192"/>
        <w:spacing w:after="0" w:line="218"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amend a company’s Articles of Association; and</w:t>
      </w:r>
    </w:p>
    <w:p>
      <w:pPr>
        <w:jc w:val="both"/>
        <w:ind w:left="200" w:right="480" w:hanging="192"/>
        <w:spacing w:after="0" w:line="229" w:lineRule="auto"/>
        <w:tabs>
          <w:tab w:leader="none" w:pos="200" w:val="left"/>
        </w:tabs>
        <w:numPr>
          <w:ilvl w:val="0"/>
          <w:numId w:val="161"/>
        </w:numPr>
        <w:rPr>
          <w:rFonts w:ascii="Arial" w:cs="Arial" w:eastAsia="Arial" w:hAnsi="Arial"/>
          <w:sz w:val="14"/>
          <w:szCs w:val="14"/>
          <w:b w:val="1"/>
          <w:bCs w:val="1"/>
          <w:color w:val="auto"/>
        </w:rPr>
      </w:pPr>
      <w:r>
        <w:rPr>
          <w:rFonts w:ascii="Arial" w:cs="Arial" w:eastAsia="Arial" w:hAnsi="Arial"/>
          <w:sz w:val="14"/>
          <w:szCs w:val="14"/>
          <w:color w:val="auto"/>
        </w:rPr>
        <w:t>carry out other matters for which a company’s Articles of Association or the Companies Act 1985 or 2006 as may be applicable prescribe that a “special resolution” is required.</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At least 14 days’ notice is required for all other general meetings.</w:t>
      </w:r>
    </w:p>
    <w:p>
      <w:pPr>
        <w:spacing w:after="0" w:line="200" w:lineRule="exact"/>
        <w:rPr>
          <w:sz w:val="20"/>
          <w:szCs w:val="20"/>
          <w:color w:val="auto"/>
        </w:rPr>
      </w:pPr>
    </w:p>
    <w:p>
      <w:pPr>
        <w:sectPr>
          <w:pgSz w:w="11900" w:h="16838" w:orient="portrait"/>
          <w:cols w:equalWidth="0" w:num="2">
            <w:col w:w="5000" w:space="400"/>
            <w:col w:w="50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960"/>
        <w:spacing w:after="0"/>
        <w:tabs>
          <w:tab w:leader="none" w:pos="1018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1570990</wp:posOffset>
            </wp:positionV>
            <wp:extent cx="7252970"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type w:val="continuous"/>
        </w:sectPr>
      </w:pPr>
    </w:p>
    <w:bookmarkStart w:id="183" w:name="page184"/>
    <w:bookmarkEnd w:id="18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CONTROL OF REGISTRANT (UNAUDITED)</w:t>
      </w:r>
    </w:p>
    <w:p>
      <w:pPr>
        <w:spacing w:after="0" w:line="318" w:lineRule="exact"/>
        <w:rPr>
          <w:sz w:val="20"/>
          <w:szCs w:val="20"/>
          <w:color w:val="auto"/>
        </w:rPr>
      </w:pPr>
    </w:p>
    <w:p>
      <w:pPr>
        <w:ind w:right="120"/>
        <w:spacing w:after="0" w:line="310" w:lineRule="auto"/>
        <w:rPr>
          <w:sz w:val="20"/>
          <w:szCs w:val="20"/>
          <w:color w:val="auto"/>
        </w:rPr>
      </w:pPr>
      <w:r>
        <w:rPr>
          <w:rFonts w:ascii="Arial" w:cs="Arial" w:eastAsia="Arial" w:hAnsi="Arial"/>
          <w:sz w:val="14"/>
          <w:szCs w:val="14"/>
          <w:color w:val="auto"/>
        </w:rPr>
        <w:t>Royal Dutch Shell’s Articles of Association require that any notice of general meetings must be in writing and must specify where the meeting is to be held, the date and time of the meeting and the general nature of the business of the meeting. The listing rules (“the Listing Rules”) of the UKLA (and the Euronext rules and the rules of the NYSE) require Royal Dutch Shell to inform holders of Royal Dutch Shell’s securities of the holding of meetings which they are entitled to attend.</w:t>
      </w:r>
    </w:p>
    <w:p>
      <w:pPr>
        <w:spacing w:after="0" w:line="58" w:lineRule="exact"/>
        <w:rPr>
          <w:sz w:val="20"/>
          <w:szCs w:val="20"/>
          <w:color w:val="auto"/>
        </w:rPr>
      </w:pPr>
    </w:p>
    <w:p>
      <w:pPr>
        <w:ind w:right="380"/>
        <w:spacing w:after="0" w:line="273" w:lineRule="auto"/>
        <w:rPr>
          <w:sz w:val="20"/>
          <w:szCs w:val="20"/>
          <w:color w:val="auto"/>
        </w:rPr>
      </w:pPr>
      <w:r>
        <w:rPr>
          <w:rFonts w:ascii="Arial" w:cs="Arial" w:eastAsia="Arial" w:hAnsi="Arial"/>
          <w:sz w:val="16"/>
          <w:szCs w:val="16"/>
          <w:color w:val="auto"/>
        </w:rPr>
        <w:t>A shareholder is entitled to appoint a proxy (which is not required to be another shareholder) to represent and vote on behalf of the shareholder at any general meeting of shareholders, including the AGM.</w:t>
      </w:r>
    </w:p>
    <w:p>
      <w:pPr>
        <w:spacing w:after="0" w:line="78"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Business may not be transacted at any general meeting, including the AGM, unless a quorum is present. A quorum is two people who are entitled to vote at that general meeting. They can be shareholders who are personally present or proxies for shareholders entitled to vote at that general meeting or a combination of both.</w:t>
      </w:r>
    </w:p>
    <w:p>
      <w:pPr>
        <w:spacing w:after="0" w:line="50"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If a quorum is not present within five minutes of the time fixed for a general meeting to start or within any longer period not exceeding one hour which the chairman of the meeting can decide and if the meeting was called by shareholders, it will be cancelled. Any other meeting will be adjourned to any day (being not less than three nor more than 28 days later), time and place stated in the notice of the meeting. If the notice does not provide for this, the meeting shall be adjourned to a day, time and place decided upon by the chairman of the meeting. One shareholder present in person or by proxy and entitled to vote will constitute a quorum at any adjourned general meeting.</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Record dates</w:t>
      </w:r>
    </w:p>
    <w:p>
      <w:pPr>
        <w:spacing w:after="0" w:line="3" w:lineRule="exact"/>
        <w:rPr>
          <w:sz w:val="20"/>
          <w:szCs w:val="20"/>
          <w:color w:val="auto"/>
        </w:rPr>
      </w:pPr>
    </w:p>
    <w:p>
      <w:pPr>
        <w:spacing w:after="0" w:line="227" w:lineRule="auto"/>
        <w:rPr>
          <w:sz w:val="20"/>
          <w:szCs w:val="20"/>
          <w:color w:val="auto"/>
        </w:rPr>
      </w:pPr>
      <w:r>
        <w:rPr>
          <w:rFonts w:ascii="Arial" w:cs="Arial" w:eastAsia="Arial" w:hAnsi="Arial"/>
          <w:sz w:val="15"/>
          <w:szCs w:val="15"/>
          <w:color w:val="auto"/>
        </w:rPr>
        <w:t>In relation to ordinary shares in uncertificated form, the holders of those shares that are on the register of members on the record date have the right to attend and vote at meetings. In relation to ordinary shares in certificated form, holders of those shares that are on the register of members at the time of a meeting of shareholders are entitled to attend and vote at meetings.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 rights</w:t>
      </w:r>
    </w:p>
    <w:p>
      <w:pPr>
        <w:spacing w:after="0" w:line="3"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Class A ordinary shares and Class B ordinary shares have identical voting rights and vote together as a single class on all matters including the election of directors unless a matter affects the rights of one class as a separate class. If a resolution affects the rights attached to either class of shares as a separate class, it must be approved either in writing by shareholders holding at least three-quarters of the issued shares of that class by amount, excluding any shares of that class held as treasury shares, or by special resolution passed at a separate meeting of the registered holders of the relevant class of shares.</w:t>
      </w:r>
    </w:p>
    <w:p>
      <w:pPr>
        <w:spacing w:after="0" w:line="66" w:lineRule="exact"/>
        <w:rPr>
          <w:sz w:val="20"/>
          <w:szCs w:val="20"/>
          <w:color w:val="auto"/>
        </w:rPr>
      </w:pPr>
    </w:p>
    <w:p>
      <w:pPr>
        <w:ind w:right="120"/>
        <w:spacing w:after="0" w:line="330" w:lineRule="auto"/>
        <w:rPr>
          <w:sz w:val="20"/>
          <w:szCs w:val="20"/>
          <w:color w:val="auto"/>
        </w:rPr>
      </w:pPr>
      <w:r>
        <w:rPr>
          <w:rFonts w:ascii="Arial" w:cs="Arial" w:eastAsia="Arial" w:hAnsi="Arial"/>
          <w:sz w:val="14"/>
          <w:szCs w:val="14"/>
          <w:color w:val="auto"/>
        </w:rPr>
        <w:t>It is the intention that all voting at Royal Dutch Shell general meetings will take place on a poll. On a poll, every holder of Class A ordinary shares or Class B ordinary shares present in person or by proxy has one vote for every share he holds.</w:t>
      </w:r>
    </w:p>
    <w:p>
      <w:pPr>
        <w:spacing w:after="0" w:line="42" w:lineRule="exact"/>
        <w:rPr>
          <w:sz w:val="20"/>
          <w:szCs w:val="20"/>
          <w:color w:val="auto"/>
        </w:rPr>
      </w:pPr>
    </w:p>
    <w:p>
      <w:pPr>
        <w:ind w:right="60"/>
        <w:spacing w:after="0" w:line="319" w:lineRule="auto"/>
        <w:rPr>
          <w:sz w:val="20"/>
          <w:szCs w:val="20"/>
          <w:color w:val="auto"/>
        </w:rPr>
      </w:pPr>
      <w:r>
        <w:rPr>
          <w:rFonts w:ascii="Arial" w:cs="Arial" w:eastAsia="Arial" w:hAnsi="Arial"/>
          <w:sz w:val="14"/>
          <w:szCs w:val="14"/>
          <w:color w:val="auto"/>
        </w:rPr>
        <w:t>This is subject to any rights or restrictions which are given to any class of shares. No shareholder is entitled to vote if he has been served with a restriction notice after failure to provide Royal Dutch Shell with information concerning interests in his or her shares required to be provided under section 793 of the Companies Act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A “poll” is voting by means of a ballot where the number of shares held by each voting shareholder is counted, as opposed to voting by way of a show of hands where the actual number of shares held by voting shareholders is not taken into account. Under the Companies Act 2006, if a poll is demanded, the resolution conducted on a poll must be approved by holders of at least a majority of the votes cast at the meeting. Both special and extraordinary resolutions require the affirmative vote of at least 75% of the votes cast at the meeting to be approved.</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Major shareholders have no differing voting rights.</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Rights in a winding up</w:t>
      </w:r>
    </w:p>
    <w:p>
      <w:pPr>
        <w:spacing w:after="0" w:line="3" w:lineRule="exact"/>
        <w:rPr>
          <w:sz w:val="20"/>
          <w:szCs w:val="20"/>
          <w:color w:val="auto"/>
        </w:rPr>
      </w:pPr>
    </w:p>
    <w:p>
      <w:pPr>
        <w:ind w:right="60"/>
        <w:spacing w:after="0" w:line="225" w:lineRule="auto"/>
        <w:rPr>
          <w:sz w:val="20"/>
          <w:szCs w:val="20"/>
          <w:color w:val="auto"/>
        </w:rPr>
      </w:pPr>
      <w:r>
        <w:rPr>
          <w:rFonts w:ascii="Arial" w:cs="Arial" w:eastAsia="Arial" w:hAnsi="Arial"/>
          <w:sz w:val="15"/>
          <w:szCs w:val="15"/>
          <w:color w:val="auto"/>
        </w:rPr>
        <w:t>If Royal Dutch Shell is wound up (whether the liquidation is voluntary, under supervision of the court or by the court), the liquidator can, with the authority of an extraordinary resolution passed by Royal Dutch Shell shareholders and any other sanction required by legislation, divide among the shareholders (excluding any shareholder holding shares as treasury shares) the whole or any part of Royal Dutch Shell’s assets. For this purpose, the liquidator can set the value that the liquidator considers fair upon any property and decide how such division is carried out as between shareholders or different groups of shareholders.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 provisions</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are not subject to any redemption provisions.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Sinking fund provisions</w:t>
      </w:r>
    </w:p>
    <w:p>
      <w:pPr>
        <w:spacing w:after="0" w:line="3" w:lineRule="exact"/>
        <w:rPr>
          <w:sz w:val="20"/>
          <w:szCs w:val="20"/>
          <w:color w:val="auto"/>
        </w:rPr>
      </w:pPr>
    </w:p>
    <w:p>
      <w:pPr>
        <w:ind w:right="160"/>
        <w:spacing w:after="0" w:line="231" w:lineRule="auto"/>
        <w:rPr>
          <w:sz w:val="20"/>
          <w:szCs w:val="20"/>
          <w:color w:val="auto"/>
        </w:rPr>
      </w:pPr>
      <w:r>
        <w:rPr>
          <w:rFonts w:ascii="Arial" w:cs="Arial" w:eastAsia="Arial" w:hAnsi="Arial"/>
          <w:sz w:val="15"/>
          <w:szCs w:val="15"/>
          <w:color w:val="auto"/>
        </w:rPr>
        <w:t>Ordinary shares are not subject to any sinking fund provision under Royal Dutch Shell’s Memorandum and Articles of Association or as a matter of the laws of England and Wales.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Liability to further calls</w:t>
      </w:r>
    </w:p>
    <w:p>
      <w:pPr>
        <w:spacing w:after="0" w:line="3" w:lineRule="exact"/>
        <w:rPr>
          <w:sz w:val="20"/>
          <w:szCs w:val="20"/>
          <w:color w:val="auto"/>
        </w:rPr>
      </w:pPr>
    </w:p>
    <w:p>
      <w:pPr>
        <w:ind w:right="260"/>
        <w:spacing w:after="0" w:line="303" w:lineRule="auto"/>
        <w:rPr>
          <w:sz w:val="20"/>
          <w:szCs w:val="20"/>
          <w:color w:val="auto"/>
        </w:rPr>
      </w:pPr>
      <w:r>
        <w:rPr>
          <w:rFonts w:ascii="Arial" w:cs="Arial" w:eastAsia="Arial" w:hAnsi="Arial"/>
          <w:sz w:val="13"/>
          <w:szCs w:val="13"/>
          <w:color w:val="auto"/>
        </w:rPr>
        <w:t>No holder of Royal Dutch Shell’s ordinary shares will be required to make additional contributions of capital in respect of Royal Dutch Shell’s ordinary shares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Discriminating provisions</w:t>
      </w:r>
    </w:p>
    <w:p>
      <w:pPr>
        <w:spacing w:after="0" w:line="3" w:lineRule="exact"/>
        <w:rPr>
          <w:sz w:val="20"/>
          <w:szCs w:val="20"/>
          <w:color w:val="auto"/>
        </w:rPr>
      </w:pPr>
    </w:p>
    <w:p>
      <w:pPr>
        <w:ind w:right="40"/>
        <w:spacing w:after="0" w:line="235" w:lineRule="auto"/>
        <w:rPr>
          <w:sz w:val="20"/>
          <w:szCs w:val="20"/>
          <w:color w:val="auto"/>
        </w:rPr>
      </w:pPr>
      <w:r>
        <w:rPr>
          <w:rFonts w:ascii="Arial" w:cs="Arial" w:eastAsia="Arial" w:hAnsi="Arial"/>
          <w:sz w:val="15"/>
          <w:szCs w:val="15"/>
          <w:color w:val="auto"/>
        </w:rPr>
        <w:t>There are no provisions discriminating against a shareholder because of his/her ownership of a particular number of shares.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Variation of rights</w:t>
      </w:r>
    </w:p>
    <w:p>
      <w:pPr>
        <w:spacing w:after="0" w:line="3" w:lineRule="exact"/>
        <w:rPr>
          <w:sz w:val="20"/>
          <w:szCs w:val="20"/>
          <w:color w:val="auto"/>
        </w:rPr>
      </w:pPr>
    </w:p>
    <w:p>
      <w:pPr>
        <w:ind w:right="20"/>
        <w:spacing w:after="0" w:line="268" w:lineRule="auto"/>
        <w:rPr>
          <w:sz w:val="20"/>
          <w:szCs w:val="20"/>
          <w:color w:val="auto"/>
        </w:rPr>
      </w:pPr>
      <w:r>
        <w:rPr>
          <w:rFonts w:ascii="Arial" w:cs="Arial" w:eastAsia="Arial" w:hAnsi="Arial"/>
          <w:sz w:val="13"/>
          <w:szCs w:val="13"/>
          <w:color w:val="auto"/>
        </w:rPr>
        <w:t>Under the Companies Act 1985, Royal Dutch Shell’s shareholders have power to amend the objects, or purpose, clause in Royal Dutch Shell’s Memorandum of Association and any provision of Royal Dutch Shell’s Articles of Association by special resolution, subject to, in the case of amendments to the objects clause of the Memorandum of Association, the right of dissenting shareholders to apply to the courts to cancel the amendments.</w:t>
      </w:r>
    </w:p>
    <w:p>
      <w:pPr>
        <w:spacing w:after="0" w:line="62"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Under the Companies Act 1985, Royal Dutch Shell’s Board of Directors is not authorised to change the Memorandum of Association or the Articles of Association. Royal Dutch Shell’s Articles of Association provide that, if permitted by legislation, the rights attached to any class of Royal Dutch Shell’s shares can be changed if this is approved either in writing by shareholders holding at least three-quarters of the issued shares of that class by amount (excluding any shares of that class held as treasury shares) or by a special resolution passed at a separate meeting of the holders of the relevant class of shares. At every such separate meeting, all of the provisions of the Articles of Association relating to proceedings at a general meeting apply, except that the quorum is to be the number</w:t>
      </w:r>
    </w:p>
    <w:p>
      <w:pPr>
        <w:spacing w:after="0" w:line="200" w:lineRule="exact"/>
        <w:rPr>
          <w:sz w:val="20"/>
          <w:szCs w:val="20"/>
          <w:color w:val="auto"/>
        </w:rPr>
      </w:pPr>
    </w:p>
    <w:p>
      <w:pPr>
        <w:sectPr>
          <w:pgSz w:w="11900" w:h="16838" w:orient="portrait"/>
          <w:cols w:equalWidth="0" w:num="2">
            <w:col w:w="5480" w:space="460"/>
            <w:col w:w="5480"/>
          </w:cols>
          <w:pgMar w:left="240" w:top="4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0" w:hanging="333"/>
        <w:spacing w:after="0"/>
        <w:tabs>
          <w:tab w:leader="none" w:pos="340" w:val="left"/>
        </w:tabs>
        <w:numPr>
          <w:ilvl w:val="0"/>
          <w:numId w:val="162"/>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252970" cy="20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4" w:name="page185"/>
    <w:bookmarkEnd w:id="18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of persons who hold or represent by proxy not less than one-third in nominal value of the issued shares of the class. These provisions are not more stringent than required by law in England.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Limitations on rights to own shares</w:t>
      </w:r>
    </w:p>
    <w:p>
      <w:pPr>
        <w:spacing w:after="0" w:line="9"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There are no limitations imposed by the applicable laws of England and Wales or Royal Dutch Shell’s Memorandum or Articles of Association on the rights to own shares, including the right of non-residents or foreign persons to hold or vote Royal Dutch Shell’s shares, other than limitations that would generally apply to all of Royal Dutch Shell’s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 OF CONTROL</w:t>
      </w:r>
    </w:p>
    <w:p>
      <w:pPr>
        <w:spacing w:after="0" w:line="16" w:lineRule="exact"/>
        <w:rPr>
          <w:sz w:val="20"/>
          <w:szCs w:val="20"/>
          <w:color w:val="auto"/>
        </w:rPr>
      </w:pPr>
    </w:p>
    <w:p>
      <w:pPr>
        <w:ind w:right="280"/>
        <w:spacing w:after="0" w:line="290" w:lineRule="auto"/>
        <w:rPr>
          <w:sz w:val="20"/>
          <w:szCs w:val="20"/>
          <w:color w:val="auto"/>
        </w:rPr>
      </w:pPr>
      <w:r>
        <w:rPr>
          <w:rFonts w:ascii="Arial" w:cs="Arial" w:eastAsia="Arial" w:hAnsi="Arial"/>
          <w:sz w:val="15"/>
          <w:szCs w:val="15"/>
          <w:color w:val="auto"/>
        </w:rPr>
        <w:t>There are no provisions in the Memorandum or Articles of Association of Royal Dutch Shell or of corporate legislation in England and Wales that would delay, defer or prevent a change of control.</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THRESHOLD FOR DISCLOSURE OF SHARE OWNERSHIP</w:t>
      </w:r>
    </w:p>
    <w:p>
      <w:pPr>
        <w:spacing w:after="0" w:line="1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Disclosure and Transparency Rules impose an obligation upon a person who acquires or ceases to have notifiable interest in the relevant share capital of a public company to notify the company of that fact within two days (excluding weekends and bank holidays) of his or her knowing of its occurrence. The disclosure threshold is 3%.</w:t>
      </w:r>
    </w:p>
    <w:p>
      <w:pPr>
        <w:spacing w:after="0" w:line="87"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The Act provides a public company with the statutory means to ascertain the persons who are or have within the last three years been interested in its relevant share capital and the nature of such interests.</w:t>
      </w:r>
    </w:p>
    <w:p>
      <w:pPr>
        <w:spacing w:after="0" w:line="59" w:lineRule="exact"/>
        <w:rPr>
          <w:sz w:val="20"/>
          <w:szCs w:val="20"/>
          <w:color w:val="auto"/>
        </w:rPr>
      </w:pPr>
    </w:p>
    <w:p>
      <w:pPr>
        <w:ind w:right="40"/>
        <w:spacing w:after="0" w:line="279" w:lineRule="auto"/>
        <w:rPr>
          <w:sz w:val="20"/>
          <w:szCs w:val="20"/>
          <w:color w:val="auto"/>
        </w:rPr>
      </w:pPr>
      <w:r>
        <w:rPr>
          <w:rFonts w:ascii="Arial" w:cs="Arial" w:eastAsia="Arial" w:hAnsi="Arial"/>
          <w:sz w:val="15"/>
          <w:szCs w:val="15"/>
          <w:color w:val="auto"/>
        </w:rPr>
        <w:t>The Royal Dutch Shell Articles of Association provide that in any statutory notice under the Act, Royal Dutch Shell will ask for details of those who have an interest and the extent of their interest in a particular holding. The Royal Dutch Shell Articles of Association also provide that when a person receives a statutory notice, he/she has 14 days to comply with it. If he/she does not do so or if he/she makes a statement in response to the notice which is false or inadequate in some important way, Royal Dutch Shell may restrict the rights relating to the identified shares, following notice. The restriction notice will state that the identified shares no longer give the shareholder any right to attend or vote either personally or by proxy at a shareholders’ meeting or to exercise any right in relation to the shareholders’ meetings. Where the identified shares make up 0.25% or more (in amount or in number) of the existing shares of a class at the date of delivery of the restriction notice, the restriction notice can also contain the following further restrictions: (i) the Directors can withhold any dividend or part of a dividend or other money otherwise payable in respect of the identified shares without any liability to pay interest when such money is finally paid to the shareholder; and (ii) the Directors can refuse to register a transfer of any of the identified shares which are certificated shares unless the Directors are satisfied that they have been sold outright to an independent third party. Once a restriction notice has been given, the Directors are free to cancel it or exclude any shares from it at any time they think fit. In addition, they must cancel the restriction notice within seven days of being satisfied that all information requested in the statutory notice has been given. Also, where any of the identified shares are sold and the Directors are satisfied that they were sold outright to an independent third party, they must cancel the restriction notice within seven days of receipt of the notification of the sale. The Royal Dutch Shell Articles of Association do not restrict in any way the provision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color w:val="auto"/>
        </w:rPr>
        <w:t>The UK City Code on Takeovers and Mergers imposes rigorous disclosure requirements affecting parties to a proposed takeover, their “associates” and persons acting “in concert” in relation to the shares of a company. These requirements also extend to dealings by persons who directly or indirectly own or control (either before or as a result of the dealing) 1% or more of the equity shares in an offeror or offeree company or of any other class of shares relevant to the offer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-903605</wp:posOffset>
            </wp:positionV>
            <wp:extent cx="282575" cy="901636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82575" cy="9016365"/>
                    </a:xfrm>
                    <a:prstGeom prst="rect">
                      <a:avLst/>
                    </a:prstGeom>
                    <a:noFill/>
                  </pic:spPr>
                </pic:pic>
              </a:graphicData>
            </a:graphic>
          </wp:anchor>
        </w:drawing>
      </w:r>
    </w:p>
    <w:p>
      <w:pPr>
        <w:spacing w:after="0" w:line="51" w:lineRule="exact"/>
        <w:rPr>
          <w:sz w:val="20"/>
          <w:szCs w:val="20"/>
          <w:color w:val="auto"/>
        </w:rPr>
      </w:pPr>
    </w:p>
    <w:p>
      <w:pPr>
        <w:jc w:val="both"/>
        <w:ind w:right="60"/>
        <w:spacing w:after="0" w:line="292" w:lineRule="auto"/>
        <w:rPr>
          <w:sz w:val="20"/>
          <w:szCs w:val="20"/>
          <w:color w:val="auto"/>
        </w:rPr>
      </w:pPr>
      <w:r>
        <w:rPr>
          <w:rFonts w:ascii="Arial" w:cs="Arial" w:eastAsia="Arial" w:hAnsi="Arial"/>
          <w:sz w:val="15"/>
          <w:szCs w:val="15"/>
          <w:color w:val="auto"/>
        </w:rPr>
        <w:t>Rule 13d-1 of the US Securities Exchange Act of 1934 requires that a person or group acquiring beneficial ownership of more than 5% of equity securities registered under the US Securities Exchange Act discloses such information to the SEC within 10 days after the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CHANGES</w:t>
      </w:r>
    </w:p>
    <w:p>
      <w:pPr>
        <w:spacing w:after="0" w:line="16" w:lineRule="exact"/>
        <w:rPr>
          <w:sz w:val="20"/>
          <w:szCs w:val="20"/>
          <w:color w:val="auto"/>
        </w:rPr>
      </w:pPr>
    </w:p>
    <w:p>
      <w:pPr>
        <w:jc w:val="both"/>
        <w:ind w:right="120"/>
        <w:spacing w:after="0" w:line="264" w:lineRule="auto"/>
        <w:rPr>
          <w:sz w:val="20"/>
          <w:szCs w:val="20"/>
          <w:color w:val="auto"/>
        </w:rPr>
      </w:pPr>
      <w:r>
        <w:rPr>
          <w:rFonts w:ascii="Arial" w:cs="Arial" w:eastAsia="Arial" w:hAnsi="Arial"/>
          <w:sz w:val="16"/>
          <w:szCs w:val="16"/>
          <w:color w:val="auto"/>
        </w:rPr>
        <w:t>The conditions imposed by Royal Dutch Shell’s Memorandum and Articles of Association for changes in capital are not more stringent than required by the applicable laws of England and Wales.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AMERICAN DEPOSITARY RECEIPTS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One Class A ADR represents two Class A ordinary shares of €0.07 each.</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One Class B ADR represents two Class B ordinary shares of €0.07 each.</w:t>
      </w:r>
    </w:p>
    <w:p>
      <w:pPr>
        <w:spacing w:after="0" w:line="134" w:lineRule="exact"/>
        <w:rPr>
          <w:sz w:val="20"/>
          <w:szCs w:val="20"/>
          <w:color w:val="auto"/>
        </w:rPr>
      </w:pPr>
    </w:p>
    <w:p>
      <w:pPr>
        <w:ind w:right="240"/>
        <w:spacing w:after="0" w:line="286" w:lineRule="auto"/>
        <w:rPr>
          <w:sz w:val="20"/>
          <w:szCs w:val="20"/>
          <w:color w:val="auto"/>
        </w:rPr>
      </w:pPr>
      <w:r>
        <w:rPr>
          <w:rFonts w:ascii="Arial" w:cs="Arial" w:eastAsia="Arial" w:hAnsi="Arial"/>
          <w:sz w:val="15"/>
          <w:szCs w:val="15"/>
          <w:color w:val="auto"/>
        </w:rPr>
        <w:t>The Depositary is the registered shareholder of the shares underlying the Class A or Class B ADRs and enjoys the rights of a shareholder under the Memorandum and Articles of Association. Holders of ADRs will not have shareholder rights. The rights of the holder of a Class A ADR or Class B ADR are specified in the respective Depositary agreements with the Depositary and are summarised below.</w:t>
      </w:r>
    </w:p>
    <w:p>
      <w:pPr>
        <w:spacing w:after="0" w:line="72"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The Depositary will receive all cash dividends and other cash distributions made on the deposited shares underlying the ADRs and, where possible and on a reasonable basis, will distribute such dividends and distributions to holders of ADRs. Rights to purchase additional shares will also be made available to the Depositary who may make such rights available to holders of ADRs. All other distributions made on Royal Dutch Shell shares will be distributed by the Depositary in any means that the Depositary thinks is equitable and practical. The Depositary may deduct its fees and expenses and the amount of any taxes owed from any payments to holders and it may sell a holder’s deposited shares to pay any taxes owed. The Depositary is not responsible if it decides that it is unlawful or impractical to make a distribution available to holders of ADRs.</w:t>
      </w:r>
    </w:p>
    <w:p>
      <w:pPr>
        <w:spacing w:after="0" w:line="72" w:lineRule="exact"/>
        <w:rPr>
          <w:sz w:val="20"/>
          <w:szCs w:val="20"/>
          <w:color w:val="auto"/>
        </w:rPr>
      </w:pPr>
    </w:p>
    <w:p>
      <w:pPr>
        <w:spacing w:after="0" w:line="304" w:lineRule="auto"/>
        <w:rPr>
          <w:sz w:val="20"/>
          <w:szCs w:val="20"/>
          <w:color w:val="auto"/>
        </w:rPr>
      </w:pPr>
      <w:r>
        <w:rPr>
          <w:rFonts w:ascii="Arial" w:cs="Arial" w:eastAsia="Arial" w:hAnsi="Arial"/>
          <w:sz w:val="14"/>
          <w:szCs w:val="14"/>
          <w:color w:val="auto"/>
        </w:rPr>
        <w:t>The Depositary will notify holders of ADRs of shareholders’ meetings of Royal Dutch Shell and will arrange to deliver voting materials to such holders of ADRs if requested by Royal Dutch Shell. Upon request by a holder, the Depositary will endeavour to appoint such holder as proxy in respect of such holders’ deposited shares entitling such holder to attend and vote at shareholders’ meetings. Holders of ADRs may also instruct the Depositary to vote their deposited securities and the Depositary will try, as far as practical and lawful, to vote deposited shares in accordance with such instructions. Royal Dutch Shell cannot ensure that holders will receive voting materials or otherwise learn of an upcoming shareholders’ meeting in time to ensure that holders can instruct the Depositary to vote their shares.</w:t>
      </w:r>
    </w:p>
    <w:p>
      <w:pPr>
        <w:spacing w:after="0" w:line="828" w:lineRule="exact"/>
        <w:rPr>
          <w:sz w:val="20"/>
          <w:szCs w:val="20"/>
          <w:color w:val="auto"/>
        </w:rPr>
      </w:pPr>
    </w:p>
    <w:p>
      <w:pPr>
        <w:sectPr>
          <w:pgSz w:w="11900" w:h="16838" w:orient="portrait"/>
          <w:cols w:equalWidth="0" w:num="2">
            <w:col w:w="5000" w:space="400"/>
            <w:col w:w="5000"/>
          </w:cols>
          <w:pgMar w:left="240" w:top="415" w:right="1259" w:bottom="6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960"/>
        <w:spacing w:after="0"/>
        <w:tabs>
          <w:tab w:leader="none" w:pos="1018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539115</wp:posOffset>
            </wp:positionV>
            <wp:extent cx="7252970" cy="20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643"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SUPPLEMENTARY INFORMATION </w:t>
      </w:r>
      <w:r>
        <w:rPr>
          <w:rFonts w:ascii="Arial" w:cs="Arial" w:eastAsia="Arial" w:hAnsi="Arial"/>
          <w:sz w:val="14"/>
          <w:szCs w:val="14"/>
          <w:b w:val="1"/>
          <w:bCs w:val="1"/>
          <w:color w:val="009AC8"/>
        </w:rPr>
        <w:t>CONTROL OF REGISTRANT (UNAUDITED)</w:t>
      </w:r>
    </w:p>
    <w:p>
      <w:pPr>
        <w:spacing w:after="0" w:line="318" w:lineRule="exact"/>
        <w:rPr>
          <w:sz w:val="20"/>
          <w:szCs w:val="20"/>
          <w:color w:val="auto"/>
        </w:rPr>
      </w:pPr>
    </w:p>
    <w:p>
      <w:pPr>
        <w:ind w:right="40"/>
        <w:spacing w:after="0" w:line="282" w:lineRule="auto"/>
        <w:rPr>
          <w:sz w:val="20"/>
          <w:szCs w:val="20"/>
          <w:color w:val="auto"/>
        </w:rPr>
      </w:pPr>
      <w:r>
        <w:rPr>
          <w:rFonts w:ascii="Arial" w:cs="Arial" w:eastAsia="Arial" w:hAnsi="Arial"/>
          <w:sz w:val="15"/>
          <w:szCs w:val="15"/>
          <w:color w:val="auto"/>
        </w:rPr>
        <w:t>Upon payment of appropriate fees, expenses and taxes (a) Royal Dutch Shell shareholders may deposit their shares with the Depositary and receive the corresponding class and amount of ADRs and (b) holders of ADRs may surrender their ADRs to the Depositary and have the corresponding class and amount of Royal Dutch Shell shares credited to their account. Further, subject to certain limitations, holders may, at any time, cancel ADRs and withdraw their underlying shares or have the corresponding class and amount of shares credited to their account. The Depositary may also deliver ADRs prior to deposit of the underlying securities subject to certain conditions, including, without limitation, that such pre-released ADRs are fully collateralised and that the underlying securities are assigned to and held for the account of the Depositary.</w:t>
      </w:r>
    </w:p>
    <w:p>
      <w:pPr>
        <w:spacing w:after="0" w:line="178" w:lineRule="exact"/>
        <w:rPr>
          <w:sz w:val="20"/>
          <w:szCs w:val="20"/>
          <w:color w:val="auto"/>
        </w:rPr>
      </w:pPr>
    </w:p>
    <w:p>
      <w:pPr>
        <w:ind w:right="400"/>
        <w:spacing w:after="0" w:line="251" w:lineRule="auto"/>
        <w:rPr>
          <w:sz w:val="20"/>
          <w:szCs w:val="20"/>
          <w:color w:val="auto"/>
        </w:rPr>
      </w:pPr>
      <w:r>
        <w:rPr>
          <w:rFonts w:ascii="Arial" w:cs="Arial" w:eastAsia="Arial" w:hAnsi="Arial"/>
          <w:sz w:val="14"/>
          <w:szCs w:val="14"/>
          <w:b w:val="1"/>
          <w:bCs w:val="1"/>
          <w:color w:val="auto"/>
        </w:rPr>
        <w:t>EXCHANGE CONTROLS AND OTHER LIMITATIONS AFFECTING SECURITY HOLDERS</w:t>
      </w:r>
    </w:p>
    <w:p>
      <w:pPr>
        <w:spacing w:after="0" w:line="286" w:lineRule="auto"/>
        <w:rPr>
          <w:sz w:val="20"/>
          <w:szCs w:val="20"/>
          <w:color w:val="auto"/>
        </w:rPr>
      </w:pPr>
      <w:r>
        <w:rPr>
          <w:rFonts w:ascii="Arial" w:cs="Arial" w:eastAsia="Arial" w:hAnsi="Arial"/>
          <w:sz w:val="15"/>
          <w:szCs w:val="15"/>
          <w:color w:val="auto"/>
        </w:rPr>
        <w:t>There is no legislative or other legal provision currently in force in England or arising under Royal Dutch Shell’s Memorandum or Articles of Association restricting remittances to non-resident holders of Royal Dutch Shell’s ordinary shares or affecting the import or export of capital for use by Royal Dutch Shell.</w:t>
      </w:r>
    </w:p>
    <w:p>
      <w:pPr>
        <w:spacing w:after="0" w:line="7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Dutch External Financial Relations Act of 1994 enables the Minister of Finance or the Central Bank of the Netherlands, as the case may be, to issue regulations with regard to a number of financial transactions relating to the import and export of capital. The regulations as issued and applied to date have not restricted the activities and operations of Shell.</w:t>
      </w:r>
    </w:p>
    <w:p>
      <w:pPr>
        <w:spacing w:after="0" w:line="8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There is no legislative or other legal provision currently in force in the Netherlands restricting remittances to non-resident holders of Royal Dutch Shell’s ordinary shares.</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ind w:right="140"/>
        <w:spacing w:after="0" w:line="305" w:lineRule="auto"/>
        <w:rPr>
          <w:sz w:val="20"/>
          <w:szCs w:val="20"/>
          <w:color w:val="auto"/>
        </w:rPr>
      </w:pPr>
      <w:r>
        <w:rPr>
          <w:rFonts w:ascii="Arial" w:cs="Arial" w:eastAsia="Arial" w:hAnsi="Arial"/>
          <w:sz w:val="14"/>
          <w:szCs w:val="14"/>
          <w:color w:val="auto"/>
        </w:rPr>
        <w:t>Royal Dutch Shell is incorporated in England and Wales and tax-resident in the Netherlands. As a tax resident of the Netherlands, it is generally required by Dutch law to withhold tax at a rate of 15% on dividends on its ordinary shares and ADRs, subject to the provisions of any applicable tax convention or domestic law. The following sets forth the operation of the provisions on dividends on Royal Dutch Shell’s various ordinary shares and ADRs to US and UK holders, as well as certain other tax rules pertinent to holders. Each holder should consult their tax advisor.</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 paid on the Dividend Access Share</w:t>
      </w:r>
    </w:p>
    <w:p>
      <w:pPr>
        <w:spacing w:after="0" w:line="9" w:lineRule="exact"/>
        <w:rPr>
          <w:sz w:val="20"/>
          <w:szCs w:val="20"/>
          <w:color w:val="auto"/>
        </w:rPr>
      </w:pPr>
    </w:p>
    <w:p>
      <w:pPr>
        <w:ind w:right="60"/>
        <w:spacing w:after="0" w:line="280" w:lineRule="auto"/>
        <w:rPr>
          <w:sz w:val="20"/>
          <w:szCs w:val="20"/>
          <w:color w:val="auto"/>
        </w:rPr>
      </w:pPr>
      <w:r>
        <w:rPr>
          <w:rFonts w:ascii="Arial" w:cs="Arial" w:eastAsia="Arial" w:hAnsi="Arial"/>
          <w:sz w:val="15"/>
          <w:szCs w:val="15"/>
          <w:color w:val="auto"/>
        </w:rPr>
        <w:t>There is no Dutch withholding tax on dividends on Royal Dutch Shell Class B ordinary shares or Class B ADRs provided that such dividends are paid on the Dividend Access Share pursuant to the Dividend Access Mechanism (see above section “dividend access mechanism for Class B ordinary shares”). Dividends paid on the Dividend Access Share are treated as UK-source for tax purposes and there is no UK withholding tax on them. Also, under UK law, individual shareholders resident in the UK are entitled to a UK tax credit with dividends paid on the Dividend Access Share. The amount of the UK tax credit is 10/90ths of the cash dividend and the credit is not repayable when it exceeds the individual’s UK tax liability. In 2007 all dividends with respect to Class B ordinary shares and Class B ADRs were paid on the Dividend Access Share pursuant to the Dividend Access Mechanism.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Dutch withholding tax</w:t>
      </w:r>
    </w:p>
    <w:p>
      <w:pPr>
        <w:spacing w:after="0" w:line="9"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When Dutch withholding tax applies on dividends paid to a US holder (that is, dividends on Class A ordinary shares or Class A ADRs; or on Class B ordinary shares or Class B ADRs that are not paid on the Dividend Access Share pursuant to the dividend access mechanism), the US holder will be subject to Dutch withholding tax at the rate of 15%. A US holder who is entitled to the benefits of the 1992 Double Taxation Convention between the USA and the Netherlands and as amended by the protocol signed March 8, 2004 (the “Convention”) will be entitled to a reduction in the Dutch withholding tax, either by way of a full or a partial exemption at source or by way of a partial refund or a credit as follows:</w:t>
      </w:r>
    </w:p>
    <w:p>
      <w:pPr>
        <w:spacing w:after="0" w:line="4" w:lineRule="exact"/>
        <w:rPr>
          <w:sz w:val="20"/>
          <w:szCs w:val="20"/>
          <w:color w:val="auto"/>
        </w:rPr>
      </w:pPr>
    </w:p>
    <w:p>
      <w:pPr>
        <w:ind w:left="120" w:right="220" w:hanging="118"/>
        <w:spacing w:after="0" w:line="260" w:lineRule="auto"/>
        <w:tabs>
          <w:tab w:leader="none" w:pos="12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If the US holder is an exempt pension trust as described in article 35 of the Convention, or an exempt organisation as described in article 36 thereof, the US holder will be exempt from Dutch withholding tax.</w:t>
      </w:r>
    </w:p>
    <w:p>
      <w:pPr>
        <w:spacing w:after="0" w:line="1" w:lineRule="exact"/>
        <w:rPr>
          <w:rFonts w:ascii="Arial" w:cs="Arial" w:eastAsia="Arial" w:hAnsi="Arial"/>
          <w:sz w:val="16"/>
          <w:szCs w:val="16"/>
          <w:b w:val="1"/>
          <w:bCs w:val="1"/>
          <w:color w:val="auto"/>
        </w:rPr>
      </w:pPr>
    </w:p>
    <w:p>
      <w:pPr>
        <w:jc w:val="both"/>
        <w:ind w:left="120" w:right="120" w:hanging="118"/>
        <w:spacing w:after="0" w:line="270" w:lineRule="auto"/>
        <w:tabs>
          <w:tab w:leader="none" w:pos="120" w:val="left"/>
        </w:tabs>
        <w:numPr>
          <w:ilvl w:val="0"/>
          <w:numId w:val="163"/>
        </w:numPr>
        <w:rPr>
          <w:rFonts w:ascii="Arial" w:cs="Arial" w:eastAsia="Arial" w:hAnsi="Arial"/>
          <w:sz w:val="16"/>
          <w:szCs w:val="16"/>
          <w:b w:val="1"/>
          <w:bCs w:val="1"/>
          <w:color w:val="auto"/>
        </w:rPr>
      </w:pPr>
      <w:r>
        <w:rPr>
          <w:rFonts w:ascii="Arial" w:cs="Arial" w:eastAsia="Arial" w:hAnsi="Arial"/>
          <w:sz w:val="16"/>
          <w:szCs w:val="16"/>
          <w:color w:val="auto"/>
        </w:rPr>
        <w:t>If the US holder is a company that holds directly at least 10% of the voting power in Royal Dutch Shell, the US holder will be subject to Dutch withholding tax at a rate not exceeding 5%.</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In general, the entire dividend (including any amount withheld) will be dividend income to the US holder, and the withholding tax will be treated as a foreign income tax that is eligible for credit against the US holder’s income tax liability or a deduction subject to certain limitations. A “US holder” includes, but is not limited to, a citizen or resident of the USA, or a corporation or other entity organised under the laws of the USA or any of its political subdivisions.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When Dutch withholding tax applies on dividends paid to UK-resident holders (that is, dividends on Class A ordinary shares or Class A ADRs, or on Class B ordinary shares or Class B ADRs that are not paid on the Dividend Access Share pursuant to the dividend access mechanism), the dividend will typically be subject to withholding tax at a rate of 15%. Such UK holder will be entitled to a credit (not repayable) for withholding tax against their UK tax liability. Pension funds, meeting certain defined criteria, can however, claim a full refund of the dividend tax withheld. Also, resident corporate shareholders holding at least a 5% shareholding and meeting other defined criteria are exempted at source from dividend tax.</w:t>
      </w:r>
    </w:p>
    <w:p>
      <w:pPr>
        <w:spacing w:after="0" w:line="7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For shareholders who are resident in any other country, the availability of a whole or partial exemption or refund of Dutch withholding tax is governed by Dutch tax law and/or the tax convention, if any, between the Netherlands and the country of the shareholder’s residence.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Dutch capital gains taxation</w:t>
      </w:r>
    </w:p>
    <w:p>
      <w:pPr>
        <w:spacing w:after="0" w:line="9" w:lineRule="exact"/>
        <w:rPr>
          <w:sz w:val="20"/>
          <w:szCs w:val="20"/>
          <w:color w:val="auto"/>
        </w:rPr>
      </w:pPr>
    </w:p>
    <w:p>
      <w:pPr>
        <w:ind w:right="40"/>
        <w:spacing w:after="0" w:line="312" w:lineRule="auto"/>
        <w:rPr>
          <w:sz w:val="20"/>
          <w:szCs w:val="20"/>
          <w:color w:val="auto"/>
        </w:rPr>
      </w:pPr>
      <w:r>
        <w:rPr>
          <w:rFonts w:ascii="Arial" w:cs="Arial" w:eastAsia="Arial" w:hAnsi="Arial"/>
          <w:sz w:val="14"/>
          <w:szCs w:val="14"/>
          <w:color w:val="auto"/>
        </w:rPr>
        <w:t>Capital gains on the sale of shares of a Dutch tax-resident company by a US holder are generally not subject to taxation by the Netherlands unless the US shareholder has a permanent establishment therein and the capital gain is derived from the sale of shares that are part of the business property of the permanent establishment.</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Dutch succession duty and gift taxes</w:t>
      </w:r>
    </w:p>
    <w:p>
      <w:pPr>
        <w:spacing w:after="0" w:line="9" w:lineRule="exact"/>
        <w:rPr>
          <w:sz w:val="20"/>
          <w:szCs w:val="20"/>
          <w:color w:val="auto"/>
        </w:rPr>
      </w:pPr>
    </w:p>
    <w:p>
      <w:pPr>
        <w:ind w:right="160"/>
        <w:spacing w:after="0" w:line="312" w:lineRule="auto"/>
        <w:rPr>
          <w:sz w:val="20"/>
          <w:szCs w:val="20"/>
          <w:color w:val="auto"/>
        </w:rPr>
      </w:pPr>
      <w:r>
        <w:rPr>
          <w:rFonts w:ascii="Arial" w:cs="Arial" w:eastAsia="Arial" w:hAnsi="Arial"/>
          <w:sz w:val="14"/>
          <w:szCs w:val="14"/>
          <w:color w:val="auto"/>
        </w:rPr>
        <w:t>Shares of a Dutch tax-resident company held by an individual who is not a resident or a deemed resident of the Netherlands will generally not be subject to succession duty in the Netherlands on the individual’s death unless the shares are part of the business property of a permanent establishment situated in the Netherlands.</w:t>
      </w:r>
    </w:p>
    <w:p>
      <w:pPr>
        <w:spacing w:after="0" w:line="5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A gift of shares of a Dutch tax-resident company by an individual, who is not a resident or deemed resident of the Netherlands, is generally not subject to Dutch gift tax.</w:t>
      </w:r>
    </w:p>
    <w:p>
      <w:pPr>
        <w:spacing w:after="0" w:line="200" w:lineRule="exact"/>
        <w:rPr>
          <w:sz w:val="20"/>
          <w:szCs w:val="20"/>
          <w:color w:val="auto"/>
        </w:rPr>
      </w:pPr>
    </w:p>
    <w:p>
      <w:pPr>
        <w:sectPr>
          <w:pgSz w:w="11900" w:h="16838" w:orient="portrait"/>
          <w:cols w:equalWidth="0" w:num="2">
            <w:col w:w="5460" w:space="480"/>
            <w:col w:w="5480"/>
          </w:cols>
          <w:pgMar w:left="240" w:top="41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0" w:hanging="333"/>
        <w:spacing w:after="0"/>
        <w:tabs>
          <w:tab w:leader="none" w:pos="340" w:val="left"/>
        </w:tabs>
        <w:numPr>
          <w:ilvl w:val="0"/>
          <w:numId w:val="164"/>
        </w:numPr>
        <w:rPr>
          <w:rFonts w:ascii="Arial" w:cs="Arial" w:eastAsia="Arial" w:hAnsi="Arial"/>
          <w:sz w:val="11"/>
          <w:szCs w:val="11"/>
          <w:b w:val="1"/>
          <w:bCs w:val="1"/>
          <w:color w:val="auto"/>
        </w:rPr>
      </w:pP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383540</wp:posOffset>
            </wp:positionV>
            <wp:extent cx="7252970"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UK stamp duty and Stamp Duty Reserve Tax (SDRT)</w:t>
      </w:r>
    </w:p>
    <w:p>
      <w:pPr>
        <w:spacing w:after="0" w:line="2"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Sales or transfers of Royal Dutch Shell ordinary shares within a clearance service (such as Euroclear Nederland) or of Royal Dutch Shell ADRs within the ADR depositary receipts system will not give rise to a SDRT liability and should not in practice require the payment of UK stamp duty.</w:t>
      </w:r>
    </w:p>
    <w:p>
      <w:pPr>
        <w:spacing w:after="0" w:line="74"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color w:val="auto"/>
        </w:rPr>
        <w:t>The transfer of Royal Dutch Shell ordinary shares to a clearance service (such as Euroclear Nederland) or to an issuer of depositary receipts (such as ADRs) will generally give rise to a UK stamp duty or SDRT liability at the rate of 1.5% of consideration given, or if none, of the value of the shares. A sale of Royal Dutch Shell ordinary shares that are not held within a clearance service (for example, settled through the UK’s CREST system of paperless transfers) will generally be subject to UK stamp duty or SDRT at the rate of 0.5% of amount of the consideration, normally paid by the purchaser.</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w:t>
      </w:r>
    </w:p>
    <w:p>
      <w:pPr>
        <w:spacing w:after="0" w:line="6" w:lineRule="exact"/>
        <w:rPr>
          <w:sz w:val="20"/>
          <w:szCs w:val="20"/>
          <w:color w:val="auto"/>
        </w:rPr>
      </w:pPr>
    </w:p>
    <w:p>
      <w:pPr>
        <w:spacing w:after="0" w:line="241" w:lineRule="auto"/>
        <w:rPr>
          <w:sz w:val="20"/>
          <w:szCs w:val="20"/>
          <w:color w:val="auto"/>
        </w:rPr>
      </w:pPr>
      <w:r>
        <w:rPr>
          <w:rFonts w:ascii="Arial" w:cs="Arial" w:eastAsia="Arial" w:hAnsi="Arial"/>
          <w:sz w:val="13"/>
          <w:szCs w:val="13"/>
          <w:color w:val="auto"/>
        </w:rPr>
        <w:t>Royal Dutch Shell’s Articles of Association provide that Royal Dutch Shell’s Board of Directors must consist of not less than three members nor more than 20 members at any time. Royal Dutch Shell has a single tier Board of Directors headed by a Chairman, with management led by a Chief Executive. Royal Dutch Shell’s Board comprises 9 Non-executive Directors (including the Chairman) and five Executive Directors (including the Chief Executive and the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color w:val="auto"/>
        </w:rPr>
        <w:t>Royal Dutch Shell’s Articles of Association provide that at every Annual General Meeting any Director who was in office at the time of the two previous Annual General Meetings and who did not retire at either of them must retire. Additional provisions in respect of retirement apply to the 2008 AGM. At the AGM at which a Director retires, shareholders can pass an ordinary resolution to re-elect the Director or to elect another eligible person in his or her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-565150</wp:posOffset>
            </wp:positionV>
            <wp:extent cx="282575" cy="84493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2575" cy="8449310"/>
                    </a:xfrm>
                    <a:prstGeom prst="rect">
                      <a:avLst/>
                    </a:prstGeom>
                    <a:noFill/>
                  </pic:spPr>
                </pic:pic>
              </a:graphicData>
            </a:graphic>
          </wp:anchor>
        </w:drawing>
      </w:r>
    </w:p>
    <w:p>
      <w:pPr>
        <w:spacing w:after="0" w:line="56" w:lineRule="exact"/>
        <w:rPr>
          <w:sz w:val="20"/>
          <w:szCs w:val="20"/>
          <w:color w:val="auto"/>
        </w:rPr>
      </w:pPr>
    </w:p>
    <w:p>
      <w:pPr>
        <w:jc w:val="both"/>
        <w:ind w:right="140"/>
        <w:spacing w:after="0" w:line="231" w:lineRule="auto"/>
        <w:rPr>
          <w:sz w:val="20"/>
          <w:szCs w:val="20"/>
          <w:color w:val="auto"/>
        </w:rPr>
      </w:pPr>
      <w:r>
        <w:rPr>
          <w:rFonts w:ascii="Arial" w:cs="Arial" w:eastAsia="Arial" w:hAnsi="Arial"/>
          <w:sz w:val="14"/>
          <w:szCs w:val="14"/>
          <w:color w:val="auto"/>
        </w:rPr>
        <w:t>A Director who would not otherwise be required to retire must retire if he has been in office, other than as a Director holding an executive position, for a continuous period of nine years or more at the date of the meeting. Any such Director will be eligible to stand for re-election.</w:t>
      </w:r>
    </w:p>
    <w:p>
      <w:pPr>
        <w:spacing w:after="0" w:line="73" w:lineRule="exact"/>
        <w:rPr>
          <w:sz w:val="20"/>
          <w:szCs w:val="20"/>
          <w:color w:val="auto"/>
        </w:rPr>
      </w:pPr>
    </w:p>
    <w:p>
      <w:pPr>
        <w:jc w:val="both"/>
        <w:ind w:right="260"/>
        <w:spacing w:after="0" w:line="247" w:lineRule="auto"/>
        <w:rPr>
          <w:sz w:val="20"/>
          <w:szCs w:val="20"/>
          <w:color w:val="auto"/>
        </w:rPr>
      </w:pPr>
      <w:r>
        <w:rPr>
          <w:rFonts w:ascii="Arial" w:cs="Arial" w:eastAsia="Arial" w:hAnsi="Arial"/>
          <w:sz w:val="14"/>
          <w:szCs w:val="14"/>
          <w:color w:val="auto"/>
        </w:rPr>
        <w:t>The business address for all of the Directors is Carel van Bylandtlaan 30, 2596 HR, The Hague, The Netherlands.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RELATED PARTY TRANSACTIONS</w:t>
      </w:r>
    </w:p>
    <w:p>
      <w:pPr>
        <w:spacing w:after="0" w:line="6" w:lineRule="exact"/>
        <w:rPr>
          <w:sz w:val="20"/>
          <w:szCs w:val="20"/>
          <w:color w:val="auto"/>
        </w:rPr>
      </w:pPr>
    </w:p>
    <w:p>
      <w:pPr>
        <w:jc w:val="both"/>
        <w:ind w:right="240"/>
        <w:spacing w:after="0" w:line="229" w:lineRule="auto"/>
        <w:rPr>
          <w:sz w:val="20"/>
          <w:szCs w:val="20"/>
          <w:color w:val="auto"/>
        </w:rPr>
      </w:pPr>
      <w:r>
        <w:rPr>
          <w:rFonts w:ascii="Arial" w:cs="Arial" w:eastAsia="Arial" w:hAnsi="Arial"/>
          <w:sz w:val="14"/>
          <w:szCs w:val="14"/>
          <w:color w:val="auto"/>
        </w:rPr>
        <w:t>There were no transactions or proposed transactions that were material to either the Company or any related party. Nor were there any transactions that were unusual in their nature or conditions with any related party.</w:t>
      </w:r>
    </w:p>
    <w:p>
      <w:pPr>
        <w:spacing w:after="0" w:line="679" w:lineRule="exact"/>
        <w:rPr>
          <w:sz w:val="20"/>
          <w:szCs w:val="20"/>
          <w:color w:val="auto"/>
        </w:rPr>
      </w:pPr>
    </w:p>
    <w:p>
      <w:pPr>
        <w:sectPr>
          <w:pgSz w:w="11900" w:h="16838" w:orient="portrait"/>
          <w:cols w:equalWidth="0" w:num="2">
            <w:col w:w="5000" w:space="400"/>
            <w:col w:w="5000"/>
          </w:cols>
          <w:pgMar w:left="240" w:top="41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960"/>
        <w:spacing w:after="0"/>
        <w:tabs>
          <w:tab w:leader="none" w:pos="1018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1257935</wp:posOffset>
            </wp:positionV>
            <wp:extent cx="7252970"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400"/>
          </w:cols>
          <w:pgMar w:left="240" w:top="415" w:right="125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1"/>
          <w:szCs w:val="31"/>
          <w:color w:val="auto"/>
        </w:rPr>
        <w:t>Index to the Parent Company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Parent Company Financial Statements have not been audited in accordance with the</w:t>
      </w:r>
    </w:p>
    <w:p>
      <w:pPr>
        <w:spacing w:after="0"/>
        <w:rPr>
          <w:sz w:val="20"/>
          <w:szCs w:val="20"/>
          <w:color w:val="auto"/>
        </w:rPr>
      </w:pPr>
      <w:r>
        <w:rPr>
          <w:rFonts w:ascii="Arial" w:cs="Arial" w:eastAsia="Arial" w:hAnsi="Arial"/>
          <w:sz w:val="14"/>
          <w:szCs w:val="14"/>
          <w:color w:val="auto"/>
        </w:rPr>
        <w:t>standards of the Public Company Accounting Oversight Board (United States).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500" w:type="dxa"/>
            <w:vAlign w:val="bottom"/>
            <w:tcBorders>
              <w:bottom w:val="single" w:sz="8" w:color="0066A5"/>
            </w:tcBorders>
            <w:gridSpan w:val="2"/>
          </w:tcPr>
          <w:p>
            <w:pPr>
              <w:spacing w:after="0"/>
              <w:rPr>
                <w:rFonts w:ascii="Arial" w:cs="Arial" w:eastAsia="Arial" w:hAnsi="Arial"/>
                <w:sz w:val="12"/>
                <w:szCs w:val="12"/>
                <w:color w:val="0000EE"/>
              </w:rPr>
            </w:pPr>
            <w:hyperlink w:anchor="page189">
              <w:r>
                <w:rPr>
                  <w:rFonts w:ascii="Arial" w:cs="Arial" w:eastAsia="Arial" w:hAnsi="Arial"/>
                  <w:sz w:val="12"/>
                  <w:szCs w:val="12"/>
                  <w:color w:val="0000EE"/>
                </w:rPr>
                <w:t>Statement of Income</w:t>
              </w:r>
            </w:hyperlink>
          </w:p>
        </w:tc>
        <w:tc>
          <w:tcPr>
            <w:tcW w:w="980" w:type="dxa"/>
            <w:vAlign w:val="bottom"/>
            <w:tcBorders>
              <w:bottom w:val="single" w:sz="8" w:color="0066A5"/>
            </w:tcBorders>
          </w:tcPr>
          <w:p>
            <w:pPr>
              <w:jc w:val="right"/>
              <w:spacing w:after="0"/>
              <w:rPr>
                <w:sz w:val="20"/>
                <w:szCs w:val="20"/>
                <w:color w:val="auto"/>
              </w:rPr>
            </w:pPr>
            <w:r>
              <w:rPr>
                <w:rFonts w:ascii="Arial" w:cs="Arial" w:eastAsia="Arial" w:hAnsi="Arial"/>
                <w:sz w:val="12"/>
                <w:szCs w:val="12"/>
                <w:color w:val="auto"/>
              </w:rPr>
              <w:t>183</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0">
              <w:r>
                <w:rPr>
                  <w:rFonts w:ascii="Arial" w:cs="Arial" w:eastAsia="Arial" w:hAnsi="Arial"/>
                  <w:sz w:val="12"/>
                  <w:szCs w:val="12"/>
                  <w:color w:val="0000EE"/>
                </w:rPr>
                <w:t>Balance Sheet</w:t>
              </w:r>
            </w:hyperlink>
          </w:p>
        </w:tc>
        <w:tc>
          <w:tcPr>
            <w:tcW w:w="3540" w:type="dxa"/>
            <w:vAlign w:val="bottom"/>
            <w:tcBorders>
              <w:bottom w:val="single" w:sz="8" w:color="0066A5"/>
            </w:tcBorders>
          </w:tcPr>
          <w:p>
            <w:pPr>
              <w:spacing w:after="0"/>
              <w:rPr>
                <w:sz w:val="12"/>
                <w:szCs w:val="12"/>
                <w:color w:val="auto"/>
              </w:rPr>
            </w:pPr>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184</w:t>
            </w:r>
          </w:p>
        </w:tc>
      </w:tr>
      <w:tr>
        <w:trPr>
          <w:trHeight w:val="140"/>
        </w:trPr>
        <w:tc>
          <w:tcPr>
            <w:tcW w:w="4500" w:type="dxa"/>
            <w:vAlign w:val="bottom"/>
            <w:tcBorders>
              <w:bottom w:val="single" w:sz="8" w:color="0066A5"/>
            </w:tcBorders>
            <w:gridSpan w:val="2"/>
          </w:tcPr>
          <w:p>
            <w:pPr>
              <w:spacing w:after="0" w:line="133" w:lineRule="exact"/>
              <w:rPr>
                <w:rFonts w:ascii="Arial" w:cs="Arial" w:eastAsia="Arial" w:hAnsi="Arial"/>
                <w:sz w:val="12"/>
                <w:szCs w:val="12"/>
                <w:color w:val="0000EE"/>
              </w:rPr>
            </w:pPr>
            <w:hyperlink w:anchor="page191">
              <w:r>
                <w:rPr>
                  <w:rFonts w:ascii="Arial" w:cs="Arial" w:eastAsia="Arial" w:hAnsi="Arial"/>
                  <w:sz w:val="12"/>
                  <w:szCs w:val="12"/>
                  <w:color w:val="0000EE"/>
                </w:rPr>
                <w:t>Statement of Changes in Equity</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185</w:t>
            </w:r>
          </w:p>
        </w:tc>
      </w:tr>
      <w:tr>
        <w:trPr>
          <w:trHeight w:val="140"/>
        </w:trPr>
        <w:tc>
          <w:tcPr>
            <w:tcW w:w="4500" w:type="dxa"/>
            <w:vAlign w:val="bottom"/>
            <w:tcBorders>
              <w:bottom w:val="single" w:sz="8" w:color="0066A5"/>
            </w:tcBorders>
            <w:gridSpan w:val="2"/>
          </w:tcPr>
          <w:p>
            <w:pPr>
              <w:spacing w:after="0" w:line="133" w:lineRule="exact"/>
              <w:rPr>
                <w:rFonts w:ascii="Arial" w:cs="Arial" w:eastAsia="Arial" w:hAnsi="Arial"/>
                <w:sz w:val="12"/>
                <w:szCs w:val="12"/>
                <w:color w:val="0000EE"/>
              </w:rPr>
            </w:pPr>
            <w:hyperlink w:anchor="page191">
              <w:r>
                <w:rPr>
                  <w:rFonts w:ascii="Arial" w:cs="Arial" w:eastAsia="Arial" w:hAnsi="Arial"/>
                  <w:sz w:val="12"/>
                  <w:szCs w:val="12"/>
                  <w:color w:val="0000EE"/>
                </w:rPr>
                <w:t>Statement of Cash Flows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185</w:t>
            </w:r>
          </w:p>
        </w:tc>
      </w:tr>
      <w:tr>
        <w:trPr>
          <w:trHeight w:val="140"/>
        </w:trPr>
        <w:tc>
          <w:tcPr>
            <w:tcW w:w="4500" w:type="dxa"/>
            <w:vAlign w:val="bottom"/>
            <w:tcBorders>
              <w:bottom w:val="single" w:sz="8" w:color="0066A5"/>
            </w:tcBorders>
            <w:gridSpan w:val="2"/>
          </w:tcPr>
          <w:p>
            <w:pPr>
              <w:spacing w:after="0" w:line="133" w:lineRule="exact"/>
              <w:rPr>
                <w:rFonts w:ascii="Arial" w:cs="Arial" w:eastAsia="Arial" w:hAnsi="Arial"/>
                <w:sz w:val="12"/>
                <w:szCs w:val="12"/>
                <w:color w:val="0000EE"/>
              </w:rPr>
            </w:pPr>
            <w:hyperlink w:anchor="page192">
              <w:r>
                <w:rPr>
                  <w:rFonts w:ascii="Arial" w:cs="Arial" w:eastAsia="Arial" w:hAnsi="Arial"/>
                  <w:sz w:val="12"/>
                  <w:szCs w:val="12"/>
                  <w:color w:val="0000EE"/>
                </w:rPr>
                <w:t>Notes to the Parent Company Financial Statements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186</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2">
              <w:r>
                <w:rPr>
                  <w:rFonts w:ascii="Arial" w:cs="Arial" w:eastAsia="Arial" w:hAnsi="Arial"/>
                  <w:sz w:val="12"/>
                  <w:szCs w:val="12"/>
                  <w:color w:val="0000EE"/>
                </w:rPr>
                <w:t>Note 1:</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2">
              <w:r>
                <w:rPr>
                  <w:rFonts w:ascii="Arial" w:cs="Arial" w:eastAsia="Arial" w:hAnsi="Arial"/>
                  <w:sz w:val="12"/>
                  <w:szCs w:val="12"/>
                  <w:color w:val="0000EE"/>
                </w:rPr>
                <w:t>Basis of preparation</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186</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2">
              <w:r>
                <w:rPr>
                  <w:rFonts w:ascii="Arial" w:cs="Arial" w:eastAsia="Arial" w:hAnsi="Arial"/>
                  <w:sz w:val="12"/>
                  <w:szCs w:val="12"/>
                  <w:color w:val="0000EE"/>
                </w:rPr>
                <w:t>Note 2:</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2">
              <w:r>
                <w:rPr>
                  <w:rFonts w:ascii="Arial" w:cs="Arial" w:eastAsia="Arial" w:hAnsi="Arial"/>
                  <w:sz w:val="12"/>
                  <w:szCs w:val="12"/>
                  <w:color w:val="0000EE"/>
                </w:rPr>
                <w:t>Accounting policies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186</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3">
              <w:r>
                <w:rPr>
                  <w:rFonts w:ascii="Arial" w:cs="Arial" w:eastAsia="Arial" w:hAnsi="Arial"/>
                  <w:sz w:val="12"/>
                  <w:szCs w:val="12"/>
                  <w:color w:val="0000EE"/>
                </w:rPr>
                <w:t>Note 3:</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3">
              <w:r>
                <w:rPr>
                  <w:rFonts w:ascii="Arial" w:cs="Arial" w:eastAsia="Arial" w:hAnsi="Arial"/>
                  <w:sz w:val="12"/>
                  <w:szCs w:val="12"/>
                  <w:color w:val="0000EE"/>
                </w:rPr>
                <w:t>Finance income/(expense)</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187</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3">
              <w:r>
                <w:rPr>
                  <w:rFonts w:ascii="Arial" w:cs="Arial" w:eastAsia="Arial" w:hAnsi="Arial"/>
                  <w:sz w:val="12"/>
                  <w:szCs w:val="12"/>
                  <w:color w:val="0000EE"/>
                </w:rPr>
                <w:t>Note 4:</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3">
              <w:r>
                <w:rPr>
                  <w:rFonts w:ascii="Arial" w:cs="Arial" w:eastAsia="Arial" w:hAnsi="Arial"/>
                  <w:sz w:val="12"/>
                  <w:szCs w:val="12"/>
                  <w:color w:val="0000EE"/>
                </w:rPr>
                <w:t>Directors and Senior Management compensation</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187</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4">
              <w:r>
                <w:rPr>
                  <w:rFonts w:ascii="Arial" w:cs="Arial" w:eastAsia="Arial" w:hAnsi="Arial"/>
                  <w:sz w:val="12"/>
                  <w:szCs w:val="12"/>
                  <w:color w:val="0000EE"/>
                </w:rPr>
                <w:t>Note 5:</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4">
              <w:r>
                <w:rPr>
                  <w:rFonts w:ascii="Arial" w:cs="Arial" w:eastAsia="Arial" w:hAnsi="Arial"/>
                  <w:sz w:val="12"/>
                  <w:szCs w:val="12"/>
                  <w:color w:val="0000EE"/>
                </w:rPr>
                <w:t>Taxation</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188</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Note 6:</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Investments in subsidiaries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189</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Note 7:</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Accounts receivable</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189</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Note 8:</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Cash and cash equivalents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189</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Note 9:</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Financial instruments and other derivative contracts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189</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Note 10:</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5">
              <w:r>
                <w:rPr>
                  <w:rFonts w:ascii="Arial" w:cs="Arial" w:eastAsia="Arial" w:hAnsi="Arial"/>
                  <w:sz w:val="12"/>
                  <w:szCs w:val="12"/>
                  <w:color w:val="0000EE"/>
                </w:rPr>
                <w:t>Accounts payable and accrued liabilities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189</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6">
              <w:r>
                <w:rPr>
                  <w:rFonts w:ascii="Arial" w:cs="Arial" w:eastAsia="Arial" w:hAnsi="Arial"/>
                  <w:sz w:val="12"/>
                  <w:szCs w:val="12"/>
                  <w:color w:val="0000EE"/>
                </w:rPr>
                <w:t>Note 11:</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6">
              <w:r>
                <w:rPr>
                  <w:rFonts w:ascii="Arial" w:cs="Arial" w:eastAsia="Arial" w:hAnsi="Arial"/>
                  <w:sz w:val="12"/>
                  <w:szCs w:val="12"/>
                  <w:color w:val="0000EE"/>
                </w:rPr>
                <w:t>Ordinary share capital</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190</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8">
              <w:r>
                <w:rPr>
                  <w:rFonts w:ascii="Arial" w:cs="Arial" w:eastAsia="Arial" w:hAnsi="Arial"/>
                  <w:sz w:val="12"/>
                  <w:szCs w:val="12"/>
                  <w:color w:val="0000EE"/>
                </w:rPr>
                <w:t>Note 12:</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8">
              <w:r>
                <w:rPr>
                  <w:rFonts w:ascii="Arial" w:cs="Arial" w:eastAsia="Arial" w:hAnsi="Arial"/>
                  <w:sz w:val="12"/>
                  <w:szCs w:val="12"/>
                  <w:color w:val="0000EE"/>
                </w:rPr>
                <w:t>Other reserves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192</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8">
              <w:r>
                <w:rPr>
                  <w:rFonts w:ascii="Arial" w:cs="Arial" w:eastAsia="Arial" w:hAnsi="Arial"/>
                  <w:sz w:val="12"/>
                  <w:szCs w:val="12"/>
                  <w:color w:val="0000EE"/>
                </w:rPr>
                <w:t>Note 13:</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8">
              <w:r>
                <w:rPr>
                  <w:rFonts w:ascii="Arial" w:cs="Arial" w:eastAsia="Arial" w:hAnsi="Arial"/>
                  <w:sz w:val="12"/>
                  <w:szCs w:val="12"/>
                  <w:color w:val="0000EE"/>
                </w:rPr>
                <w:t>Dividends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192</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Note 14:</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Related party transactions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193</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Note 15:</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Legal proceedings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193</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Note 16:</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199">
              <w:r>
                <w:rPr>
                  <w:rFonts w:ascii="Arial" w:cs="Arial" w:eastAsia="Arial" w:hAnsi="Arial"/>
                  <w:sz w:val="12"/>
                  <w:szCs w:val="12"/>
                  <w:color w:val="0000EE"/>
                </w:rPr>
                <w:t>Post balance sheet events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193</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200">
              <w:r>
                <w:rPr>
                  <w:rFonts w:ascii="Arial" w:cs="Arial" w:eastAsia="Arial" w:hAnsi="Arial"/>
                  <w:sz w:val="12"/>
                  <w:szCs w:val="12"/>
                  <w:color w:val="0000EE"/>
                </w:rPr>
                <w:t>Note 17:</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200">
              <w:r>
                <w:rPr>
                  <w:rFonts w:ascii="Arial" w:cs="Arial" w:eastAsia="Arial" w:hAnsi="Arial"/>
                  <w:sz w:val="12"/>
                  <w:szCs w:val="12"/>
                  <w:color w:val="0000EE"/>
                </w:rPr>
                <w:t>Associated companies and jointly controlled entities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194</w:t>
            </w:r>
          </w:p>
        </w:tc>
      </w:tr>
      <w:tr>
        <w:trPr>
          <w:trHeight w:val="140"/>
        </w:trPr>
        <w:tc>
          <w:tcPr>
            <w:tcW w:w="960" w:type="dxa"/>
            <w:vAlign w:val="bottom"/>
            <w:tcBorders>
              <w:bottom w:val="single" w:sz="8" w:color="0066A5"/>
            </w:tcBorders>
          </w:tcPr>
          <w:p>
            <w:pPr>
              <w:spacing w:after="0" w:line="133" w:lineRule="exact"/>
              <w:rPr>
                <w:rFonts w:ascii="Arial" w:cs="Arial" w:eastAsia="Arial" w:hAnsi="Arial"/>
                <w:sz w:val="12"/>
                <w:szCs w:val="12"/>
                <w:color w:val="0000EE"/>
              </w:rPr>
            </w:pPr>
            <w:hyperlink w:anchor="page200">
              <w:r>
                <w:rPr>
                  <w:rFonts w:ascii="Arial" w:cs="Arial" w:eastAsia="Arial" w:hAnsi="Arial"/>
                  <w:sz w:val="12"/>
                  <w:szCs w:val="12"/>
                  <w:color w:val="0000EE"/>
                </w:rPr>
                <w:t>Note 18:</w:t>
              </w:r>
            </w:hyperlink>
          </w:p>
        </w:tc>
        <w:tc>
          <w:tcPr>
            <w:tcW w:w="3540" w:type="dxa"/>
            <w:vAlign w:val="bottom"/>
            <w:tcBorders>
              <w:bottom w:val="single" w:sz="8" w:color="0066A5"/>
            </w:tcBorders>
          </w:tcPr>
          <w:p>
            <w:pPr>
              <w:spacing w:after="0" w:line="133" w:lineRule="exact"/>
              <w:rPr>
                <w:rFonts w:ascii="Arial" w:cs="Arial" w:eastAsia="Arial" w:hAnsi="Arial"/>
                <w:sz w:val="12"/>
                <w:szCs w:val="12"/>
                <w:color w:val="0000EE"/>
              </w:rPr>
            </w:pPr>
            <w:hyperlink w:anchor="page200">
              <w:r>
                <w:rPr>
                  <w:rFonts w:ascii="Arial" w:cs="Arial" w:eastAsia="Arial" w:hAnsi="Arial"/>
                  <w:sz w:val="12"/>
                  <w:szCs w:val="12"/>
                  <w:color w:val="0000EE"/>
                </w:rPr>
                <w:t>Subsidiaries</w:t>
              </w:r>
            </w:hyperlink>
          </w:p>
        </w:tc>
        <w:tc>
          <w:tcPr>
            <w:tcW w:w="980" w:type="dxa"/>
            <w:vAlign w:val="bottom"/>
            <w:tcBorders>
              <w:bottom w:val="single" w:sz="8" w:color="0066A5"/>
            </w:tcBorders>
          </w:tcPr>
          <w:p>
            <w:pPr>
              <w:jc w:val="right"/>
              <w:spacing w:after="0" w:line="133" w:lineRule="exact"/>
              <w:rPr>
                <w:sz w:val="20"/>
                <w:szCs w:val="20"/>
                <w:color w:val="auto"/>
              </w:rPr>
            </w:pPr>
            <w:r>
              <w:rPr>
                <w:rFonts w:ascii="Arial" w:cs="Arial" w:eastAsia="Arial" w:hAnsi="Arial"/>
                <w:sz w:val="12"/>
                <w:szCs w:val="12"/>
                <w:color w:val="auto"/>
              </w:rPr>
              <w:t>194</w:t>
            </w:r>
          </w:p>
        </w:tc>
      </w:tr>
    </w:tbl>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186 to 194 are an integral part of these Parent Company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182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395605</wp:posOffset>
            </wp:positionV>
            <wp:extent cx="7252970"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219"/>
          </w:cols>
          <w:pgMar w:left="240" w:top="415" w:right="1440"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Parent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-109855</wp:posOffset>
            </wp:positionV>
            <wp:extent cx="282575" cy="8170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82575" cy="8170545"/>
                    </a:xfrm>
                    <a:prstGeom prst="rect">
                      <a:avLst/>
                    </a:prstGeom>
                    <a:noFill/>
                  </pic:spPr>
                </pic:pic>
              </a:graphicData>
            </a:graphic>
          </wp:anchor>
        </w:drawing>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020" w:type="dxa"/>
            <w:vAlign w:val="bottom"/>
            <w:shd w:val="clear" w:color="auto" w:fill="0066A5"/>
          </w:tcPr>
          <w:p>
            <w:pPr>
              <w:ind w:left="20"/>
              <w:spacing w:after="0"/>
              <w:rPr>
                <w:sz w:val="20"/>
                <w:szCs w:val="20"/>
                <w:color w:val="auto"/>
              </w:rPr>
            </w:pPr>
            <w:r>
              <w:rPr>
                <w:rFonts w:ascii="Arial" w:cs="Arial" w:eastAsia="Arial" w:hAnsi="Arial"/>
                <w:sz w:val="12"/>
                <w:szCs w:val="12"/>
                <w:b w:val="1"/>
                <w:bCs w:val="1"/>
                <w:color w:val="FFFFFF"/>
              </w:rPr>
              <w:t>STATEMENT OF INCOME</w:t>
            </w:r>
          </w:p>
        </w:tc>
        <w:tc>
          <w:tcPr>
            <w:tcW w:w="2680" w:type="dxa"/>
            <w:vAlign w:val="bottom"/>
            <w:shd w:val="clear" w:color="auto" w:fill="0066A5"/>
          </w:tcPr>
          <w:p>
            <w:pPr>
              <w:spacing w:after="0"/>
              <w:rPr>
                <w:sz w:val="12"/>
                <w:szCs w:val="12"/>
                <w:color w:val="auto"/>
              </w:rPr>
            </w:pPr>
          </w:p>
        </w:tc>
        <w:tc>
          <w:tcPr>
            <w:tcW w:w="760" w:type="dxa"/>
            <w:vAlign w:val="bottom"/>
            <w:shd w:val="clear" w:color="auto" w:fill="0066A5"/>
          </w:tcPr>
          <w:p>
            <w:pPr>
              <w:spacing w:after="0"/>
              <w:rPr>
                <w:sz w:val="12"/>
                <w:szCs w:val="12"/>
                <w:color w:val="auto"/>
              </w:rPr>
            </w:pPr>
          </w:p>
        </w:tc>
        <w:tc>
          <w:tcPr>
            <w:tcW w:w="1260" w:type="dxa"/>
            <w:vAlign w:val="bottom"/>
            <w:shd w:val="clear" w:color="auto" w:fill="0066A5"/>
          </w:tcPr>
          <w:p>
            <w:pPr>
              <w:jc w:val="right"/>
              <w:ind w:right="38"/>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33"/>
        </w:trPr>
        <w:tc>
          <w:tcPr>
            <w:tcW w:w="6020" w:type="dxa"/>
            <w:vAlign w:val="bottom"/>
            <w:shd w:val="clear" w:color="auto" w:fill="E4E3E1"/>
          </w:tcPr>
          <w:p>
            <w:pPr>
              <w:spacing w:after="0"/>
              <w:rPr>
                <w:sz w:val="11"/>
                <w:szCs w:val="11"/>
                <w:color w:val="auto"/>
              </w:rPr>
            </w:pPr>
          </w:p>
        </w:tc>
        <w:tc>
          <w:tcPr>
            <w:tcW w:w="2680" w:type="dxa"/>
            <w:vAlign w:val="bottom"/>
            <w:shd w:val="clear" w:color="auto" w:fill="E4E3E1"/>
          </w:tcPr>
          <w:p>
            <w:pPr>
              <w:jc w:val="right"/>
              <w:ind w:right="578"/>
              <w:spacing w:after="0" w:line="128" w:lineRule="exact"/>
              <w:rPr>
                <w:sz w:val="20"/>
                <w:szCs w:val="20"/>
                <w:color w:val="auto"/>
              </w:rPr>
            </w:pPr>
            <w:r>
              <w:rPr>
                <w:rFonts w:ascii="Arial" w:cs="Arial" w:eastAsia="Arial" w:hAnsi="Arial"/>
                <w:sz w:val="12"/>
                <w:szCs w:val="12"/>
                <w:i w:val="1"/>
                <w:iCs w:val="1"/>
                <w:color w:val="auto"/>
              </w:rPr>
              <w:t>NOTES</w:t>
            </w:r>
          </w:p>
        </w:tc>
        <w:tc>
          <w:tcPr>
            <w:tcW w:w="76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27"/>
        </w:trPr>
        <w:tc>
          <w:tcPr>
            <w:tcW w:w="6020" w:type="dxa"/>
            <w:vAlign w:val="bottom"/>
          </w:tcPr>
          <w:p>
            <w:pPr>
              <w:ind w:left="20"/>
              <w:spacing w:after="0" w:line="128" w:lineRule="exact"/>
              <w:rPr>
                <w:sz w:val="20"/>
                <w:szCs w:val="20"/>
                <w:color w:val="auto"/>
              </w:rPr>
            </w:pPr>
            <w:r>
              <w:rPr>
                <w:rFonts w:ascii="Arial" w:cs="Arial" w:eastAsia="Arial" w:hAnsi="Arial"/>
                <w:sz w:val="12"/>
                <w:szCs w:val="12"/>
                <w:color w:val="auto"/>
              </w:rPr>
              <w:t>Dividend income</w:t>
            </w:r>
          </w:p>
        </w:tc>
        <w:tc>
          <w:tcPr>
            <w:tcW w:w="2680" w:type="dxa"/>
            <w:vAlign w:val="bottom"/>
          </w:tcPr>
          <w:p>
            <w:pPr>
              <w:spacing w:after="0"/>
              <w:rPr>
                <w:sz w:val="11"/>
                <w:szCs w:val="11"/>
                <w:color w:val="auto"/>
              </w:rPr>
            </w:pPr>
          </w:p>
        </w:tc>
        <w:tc>
          <w:tcPr>
            <w:tcW w:w="760" w:type="dxa"/>
            <w:vAlign w:val="bottom"/>
            <w:shd w:val="clear" w:color="auto" w:fill="E4E3E1"/>
          </w:tcPr>
          <w:p>
            <w:pPr>
              <w:jc w:val="right"/>
              <w:ind w:right="58"/>
              <w:spacing w:after="0" w:line="128" w:lineRule="exact"/>
              <w:rPr>
                <w:sz w:val="20"/>
                <w:szCs w:val="20"/>
                <w:color w:val="auto"/>
              </w:rPr>
            </w:pPr>
            <w:r>
              <w:rPr>
                <w:rFonts w:ascii="Arial" w:cs="Arial" w:eastAsia="Arial" w:hAnsi="Arial"/>
                <w:sz w:val="12"/>
                <w:szCs w:val="12"/>
                <w:color w:val="auto"/>
              </w:rPr>
              <w:t>14,739</w:t>
            </w:r>
          </w:p>
        </w:tc>
        <w:tc>
          <w:tcPr>
            <w:tcW w:w="1260" w:type="dxa"/>
            <w:vAlign w:val="bottom"/>
          </w:tcPr>
          <w:p>
            <w:pPr>
              <w:jc w:val="right"/>
              <w:ind w:right="38"/>
              <w:spacing w:after="0" w:line="128" w:lineRule="exact"/>
              <w:rPr>
                <w:sz w:val="20"/>
                <w:szCs w:val="20"/>
                <w:color w:val="auto"/>
              </w:rPr>
            </w:pPr>
            <w:r>
              <w:rPr>
                <w:rFonts w:ascii="Arial" w:cs="Arial" w:eastAsia="Arial" w:hAnsi="Arial"/>
                <w:sz w:val="12"/>
                <w:szCs w:val="12"/>
                <w:color w:val="auto"/>
              </w:rPr>
              <w:t>17,174</w:t>
            </w:r>
          </w:p>
        </w:tc>
        <w:tc>
          <w:tcPr>
            <w:tcW w:w="0" w:type="dxa"/>
            <w:vAlign w:val="bottom"/>
          </w:tcPr>
          <w:p>
            <w:pPr>
              <w:spacing w:after="0"/>
              <w:rPr>
                <w:sz w:val="1"/>
                <w:szCs w:val="1"/>
                <w:color w:val="auto"/>
              </w:rPr>
            </w:pPr>
          </w:p>
        </w:tc>
      </w:tr>
      <w:tr>
        <w:trPr>
          <w:trHeight w:val="133"/>
        </w:trPr>
        <w:tc>
          <w:tcPr>
            <w:tcW w:w="6020" w:type="dxa"/>
            <w:vAlign w:val="bottom"/>
          </w:tcPr>
          <w:p>
            <w:pPr>
              <w:ind w:left="20"/>
              <w:spacing w:after="0" w:line="133" w:lineRule="exact"/>
              <w:rPr>
                <w:sz w:val="20"/>
                <w:szCs w:val="20"/>
                <w:color w:val="auto"/>
              </w:rPr>
            </w:pPr>
            <w:r>
              <w:rPr>
                <w:rFonts w:ascii="Arial" w:cs="Arial" w:eastAsia="Arial" w:hAnsi="Arial"/>
                <w:sz w:val="12"/>
                <w:szCs w:val="12"/>
                <w:color w:val="auto"/>
              </w:rPr>
              <w:t>Administrative expenses</w:t>
            </w:r>
          </w:p>
        </w:tc>
        <w:tc>
          <w:tcPr>
            <w:tcW w:w="2680" w:type="dxa"/>
            <w:vAlign w:val="bottom"/>
            <w:vMerge w:val="restart"/>
          </w:tcPr>
          <w:p>
            <w:pPr>
              <w:jc w:val="right"/>
              <w:ind w:right="578"/>
              <w:spacing w:after="0"/>
              <w:rPr>
                <w:sz w:val="20"/>
                <w:szCs w:val="20"/>
                <w:color w:val="auto"/>
              </w:rPr>
            </w:pPr>
            <w:r>
              <w:rPr>
                <w:rFonts w:ascii="Arial" w:cs="Arial" w:eastAsia="Arial" w:hAnsi="Arial"/>
                <w:sz w:val="12"/>
                <w:szCs w:val="12"/>
                <w:i w:val="1"/>
                <w:iCs w:val="1"/>
                <w:color w:val="auto"/>
              </w:rPr>
              <w:t>3</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(27)</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21"/>
        </w:trPr>
        <w:tc>
          <w:tcPr>
            <w:tcW w:w="6020" w:type="dxa"/>
            <w:vAlign w:val="bottom"/>
          </w:tcPr>
          <w:p>
            <w:pPr>
              <w:ind w:left="20"/>
              <w:spacing w:after="0" w:line="121" w:lineRule="exact"/>
              <w:rPr>
                <w:sz w:val="20"/>
                <w:szCs w:val="20"/>
                <w:color w:val="auto"/>
              </w:rPr>
            </w:pPr>
            <w:r>
              <w:rPr>
                <w:rFonts w:ascii="Arial" w:cs="Arial" w:eastAsia="Arial" w:hAnsi="Arial"/>
                <w:sz w:val="12"/>
                <w:szCs w:val="12"/>
                <w:color w:val="auto"/>
              </w:rPr>
              <w:t>Finance income</w:t>
            </w:r>
          </w:p>
        </w:tc>
        <w:tc>
          <w:tcPr>
            <w:tcW w:w="2680" w:type="dxa"/>
            <w:vAlign w:val="bottom"/>
            <w:vMerge w:val="continue"/>
          </w:tcPr>
          <w:p>
            <w:pPr>
              <w:spacing w:after="0"/>
              <w:rPr>
                <w:sz w:val="10"/>
                <w:szCs w:val="10"/>
                <w:color w:val="auto"/>
              </w:rPr>
            </w:pPr>
          </w:p>
        </w:tc>
        <w:tc>
          <w:tcPr>
            <w:tcW w:w="760" w:type="dxa"/>
            <w:vAlign w:val="bottom"/>
            <w:shd w:val="clear" w:color="auto" w:fill="E4E3E1"/>
          </w:tcPr>
          <w:p>
            <w:pPr>
              <w:jc w:val="right"/>
              <w:ind w:right="58"/>
              <w:spacing w:after="0" w:line="121" w:lineRule="exact"/>
              <w:rPr>
                <w:sz w:val="20"/>
                <w:szCs w:val="20"/>
                <w:color w:val="auto"/>
              </w:rPr>
            </w:pPr>
            <w:r>
              <w:rPr>
                <w:rFonts w:ascii="Arial" w:cs="Arial" w:eastAsia="Arial" w:hAnsi="Arial"/>
                <w:sz w:val="12"/>
                <w:szCs w:val="12"/>
                <w:color w:val="auto"/>
              </w:rPr>
              <w:t>436</w:t>
            </w:r>
          </w:p>
        </w:tc>
        <w:tc>
          <w:tcPr>
            <w:tcW w:w="1260" w:type="dxa"/>
            <w:vAlign w:val="bottom"/>
          </w:tcPr>
          <w:p>
            <w:pPr>
              <w:jc w:val="right"/>
              <w:ind w:right="38"/>
              <w:spacing w:after="0" w:line="121" w:lineRule="exact"/>
              <w:rPr>
                <w:sz w:val="20"/>
                <w:szCs w:val="20"/>
                <w:color w:val="auto"/>
              </w:rPr>
            </w:pPr>
            <w:r>
              <w:rPr>
                <w:rFonts w:ascii="Arial" w:cs="Arial" w:eastAsia="Arial" w:hAnsi="Arial"/>
                <w:sz w:val="12"/>
                <w:szCs w:val="12"/>
                <w:color w:val="auto"/>
              </w:rPr>
              <w:t>478</w:t>
            </w:r>
          </w:p>
        </w:tc>
        <w:tc>
          <w:tcPr>
            <w:tcW w:w="0" w:type="dxa"/>
            <w:vAlign w:val="bottom"/>
          </w:tcPr>
          <w:p>
            <w:pPr>
              <w:spacing w:after="0"/>
              <w:rPr>
                <w:sz w:val="1"/>
                <w:szCs w:val="1"/>
                <w:color w:val="auto"/>
              </w:rPr>
            </w:pPr>
          </w:p>
        </w:tc>
      </w:tr>
      <w:tr>
        <w:trPr>
          <w:trHeight w:val="151"/>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Finance expense</w:t>
            </w:r>
          </w:p>
        </w:tc>
        <w:tc>
          <w:tcPr>
            <w:tcW w:w="268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i w:val="1"/>
                <w:iCs w:val="1"/>
                <w:color w:val="auto"/>
              </w:rPr>
              <w:t>3</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Income before taxation</w:t>
            </w:r>
          </w:p>
        </w:tc>
        <w:tc>
          <w:tcPr>
            <w:tcW w:w="2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15,137</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17,596</w:t>
            </w:r>
          </w:p>
        </w:tc>
        <w:tc>
          <w:tcPr>
            <w:tcW w:w="0" w:type="dxa"/>
            <w:vAlign w:val="bottom"/>
          </w:tcPr>
          <w:p>
            <w:pPr>
              <w:spacing w:after="0"/>
              <w:rPr>
                <w:sz w:val="1"/>
                <w:szCs w:val="1"/>
                <w:color w:val="auto"/>
              </w:rPr>
            </w:pPr>
          </w:p>
        </w:tc>
      </w:tr>
      <w:tr>
        <w:trPr>
          <w:trHeight w:val="14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Taxation</w:t>
            </w:r>
          </w:p>
        </w:tc>
        <w:tc>
          <w:tcPr>
            <w:tcW w:w="268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i w:val="1"/>
                <w:iCs w:val="1"/>
                <w:color w:val="auto"/>
              </w:rPr>
              <w:t>5</w:t>
            </w: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46"/>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Income for the period attributable to shareholders of Royal Dutch Shell plc</w:t>
            </w:r>
          </w:p>
        </w:tc>
        <w:tc>
          <w:tcPr>
            <w:tcW w:w="26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15,135</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17,638</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All results are from continuing activities.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186 to 194 are an integral part of these Parent Company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1241425</wp:posOffset>
            </wp:positionV>
            <wp:extent cx="7252970"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PARENT COMPANY FINANCIAL STATEMENTS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80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BALANCE SHEET</w:t>
            </w:r>
          </w:p>
        </w:tc>
        <w:tc>
          <w:tcPr>
            <w:tcW w:w="3380" w:type="dxa"/>
            <w:vAlign w:val="bottom"/>
            <w:shd w:val="clear" w:color="auto" w:fill="0066A5"/>
          </w:tcPr>
          <w:p>
            <w:pPr>
              <w:spacing w:after="0"/>
              <w:rPr>
                <w:sz w:val="12"/>
                <w:szCs w:val="12"/>
                <w:color w:val="auto"/>
              </w:rPr>
            </w:pPr>
          </w:p>
        </w:tc>
        <w:tc>
          <w:tcPr>
            <w:tcW w:w="840" w:type="dxa"/>
            <w:vAlign w:val="bottom"/>
            <w:shd w:val="clear" w:color="auto" w:fill="0066A5"/>
          </w:tcPr>
          <w:p>
            <w:pPr>
              <w:spacing w:after="0"/>
              <w:rPr>
                <w:sz w:val="12"/>
                <w:szCs w:val="12"/>
                <w:color w:val="auto"/>
              </w:rPr>
            </w:pPr>
          </w:p>
        </w:tc>
        <w:tc>
          <w:tcPr>
            <w:tcW w:w="1400" w:type="dxa"/>
            <w:vAlign w:val="bottom"/>
            <w:shd w:val="clear" w:color="auto" w:fill="0066A5"/>
          </w:tcPr>
          <w:p>
            <w:pPr>
              <w:jc w:val="right"/>
              <w:ind w:right="38"/>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33"/>
        </w:trPr>
        <w:tc>
          <w:tcPr>
            <w:tcW w:w="5800" w:type="dxa"/>
            <w:vAlign w:val="bottom"/>
            <w:shd w:val="clear" w:color="auto" w:fill="E4E3E1"/>
          </w:tcPr>
          <w:p>
            <w:pPr>
              <w:spacing w:after="0"/>
              <w:rPr>
                <w:sz w:val="11"/>
                <w:szCs w:val="11"/>
                <w:color w:val="auto"/>
              </w:rPr>
            </w:pPr>
          </w:p>
        </w:tc>
        <w:tc>
          <w:tcPr>
            <w:tcW w:w="3380" w:type="dxa"/>
            <w:vAlign w:val="bottom"/>
            <w:shd w:val="clear" w:color="auto" w:fill="E4E3E1"/>
          </w:tcPr>
          <w:p>
            <w:pPr>
              <w:jc w:val="right"/>
              <w:ind w:right="598"/>
              <w:spacing w:after="0" w:line="133" w:lineRule="exact"/>
              <w:rPr>
                <w:sz w:val="20"/>
                <w:szCs w:val="20"/>
                <w:color w:val="auto"/>
              </w:rPr>
            </w:pPr>
            <w:r>
              <w:rPr>
                <w:rFonts w:ascii="Arial" w:cs="Arial" w:eastAsia="Arial" w:hAnsi="Arial"/>
                <w:sz w:val="12"/>
                <w:szCs w:val="12"/>
                <w:i w:val="1"/>
                <w:iCs w:val="1"/>
                <w:color w:val="auto"/>
              </w:rPr>
              <w:t>NOTES</w:t>
            </w:r>
          </w:p>
        </w:tc>
        <w:tc>
          <w:tcPr>
            <w:tcW w:w="84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Dec 31, 2007</w:t>
            </w:r>
          </w:p>
        </w:tc>
        <w:tc>
          <w:tcPr>
            <w:tcW w:w="140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Dec 31, 2006</w:t>
            </w:r>
          </w:p>
        </w:tc>
        <w:tc>
          <w:tcPr>
            <w:tcW w:w="0" w:type="dxa"/>
            <w:vAlign w:val="bottom"/>
          </w:tcPr>
          <w:p>
            <w:pPr>
              <w:spacing w:after="0"/>
              <w:rPr>
                <w:sz w:val="1"/>
                <w:szCs w:val="1"/>
                <w:color w:val="auto"/>
              </w:rPr>
            </w:pPr>
          </w:p>
        </w:tc>
      </w:tr>
      <w:tr>
        <w:trPr>
          <w:trHeight w:val="113"/>
        </w:trPr>
        <w:tc>
          <w:tcPr>
            <w:tcW w:w="5800" w:type="dxa"/>
            <w:vAlign w:val="bottom"/>
          </w:tcPr>
          <w:p>
            <w:pPr>
              <w:spacing w:after="0" w:line="114" w:lineRule="exact"/>
              <w:rPr>
                <w:sz w:val="20"/>
                <w:szCs w:val="20"/>
                <w:color w:val="auto"/>
              </w:rPr>
            </w:pPr>
            <w:r>
              <w:rPr>
                <w:rFonts w:ascii="Arial" w:cs="Arial" w:eastAsia="Arial" w:hAnsi="Arial"/>
                <w:sz w:val="12"/>
                <w:szCs w:val="12"/>
                <w:b w:val="1"/>
                <w:bCs w:val="1"/>
                <w:color w:val="auto"/>
              </w:rPr>
              <w:t>ASSETS</w:t>
            </w:r>
          </w:p>
        </w:tc>
        <w:tc>
          <w:tcPr>
            <w:tcW w:w="3380" w:type="dxa"/>
            <w:vAlign w:val="bottom"/>
          </w:tcPr>
          <w:p>
            <w:pPr>
              <w:spacing w:after="0"/>
              <w:rPr>
                <w:sz w:val="9"/>
                <w:szCs w:val="9"/>
                <w:color w:val="auto"/>
              </w:rPr>
            </w:pPr>
          </w:p>
        </w:tc>
        <w:tc>
          <w:tcPr>
            <w:tcW w:w="840" w:type="dxa"/>
            <w:vAlign w:val="bottom"/>
            <w:shd w:val="clear" w:color="auto" w:fill="E4E3E1"/>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b w:val="1"/>
                <w:bCs w:val="1"/>
                <w:color w:val="auto"/>
              </w:rPr>
              <w:t>Non-current assets</w:t>
            </w:r>
          </w:p>
        </w:tc>
        <w:tc>
          <w:tcPr>
            <w:tcW w:w="3380" w:type="dxa"/>
            <w:vAlign w:val="bottom"/>
            <w:vMerge w:val="restart"/>
          </w:tcPr>
          <w:p>
            <w:pPr>
              <w:jc w:val="right"/>
              <w:ind w:right="598"/>
              <w:spacing w:after="0"/>
              <w:rPr>
                <w:sz w:val="20"/>
                <w:szCs w:val="20"/>
                <w:color w:val="auto"/>
              </w:rPr>
            </w:pPr>
            <w:r>
              <w:rPr>
                <w:rFonts w:ascii="Arial" w:cs="Arial" w:eastAsia="Arial" w:hAnsi="Arial"/>
                <w:sz w:val="12"/>
                <w:szCs w:val="12"/>
                <w:i w:val="1"/>
                <w:iCs w:val="1"/>
                <w:color w:val="auto"/>
              </w:rPr>
              <w:t>6</w:t>
            </w:r>
          </w:p>
        </w:tc>
        <w:tc>
          <w:tcPr>
            <w:tcW w:w="840" w:type="dxa"/>
            <w:vAlign w:val="bottom"/>
            <w:shd w:val="clear" w:color="auto" w:fill="E4E3E1"/>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5800" w:type="dxa"/>
            <w:vAlign w:val="bottom"/>
          </w:tcPr>
          <w:p>
            <w:pPr>
              <w:spacing w:after="0" w:line="121" w:lineRule="exact"/>
              <w:rPr>
                <w:sz w:val="20"/>
                <w:szCs w:val="20"/>
                <w:color w:val="auto"/>
              </w:rPr>
            </w:pPr>
            <w:r>
              <w:rPr>
                <w:rFonts w:ascii="Arial" w:cs="Arial" w:eastAsia="Arial" w:hAnsi="Arial"/>
                <w:sz w:val="12"/>
                <w:szCs w:val="12"/>
                <w:color w:val="auto"/>
              </w:rPr>
              <w:t>Investments in subsidiaries</w:t>
            </w:r>
          </w:p>
        </w:tc>
        <w:tc>
          <w:tcPr>
            <w:tcW w:w="3380" w:type="dxa"/>
            <w:vAlign w:val="bottom"/>
            <w:vMerge w:val="continue"/>
          </w:tcPr>
          <w:p>
            <w:pPr>
              <w:spacing w:after="0"/>
              <w:rPr>
                <w:sz w:val="10"/>
                <w:szCs w:val="10"/>
                <w:color w:val="auto"/>
              </w:rPr>
            </w:pPr>
          </w:p>
        </w:tc>
        <w:tc>
          <w:tcPr>
            <w:tcW w:w="840" w:type="dxa"/>
            <w:vAlign w:val="bottom"/>
            <w:shd w:val="clear" w:color="auto" w:fill="E4E3E1"/>
          </w:tcPr>
          <w:p>
            <w:pPr>
              <w:jc w:val="right"/>
              <w:ind w:right="38"/>
              <w:spacing w:after="0" w:line="121" w:lineRule="exact"/>
              <w:rPr>
                <w:sz w:val="20"/>
                <w:szCs w:val="20"/>
                <w:color w:val="auto"/>
              </w:rPr>
            </w:pPr>
            <w:r>
              <w:rPr>
                <w:rFonts w:ascii="Arial" w:cs="Arial" w:eastAsia="Arial" w:hAnsi="Arial"/>
                <w:sz w:val="12"/>
                <w:szCs w:val="12"/>
                <w:color w:val="auto"/>
              </w:rPr>
              <w:t>200,613</w:t>
            </w:r>
          </w:p>
        </w:tc>
        <w:tc>
          <w:tcPr>
            <w:tcW w:w="14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200,613</w:t>
            </w:r>
          </w:p>
        </w:tc>
        <w:tc>
          <w:tcPr>
            <w:tcW w:w="0" w:type="dxa"/>
            <w:vAlign w:val="bottom"/>
          </w:tcPr>
          <w:p>
            <w:pPr>
              <w:spacing w:after="0"/>
              <w:rPr>
                <w:sz w:val="1"/>
                <w:szCs w:val="1"/>
                <w:color w:val="auto"/>
              </w:rPr>
            </w:pPr>
          </w:p>
        </w:tc>
      </w:tr>
      <w:tr>
        <w:trPr>
          <w:trHeight w:val="151"/>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Deferred tax</w:t>
            </w:r>
          </w:p>
        </w:tc>
        <w:tc>
          <w:tcPr>
            <w:tcW w:w="338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i w:val="1"/>
                <w:iCs w:val="1"/>
                <w:color w:val="auto"/>
              </w:rPr>
              <w:t>5</w:t>
            </w: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18</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200,631</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200,623</w:t>
            </w:r>
          </w:p>
        </w:tc>
        <w:tc>
          <w:tcPr>
            <w:tcW w:w="0" w:type="dxa"/>
            <w:vAlign w:val="bottom"/>
          </w:tcPr>
          <w:p>
            <w:pPr>
              <w:spacing w:after="0"/>
              <w:rPr>
                <w:sz w:val="1"/>
                <w:szCs w:val="1"/>
                <w:color w:val="auto"/>
              </w:rPr>
            </w:pPr>
          </w:p>
        </w:tc>
      </w:tr>
      <w:tr>
        <w:trPr>
          <w:trHeight w:val="134"/>
        </w:trPr>
        <w:tc>
          <w:tcPr>
            <w:tcW w:w="5800" w:type="dxa"/>
            <w:vAlign w:val="bottom"/>
          </w:tcPr>
          <w:p>
            <w:pPr>
              <w:spacing w:after="0" w:line="134" w:lineRule="exact"/>
              <w:rPr>
                <w:sz w:val="20"/>
                <w:szCs w:val="20"/>
                <w:color w:val="auto"/>
              </w:rPr>
            </w:pPr>
            <w:r>
              <w:rPr>
                <w:rFonts w:ascii="Arial" w:cs="Arial" w:eastAsia="Arial" w:hAnsi="Arial"/>
                <w:sz w:val="12"/>
                <w:szCs w:val="12"/>
                <w:b w:val="1"/>
                <w:bCs w:val="1"/>
                <w:color w:val="auto"/>
              </w:rPr>
              <w:t>Current assets</w:t>
            </w:r>
          </w:p>
        </w:tc>
        <w:tc>
          <w:tcPr>
            <w:tcW w:w="3380" w:type="dxa"/>
            <w:vAlign w:val="bottom"/>
            <w:vMerge w:val="restart"/>
          </w:tcPr>
          <w:p>
            <w:pPr>
              <w:jc w:val="right"/>
              <w:ind w:right="598"/>
              <w:spacing w:after="0"/>
              <w:rPr>
                <w:sz w:val="20"/>
                <w:szCs w:val="20"/>
                <w:color w:val="auto"/>
              </w:rPr>
            </w:pPr>
            <w:r>
              <w:rPr>
                <w:rFonts w:ascii="Arial" w:cs="Arial" w:eastAsia="Arial" w:hAnsi="Arial"/>
                <w:sz w:val="12"/>
                <w:szCs w:val="12"/>
                <w:i w:val="1"/>
                <w:iCs w:val="1"/>
                <w:color w:val="auto"/>
              </w:rPr>
              <w:t>7</w:t>
            </w:r>
          </w:p>
        </w:tc>
        <w:tc>
          <w:tcPr>
            <w:tcW w:w="840" w:type="dxa"/>
            <w:vAlign w:val="bottom"/>
            <w:shd w:val="clear" w:color="auto" w:fill="E4E3E1"/>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800" w:type="dxa"/>
            <w:vAlign w:val="bottom"/>
          </w:tcPr>
          <w:p>
            <w:pPr>
              <w:spacing w:after="0" w:line="121" w:lineRule="exact"/>
              <w:rPr>
                <w:sz w:val="20"/>
                <w:szCs w:val="20"/>
                <w:color w:val="auto"/>
              </w:rPr>
            </w:pPr>
            <w:r>
              <w:rPr>
                <w:rFonts w:ascii="Arial" w:cs="Arial" w:eastAsia="Arial" w:hAnsi="Arial"/>
                <w:sz w:val="12"/>
                <w:szCs w:val="12"/>
                <w:color w:val="auto"/>
              </w:rPr>
              <w:t>Accounts receivable</w:t>
            </w:r>
          </w:p>
        </w:tc>
        <w:tc>
          <w:tcPr>
            <w:tcW w:w="3380" w:type="dxa"/>
            <w:vAlign w:val="bottom"/>
            <w:vMerge w:val="continue"/>
          </w:tcPr>
          <w:p>
            <w:pPr>
              <w:spacing w:after="0"/>
              <w:rPr>
                <w:sz w:val="10"/>
                <w:szCs w:val="10"/>
                <w:color w:val="auto"/>
              </w:rPr>
            </w:pPr>
          </w:p>
        </w:tc>
        <w:tc>
          <w:tcPr>
            <w:tcW w:w="840" w:type="dxa"/>
            <w:vAlign w:val="bottom"/>
            <w:shd w:val="clear" w:color="auto" w:fill="E4E3E1"/>
          </w:tcPr>
          <w:p>
            <w:pPr>
              <w:jc w:val="right"/>
              <w:ind w:right="38"/>
              <w:spacing w:after="0" w:line="121" w:lineRule="exact"/>
              <w:rPr>
                <w:sz w:val="20"/>
                <w:szCs w:val="20"/>
                <w:color w:val="auto"/>
              </w:rPr>
            </w:pPr>
            <w:r>
              <w:rPr>
                <w:rFonts w:ascii="Arial" w:cs="Arial" w:eastAsia="Arial" w:hAnsi="Arial"/>
                <w:sz w:val="12"/>
                <w:szCs w:val="12"/>
                <w:color w:val="auto"/>
              </w:rPr>
              <w:t>8,204</w:t>
            </w:r>
          </w:p>
        </w:tc>
        <w:tc>
          <w:tcPr>
            <w:tcW w:w="14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6,633</w:t>
            </w:r>
          </w:p>
        </w:tc>
        <w:tc>
          <w:tcPr>
            <w:tcW w:w="0" w:type="dxa"/>
            <w:vAlign w:val="bottom"/>
          </w:tcPr>
          <w:p>
            <w:pPr>
              <w:spacing w:after="0"/>
              <w:rPr>
                <w:sz w:val="1"/>
                <w:szCs w:val="1"/>
                <w:color w:val="auto"/>
              </w:rPr>
            </w:pPr>
          </w:p>
        </w:tc>
      </w:tr>
      <w:tr>
        <w:trPr>
          <w:trHeight w:val="151"/>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 and cash equivalents</w:t>
            </w:r>
          </w:p>
        </w:tc>
        <w:tc>
          <w:tcPr>
            <w:tcW w:w="3380" w:type="dxa"/>
            <w:vAlign w:val="bottom"/>
            <w:tcBorders>
              <w:bottom w:val="single" w:sz="8" w:color="auto"/>
            </w:tcBorders>
          </w:tcPr>
          <w:p>
            <w:pPr>
              <w:jc w:val="right"/>
              <w:ind w:right="598"/>
              <w:spacing w:after="0"/>
              <w:rPr>
                <w:sz w:val="20"/>
                <w:szCs w:val="20"/>
                <w:color w:val="auto"/>
              </w:rPr>
            </w:pPr>
            <w:r>
              <w:rPr>
                <w:rFonts w:ascii="Arial" w:cs="Arial" w:eastAsia="Arial" w:hAnsi="Arial"/>
                <w:sz w:val="12"/>
                <w:szCs w:val="12"/>
                <w:i w:val="1"/>
                <w:iCs w:val="1"/>
                <w:color w:val="auto"/>
              </w:rPr>
              <w:t>8</w:t>
            </w: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657</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649</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8,861</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7,282</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assets</w:t>
            </w: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209,492</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207,905</w:t>
            </w:r>
          </w:p>
        </w:tc>
        <w:tc>
          <w:tcPr>
            <w:tcW w:w="0" w:type="dxa"/>
            <w:vAlign w:val="bottom"/>
          </w:tcPr>
          <w:p>
            <w:pPr>
              <w:spacing w:after="0"/>
              <w:rPr>
                <w:sz w:val="1"/>
                <w:szCs w:val="1"/>
                <w:color w:val="auto"/>
              </w:rPr>
            </w:pPr>
          </w:p>
        </w:tc>
      </w:tr>
      <w:tr>
        <w:trPr>
          <w:trHeight w:val="120"/>
        </w:trPr>
        <w:tc>
          <w:tcPr>
            <w:tcW w:w="5800" w:type="dxa"/>
            <w:vAlign w:val="bottom"/>
          </w:tcPr>
          <w:p>
            <w:pPr>
              <w:spacing w:after="0" w:line="120" w:lineRule="exact"/>
              <w:rPr>
                <w:sz w:val="20"/>
                <w:szCs w:val="20"/>
                <w:color w:val="auto"/>
              </w:rPr>
            </w:pPr>
            <w:r>
              <w:rPr>
                <w:rFonts w:ascii="Arial" w:cs="Arial" w:eastAsia="Arial" w:hAnsi="Arial"/>
                <w:sz w:val="12"/>
                <w:szCs w:val="12"/>
                <w:b w:val="1"/>
                <w:bCs w:val="1"/>
                <w:color w:val="auto"/>
              </w:rPr>
              <w:t>LIABILITIES</w:t>
            </w:r>
          </w:p>
        </w:tc>
        <w:tc>
          <w:tcPr>
            <w:tcW w:w="3380" w:type="dxa"/>
            <w:vAlign w:val="bottom"/>
          </w:tcPr>
          <w:p>
            <w:pPr>
              <w:spacing w:after="0"/>
              <w:rPr>
                <w:sz w:val="10"/>
                <w:szCs w:val="10"/>
                <w:color w:val="auto"/>
              </w:rPr>
            </w:pPr>
          </w:p>
        </w:tc>
        <w:tc>
          <w:tcPr>
            <w:tcW w:w="840" w:type="dxa"/>
            <w:vAlign w:val="bottom"/>
            <w:shd w:val="clear" w:color="auto" w:fill="E4E3E1"/>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800" w:type="dxa"/>
            <w:vAlign w:val="bottom"/>
          </w:tcPr>
          <w:p>
            <w:pPr>
              <w:spacing w:after="0"/>
              <w:rPr>
                <w:sz w:val="20"/>
                <w:szCs w:val="20"/>
                <w:color w:val="auto"/>
              </w:rPr>
            </w:pPr>
            <w:r>
              <w:rPr>
                <w:rFonts w:ascii="Arial" w:cs="Arial" w:eastAsia="Arial" w:hAnsi="Arial"/>
                <w:sz w:val="12"/>
                <w:szCs w:val="12"/>
                <w:b w:val="1"/>
                <w:bCs w:val="1"/>
                <w:color w:val="auto"/>
              </w:rPr>
              <w:t>Current liabilities</w:t>
            </w:r>
          </w:p>
        </w:tc>
        <w:tc>
          <w:tcPr>
            <w:tcW w:w="3380" w:type="dxa"/>
            <w:vAlign w:val="bottom"/>
            <w:vMerge w:val="restart"/>
          </w:tcPr>
          <w:p>
            <w:pPr>
              <w:jc w:val="right"/>
              <w:ind w:right="598"/>
              <w:spacing w:after="0"/>
              <w:rPr>
                <w:sz w:val="20"/>
                <w:szCs w:val="20"/>
                <w:color w:val="auto"/>
              </w:rPr>
            </w:pPr>
            <w:r>
              <w:rPr>
                <w:rFonts w:ascii="Arial" w:cs="Arial" w:eastAsia="Arial" w:hAnsi="Arial"/>
                <w:sz w:val="12"/>
                <w:szCs w:val="12"/>
                <w:i w:val="1"/>
                <w:iCs w:val="1"/>
                <w:color w:val="auto"/>
              </w:rPr>
              <w:t>10</w:t>
            </w:r>
          </w:p>
        </w:tc>
        <w:tc>
          <w:tcPr>
            <w:tcW w:w="840" w:type="dxa"/>
            <w:vAlign w:val="bottom"/>
            <w:shd w:val="clear" w:color="auto" w:fill="E4E3E1"/>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Accounts payable and accrued liabilities</w:t>
            </w:r>
          </w:p>
        </w:tc>
        <w:tc>
          <w:tcPr>
            <w:tcW w:w="338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890</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918</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890</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918</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liabilities</w:t>
            </w: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890</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918</w:t>
            </w:r>
          </w:p>
        </w:tc>
        <w:tc>
          <w:tcPr>
            <w:tcW w:w="0" w:type="dxa"/>
            <w:vAlign w:val="bottom"/>
          </w:tcPr>
          <w:p>
            <w:pPr>
              <w:spacing w:after="0"/>
              <w:rPr>
                <w:sz w:val="1"/>
                <w:szCs w:val="1"/>
                <w:color w:val="auto"/>
              </w:rPr>
            </w:pPr>
          </w:p>
        </w:tc>
      </w:tr>
      <w:tr>
        <w:trPr>
          <w:trHeight w:val="134"/>
        </w:trPr>
        <w:tc>
          <w:tcPr>
            <w:tcW w:w="5800" w:type="dxa"/>
            <w:vAlign w:val="bottom"/>
          </w:tcPr>
          <w:p>
            <w:pPr>
              <w:spacing w:after="0" w:line="134" w:lineRule="exact"/>
              <w:rPr>
                <w:sz w:val="20"/>
                <w:szCs w:val="20"/>
                <w:color w:val="auto"/>
              </w:rPr>
            </w:pPr>
            <w:r>
              <w:rPr>
                <w:rFonts w:ascii="Arial" w:cs="Arial" w:eastAsia="Arial" w:hAnsi="Arial"/>
                <w:sz w:val="12"/>
                <w:szCs w:val="12"/>
                <w:b w:val="1"/>
                <w:bCs w:val="1"/>
                <w:color w:val="auto"/>
              </w:rPr>
              <w:t>EQUITY</w:t>
            </w:r>
          </w:p>
        </w:tc>
        <w:tc>
          <w:tcPr>
            <w:tcW w:w="3380" w:type="dxa"/>
            <w:vAlign w:val="bottom"/>
            <w:vMerge w:val="restart"/>
          </w:tcPr>
          <w:p>
            <w:pPr>
              <w:jc w:val="right"/>
              <w:ind w:right="598"/>
              <w:spacing w:after="0"/>
              <w:rPr>
                <w:sz w:val="20"/>
                <w:szCs w:val="20"/>
                <w:color w:val="auto"/>
              </w:rPr>
            </w:pPr>
            <w:r>
              <w:rPr>
                <w:rFonts w:ascii="Arial" w:cs="Arial" w:eastAsia="Arial" w:hAnsi="Arial"/>
                <w:sz w:val="12"/>
                <w:szCs w:val="12"/>
                <w:i w:val="1"/>
                <w:iCs w:val="1"/>
                <w:color w:val="auto"/>
              </w:rPr>
              <w:t>11</w:t>
            </w:r>
          </w:p>
        </w:tc>
        <w:tc>
          <w:tcPr>
            <w:tcW w:w="840" w:type="dxa"/>
            <w:vAlign w:val="bottom"/>
            <w:shd w:val="clear" w:color="auto" w:fill="E4E3E1"/>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800" w:type="dxa"/>
            <w:vAlign w:val="bottom"/>
          </w:tcPr>
          <w:p>
            <w:pPr>
              <w:spacing w:after="0" w:line="121" w:lineRule="exact"/>
              <w:rPr>
                <w:sz w:val="20"/>
                <w:szCs w:val="20"/>
                <w:color w:val="auto"/>
              </w:rPr>
            </w:pPr>
            <w:r>
              <w:rPr>
                <w:rFonts w:ascii="Arial" w:cs="Arial" w:eastAsia="Arial" w:hAnsi="Arial"/>
                <w:sz w:val="12"/>
                <w:szCs w:val="12"/>
                <w:color w:val="auto"/>
              </w:rPr>
              <w:t>Ordinary share capital</w:t>
            </w:r>
          </w:p>
        </w:tc>
        <w:tc>
          <w:tcPr>
            <w:tcW w:w="3380" w:type="dxa"/>
            <w:vAlign w:val="bottom"/>
            <w:vMerge w:val="continue"/>
          </w:tcPr>
          <w:p>
            <w:pPr>
              <w:spacing w:after="0"/>
              <w:rPr>
                <w:sz w:val="10"/>
                <w:szCs w:val="10"/>
                <w:color w:val="auto"/>
              </w:rPr>
            </w:pPr>
          </w:p>
        </w:tc>
        <w:tc>
          <w:tcPr>
            <w:tcW w:w="840" w:type="dxa"/>
            <w:vAlign w:val="bottom"/>
            <w:shd w:val="clear" w:color="auto" w:fill="E4E3E1"/>
          </w:tcPr>
          <w:p>
            <w:pPr>
              <w:jc w:val="right"/>
              <w:ind w:right="38"/>
              <w:spacing w:after="0" w:line="121" w:lineRule="exact"/>
              <w:rPr>
                <w:sz w:val="20"/>
                <w:szCs w:val="20"/>
                <w:color w:val="auto"/>
              </w:rPr>
            </w:pPr>
            <w:r>
              <w:rPr>
                <w:rFonts w:ascii="Arial" w:cs="Arial" w:eastAsia="Arial" w:hAnsi="Arial"/>
                <w:sz w:val="12"/>
                <w:szCs w:val="12"/>
                <w:color w:val="auto"/>
              </w:rPr>
              <w:t>536</w:t>
            </w:r>
          </w:p>
        </w:tc>
        <w:tc>
          <w:tcPr>
            <w:tcW w:w="1400" w:type="dxa"/>
            <w:vAlign w:val="bottom"/>
          </w:tcPr>
          <w:p>
            <w:pPr>
              <w:jc w:val="right"/>
              <w:ind w:right="38"/>
              <w:spacing w:after="0" w:line="121" w:lineRule="exact"/>
              <w:rPr>
                <w:sz w:val="20"/>
                <w:szCs w:val="20"/>
                <w:color w:val="auto"/>
              </w:rPr>
            </w:pPr>
            <w:r>
              <w:rPr>
                <w:rFonts w:ascii="Arial" w:cs="Arial" w:eastAsia="Arial" w:hAnsi="Arial"/>
                <w:sz w:val="12"/>
                <w:szCs w:val="12"/>
                <w:color w:val="auto"/>
              </w:rPr>
              <w:t>545</w:t>
            </w:r>
          </w:p>
        </w:tc>
        <w:tc>
          <w:tcPr>
            <w:tcW w:w="0" w:type="dxa"/>
            <w:vAlign w:val="bottom"/>
          </w:tcPr>
          <w:p>
            <w:pPr>
              <w:spacing w:after="0"/>
              <w:rPr>
                <w:sz w:val="1"/>
                <w:szCs w:val="1"/>
                <w:color w:val="auto"/>
              </w:rPr>
            </w:pPr>
          </w:p>
        </w:tc>
      </w:tr>
      <w:tr>
        <w:trPr>
          <w:trHeight w:val="145"/>
        </w:trPr>
        <w:tc>
          <w:tcPr>
            <w:tcW w:w="5800" w:type="dxa"/>
            <w:vAlign w:val="bottom"/>
          </w:tcPr>
          <w:p>
            <w:pPr>
              <w:spacing w:after="0"/>
              <w:rPr>
                <w:sz w:val="20"/>
                <w:szCs w:val="20"/>
                <w:color w:val="auto"/>
              </w:rPr>
            </w:pPr>
            <w:r>
              <w:rPr>
                <w:rFonts w:ascii="Arial" w:cs="Arial" w:eastAsia="Arial" w:hAnsi="Arial"/>
                <w:sz w:val="12"/>
                <w:szCs w:val="12"/>
                <w:color w:val="auto"/>
              </w:rPr>
              <w:t>Other reserves</w:t>
            </w:r>
          </w:p>
        </w:tc>
        <w:tc>
          <w:tcPr>
            <w:tcW w:w="3380" w:type="dxa"/>
            <w:vAlign w:val="bottom"/>
          </w:tcPr>
          <w:p>
            <w:pPr>
              <w:jc w:val="right"/>
              <w:ind w:right="598"/>
              <w:spacing w:after="0"/>
              <w:rPr>
                <w:sz w:val="20"/>
                <w:szCs w:val="20"/>
                <w:color w:val="auto"/>
              </w:rPr>
            </w:pPr>
            <w:r>
              <w:rPr>
                <w:rFonts w:ascii="Arial" w:cs="Arial" w:eastAsia="Arial" w:hAnsi="Arial"/>
                <w:sz w:val="12"/>
                <w:szCs w:val="12"/>
                <w:i w:val="1"/>
                <w:iCs w:val="1"/>
                <w:color w:val="auto"/>
              </w:rPr>
              <w:t>12</w:t>
            </w:r>
          </w:p>
        </w:tc>
        <w:tc>
          <w:tcPr>
            <w:tcW w:w="84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201,180</w:t>
            </w:r>
          </w:p>
        </w:tc>
        <w:tc>
          <w:tcPr>
            <w:tcW w:w="1400" w:type="dxa"/>
            <w:vAlign w:val="bottom"/>
          </w:tcPr>
          <w:p>
            <w:pPr>
              <w:jc w:val="right"/>
              <w:ind w:right="38"/>
              <w:spacing w:after="0"/>
              <w:rPr>
                <w:sz w:val="20"/>
                <w:szCs w:val="20"/>
                <w:color w:val="auto"/>
              </w:rPr>
            </w:pPr>
            <w:r>
              <w:rPr>
                <w:rFonts w:ascii="Arial" w:cs="Arial" w:eastAsia="Arial" w:hAnsi="Arial"/>
                <w:sz w:val="12"/>
                <w:szCs w:val="12"/>
                <w:color w:val="auto"/>
              </w:rPr>
              <w:t>200,824</w:t>
            </w:r>
          </w:p>
        </w:tc>
        <w:tc>
          <w:tcPr>
            <w:tcW w:w="0" w:type="dxa"/>
            <w:vAlign w:val="bottom"/>
          </w:tcPr>
          <w:p>
            <w:pPr>
              <w:spacing w:after="0"/>
              <w:rPr>
                <w:sz w:val="1"/>
                <w:szCs w:val="1"/>
                <w:color w:val="auto"/>
              </w:rPr>
            </w:pPr>
          </w:p>
        </w:tc>
      </w:tr>
      <w:tr>
        <w:trPr>
          <w:trHeight w:val="139"/>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Retained earnings</w:t>
            </w: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6,886</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5,618</w:t>
            </w:r>
          </w:p>
        </w:tc>
        <w:tc>
          <w:tcPr>
            <w:tcW w:w="0" w:type="dxa"/>
            <w:vAlign w:val="bottom"/>
          </w:tcPr>
          <w:p>
            <w:pPr>
              <w:spacing w:after="0"/>
              <w:rPr>
                <w:sz w:val="1"/>
                <w:szCs w:val="1"/>
                <w:color w:val="auto"/>
              </w:rPr>
            </w:pPr>
          </w:p>
        </w:tc>
      </w:tr>
      <w:tr>
        <w:trPr>
          <w:trHeight w:val="140"/>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Equity attributable to shareholders of Royal Dutch Shell plc</w:t>
            </w: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208,602</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206,987</w:t>
            </w:r>
          </w:p>
        </w:tc>
        <w:tc>
          <w:tcPr>
            <w:tcW w:w="0" w:type="dxa"/>
            <w:vAlign w:val="bottom"/>
          </w:tcPr>
          <w:p>
            <w:pPr>
              <w:spacing w:after="0"/>
              <w:rPr>
                <w:sz w:val="1"/>
                <w:szCs w:val="1"/>
                <w:color w:val="auto"/>
              </w:rPr>
            </w:pPr>
          </w:p>
        </w:tc>
      </w:tr>
      <w:tr>
        <w:trPr>
          <w:trHeight w:val="146"/>
        </w:trPr>
        <w:tc>
          <w:tcPr>
            <w:tcW w:w="58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liabilities and equity</w:t>
            </w:r>
          </w:p>
        </w:tc>
        <w:tc>
          <w:tcPr>
            <w:tcW w:w="3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209,492</w:t>
            </w:r>
          </w:p>
        </w:tc>
        <w:tc>
          <w:tcPr>
            <w:tcW w:w="14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207,905</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Peter Voser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261366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1366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Voser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 for and on behalf of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186 to 194 are an integral part of these Parent Company Financial Statements.</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184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00" w:type="dxa"/>
            <w:vAlign w:val="bottom"/>
            <w:shd w:val="clear" w:color="auto" w:fill="0066A5"/>
          </w:tcPr>
          <w:p>
            <w:pPr>
              <w:ind w:left="20"/>
              <w:spacing w:after="0"/>
              <w:rPr>
                <w:sz w:val="20"/>
                <w:szCs w:val="20"/>
                <w:color w:val="auto"/>
              </w:rPr>
            </w:pPr>
            <w:r>
              <w:rPr>
                <w:rFonts w:ascii="Arial" w:cs="Arial" w:eastAsia="Arial" w:hAnsi="Arial"/>
                <w:sz w:val="12"/>
                <w:szCs w:val="12"/>
                <w:b w:val="1"/>
                <w:bCs w:val="1"/>
                <w:color w:val="FFFFFF"/>
              </w:rPr>
              <w:t>STATEMENT OF CHANGES IN EQUITY</w:t>
            </w:r>
          </w:p>
        </w:tc>
        <w:tc>
          <w:tcPr>
            <w:tcW w:w="1680" w:type="dxa"/>
            <w:vAlign w:val="bottom"/>
            <w:shd w:val="clear" w:color="auto" w:fill="0066A5"/>
          </w:tcPr>
          <w:p>
            <w:pPr>
              <w:spacing w:after="0"/>
              <w:rPr>
                <w:sz w:val="12"/>
                <w:szCs w:val="12"/>
                <w:color w:val="auto"/>
              </w:rPr>
            </w:pPr>
          </w:p>
        </w:tc>
        <w:tc>
          <w:tcPr>
            <w:tcW w:w="1240" w:type="dxa"/>
            <w:vAlign w:val="bottom"/>
            <w:shd w:val="clear" w:color="auto" w:fill="0066A5"/>
          </w:tcPr>
          <w:p>
            <w:pPr>
              <w:spacing w:after="0"/>
              <w:rPr>
                <w:sz w:val="12"/>
                <w:szCs w:val="12"/>
                <w:color w:val="auto"/>
              </w:rPr>
            </w:pPr>
          </w:p>
        </w:tc>
        <w:tc>
          <w:tcPr>
            <w:tcW w:w="1240" w:type="dxa"/>
            <w:vAlign w:val="bottom"/>
            <w:shd w:val="clear" w:color="auto" w:fill="0066A5"/>
          </w:tcPr>
          <w:p>
            <w:pPr>
              <w:spacing w:after="0"/>
              <w:rPr>
                <w:sz w:val="12"/>
                <w:szCs w:val="12"/>
                <w:color w:val="auto"/>
              </w:rPr>
            </w:pPr>
          </w:p>
        </w:tc>
        <w:tc>
          <w:tcPr>
            <w:tcW w:w="1300" w:type="dxa"/>
            <w:vAlign w:val="bottom"/>
            <w:shd w:val="clear" w:color="auto" w:fill="0066A5"/>
          </w:tcPr>
          <w:p>
            <w:pPr>
              <w:spacing w:after="0"/>
              <w:rPr>
                <w:sz w:val="12"/>
                <w:szCs w:val="12"/>
                <w:color w:val="auto"/>
              </w:rPr>
            </w:pPr>
          </w:p>
        </w:tc>
        <w:tc>
          <w:tcPr>
            <w:tcW w:w="960" w:type="dxa"/>
            <w:vAlign w:val="bottom"/>
            <w:shd w:val="clear" w:color="auto" w:fill="0066A5"/>
          </w:tcPr>
          <w:p>
            <w:pPr>
              <w:jc w:val="right"/>
              <w:ind w:right="38"/>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27"/>
        </w:trPr>
        <w:tc>
          <w:tcPr>
            <w:tcW w:w="4300" w:type="dxa"/>
            <w:vAlign w:val="bottom"/>
            <w:shd w:val="clear" w:color="auto" w:fill="E4E3E1"/>
          </w:tcPr>
          <w:p>
            <w:pPr>
              <w:spacing w:after="0"/>
              <w:rPr>
                <w:sz w:val="11"/>
                <w:szCs w:val="11"/>
                <w:color w:val="auto"/>
              </w:rPr>
            </w:pPr>
          </w:p>
        </w:tc>
        <w:tc>
          <w:tcPr>
            <w:tcW w:w="1680" w:type="dxa"/>
            <w:vAlign w:val="bottom"/>
            <w:vMerge w:val="restart"/>
            <w:shd w:val="clear" w:color="auto" w:fill="E4E3E1"/>
          </w:tcPr>
          <w:p>
            <w:pPr>
              <w:jc w:val="right"/>
              <w:ind w:right="398"/>
              <w:spacing w:after="0"/>
              <w:rPr>
                <w:sz w:val="20"/>
                <w:szCs w:val="20"/>
                <w:color w:val="auto"/>
              </w:rPr>
            </w:pPr>
            <w:r>
              <w:rPr>
                <w:rFonts w:ascii="Arial" w:cs="Arial" w:eastAsia="Arial" w:hAnsi="Arial"/>
                <w:sz w:val="12"/>
                <w:szCs w:val="12"/>
                <w:i w:val="1"/>
                <w:iCs w:val="1"/>
                <w:color w:val="auto"/>
              </w:rPr>
              <w:t>NOTES</w:t>
            </w:r>
          </w:p>
        </w:tc>
        <w:tc>
          <w:tcPr>
            <w:tcW w:w="1240" w:type="dxa"/>
            <w:vAlign w:val="bottom"/>
            <w:shd w:val="clear" w:color="auto" w:fill="E4E3E1"/>
          </w:tcPr>
          <w:p>
            <w:pPr>
              <w:jc w:val="right"/>
              <w:ind w:right="358"/>
              <w:spacing w:after="0" w:line="128" w:lineRule="exact"/>
              <w:rPr>
                <w:sz w:val="20"/>
                <w:szCs w:val="20"/>
                <w:color w:val="auto"/>
              </w:rPr>
            </w:pPr>
            <w:r>
              <w:rPr>
                <w:rFonts w:ascii="Arial" w:cs="Arial" w:eastAsia="Arial" w:hAnsi="Arial"/>
                <w:sz w:val="12"/>
                <w:szCs w:val="12"/>
                <w:color w:val="auto"/>
              </w:rPr>
              <w:t>Share</w:t>
            </w:r>
          </w:p>
        </w:tc>
        <w:tc>
          <w:tcPr>
            <w:tcW w:w="1240" w:type="dxa"/>
            <w:vAlign w:val="bottom"/>
            <w:shd w:val="clear" w:color="auto" w:fill="E4E3E1"/>
          </w:tcPr>
          <w:p>
            <w:pPr>
              <w:jc w:val="right"/>
              <w:ind w:right="338"/>
              <w:spacing w:after="0" w:line="128" w:lineRule="exact"/>
              <w:rPr>
                <w:sz w:val="20"/>
                <w:szCs w:val="20"/>
                <w:color w:val="auto"/>
              </w:rPr>
            </w:pPr>
            <w:r>
              <w:rPr>
                <w:rFonts w:ascii="Arial" w:cs="Arial" w:eastAsia="Arial" w:hAnsi="Arial"/>
                <w:sz w:val="12"/>
                <w:szCs w:val="12"/>
                <w:color w:val="auto"/>
              </w:rPr>
              <w:t>Other</w:t>
            </w:r>
          </w:p>
        </w:tc>
        <w:tc>
          <w:tcPr>
            <w:tcW w:w="1300" w:type="dxa"/>
            <w:vAlign w:val="bottom"/>
            <w:shd w:val="clear" w:color="auto" w:fill="E4E3E1"/>
          </w:tcPr>
          <w:p>
            <w:pPr>
              <w:jc w:val="right"/>
              <w:ind w:right="358"/>
              <w:spacing w:after="0" w:line="128" w:lineRule="exact"/>
              <w:rPr>
                <w:sz w:val="20"/>
                <w:szCs w:val="20"/>
                <w:color w:val="auto"/>
              </w:rPr>
            </w:pPr>
            <w:r>
              <w:rPr>
                <w:rFonts w:ascii="Arial" w:cs="Arial" w:eastAsia="Arial" w:hAnsi="Arial"/>
                <w:sz w:val="12"/>
                <w:szCs w:val="12"/>
                <w:color w:val="auto"/>
              </w:rPr>
              <w:t>Retained</w:t>
            </w:r>
          </w:p>
        </w:tc>
        <w:tc>
          <w:tcPr>
            <w:tcW w:w="96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9"/>
        </w:trPr>
        <w:tc>
          <w:tcPr>
            <w:tcW w:w="4300" w:type="dxa"/>
            <w:vAlign w:val="bottom"/>
            <w:shd w:val="clear" w:color="auto" w:fill="E4E3E1"/>
          </w:tcPr>
          <w:p>
            <w:pPr>
              <w:spacing w:after="0"/>
              <w:rPr>
                <w:sz w:val="12"/>
                <w:szCs w:val="12"/>
                <w:color w:val="auto"/>
              </w:rPr>
            </w:pPr>
          </w:p>
        </w:tc>
        <w:tc>
          <w:tcPr>
            <w:tcW w:w="1680" w:type="dxa"/>
            <w:vAlign w:val="bottom"/>
            <w:vMerge w:val="continue"/>
            <w:shd w:val="clear" w:color="auto" w:fill="E4E3E1"/>
          </w:tcPr>
          <w:p>
            <w:pPr>
              <w:spacing w:after="0"/>
              <w:rPr>
                <w:sz w:val="12"/>
                <w:szCs w:val="12"/>
                <w:color w:val="auto"/>
              </w:rPr>
            </w:pPr>
          </w:p>
        </w:tc>
        <w:tc>
          <w:tcPr>
            <w:tcW w:w="1240" w:type="dxa"/>
            <w:vAlign w:val="bottom"/>
            <w:shd w:val="clear" w:color="auto" w:fill="E4E3E1"/>
          </w:tcPr>
          <w:p>
            <w:pPr>
              <w:jc w:val="right"/>
              <w:ind w:right="358"/>
              <w:spacing w:after="0"/>
              <w:rPr>
                <w:sz w:val="20"/>
                <w:szCs w:val="20"/>
                <w:color w:val="auto"/>
              </w:rPr>
            </w:pPr>
            <w:r>
              <w:rPr>
                <w:rFonts w:ascii="Arial" w:cs="Arial" w:eastAsia="Arial" w:hAnsi="Arial"/>
                <w:sz w:val="12"/>
                <w:szCs w:val="12"/>
                <w:color w:val="auto"/>
              </w:rPr>
              <w:t>capital</w:t>
            </w:r>
          </w:p>
        </w:tc>
        <w:tc>
          <w:tcPr>
            <w:tcW w:w="1240" w:type="dxa"/>
            <w:vAlign w:val="bottom"/>
            <w:shd w:val="clear" w:color="auto" w:fill="E4E3E1"/>
          </w:tcPr>
          <w:p>
            <w:pPr>
              <w:jc w:val="right"/>
              <w:ind w:right="338"/>
              <w:spacing w:after="0"/>
              <w:rPr>
                <w:sz w:val="20"/>
                <w:szCs w:val="20"/>
                <w:color w:val="auto"/>
              </w:rPr>
            </w:pPr>
            <w:r>
              <w:rPr>
                <w:rFonts w:ascii="Arial" w:cs="Arial" w:eastAsia="Arial" w:hAnsi="Arial"/>
                <w:sz w:val="12"/>
                <w:szCs w:val="12"/>
                <w:color w:val="auto"/>
              </w:rPr>
              <w:t>reserves</w:t>
            </w:r>
          </w:p>
        </w:tc>
        <w:tc>
          <w:tcPr>
            <w:tcW w:w="1300" w:type="dxa"/>
            <w:vAlign w:val="bottom"/>
            <w:shd w:val="clear" w:color="auto" w:fill="E4E3E1"/>
          </w:tcPr>
          <w:p>
            <w:pPr>
              <w:jc w:val="right"/>
              <w:ind w:right="358"/>
              <w:spacing w:after="0"/>
              <w:rPr>
                <w:sz w:val="20"/>
                <w:szCs w:val="20"/>
                <w:color w:val="auto"/>
              </w:rPr>
            </w:pPr>
            <w:r>
              <w:rPr>
                <w:rFonts w:ascii="Arial" w:cs="Arial" w:eastAsia="Arial" w:hAnsi="Arial"/>
                <w:sz w:val="12"/>
                <w:szCs w:val="12"/>
                <w:color w:val="auto"/>
              </w:rPr>
              <w:t>earnings</w:t>
            </w:r>
          </w:p>
        </w:tc>
        <w:tc>
          <w:tcPr>
            <w:tcW w:w="960" w:type="dxa"/>
            <w:vAlign w:val="bottom"/>
            <w:shd w:val="clear" w:color="auto" w:fill="E4E3E1"/>
          </w:tcPr>
          <w:p>
            <w:pPr>
              <w:jc w:val="right"/>
              <w:ind w:right="38"/>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27"/>
        </w:trPr>
        <w:tc>
          <w:tcPr>
            <w:tcW w:w="43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At January 1, 2006</w:t>
            </w:r>
          </w:p>
        </w:tc>
        <w:tc>
          <w:tcPr>
            <w:tcW w:w="1680" w:type="dxa"/>
            <w:vAlign w:val="bottom"/>
          </w:tcPr>
          <w:p>
            <w:pPr>
              <w:spacing w:after="0"/>
              <w:rPr>
                <w:sz w:val="11"/>
                <w:szCs w:val="11"/>
                <w:color w:val="auto"/>
              </w:rPr>
            </w:pPr>
          </w:p>
        </w:tc>
        <w:tc>
          <w:tcPr>
            <w:tcW w:w="124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571</w:t>
            </w:r>
          </w:p>
        </w:tc>
        <w:tc>
          <w:tcPr>
            <w:tcW w:w="1240" w:type="dxa"/>
            <w:vAlign w:val="bottom"/>
          </w:tcPr>
          <w:p>
            <w:pPr>
              <w:jc w:val="right"/>
              <w:ind w:right="338"/>
              <w:spacing w:after="0" w:line="128" w:lineRule="exact"/>
              <w:rPr>
                <w:sz w:val="20"/>
                <w:szCs w:val="20"/>
                <w:color w:val="auto"/>
              </w:rPr>
            </w:pPr>
            <w:r>
              <w:rPr>
                <w:rFonts w:ascii="Arial" w:cs="Arial" w:eastAsia="Arial" w:hAnsi="Arial"/>
                <w:sz w:val="12"/>
                <w:szCs w:val="12"/>
                <w:color w:val="auto"/>
              </w:rPr>
              <w:t>200,420</w:t>
            </w:r>
          </w:p>
        </w:tc>
        <w:tc>
          <w:tcPr>
            <w:tcW w:w="1300" w:type="dxa"/>
            <w:vAlign w:val="bottom"/>
          </w:tcPr>
          <w:p>
            <w:pPr>
              <w:jc w:val="right"/>
              <w:ind w:right="358"/>
              <w:spacing w:after="0" w:line="128" w:lineRule="exact"/>
              <w:rPr>
                <w:sz w:val="20"/>
                <w:szCs w:val="20"/>
                <w:color w:val="auto"/>
              </w:rPr>
            </w:pPr>
            <w:r>
              <w:rPr>
                <w:rFonts w:ascii="Arial" w:cs="Arial" w:eastAsia="Arial" w:hAnsi="Arial"/>
                <w:sz w:val="12"/>
                <w:szCs w:val="12"/>
                <w:color w:val="auto"/>
              </w:rPr>
              <w:t>4,323</w:t>
            </w:r>
          </w:p>
        </w:tc>
        <w:tc>
          <w:tcPr>
            <w:tcW w:w="960" w:type="dxa"/>
            <w:vAlign w:val="bottom"/>
          </w:tcPr>
          <w:p>
            <w:pPr>
              <w:jc w:val="right"/>
              <w:ind w:right="38"/>
              <w:spacing w:after="0" w:line="128" w:lineRule="exact"/>
              <w:rPr>
                <w:sz w:val="20"/>
                <w:szCs w:val="20"/>
                <w:color w:val="auto"/>
              </w:rPr>
            </w:pPr>
            <w:r>
              <w:rPr>
                <w:rFonts w:ascii="Arial" w:cs="Arial" w:eastAsia="Arial" w:hAnsi="Arial"/>
                <w:sz w:val="12"/>
                <w:szCs w:val="12"/>
                <w:color w:val="auto"/>
              </w:rPr>
              <w:t>205,314</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Income for the period</w:t>
            </w:r>
          </w:p>
        </w:tc>
        <w:tc>
          <w:tcPr>
            <w:tcW w:w="1680" w:type="dxa"/>
            <w:vAlign w:val="bottom"/>
            <w:vMerge w:val="restart"/>
          </w:tcPr>
          <w:p>
            <w:pPr>
              <w:jc w:val="right"/>
              <w:ind w:right="398"/>
              <w:spacing w:after="0"/>
              <w:rPr>
                <w:sz w:val="20"/>
                <w:szCs w:val="20"/>
                <w:color w:val="auto"/>
              </w:rPr>
            </w:pPr>
            <w:r>
              <w:rPr>
                <w:rFonts w:ascii="Arial" w:cs="Arial" w:eastAsia="Arial" w:hAnsi="Arial"/>
                <w:sz w:val="12"/>
                <w:szCs w:val="12"/>
                <w:i w:val="1"/>
                <w:iCs w:val="1"/>
                <w:color w:val="auto"/>
              </w:rPr>
              <w:t>12</w:t>
            </w:r>
          </w:p>
        </w:tc>
        <w:tc>
          <w:tcPr>
            <w:tcW w:w="12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30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17,638</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17,638</w:t>
            </w:r>
          </w:p>
        </w:tc>
        <w:tc>
          <w:tcPr>
            <w:tcW w:w="0" w:type="dxa"/>
            <w:vAlign w:val="bottom"/>
          </w:tcPr>
          <w:p>
            <w:pPr>
              <w:spacing w:after="0"/>
              <w:rPr>
                <w:sz w:val="1"/>
                <w:szCs w:val="1"/>
                <w:color w:val="auto"/>
              </w:rPr>
            </w:pPr>
          </w:p>
        </w:tc>
      </w:tr>
      <w:tr>
        <w:trPr>
          <w:trHeight w:val="121"/>
        </w:trPr>
        <w:tc>
          <w:tcPr>
            <w:tcW w:w="4300" w:type="dxa"/>
            <w:vAlign w:val="bottom"/>
          </w:tcPr>
          <w:p>
            <w:pPr>
              <w:ind w:left="20"/>
              <w:spacing w:after="0" w:line="121" w:lineRule="exact"/>
              <w:rPr>
                <w:sz w:val="20"/>
                <w:szCs w:val="20"/>
                <w:color w:val="auto"/>
              </w:rPr>
            </w:pPr>
            <w:r>
              <w:rPr>
                <w:rFonts w:ascii="Arial" w:cs="Arial" w:eastAsia="Arial" w:hAnsi="Arial"/>
                <w:sz w:val="12"/>
                <w:szCs w:val="12"/>
                <w:color w:val="auto"/>
              </w:rPr>
              <w:t>Share-based compensation</w:t>
            </w:r>
          </w:p>
        </w:tc>
        <w:tc>
          <w:tcPr>
            <w:tcW w:w="1680" w:type="dxa"/>
            <w:vAlign w:val="bottom"/>
            <w:vMerge w:val="continue"/>
          </w:tcPr>
          <w:p>
            <w:pPr>
              <w:spacing w:after="0"/>
              <w:rPr>
                <w:sz w:val="10"/>
                <w:szCs w:val="10"/>
                <w:color w:val="auto"/>
              </w:rPr>
            </w:pPr>
          </w:p>
        </w:tc>
        <w:tc>
          <w:tcPr>
            <w:tcW w:w="1240" w:type="dxa"/>
            <w:vAlign w:val="bottom"/>
          </w:tcPr>
          <w:p>
            <w:pPr>
              <w:jc w:val="right"/>
              <w:ind w:right="358"/>
              <w:spacing w:after="0" w:line="121"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21" w:lineRule="exact"/>
              <w:rPr>
                <w:sz w:val="20"/>
                <w:szCs w:val="20"/>
                <w:color w:val="auto"/>
              </w:rPr>
            </w:pPr>
            <w:r>
              <w:rPr>
                <w:rFonts w:ascii="Arial" w:cs="Arial" w:eastAsia="Arial" w:hAnsi="Arial"/>
                <w:sz w:val="12"/>
                <w:szCs w:val="12"/>
                <w:color w:val="auto"/>
              </w:rPr>
              <w:t>224</w:t>
            </w:r>
          </w:p>
        </w:tc>
        <w:tc>
          <w:tcPr>
            <w:tcW w:w="1300" w:type="dxa"/>
            <w:vAlign w:val="bottom"/>
          </w:tcPr>
          <w:p>
            <w:pPr>
              <w:jc w:val="right"/>
              <w:ind w:right="358"/>
              <w:spacing w:after="0" w:line="121"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21" w:lineRule="exact"/>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Dividends paid</w:t>
            </w:r>
          </w:p>
        </w:tc>
        <w:tc>
          <w:tcPr>
            <w:tcW w:w="1680" w:type="dxa"/>
            <w:vAlign w:val="bottom"/>
          </w:tcPr>
          <w:p>
            <w:pPr>
              <w:jc w:val="right"/>
              <w:ind w:right="398"/>
              <w:spacing w:after="0" w:line="133" w:lineRule="exact"/>
              <w:rPr>
                <w:sz w:val="20"/>
                <w:szCs w:val="20"/>
                <w:color w:val="auto"/>
              </w:rPr>
            </w:pPr>
            <w:r>
              <w:rPr>
                <w:rFonts w:ascii="Arial" w:cs="Arial" w:eastAsia="Arial" w:hAnsi="Arial"/>
                <w:sz w:val="12"/>
                <w:szCs w:val="12"/>
                <w:i w:val="1"/>
                <w:iCs w:val="1"/>
                <w:color w:val="auto"/>
              </w:rPr>
              <w:t>13</w:t>
            </w:r>
          </w:p>
        </w:tc>
        <w:tc>
          <w:tcPr>
            <w:tcW w:w="12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3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(8,142)</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(8,142)</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Issue of share capital</w:t>
            </w:r>
          </w:p>
        </w:tc>
        <w:tc>
          <w:tcPr>
            <w:tcW w:w="1680" w:type="dxa"/>
            <w:vAlign w:val="bottom"/>
          </w:tcPr>
          <w:p>
            <w:pPr>
              <w:jc w:val="right"/>
              <w:ind w:right="398"/>
              <w:spacing w:after="0" w:line="133" w:lineRule="exact"/>
              <w:rPr>
                <w:sz w:val="20"/>
                <w:szCs w:val="20"/>
                <w:color w:val="auto"/>
              </w:rPr>
            </w:pPr>
            <w:r>
              <w:rPr>
                <w:rFonts w:ascii="Arial" w:cs="Arial" w:eastAsia="Arial" w:hAnsi="Arial"/>
                <w:sz w:val="12"/>
                <w:szCs w:val="12"/>
                <w:i w:val="1"/>
                <w:iCs w:val="1"/>
                <w:color w:val="auto"/>
              </w:rPr>
              <w:t>11</w:t>
            </w:r>
          </w:p>
        </w:tc>
        <w:tc>
          <w:tcPr>
            <w:tcW w:w="12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154</w:t>
            </w:r>
          </w:p>
        </w:tc>
        <w:tc>
          <w:tcPr>
            <w:tcW w:w="130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154</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Redemption of share capital</w:t>
            </w:r>
          </w:p>
        </w:tc>
        <w:tc>
          <w:tcPr>
            <w:tcW w:w="1680" w:type="dxa"/>
            <w:vAlign w:val="bottom"/>
          </w:tcPr>
          <w:p>
            <w:pPr>
              <w:jc w:val="right"/>
              <w:ind w:right="398"/>
              <w:spacing w:after="0" w:line="133" w:lineRule="exact"/>
              <w:rPr>
                <w:sz w:val="20"/>
                <w:szCs w:val="20"/>
                <w:color w:val="auto"/>
              </w:rPr>
            </w:pPr>
            <w:r>
              <w:rPr>
                <w:rFonts w:ascii="Arial" w:cs="Arial" w:eastAsia="Arial" w:hAnsi="Arial"/>
                <w:sz w:val="12"/>
                <w:szCs w:val="12"/>
                <w:i w:val="1"/>
                <w:iCs w:val="1"/>
                <w:color w:val="auto"/>
              </w:rPr>
              <w:t>11</w:t>
            </w:r>
          </w:p>
        </w:tc>
        <w:tc>
          <w:tcPr>
            <w:tcW w:w="124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(5)</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5</w:t>
            </w:r>
          </w:p>
        </w:tc>
        <w:tc>
          <w:tcPr>
            <w:tcW w:w="130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1"/>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Shares repurchased for cancellation</w:t>
            </w:r>
          </w:p>
        </w:tc>
        <w:tc>
          <w:tcPr>
            <w:tcW w:w="16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i w:val="1"/>
                <w:iCs w:val="1"/>
                <w:color w:val="auto"/>
              </w:rPr>
              <w:t>11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(21)</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21</w:t>
            </w: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(8,201)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(8,201)</w:t>
            </w:r>
          </w:p>
        </w:tc>
        <w:tc>
          <w:tcPr>
            <w:tcW w:w="0" w:type="dxa"/>
            <w:vAlign w:val="bottom"/>
          </w:tcPr>
          <w:p>
            <w:pPr>
              <w:spacing w:after="0"/>
              <w:rPr>
                <w:sz w:val="1"/>
                <w:szCs w:val="1"/>
                <w:color w:val="auto"/>
              </w:rPr>
            </w:pPr>
          </w:p>
        </w:tc>
      </w:tr>
      <w:tr>
        <w:trPr>
          <w:trHeight w:val="134"/>
        </w:trPr>
        <w:tc>
          <w:tcPr>
            <w:tcW w:w="43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At December 31, 2006</w:t>
            </w:r>
          </w:p>
        </w:tc>
        <w:tc>
          <w:tcPr>
            <w:tcW w:w="1680" w:type="dxa"/>
            <w:vAlign w:val="bottom"/>
          </w:tcPr>
          <w:p>
            <w:pPr>
              <w:spacing w:after="0"/>
              <w:rPr>
                <w:sz w:val="11"/>
                <w:szCs w:val="11"/>
                <w:color w:val="auto"/>
              </w:rPr>
            </w:pPr>
          </w:p>
        </w:tc>
        <w:tc>
          <w:tcPr>
            <w:tcW w:w="124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545</w:t>
            </w:r>
          </w:p>
        </w:tc>
        <w:tc>
          <w:tcPr>
            <w:tcW w:w="124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200,824</w:t>
            </w:r>
          </w:p>
        </w:tc>
        <w:tc>
          <w:tcPr>
            <w:tcW w:w="130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5,618</w:t>
            </w:r>
          </w:p>
        </w:tc>
        <w:tc>
          <w:tcPr>
            <w:tcW w:w="9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206,987</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Income for the period</w:t>
            </w:r>
          </w:p>
        </w:tc>
        <w:tc>
          <w:tcPr>
            <w:tcW w:w="1680" w:type="dxa"/>
            <w:vAlign w:val="bottom"/>
            <w:vMerge w:val="restart"/>
          </w:tcPr>
          <w:p>
            <w:pPr>
              <w:jc w:val="right"/>
              <w:ind w:right="398"/>
              <w:spacing w:after="0"/>
              <w:rPr>
                <w:sz w:val="20"/>
                <w:szCs w:val="20"/>
                <w:color w:val="auto"/>
              </w:rPr>
            </w:pPr>
            <w:r>
              <w:rPr>
                <w:rFonts w:ascii="Arial" w:cs="Arial" w:eastAsia="Arial" w:hAnsi="Arial"/>
                <w:sz w:val="12"/>
                <w:szCs w:val="12"/>
                <w:i w:val="1"/>
                <w:iCs w:val="1"/>
                <w:color w:val="auto"/>
              </w:rPr>
              <w:t>12</w:t>
            </w:r>
          </w:p>
        </w:tc>
        <w:tc>
          <w:tcPr>
            <w:tcW w:w="12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30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15,135</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15,135</w:t>
            </w:r>
          </w:p>
        </w:tc>
        <w:tc>
          <w:tcPr>
            <w:tcW w:w="0" w:type="dxa"/>
            <w:vAlign w:val="bottom"/>
          </w:tcPr>
          <w:p>
            <w:pPr>
              <w:spacing w:after="0"/>
              <w:rPr>
                <w:sz w:val="1"/>
                <w:szCs w:val="1"/>
                <w:color w:val="auto"/>
              </w:rPr>
            </w:pPr>
          </w:p>
        </w:tc>
      </w:tr>
      <w:tr>
        <w:trPr>
          <w:trHeight w:val="121"/>
        </w:trPr>
        <w:tc>
          <w:tcPr>
            <w:tcW w:w="4300" w:type="dxa"/>
            <w:vAlign w:val="bottom"/>
          </w:tcPr>
          <w:p>
            <w:pPr>
              <w:ind w:left="20"/>
              <w:spacing w:after="0" w:line="121" w:lineRule="exact"/>
              <w:rPr>
                <w:sz w:val="20"/>
                <w:szCs w:val="20"/>
                <w:color w:val="auto"/>
              </w:rPr>
            </w:pPr>
            <w:r>
              <w:rPr>
                <w:rFonts w:ascii="Arial" w:cs="Arial" w:eastAsia="Arial" w:hAnsi="Arial"/>
                <w:sz w:val="12"/>
                <w:szCs w:val="12"/>
                <w:color w:val="auto"/>
              </w:rPr>
              <w:t>Share-based compensation</w:t>
            </w:r>
          </w:p>
        </w:tc>
        <w:tc>
          <w:tcPr>
            <w:tcW w:w="1680" w:type="dxa"/>
            <w:vAlign w:val="bottom"/>
            <w:vMerge w:val="continue"/>
          </w:tcPr>
          <w:p>
            <w:pPr>
              <w:spacing w:after="0"/>
              <w:rPr>
                <w:sz w:val="10"/>
                <w:szCs w:val="10"/>
                <w:color w:val="auto"/>
              </w:rPr>
            </w:pPr>
          </w:p>
        </w:tc>
        <w:tc>
          <w:tcPr>
            <w:tcW w:w="1240" w:type="dxa"/>
            <w:vAlign w:val="bottom"/>
          </w:tcPr>
          <w:p>
            <w:pPr>
              <w:jc w:val="right"/>
              <w:ind w:right="358"/>
              <w:spacing w:after="0" w:line="121"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21" w:lineRule="exact"/>
              <w:rPr>
                <w:sz w:val="20"/>
                <w:szCs w:val="20"/>
                <w:color w:val="auto"/>
              </w:rPr>
            </w:pPr>
            <w:r>
              <w:rPr>
                <w:rFonts w:ascii="Arial" w:cs="Arial" w:eastAsia="Arial" w:hAnsi="Arial"/>
                <w:sz w:val="12"/>
                <w:szCs w:val="12"/>
                <w:color w:val="auto"/>
              </w:rPr>
              <w:t>347</w:t>
            </w:r>
          </w:p>
        </w:tc>
        <w:tc>
          <w:tcPr>
            <w:tcW w:w="1300" w:type="dxa"/>
            <w:vAlign w:val="bottom"/>
          </w:tcPr>
          <w:p>
            <w:pPr>
              <w:jc w:val="right"/>
              <w:ind w:right="358"/>
              <w:spacing w:after="0" w:line="121" w:lineRule="exact"/>
              <w:rPr>
                <w:sz w:val="20"/>
                <w:szCs w:val="20"/>
                <w:color w:val="auto"/>
              </w:rPr>
            </w:pPr>
            <w:r>
              <w:rPr>
                <w:rFonts w:ascii="Arial" w:cs="Arial" w:eastAsia="Arial" w:hAnsi="Arial"/>
                <w:sz w:val="12"/>
                <w:szCs w:val="12"/>
                <w:color w:val="auto"/>
              </w:rPr>
              <w:t>–</w:t>
            </w:r>
          </w:p>
        </w:tc>
        <w:tc>
          <w:tcPr>
            <w:tcW w:w="960" w:type="dxa"/>
            <w:vAlign w:val="bottom"/>
          </w:tcPr>
          <w:p>
            <w:pPr>
              <w:jc w:val="right"/>
              <w:ind w:right="38"/>
              <w:spacing w:after="0" w:line="121" w:lineRule="exact"/>
              <w:rPr>
                <w:sz w:val="20"/>
                <w:szCs w:val="20"/>
                <w:color w:val="auto"/>
              </w:rPr>
            </w:pPr>
            <w:r>
              <w:rPr>
                <w:rFonts w:ascii="Arial" w:cs="Arial" w:eastAsia="Arial" w:hAnsi="Arial"/>
                <w:sz w:val="12"/>
                <w:szCs w:val="12"/>
                <w:color w:val="auto"/>
              </w:rPr>
              <w:t>347</w:t>
            </w:r>
          </w:p>
        </w:tc>
        <w:tc>
          <w:tcPr>
            <w:tcW w:w="0" w:type="dxa"/>
            <w:vAlign w:val="bottom"/>
          </w:tcPr>
          <w:p>
            <w:pPr>
              <w:spacing w:after="0"/>
              <w:rPr>
                <w:sz w:val="1"/>
                <w:szCs w:val="1"/>
                <w:color w:val="auto"/>
              </w:rPr>
            </w:pPr>
          </w:p>
        </w:tc>
      </w:tr>
      <w:tr>
        <w:trPr>
          <w:trHeight w:val="133"/>
        </w:trPr>
        <w:tc>
          <w:tcPr>
            <w:tcW w:w="4300" w:type="dxa"/>
            <w:vAlign w:val="bottom"/>
          </w:tcPr>
          <w:p>
            <w:pPr>
              <w:ind w:left="20"/>
              <w:spacing w:after="0" w:line="133" w:lineRule="exact"/>
              <w:rPr>
                <w:sz w:val="20"/>
                <w:szCs w:val="20"/>
                <w:color w:val="auto"/>
              </w:rPr>
            </w:pPr>
            <w:r>
              <w:rPr>
                <w:rFonts w:ascii="Arial" w:cs="Arial" w:eastAsia="Arial" w:hAnsi="Arial"/>
                <w:sz w:val="12"/>
                <w:szCs w:val="12"/>
                <w:color w:val="auto"/>
              </w:rPr>
              <w:t>Dividends paid</w:t>
            </w:r>
          </w:p>
        </w:tc>
        <w:tc>
          <w:tcPr>
            <w:tcW w:w="1680" w:type="dxa"/>
            <w:vAlign w:val="bottom"/>
          </w:tcPr>
          <w:p>
            <w:pPr>
              <w:jc w:val="right"/>
              <w:ind w:right="398"/>
              <w:spacing w:after="0" w:line="133" w:lineRule="exact"/>
              <w:rPr>
                <w:sz w:val="20"/>
                <w:szCs w:val="20"/>
                <w:color w:val="auto"/>
              </w:rPr>
            </w:pPr>
            <w:r>
              <w:rPr>
                <w:rFonts w:ascii="Arial" w:cs="Arial" w:eastAsia="Arial" w:hAnsi="Arial"/>
                <w:sz w:val="12"/>
                <w:szCs w:val="12"/>
                <w:i w:val="1"/>
                <w:iCs w:val="1"/>
                <w:color w:val="auto"/>
              </w:rPr>
              <w:t>13</w:t>
            </w:r>
          </w:p>
        </w:tc>
        <w:tc>
          <w:tcPr>
            <w:tcW w:w="1240" w:type="dxa"/>
            <w:vAlign w:val="bottom"/>
          </w:tcPr>
          <w:p>
            <w:pPr>
              <w:jc w:val="right"/>
              <w:ind w:right="358"/>
              <w:spacing w:after="0" w:line="133" w:lineRule="exact"/>
              <w:rPr>
                <w:sz w:val="20"/>
                <w:szCs w:val="20"/>
                <w:color w:val="auto"/>
              </w:rPr>
            </w:pPr>
            <w:r>
              <w:rPr>
                <w:rFonts w:ascii="Arial" w:cs="Arial" w:eastAsia="Arial" w:hAnsi="Arial"/>
                <w:sz w:val="12"/>
                <w:szCs w:val="12"/>
                <w:color w:val="auto"/>
              </w:rPr>
              <w:t>–</w:t>
            </w:r>
          </w:p>
        </w:tc>
        <w:tc>
          <w:tcPr>
            <w:tcW w:w="1240" w:type="dxa"/>
            <w:vAlign w:val="bottom"/>
          </w:tcPr>
          <w:p>
            <w:pPr>
              <w:jc w:val="right"/>
              <w:ind w:right="338"/>
              <w:spacing w:after="0" w:line="133" w:lineRule="exact"/>
              <w:rPr>
                <w:sz w:val="20"/>
                <w:szCs w:val="20"/>
                <w:color w:val="auto"/>
              </w:rPr>
            </w:pPr>
            <w:r>
              <w:rPr>
                <w:rFonts w:ascii="Arial" w:cs="Arial" w:eastAsia="Arial" w:hAnsi="Arial"/>
                <w:sz w:val="12"/>
                <w:szCs w:val="12"/>
                <w:color w:val="auto"/>
              </w:rPr>
              <w:t>–</w:t>
            </w:r>
          </w:p>
        </w:tc>
        <w:tc>
          <w:tcPr>
            <w:tcW w:w="1300" w:type="dxa"/>
            <w:vAlign w:val="bottom"/>
          </w:tcPr>
          <w:p>
            <w:pPr>
              <w:jc w:val="right"/>
              <w:ind w:right="318"/>
              <w:spacing w:after="0" w:line="133" w:lineRule="exact"/>
              <w:rPr>
                <w:sz w:val="20"/>
                <w:szCs w:val="20"/>
                <w:color w:val="auto"/>
              </w:rPr>
            </w:pPr>
            <w:r>
              <w:rPr>
                <w:rFonts w:ascii="Arial" w:cs="Arial" w:eastAsia="Arial" w:hAnsi="Arial"/>
                <w:sz w:val="12"/>
                <w:szCs w:val="12"/>
                <w:color w:val="auto"/>
              </w:rPr>
              <w:t>(9,001)</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(9,001)</w:t>
            </w:r>
          </w:p>
        </w:tc>
        <w:tc>
          <w:tcPr>
            <w:tcW w:w="0" w:type="dxa"/>
            <w:vAlign w:val="bottom"/>
          </w:tcPr>
          <w:p>
            <w:pPr>
              <w:spacing w:after="0"/>
              <w:rPr>
                <w:sz w:val="1"/>
                <w:szCs w:val="1"/>
                <w:color w:val="auto"/>
              </w:rPr>
            </w:pPr>
          </w:p>
        </w:tc>
      </w:tr>
      <w:tr>
        <w:trPr>
          <w:trHeight w:val="151"/>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Shares repurchased for cancellation</w:t>
            </w:r>
          </w:p>
        </w:tc>
        <w:tc>
          <w:tcPr>
            <w:tcW w:w="168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i w:val="1"/>
                <w:iCs w:val="1"/>
                <w:color w:val="auto"/>
              </w:rPr>
              <w:t>11</w:t>
            </w:r>
          </w:p>
        </w:tc>
        <w:tc>
          <w:tcPr>
            <w:tcW w:w="124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(9)</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9</w:t>
            </w:r>
          </w:p>
        </w:tc>
        <w:tc>
          <w:tcPr>
            <w:tcW w:w="13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(4,866)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(4,866)</w:t>
            </w:r>
          </w:p>
        </w:tc>
        <w:tc>
          <w:tcPr>
            <w:tcW w:w="0" w:type="dxa"/>
            <w:vAlign w:val="bottom"/>
          </w:tcPr>
          <w:p>
            <w:pPr>
              <w:spacing w:after="0"/>
              <w:rPr>
                <w:sz w:val="1"/>
                <w:szCs w:val="1"/>
                <w:color w:val="auto"/>
              </w:rPr>
            </w:pPr>
          </w:p>
        </w:tc>
      </w:tr>
      <w:tr>
        <w:trPr>
          <w:trHeight w:val="146"/>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At December 31, 2007</w:t>
            </w:r>
          </w:p>
        </w:tc>
        <w:tc>
          <w:tcPr>
            <w:tcW w:w="16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536</w:t>
            </w:r>
          </w:p>
        </w:tc>
        <w:tc>
          <w:tcPr>
            <w:tcW w:w="124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201,180</w:t>
            </w:r>
          </w:p>
        </w:tc>
        <w:tc>
          <w:tcPr>
            <w:tcW w:w="130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6,886</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208,602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-1276350</wp:posOffset>
            </wp:positionV>
            <wp:extent cx="282575" cy="56330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82575" cy="5633085"/>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740" w:type="dxa"/>
            <w:vAlign w:val="bottom"/>
            <w:shd w:val="clear" w:color="auto" w:fill="0066A5"/>
          </w:tcPr>
          <w:p>
            <w:pPr>
              <w:ind w:left="20"/>
              <w:spacing w:after="0"/>
              <w:rPr>
                <w:sz w:val="20"/>
                <w:szCs w:val="20"/>
                <w:color w:val="auto"/>
              </w:rPr>
            </w:pPr>
            <w:r>
              <w:rPr>
                <w:rFonts w:ascii="Arial" w:cs="Arial" w:eastAsia="Arial" w:hAnsi="Arial"/>
                <w:sz w:val="12"/>
                <w:szCs w:val="12"/>
                <w:b w:val="1"/>
                <w:bCs w:val="1"/>
                <w:color w:val="FFFFFF"/>
              </w:rPr>
              <w:t>STATEMENT OF CASH FLOWS</w:t>
            </w:r>
          </w:p>
        </w:tc>
        <w:tc>
          <w:tcPr>
            <w:tcW w:w="2960" w:type="dxa"/>
            <w:vAlign w:val="bottom"/>
            <w:shd w:val="clear" w:color="auto" w:fill="0066A5"/>
          </w:tcPr>
          <w:p>
            <w:pPr>
              <w:spacing w:after="0"/>
              <w:rPr>
                <w:sz w:val="12"/>
                <w:szCs w:val="12"/>
                <w:color w:val="auto"/>
              </w:rPr>
            </w:pPr>
          </w:p>
        </w:tc>
        <w:tc>
          <w:tcPr>
            <w:tcW w:w="760" w:type="dxa"/>
            <w:vAlign w:val="bottom"/>
            <w:shd w:val="clear" w:color="auto" w:fill="0066A5"/>
          </w:tcPr>
          <w:p>
            <w:pPr>
              <w:spacing w:after="0"/>
              <w:rPr>
                <w:sz w:val="12"/>
                <w:szCs w:val="12"/>
                <w:color w:val="auto"/>
              </w:rPr>
            </w:pPr>
          </w:p>
        </w:tc>
        <w:tc>
          <w:tcPr>
            <w:tcW w:w="1260" w:type="dxa"/>
            <w:vAlign w:val="bottom"/>
            <w:shd w:val="clear" w:color="auto" w:fill="0066A5"/>
          </w:tcPr>
          <w:p>
            <w:pPr>
              <w:jc w:val="right"/>
              <w:ind w:right="38"/>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133"/>
        </w:trPr>
        <w:tc>
          <w:tcPr>
            <w:tcW w:w="5740" w:type="dxa"/>
            <w:vAlign w:val="bottom"/>
            <w:shd w:val="clear" w:color="auto" w:fill="E4E3E1"/>
          </w:tcPr>
          <w:p>
            <w:pPr>
              <w:spacing w:after="0"/>
              <w:rPr>
                <w:sz w:val="11"/>
                <w:szCs w:val="11"/>
                <w:color w:val="auto"/>
              </w:rPr>
            </w:pPr>
          </w:p>
        </w:tc>
        <w:tc>
          <w:tcPr>
            <w:tcW w:w="2960" w:type="dxa"/>
            <w:vAlign w:val="bottom"/>
            <w:shd w:val="clear" w:color="auto" w:fill="E4E3E1"/>
          </w:tcPr>
          <w:p>
            <w:pPr>
              <w:jc w:val="right"/>
              <w:ind w:right="578"/>
              <w:spacing w:after="0" w:line="133" w:lineRule="exact"/>
              <w:rPr>
                <w:sz w:val="20"/>
                <w:szCs w:val="20"/>
                <w:color w:val="auto"/>
              </w:rPr>
            </w:pPr>
            <w:r>
              <w:rPr>
                <w:rFonts w:ascii="Arial" w:cs="Arial" w:eastAsia="Arial" w:hAnsi="Arial"/>
                <w:sz w:val="12"/>
                <w:szCs w:val="12"/>
                <w:i w:val="1"/>
                <w:iCs w:val="1"/>
                <w:color w:val="auto"/>
              </w:rPr>
              <w:t>NOTES</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2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2006</w:t>
            </w:r>
          </w:p>
        </w:tc>
        <w:tc>
          <w:tcPr>
            <w:tcW w:w="0" w:type="dxa"/>
            <w:vAlign w:val="bottom"/>
          </w:tcPr>
          <w:p>
            <w:pPr>
              <w:spacing w:after="0"/>
              <w:rPr>
                <w:sz w:val="1"/>
                <w:szCs w:val="1"/>
                <w:color w:val="auto"/>
              </w:rPr>
            </w:pPr>
          </w:p>
        </w:tc>
      </w:tr>
      <w:tr>
        <w:trPr>
          <w:trHeight w:val="113"/>
        </w:trPr>
        <w:tc>
          <w:tcPr>
            <w:tcW w:w="5740" w:type="dxa"/>
            <w:vAlign w:val="bottom"/>
          </w:tcPr>
          <w:p>
            <w:pPr>
              <w:ind w:left="20"/>
              <w:spacing w:after="0" w:line="114" w:lineRule="exact"/>
              <w:rPr>
                <w:sz w:val="20"/>
                <w:szCs w:val="20"/>
                <w:color w:val="auto"/>
              </w:rPr>
            </w:pPr>
            <w:r>
              <w:rPr>
                <w:rFonts w:ascii="Arial" w:cs="Arial" w:eastAsia="Arial" w:hAnsi="Arial"/>
                <w:sz w:val="12"/>
                <w:szCs w:val="12"/>
                <w:b w:val="1"/>
                <w:bCs w:val="1"/>
                <w:color w:val="auto"/>
              </w:rPr>
              <w:t>Cash flow from operating activities:</w:t>
            </w:r>
          </w:p>
        </w:tc>
        <w:tc>
          <w:tcPr>
            <w:tcW w:w="2960" w:type="dxa"/>
            <w:vAlign w:val="bottom"/>
          </w:tcPr>
          <w:p>
            <w:pPr>
              <w:spacing w:after="0"/>
              <w:rPr>
                <w:sz w:val="9"/>
                <w:szCs w:val="9"/>
                <w:color w:val="auto"/>
              </w:rPr>
            </w:pPr>
          </w:p>
        </w:tc>
        <w:tc>
          <w:tcPr>
            <w:tcW w:w="760" w:type="dxa"/>
            <w:vAlign w:val="bottom"/>
            <w:shd w:val="clear" w:color="auto" w:fill="E4E3E1"/>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5740" w:type="dxa"/>
            <w:vAlign w:val="bottom"/>
          </w:tcPr>
          <w:p>
            <w:pPr>
              <w:ind w:left="20"/>
              <w:spacing w:after="0"/>
              <w:rPr>
                <w:sz w:val="20"/>
                <w:szCs w:val="20"/>
                <w:color w:val="auto"/>
              </w:rPr>
            </w:pPr>
            <w:r>
              <w:rPr>
                <w:rFonts w:ascii="Arial" w:cs="Arial" w:eastAsia="Arial" w:hAnsi="Arial"/>
                <w:sz w:val="12"/>
                <w:szCs w:val="12"/>
                <w:b w:val="1"/>
                <w:bCs w:val="1"/>
                <w:color w:val="auto"/>
              </w:rPr>
              <w:t>Income for the period</w:t>
            </w:r>
          </w:p>
        </w:tc>
        <w:tc>
          <w:tcPr>
            <w:tcW w:w="2960" w:type="dxa"/>
            <w:vAlign w:val="bottom"/>
          </w:tcPr>
          <w:p>
            <w:pPr>
              <w:spacing w:after="0"/>
              <w:rPr>
                <w:sz w:val="12"/>
                <w:szCs w:val="12"/>
                <w:color w:val="auto"/>
              </w:rPr>
            </w:pPr>
          </w:p>
        </w:tc>
        <w:tc>
          <w:tcPr>
            <w:tcW w:w="76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15,135</w:t>
            </w:r>
          </w:p>
        </w:tc>
        <w:tc>
          <w:tcPr>
            <w:tcW w:w="1260" w:type="dxa"/>
            <w:vAlign w:val="bottom"/>
          </w:tcPr>
          <w:p>
            <w:pPr>
              <w:jc w:val="right"/>
              <w:ind w:right="38"/>
              <w:spacing w:after="0"/>
              <w:rPr>
                <w:sz w:val="20"/>
                <w:szCs w:val="20"/>
                <w:color w:val="auto"/>
              </w:rPr>
            </w:pPr>
            <w:r>
              <w:rPr>
                <w:rFonts w:ascii="Arial" w:cs="Arial" w:eastAsia="Arial" w:hAnsi="Arial"/>
                <w:sz w:val="12"/>
                <w:szCs w:val="12"/>
                <w:color w:val="auto"/>
              </w:rPr>
              <w:t>17,638</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Adjustment for:</w:t>
            </w:r>
          </w:p>
        </w:tc>
        <w:tc>
          <w:tcPr>
            <w:tcW w:w="2960" w:type="dxa"/>
            <w:vAlign w:val="bottom"/>
          </w:tcPr>
          <w:p>
            <w:pPr>
              <w:spacing w:after="0"/>
              <w:rPr>
                <w:sz w:val="11"/>
                <w:szCs w:val="11"/>
                <w:color w:val="auto"/>
              </w:rPr>
            </w:pPr>
          </w:p>
        </w:tc>
        <w:tc>
          <w:tcPr>
            <w:tcW w:w="760" w:type="dxa"/>
            <w:vAlign w:val="bottom"/>
            <w:shd w:val="clear" w:color="auto" w:fill="E4E3E1"/>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Dividend income</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(14,739)</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(17,174)</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Deferred taxation</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Current taxation</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w:t>
            </w:r>
          </w:p>
        </w:tc>
        <w:tc>
          <w:tcPr>
            <w:tcW w:w="12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Currency exchange gain (unrealised)</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(140)</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(318)</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Interest income</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(32)</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Interest expense</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11</w:t>
            </w:r>
          </w:p>
        </w:tc>
        <w:tc>
          <w:tcPr>
            <w:tcW w:w="12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Decrease in net working capital</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171</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34"/>
        </w:trPr>
        <w:tc>
          <w:tcPr>
            <w:tcW w:w="5740" w:type="dxa"/>
            <w:vAlign w:val="bottom"/>
          </w:tcPr>
          <w:p>
            <w:pPr>
              <w:ind w:left="20"/>
              <w:spacing w:after="0" w:line="134" w:lineRule="exact"/>
              <w:rPr>
                <w:sz w:val="20"/>
                <w:szCs w:val="20"/>
                <w:color w:val="auto"/>
              </w:rPr>
            </w:pPr>
            <w:r>
              <w:rPr>
                <w:rFonts w:ascii="Arial" w:cs="Arial" w:eastAsia="Arial" w:hAnsi="Arial"/>
                <w:sz w:val="12"/>
                <w:szCs w:val="12"/>
                <w:color w:val="auto"/>
              </w:rPr>
              <w:t>Cash flow from operating activities (pre-tax)</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4" w:lineRule="exact"/>
              <w:rPr>
                <w:sz w:val="20"/>
                <w:szCs w:val="20"/>
                <w:color w:val="auto"/>
              </w:rPr>
            </w:pPr>
            <w:r>
              <w:rPr>
                <w:rFonts w:ascii="Arial" w:cs="Arial" w:eastAsia="Arial" w:hAnsi="Arial"/>
                <w:sz w:val="12"/>
                <w:szCs w:val="12"/>
                <w:color w:val="auto"/>
              </w:rPr>
              <w:t>408</w:t>
            </w:r>
          </w:p>
        </w:tc>
        <w:tc>
          <w:tcPr>
            <w:tcW w:w="12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Taxation paid</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(100)</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operating activities</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308</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147</w:t>
            </w:r>
          </w:p>
        </w:tc>
        <w:tc>
          <w:tcPr>
            <w:tcW w:w="0" w:type="dxa"/>
            <w:vAlign w:val="bottom"/>
          </w:tcPr>
          <w:p>
            <w:pPr>
              <w:spacing w:after="0"/>
              <w:rPr>
                <w:sz w:val="1"/>
                <w:szCs w:val="1"/>
                <w:color w:val="auto"/>
              </w:rPr>
            </w:pPr>
          </w:p>
        </w:tc>
      </w:tr>
      <w:tr>
        <w:trPr>
          <w:trHeight w:val="134"/>
        </w:trPr>
        <w:tc>
          <w:tcPr>
            <w:tcW w:w="5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Cash flow from investing activities:</w:t>
            </w:r>
          </w:p>
        </w:tc>
        <w:tc>
          <w:tcPr>
            <w:tcW w:w="2960" w:type="dxa"/>
            <w:vAlign w:val="bottom"/>
          </w:tcPr>
          <w:p>
            <w:pPr>
              <w:spacing w:after="0"/>
              <w:rPr>
                <w:sz w:val="11"/>
                <w:szCs w:val="11"/>
                <w:color w:val="auto"/>
              </w:rPr>
            </w:pPr>
          </w:p>
        </w:tc>
        <w:tc>
          <w:tcPr>
            <w:tcW w:w="760" w:type="dxa"/>
            <w:vAlign w:val="bottom"/>
            <w:shd w:val="clear" w:color="auto" w:fill="E4E3E1"/>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Interest received</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32</w:t>
            </w:r>
          </w:p>
        </w:tc>
        <w:tc>
          <w:tcPr>
            <w:tcW w:w="12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51</w:t>
            </w: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Dividends received</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13,068</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14,663</w:t>
            </w:r>
          </w:p>
        </w:tc>
        <w:tc>
          <w:tcPr>
            <w:tcW w:w="0" w:type="dxa"/>
            <w:vAlign w:val="bottom"/>
          </w:tcPr>
          <w:p>
            <w:pPr>
              <w:spacing w:after="0"/>
              <w:rPr>
                <w:sz w:val="1"/>
                <w:szCs w:val="1"/>
                <w:color w:val="auto"/>
              </w:rPr>
            </w:pPr>
          </w:p>
        </w:tc>
      </w:tr>
      <w:tr>
        <w:trPr>
          <w:trHeight w:val="14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investing activities</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13,100</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14,714</w:t>
            </w:r>
          </w:p>
        </w:tc>
        <w:tc>
          <w:tcPr>
            <w:tcW w:w="0" w:type="dxa"/>
            <w:vAlign w:val="bottom"/>
          </w:tcPr>
          <w:p>
            <w:pPr>
              <w:spacing w:after="0"/>
              <w:rPr>
                <w:sz w:val="1"/>
                <w:szCs w:val="1"/>
                <w:color w:val="auto"/>
              </w:rPr>
            </w:pPr>
          </w:p>
        </w:tc>
      </w:tr>
      <w:tr>
        <w:trPr>
          <w:trHeight w:val="134"/>
        </w:trPr>
        <w:tc>
          <w:tcPr>
            <w:tcW w:w="5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Cash flow from financing activities:</w:t>
            </w:r>
          </w:p>
        </w:tc>
        <w:tc>
          <w:tcPr>
            <w:tcW w:w="2960" w:type="dxa"/>
            <w:vAlign w:val="bottom"/>
          </w:tcPr>
          <w:p>
            <w:pPr>
              <w:spacing w:after="0"/>
              <w:rPr>
                <w:sz w:val="11"/>
                <w:szCs w:val="11"/>
                <w:color w:val="auto"/>
              </w:rPr>
            </w:pPr>
          </w:p>
        </w:tc>
        <w:tc>
          <w:tcPr>
            <w:tcW w:w="760" w:type="dxa"/>
            <w:vAlign w:val="bottom"/>
            <w:shd w:val="clear" w:color="auto" w:fill="E4E3E1"/>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Proceeds for loan notes cancelled and shares issued</w:t>
            </w:r>
          </w:p>
        </w:tc>
        <w:tc>
          <w:tcPr>
            <w:tcW w:w="2960" w:type="dxa"/>
            <w:vAlign w:val="bottom"/>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12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Repurchase of share capital, including expenses</w:t>
            </w:r>
          </w:p>
        </w:tc>
        <w:tc>
          <w:tcPr>
            <w:tcW w:w="2960" w:type="dxa"/>
            <w:vAlign w:val="bottom"/>
            <w:vMerge w:val="restart"/>
          </w:tcPr>
          <w:p>
            <w:pPr>
              <w:jc w:val="right"/>
              <w:ind w:right="578"/>
              <w:spacing w:after="0"/>
              <w:rPr>
                <w:sz w:val="20"/>
                <w:szCs w:val="20"/>
                <w:color w:val="auto"/>
              </w:rPr>
            </w:pPr>
            <w:r>
              <w:rPr>
                <w:rFonts w:ascii="Arial" w:cs="Arial" w:eastAsia="Arial" w:hAnsi="Arial"/>
                <w:sz w:val="12"/>
                <w:szCs w:val="12"/>
                <w:i w:val="1"/>
                <w:iCs w:val="1"/>
                <w:color w:val="auto"/>
              </w:rPr>
              <w:t>13</w:t>
            </w: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(4,387)</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(8,201)</w:t>
            </w:r>
          </w:p>
        </w:tc>
        <w:tc>
          <w:tcPr>
            <w:tcW w:w="0" w:type="dxa"/>
            <w:vAlign w:val="bottom"/>
          </w:tcPr>
          <w:p>
            <w:pPr>
              <w:spacing w:after="0"/>
              <w:rPr>
                <w:sz w:val="1"/>
                <w:szCs w:val="1"/>
                <w:color w:val="auto"/>
              </w:rPr>
            </w:pPr>
          </w:p>
        </w:tc>
      </w:tr>
      <w:tr>
        <w:trPr>
          <w:trHeight w:val="133"/>
        </w:trPr>
        <w:tc>
          <w:tcPr>
            <w:tcW w:w="5740" w:type="dxa"/>
            <w:vAlign w:val="bottom"/>
          </w:tcPr>
          <w:p>
            <w:pPr>
              <w:ind w:left="20"/>
              <w:spacing w:after="0" w:line="133" w:lineRule="exact"/>
              <w:rPr>
                <w:sz w:val="20"/>
                <w:szCs w:val="20"/>
                <w:color w:val="auto"/>
              </w:rPr>
            </w:pPr>
            <w:r>
              <w:rPr>
                <w:rFonts w:ascii="Arial" w:cs="Arial" w:eastAsia="Arial" w:hAnsi="Arial"/>
                <w:sz w:val="12"/>
                <w:szCs w:val="12"/>
                <w:color w:val="auto"/>
              </w:rPr>
              <w:t>Dividends paid</w:t>
            </w:r>
          </w:p>
        </w:tc>
        <w:tc>
          <w:tcPr>
            <w:tcW w:w="2960" w:type="dxa"/>
            <w:vAlign w:val="bottom"/>
            <w:vMerge w:val="continue"/>
          </w:tcPr>
          <w:p>
            <w:pPr>
              <w:spacing w:after="0"/>
              <w:rPr>
                <w:sz w:val="11"/>
                <w:szCs w:val="11"/>
                <w:color w:val="auto"/>
              </w:rPr>
            </w:pPr>
          </w:p>
        </w:tc>
        <w:tc>
          <w:tcPr>
            <w:tcW w:w="76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(9,001)</w:t>
            </w:r>
          </w:p>
        </w:tc>
        <w:tc>
          <w:tcPr>
            <w:tcW w:w="1260" w:type="dxa"/>
            <w:vAlign w:val="bottom"/>
          </w:tcPr>
          <w:p>
            <w:pPr>
              <w:jc w:val="right"/>
              <w:spacing w:after="0" w:line="133" w:lineRule="exact"/>
              <w:rPr>
                <w:sz w:val="20"/>
                <w:szCs w:val="20"/>
                <w:color w:val="auto"/>
              </w:rPr>
            </w:pPr>
            <w:r>
              <w:rPr>
                <w:rFonts w:ascii="Arial" w:cs="Arial" w:eastAsia="Arial" w:hAnsi="Arial"/>
                <w:sz w:val="12"/>
                <w:szCs w:val="12"/>
                <w:color w:val="auto"/>
              </w:rPr>
              <w:t>(8,142)</w:t>
            </w:r>
          </w:p>
        </w:tc>
        <w:tc>
          <w:tcPr>
            <w:tcW w:w="0" w:type="dxa"/>
            <w:vAlign w:val="bottom"/>
          </w:tcPr>
          <w:p>
            <w:pPr>
              <w:spacing w:after="0"/>
              <w:rPr>
                <w:sz w:val="1"/>
                <w:szCs w:val="1"/>
                <w:color w:val="auto"/>
              </w:rPr>
            </w:pPr>
          </w:p>
        </w:tc>
      </w:tr>
      <w:tr>
        <w:trPr>
          <w:trHeight w:val="13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Interest paid</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(11)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financing activities</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(13,399)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(16,202)</w:t>
            </w:r>
          </w:p>
        </w:tc>
        <w:tc>
          <w:tcPr>
            <w:tcW w:w="0" w:type="dxa"/>
            <w:vAlign w:val="bottom"/>
          </w:tcPr>
          <w:p>
            <w:pPr>
              <w:spacing w:after="0"/>
              <w:rPr>
                <w:sz w:val="1"/>
                <w:szCs w:val="1"/>
                <w:color w:val="auto"/>
              </w:rPr>
            </w:pPr>
          </w:p>
        </w:tc>
      </w:tr>
      <w:tr>
        <w:trPr>
          <w:trHeight w:val="140"/>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Currency translation differences relating to cash and cash equivalents</w:t>
            </w:r>
          </w:p>
        </w:tc>
        <w:tc>
          <w:tcPr>
            <w:tcW w:w="2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20"/>
        </w:trPr>
        <w:tc>
          <w:tcPr>
            <w:tcW w:w="574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Increase/(decrease) in cash and cash equivalents</w:t>
            </w:r>
          </w:p>
        </w:tc>
        <w:tc>
          <w:tcPr>
            <w:tcW w:w="2960" w:type="dxa"/>
            <w:vAlign w:val="bottom"/>
          </w:tcPr>
          <w:p>
            <w:pPr>
              <w:spacing w:after="0"/>
              <w:rPr>
                <w:sz w:val="10"/>
                <w:szCs w:val="10"/>
                <w:color w:val="auto"/>
              </w:rPr>
            </w:pPr>
          </w:p>
        </w:tc>
        <w:tc>
          <w:tcPr>
            <w:tcW w:w="76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9</w:t>
            </w:r>
          </w:p>
        </w:tc>
        <w:tc>
          <w:tcPr>
            <w:tcW w:w="1260" w:type="dxa"/>
            <w:vAlign w:val="bottom"/>
          </w:tcPr>
          <w:p>
            <w:pPr>
              <w:jc w:val="right"/>
              <w:spacing w:after="0" w:line="120" w:lineRule="exact"/>
              <w:rPr>
                <w:sz w:val="20"/>
                <w:szCs w:val="20"/>
                <w:color w:val="auto"/>
              </w:rPr>
            </w:pPr>
            <w:r>
              <w:rPr>
                <w:rFonts w:ascii="Arial" w:cs="Arial" w:eastAsia="Arial" w:hAnsi="Arial"/>
                <w:sz w:val="12"/>
                <w:szCs w:val="12"/>
                <w:color w:val="auto"/>
              </w:rPr>
              <w:t>(1,251)</w:t>
            </w:r>
          </w:p>
        </w:tc>
        <w:tc>
          <w:tcPr>
            <w:tcW w:w="0" w:type="dxa"/>
            <w:vAlign w:val="bottom"/>
          </w:tcPr>
          <w:p>
            <w:pPr>
              <w:spacing w:after="0"/>
              <w:rPr>
                <w:sz w:val="1"/>
                <w:szCs w:val="1"/>
                <w:color w:val="auto"/>
              </w:rPr>
            </w:pPr>
          </w:p>
        </w:tc>
      </w:tr>
      <w:tr>
        <w:trPr>
          <w:trHeight w:val="153"/>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at January 1</w:t>
            </w:r>
          </w:p>
        </w:tc>
        <w:tc>
          <w:tcPr>
            <w:tcW w:w="296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i w:val="1"/>
                <w:iCs w:val="1"/>
                <w:color w:val="auto"/>
              </w:rPr>
              <w:t>8</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648</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1,899</w:t>
            </w:r>
          </w:p>
        </w:tc>
        <w:tc>
          <w:tcPr>
            <w:tcW w:w="0" w:type="dxa"/>
            <w:vAlign w:val="bottom"/>
          </w:tcPr>
          <w:p>
            <w:pPr>
              <w:spacing w:after="0"/>
              <w:rPr>
                <w:sz w:val="1"/>
                <w:szCs w:val="1"/>
                <w:color w:val="auto"/>
              </w:rPr>
            </w:pPr>
          </w:p>
        </w:tc>
      </w:tr>
      <w:tr>
        <w:trPr>
          <w:trHeight w:val="146"/>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at December 31</w:t>
            </w:r>
          </w:p>
        </w:tc>
        <w:tc>
          <w:tcPr>
            <w:tcW w:w="2960" w:type="dxa"/>
            <w:vAlign w:val="bottom"/>
            <w:tcBorders>
              <w:bottom w:val="single" w:sz="8" w:color="auto"/>
            </w:tcBorders>
          </w:tcPr>
          <w:p>
            <w:pPr>
              <w:jc w:val="right"/>
              <w:ind w:right="578"/>
              <w:spacing w:after="0"/>
              <w:rPr>
                <w:sz w:val="20"/>
                <w:szCs w:val="20"/>
                <w:color w:val="auto"/>
              </w:rPr>
            </w:pPr>
            <w:r>
              <w:rPr>
                <w:rFonts w:ascii="Arial" w:cs="Arial" w:eastAsia="Arial" w:hAnsi="Arial"/>
                <w:sz w:val="12"/>
                <w:szCs w:val="12"/>
                <w:i w:val="1"/>
                <w:iCs w:val="1"/>
                <w:color w:val="auto"/>
              </w:rPr>
              <w:t>8</w:t>
            </w:r>
          </w:p>
        </w:tc>
        <w:tc>
          <w:tcPr>
            <w:tcW w:w="76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657</w:t>
            </w:r>
          </w:p>
        </w:tc>
        <w:tc>
          <w:tcPr>
            <w:tcW w:w="12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648</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186 to 194 are an integral part of these Parent Company Financial Statements.</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1579245</wp:posOffset>
            </wp:positionV>
            <wp:extent cx="7252970"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740"/>
          </w:cols>
          <w:pgMar w:left="240" w:top="415" w:right="9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6"/>
          <w:szCs w:val="36"/>
          <w:color w:val="auto"/>
        </w:rPr>
        <w:t>Notes to the Parent Company Financial Statements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Borders>
              <w:right w:val="single" w:sz="8" w:color="0066A5"/>
            </w:tcBorders>
          </w:tcPr>
          <w:p>
            <w:pPr>
              <w:spacing w:after="0"/>
              <w:rPr>
                <w:sz w:val="20"/>
                <w:szCs w:val="20"/>
                <w:color w:val="auto"/>
              </w:rPr>
            </w:pPr>
            <w:r>
              <w:rPr>
                <w:rFonts w:ascii="Arial" w:cs="Arial" w:eastAsia="Arial" w:hAnsi="Arial"/>
                <w:sz w:val="14"/>
                <w:szCs w:val="14"/>
                <w:b w:val="1"/>
                <w:bCs w:val="1"/>
                <w:color w:val="0066A5"/>
              </w:rPr>
              <w:t>1</w:t>
            </w:r>
          </w:p>
        </w:tc>
        <w:tc>
          <w:tcPr>
            <w:tcW w:w="8900" w:type="dxa"/>
            <w:vAlign w:val="bottom"/>
          </w:tcPr>
          <w:p>
            <w:pPr>
              <w:ind w:left="140"/>
              <w:spacing w:after="0"/>
              <w:rPr>
                <w:sz w:val="20"/>
                <w:szCs w:val="20"/>
                <w:color w:val="auto"/>
              </w:rPr>
            </w:pPr>
            <w:r>
              <w:rPr>
                <w:rFonts w:ascii="Arial" w:cs="Arial" w:eastAsia="Arial" w:hAnsi="Arial"/>
                <w:sz w:val="14"/>
                <w:szCs w:val="14"/>
                <w:color w:val="auto"/>
                <w:w w:val="95"/>
              </w:rPr>
              <w:t>In 2005, Royal Dutch Shell plc (“Royal Dutch Shell”, the Company) incorporated in England and Wales, became the single parent company of Royal</w:t>
            </w:r>
          </w:p>
        </w:tc>
      </w:tr>
      <w:tr>
        <w:trPr>
          <w:trHeight w:val="153"/>
        </w:trPr>
        <w:tc>
          <w:tcPr>
            <w:tcW w:w="2060" w:type="dxa"/>
            <w:vAlign w:val="bottom"/>
            <w:tcBorders>
              <w:right w:val="single" w:sz="8" w:color="0066A5"/>
            </w:tcBorders>
          </w:tcPr>
          <w:p>
            <w:pPr>
              <w:spacing w:after="0" w:line="153" w:lineRule="exact"/>
              <w:rPr>
                <w:sz w:val="20"/>
                <w:szCs w:val="20"/>
                <w:color w:val="auto"/>
              </w:rPr>
            </w:pPr>
            <w:r>
              <w:rPr>
                <w:rFonts w:ascii="Arial" w:cs="Arial" w:eastAsia="Arial" w:hAnsi="Arial"/>
                <w:sz w:val="14"/>
                <w:szCs w:val="14"/>
                <w:b w:val="1"/>
                <w:bCs w:val="1"/>
                <w:color w:val="auto"/>
              </w:rPr>
              <w:t>BASIS OF</w:t>
            </w:r>
          </w:p>
        </w:tc>
        <w:tc>
          <w:tcPr>
            <w:tcW w:w="8900" w:type="dxa"/>
            <w:vAlign w:val="bottom"/>
          </w:tcPr>
          <w:p>
            <w:pPr>
              <w:ind w:left="140"/>
              <w:spacing w:after="0" w:line="153" w:lineRule="exact"/>
              <w:rPr>
                <w:sz w:val="20"/>
                <w:szCs w:val="20"/>
                <w:color w:val="auto"/>
              </w:rPr>
            </w:pPr>
            <w:r>
              <w:rPr>
                <w:rFonts w:ascii="Arial" w:cs="Arial" w:eastAsia="Arial" w:hAnsi="Arial"/>
                <w:sz w:val="14"/>
                <w:szCs w:val="14"/>
                <w:color w:val="auto"/>
                <w:w w:val="97"/>
              </w:rPr>
              <w:t>Dutch Petroleum Company (“Royal Dutch”) and of Shell Transport and Trading Company Limited (previously known as The “Shell” Transport and</w:t>
            </w:r>
          </w:p>
        </w:tc>
      </w:tr>
      <w:tr>
        <w:trPr>
          <w:trHeight w:val="166"/>
        </w:trPr>
        <w:tc>
          <w:tcPr>
            <w:tcW w:w="2060" w:type="dxa"/>
            <w:vAlign w:val="bottom"/>
            <w:tcBorders>
              <w:right w:val="single" w:sz="8" w:color="0066A5"/>
            </w:tcBorders>
          </w:tcPr>
          <w:p>
            <w:pPr>
              <w:spacing w:after="0"/>
              <w:rPr>
                <w:sz w:val="20"/>
                <w:szCs w:val="20"/>
                <w:color w:val="auto"/>
              </w:rPr>
            </w:pPr>
            <w:r>
              <w:rPr>
                <w:rFonts w:ascii="Arial" w:cs="Arial" w:eastAsia="Arial" w:hAnsi="Arial"/>
                <w:sz w:val="14"/>
                <w:szCs w:val="14"/>
                <w:b w:val="1"/>
                <w:bCs w:val="1"/>
                <w:color w:val="auto"/>
              </w:rPr>
              <w:t>PREPARATION</w:t>
            </w:r>
          </w:p>
        </w:tc>
        <w:tc>
          <w:tcPr>
            <w:tcW w:w="8900" w:type="dxa"/>
            <w:vAlign w:val="bottom"/>
          </w:tcPr>
          <w:p>
            <w:pPr>
              <w:ind w:left="140"/>
              <w:spacing w:after="0"/>
              <w:rPr>
                <w:sz w:val="20"/>
                <w:szCs w:val="20"/>
                <w:color w:val="auto"/>
              </w:rPr>
            </w:pPr>
            <w:r>
              <w:rPr>
                <w:rFonts w:ascii="Arial" w:cs="Arial" w:eastAsia="Arial" w:hAnsi="Arial"/>
                <w:sz w:val="14"/>
                <w:szCs w:val="14"/>
                <w:color w:val="auto"/>
                <w:w w:val="95"/>
              </w:rPr>
              <w:t>Trading Company, p.l.c.) (“Shell Transport”), the two former public parent companies of the Group (the “Unification”). After the Unification, a series of</w:t>
            </w:r>
          </w:p>
        </w:tc>
      </w:tr>
      <w:tr>
        <w:trPr>
          <w:trHeight w:val="115"/>
        </w:trPr>
        <w:tc>
          <w:tcPr>
            <w:tcW w:w="2060" w:type="dxa"/>
            <w:vAlign w:val="bottom"/>
            <w:tcBorders>
              <w:right w:val="single" w:sz="8" w:color="0066A5"/>
            </w:tcBorders>
          </w:tcPr>
          <w:p>
            <w:pPr>
              <w:spacing w:after="0"/>
              <w:rPr>
                <w:sz w:val="9"/>
                <w:szCs w:val="9"/>
                <w:color w:val="auto"/>
              </w:rPr>
            </w:pPr>
          </w:p>
        </w:tc>
        <w:tc>
          <w:tcPr>
            <w:tcW w:w="8900" w:type="dxa"/>
            <w:vAlign w:val="bottom"/>
          </w:tcPr>
          <w:p>
            <w:pPr>
              <w:ind w:left="140"/>
              <w:spacing w:after="0" w:line="114" w:lineRule="exact"/>
              <w:rPr>
                <w:sz w:val="20"/>
                <w:szCs w:val="20"/>
                <w:color w:val="auto"/>
              </w:rPr>
            </w:pPr>
            <w:r>
              <w:rPr>
                <w:rFonts w:ascii="Arial" w:cs="Arial" w:eastAsia="Arial" w:hAnsi="Arial"/>
                <w:sz w:val="13"/>
                <w:szCs w:val="13"/>
                <w:color w:val="auto"/>
              </w:rPr>
              <w:t>restructuring transactions of the Group occurred in December 2005, which included the contribution of Shell Transport to Royal Dutch and the merger</w:t>
            </w:r>
          </w:p>
        </w:tc>
      </w:tr>
      <w:tr>
        <w:trPr>
          <w:trHeight w:val="147"/>
        </w:trPr>
        <w:tc>
          <w:tcPr>
            <w:tcW w:w="2060" w:type="dxa"/>
            <w:vAlign w:val="bottom"/>
            <w:tcBorders>
              <w:right w:val="single" w:sz="8" w:color="0066A5"/>
            </w:tcBorders>
          </w:tcPr>
          <w:p>
            <w:pPr>
              <w:spacing w:after="0"/>
              <w:rPr>
                <w:sz w:val="12"/>
                <w:szCs w:val="12"/>
                <w:color w:val="auto"/>
              </w:rPr>
            </w:pPr>
          </w:p>
        </w:tc>
        <w:tc>
          <w:tcPr>
            <w:tcW w:w="8900" w:type="dxa"/>
            <w:vAlign w:val="bottom"/>
          </w:tcPr>
          <w:p>
            <w:pPr>
              <w:ind w:left="140"/>
              <w:spacing w:after="0" w:line="147" w:lineRule="exact"/>
              <w:rPr>
                <w:sz w:val="20"/>
                <w:szCs w:val="20"/>
                <w:color w:val="auto"/>
              </w:rPr>
            </w:pPr>
            <w:r>
              <w:rPr>
                <w:rFonts w:ascii="Arial" w:cs="Arial" w:eastAsia="Arial" w:hAnsi="Arial"/>
                <w:sz w:val="14"/>
                <w:szCs w:val="14"/>
                <w:color w:val="auto"/>
                <w:w w:val="93"/>
              </w:rPr>
              <w:t>under Dutch law of Royal Dutch with its wholly owned subsidiary, Shell Petroleum N.V. (“Shell Petroleum”). As a result of the merger, Royal Dutch and</w:t>
            </w:r>
          </w:p>
        </w:tc>
      </w:tr>
      <w:tr>
        <w:trPr>
          <w:trHeight w:val="147"/>
        </w:trPr>
        <w:tc>
          <w:tcPr>
            <w:tcW w:w="2060" w:type="dxa"/>
            <w:vAlign w:val="bottom"/>
            <w:tcBorders>
              <w:right w:val="single" w:sz="8" w:color="0066A5"/>
            </w:tcBorders>
          </w:tcPr>
          <w:p>
            <w:pPr>
              <w:spacing w:after="0"/>
              <w:rPr>
                <w:sz w:val="12"/>
                <w:szCs w:val="12"/>
                <w:color w:val="auto"/>
              </w:rPr>
            </w:pPr>
          </w:p>
        </w:tc>
        <w:tc>
          <w:tcPr>
            <w:tcW w:w="8900" w:type="dxa"/>
            <w:vAlign w:val="bottom"/>
          </w:tcPr>
          <w:p>
            <w:pPr>
              <w:ind w:left="140"/>
              <w:spacing w:after="0" w:line="147" w:lineRule="exact"/>
              <w:rPr>
                <w:sz w:val="20"/>
                <w:szCs w:val="20"/>
                <w:color w:val="auto"/>
              </w:rPr>
            </w:pPr>
            <w:r>
              <w:rPr>
                <w:rFonts w:ascii="Arial" w:cs="Arial" w:eastAsia="Arial" w:hAnsi="Arial"/>
                <w:sz w:val="14"/>
                <w:szCs w:val="14"/>
                <w:color w:val="auto"/>
                <w:w w:val="91"/>
              </w:rPr>
              <w:t>the Royal Dutch shares ceased to exist and Shell Petroleum, the surviving company in the merger, became a 100% owned subsidiary of Royal Dutch Shell</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and Shell Transport a 100% subsidiary of Shell Petroleum.</w:t>
            </w:r>
          </w:p>
        </w:tc>
      </w:tr>
      <w:tr>
        <w:trPr>
          <w:trHeight w:val="219"/>
        </w:trPr>
        <w:tc>
          <w:tcPr>
            <w:tcW w:w="2060" w:type="dxa"/>
            <w:vAlign w:val="bottom"/>
            <w:tcBorders>
              <w:right w:val="single" w:sz="8" w:color="0066A5"/>
            </w:tcBorders>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w w:val="91"/>
              </w:rPr>
              <w:t>The Financial Statements of the Company have been prepared in accordance with the provisions of the Companies Act 1985, Article 4 of the International</w:t>
            </w:r>
          </w:p>
        </w:tc>
      </w:tr>
      <w:tr>
        <w:trPr>
          <w:trHeight w:val="147"/>
        </w:trPr>
        <w:tc>
          <w:tcPr>
            <w:tcW w:w="2060" w:type="dxa"/>
            <w:vAlign w:val="bottom"/>
            <w:tcBorders>
              <w:right w:val="single" w:sz="8" w:color="0066A5"/>
            </w:tcBorders>
          </w:tcPr>
          <w:p>
            <w:pPr>
              <w:spacing w:after="0"/>
              <w:rPr>
                <w:sz w:val="12"/>
                <w:szCs w:val="12"/>
                <w:color w:val="auto"/>
              </w:rPr>
            </w:pPr>
          </w:p>
        </w:tc>
        <w:tc>
          <w:tcPr>
            <w:tcW w:w="8900" w:type="dxa"/>
            <w:vAlign w:val="bottom"/>
          </w:tcPr>
          <w:p>
            <w:pPr>
              <w:ind w:left="140"/>
              <w:spacing w:after="0" w:line="147" w:lineRule="exact"/>
              <w:rPr>
                <w:sz w:val="20"/>
                <w:szCs w:val="20"/>
                <w:color w:val="auto"/>
              </w:rPr>
            </w:pPr>
            <w:r>
              <w:rPr>
                <w:rFonts w:ascii="Arial" w:cs="Arial" w:eastAsia="Arial" w:hAnsi="Arial"/>
                <w:sz w:val="14"/>
                <w:szCs w:val="14"/>
                <w:color w:val="auto"/>
                <w:w w:val="94"/>
              </w:rPr>
              <w:t>Accounting Standards (IAS) Regulation and with International Financial Reporting Standards (IFRS) as adopted by the European Union. As applied to</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Royal Dutch Shell, there are no material differences with IFRS as issued by the International Accounting Standards Board.</w:t>
            </w:r>
          </w:p>
        </w:tc>
      </w:tr>
      <w:tr>
        <w:trPr>
          <w:trHeight w:val="219"/>
        </w:trPr>
        <w:tc>
          <w:tcPr>
            <w:tcW w:w="2060" w:type="dxa"/>
            <w:vAlign w:val="bottom"/>
            <w:tcBorders>
              <w:right w:val="single" w:sz="8" w:color="0066A5"/>
            </w:tcBorders>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w w:val="91"/>
              </w:rPr>
              <w:t>The Financial Statements have been prepared in accordance with those IFRS as issued by the IASB. The accounting policies set out in Note 2 below have</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been consistently applied to all periods presented.</w:t>
            </w:r>
          </w:p>
        </w:tc>
      </w:tr>
      <w:tr>
        <w:trPr>
          <w:trHeight w:val="219"/>
        </w:trPr>
        <w:tc>
          <w:tcPr>
            <w:tcW w:w="2060" w:type="dxa"/>
            <w:vAlign w:val="bottom"/>
            <w:tcBorders>
              <w:right w:val="single" w:sz="8" w:color="0066A5"/>
            </w:tcBorders>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w w:val="92"/>
              </w:rPr>
              <w:t>The Financial Statements have been prepared under the historical cost convention as modified by the revaluation of certain financial assets and liabilities</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and other derivative contracts.</w:t>
            </w:r>
          </w:p>
        </w:tc>
      </w:tr>
      <w:tr>
        <w:trPr>
          <w:trHeight w:val="219"/>
        </w:trPr>
        <w:tc>
          <w:tcPr>
            <w:tcW w:w="2060" w:type="dxa"/>
            <w:vAlign w:val="bottom"/>
            <w:tcBorders>
              <w:right w:val="single" w:sz="8" w:color="0066A5"/>
            </w:tcBorders>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w w:val="97"/>
              </w:rPr>
              <w:t>The preparation of financial information in conformity with IFRS requires the use of certain accounting estimates. It also requires management to</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exercise its judgement in the process of applying the Company’s accounting policies. Actual results could differ from those estimates.</w:t>
            </w:r>
          </w:p>
        </w:tc>
      </w:tr>
      <w:tr>
        <w:trPr>
          <w:trHeight w:val="219"/>
        </w:trPr>
        <w:tc>
          <w:tcPr>
            <w:tcW w:w="2060" w:type="dxa"/>
            <w:vAlign w:val="bottom"/>
            <w:tcBorders>
              <w:right w:val="single" w:sz="8" w:color="0066A5"/>
            </w:tcBorders>
          </w:tcPr>
          <w:p>
            <w:pPr>
              <w:spacing w:after="0"/>
              <w:rPr>
                <w:sz w:val="19"/>
                <w:szCs w:val="19"/>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w w:val="96"/>
              </w:rPr>
              <w:t>The financial results of the Company are included in the Consolidated Financial Statements of Shell on pages 112-161. The financial results of the</w:t>
            </w:r>
          </w:p>
        </w:tc>
      </w:tr>
      <w:tr>
        <w:trPr>
          <w:trHeight w:val="181"/>
        </w:trPr>
        <w:tc>
          <w:tcPr>
            <w:tcW w:w="2060" w:type="dxa"/>
            <w:vAlign w:val="bottom"/>
            <w:tcBorders>
              <w:right w:val="single" w:sz="8" w:color="0066A5"/>
            </w:tcBorders>
          </w:tcPr>
          <w:p>
            <w:pPr>
              <w:spacing w:after="0"/>
              <w:rPr>
                <w:sz w:val="15"/>
                <w:szCs w:val="15"/>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Company incorporate the results of the Dividend Access Trust.</w:t>
            </w:r>
          </w:p>
        </w:tc>
      </w:tr>
      <w:tr>
        <w:trPr>
          <w:trHeight w:val="253"/>
        </w:trPr>
        <w:tc>
          <w:tcPr>
            <w:tcW w:w="2060" w:type="dxa"/>
            <w:vAlign w:val="bottom"/>
            <w:tcBorders>
              <w:right w:val="single" w:sz="8" w:color="0066A5"/>
            </w:tcBorders>
          </w:tcPr>
          <w:p>
            <w:pPr>
              <w:spacing w:after="0"/>
              <w:rPr>
                <w:sz w:val="22"/>
                <w:szCs w:val="22"/>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The Company’s principal activity is being the parent company for Shell. It conducts itself wholly within the Corporate business segment.</w:t>
            </w:r>
          </w:p>
        </w:tc>
      </w:tr>
      <w:tr>
        <w:trPr>
          <w:trHeight w:val="253"/>
        </w:trPr>
        <w:tc>
          <w:tcPr>
            <w:tcW w:w="2060" w:type="dxa"/>
            <w:vAlign w:val="bottom"/>
            <w:tcBorders>
              <w:right w:val="single" w:sz="8" w:color="0066A5"/>
            </w:tcBorders>
          </w:tcPr>
          <w:p>
            <w:pPr>
              <w:spacing w:after="0"/>
              <w:rPr>
                <w:sz w:val="22"/>
                <w:szCs w:val="22"/>
                <w:color w:val="auto"/>
              </w:rPr>
            </w:pPr>
          </w:p>
        </w:tc>
        <w:tc>
          <w:tcPr>
            <w:tcW w:w="8900" w:type="dxa"/>
            <w:vAlign w:val="bottom"/>
          </w:tcPr>
          <w:p>
            <w:pPr>
              <w:ind w:left="140"/>
              <w:spacing w:after="0"/>
              <w:rPr>
                <w:sz w:val="20"/>
                <w:szCs w:val="20"/>
                <w:color w:val="auto"/>
              </w:rPr>
            </w:pPr>
            <w:r>
              <w:rPr>
                <w:rFonts w:ascii="Arial" w:cs="Arial" w:eastAsia="Arial" w:hAnsi="Arial"/>
                <w:sz w:val="14"/>
                <w:szCs w:val="14"/>
                <w:color w:val="auto"/>
              </w:rPr>
              <w:t>The Financial Statements were approved and authorised for issue by the Board of Directors on March 12, 2008.</w:t>
            </w:r>
          </w:p>
        </w:tc>
      </w:tr>
      <w:tr>
        <w:trPr>
          <w:trHeight w:val="704"/>
        </w:trPr>
        <w:tc>
          <w:tcPr>
            <w:tcW w:w="2060" w:type="dxa"/>
            <w:vAlign w:val="bottom"/>
            <w:tcBorders>
              <w:right w:val="single" w:sz="8" w:color="0066A5"/>
            </w:tcBorders>
          </w:tcPr>
          <w:p>
            <w:pPr>
              <w:spacing w:after="0"/>
              <w:rPr>
                <w:sz w:val="24"/>
                <w:szCs w:val="24"/>
                <w:color w:val="auto"/>
              </w:rPr>
            </w:pPr>
          </w:p>
        </w:tc>
        <w:tc>
          <w:tcPr>
            <w:tcW w:w="8900" w:type="dxa"/>
            <w:vAlign w:val="bottom"/>
          </w:tcPr>
          <w:p>
            <w:pPr>
              <w:spacing w:after="0"/>
              <w:rPr>
                <w:sz w:val="24"/>
                <w:szCs w:val="24"/>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Borders>
              <w:right w:val="single" w:sz="8" w:color="0066A5"/>
            </w:tcBorders>
          </w:tcPr>
          <w:p>
            <w:pPr>
              <w:spacing w:after="0"/>
              <w:rPr>
                <w:sz w:val="20"/>
                <w:szCs w:val="20"/>
                <w:color w:val="auto"/>
              </w:rPr>
            </w:pPr>
            <w:r>
              <w:rPr>
                <w:rFonts w:ascii="Arial" w:cs="Arial" w:eastAsia="Arial" w:hAnsi="Arial"/>
                <w:sz w:val="14"/>
                <w:szCs w:val="14"/>
                <w:b w:val="1"/>
                <w:bCs w:val="1"/>
                <w:color w:val="0066A5"/>
              </w:rPr>
              <w:t>2</w:t>
            </w:r>
          </w:p>
        </w:tc>
        <w:tc>
          <w:tcPr>
            <w:tcW w:w="8860" w:type="dxa"/>
            <w:vAlign w:val="bottom"/>
          </w:tcPr>
          <w:p>
            <w:pPr>
              <w:ind w:left="140"/>
              <w:spacing w:after="0"/>
              <w:rPr>
                <w:sz w:val="20"/>
                <w:szCs w:val="20"/>
                <w:color w:val="auto"/>
              </w:rPr>
            </w:pPr>
            <w:r>
              <w:rPr>
                <w:rFonts w:ascii="Arial" w:cs="Arial" w:eastAsia="Arial" w:hAnsi="Arial"/>
                <w:sz w:val="14"/>
                <w:szCs w:val="14"/>
                <w:color w:val="auto"/>
                <w:w w:val="92"/>
              </w:rPr>
              <w:t>Accounting policies follow those of Shell as set out in Note 2 to the Consolidated Financial Statements on pages 117-121. The following are the principal</w:t>
            </w:r>
          </w:p>
        </w:tc>
        <w:tc>
          <w:tcPr>
            <w:tcW w:w="0" w:type="dxa"/>
            <w:vAlign w:val="bottom"/>
          </w:tcPr>
          <w:p>
            <w:pPr>
              <w:spacing w:after="0"/>
              <w:rPr>
                <w:sz w:val="1"/>
                <w:szCs w:val="1"/>
                <w:color w:val="auto"/>
              </w:rPr>
            </w:pPr>
          </w:p>
        </w:tc>
      </w:tr>
      <w:tr>
        <w:trPr>
          <w:trHeight w:val="173"/>
        </w:trPr>
        <w:tc>
          <w:tcPr>
            <w:tcW w:w="2060" w:type="dxa"/>
            <w:vAlign w:val="bottom"/>
            <w:tcBorders>
              <w:right w:val="single" w:sz="8" w:color="0066A5"/>
            </w:tcBorders>
          </w:tcPr>
          <w:p>
            <w:pPr>
              <w:spacing w:after="0"/>
              <w:rPr>
                <w:sz w:val="20"/>
                <w:szCs w:val="20"/>
                <w:color w:val="auto"/>
              </w:rPr>
            </w:pPr>
            <w:r>
              <w:rPr>
                <w:rFonts w:ascii="Arial" w:cs="Arial" w:eastAsia="Arial" w:hAnsi="Arial"/>
                <w:sz w:val="14"/>
                <w:szCs w:val="14"/>
                <w:b w:val="1"/>
                <w:bCs w:val="1"/>
                <w:color w:val="auto"/>
              </w:rPr>
              <w:t>ACCOUNTING</w:t>
            </w:r>
          </w:p>
        </w:tc>
        <w:tc>
          <w:tcPr>
            <w:tcW w:w="8860" w:type="dxa"/>
            <w:vAlign w:val="bottom"/>
          </w:tcPr>
          <w:p>
            <w:pPr>
              <w:ind w:left="140"/>
              <w:spacing w:after="0"/>
              <w:rPr>
                <w:sz w:val="20"/>
                <w:szCs w:val="20"/>
                <w:color w:val="auto"/>
              </w:rPr>
            </w:pPr>
            <w:r>
              <w:rPr>
                <w:rFonts w:ascii="Arial" w:cs="Arial" w:eastAsia="Arial" w:hAnsi="Arial"/>
                <w:sz w:val="14"/>
                <w:szCs w:val="14"/>
                <w:color w:val="auto"/>
              </w:rPr>
              <w:t>accounting policies of Royal Dutch Shell.</w:t>
            </w:r>
          </w:p>
        </w:tc>
        <w:tc>
          <w:tcPr>
            <w:tcW w:w="0" w:type="dxa"/>
            <w:vAlign w:val="bottom"/>
          </w:tcPr>
          <w:p>
            <w:pPr>
              <w:spacing w:after="0"/>
              <w:rPr>
                <w:sz w:val="1"/>
                <w:szCs w:val="1"/>
                <w:color w:val="auto"/>
              </w:rPr>
            </w:pPr>
          </w:p>
        </w:tc>
      </w:tr>
      <w:tr>
        <w:trPr>
          <w:trHeight w:val="188"/>
        </w:trPr>
        <w:tc>
          <w:tcPr>
            <w:tcW w:w="2060" w:type="dxa"/>
            <w:vAlign w:val="bottom"/>
            <w:tcBorders>
              <w:right w:val="single" w:sz="8" w:color="0066A5"/>
            </w:tcBorders>
          </w:tcPr>
          <w:p>
            <w:pPr>
              <w:spacing w:after="0"/>
              <w:rPr>
                <w:sz w:val="20"/>
                <w:szCs w:val="20"/>
                <w:color w:val="auto"/>
              </w:rPr>
            </w:pPr>
            <w:r>
              <w:rPr>
                <w:rFonts w:ascii="Arial" w:cs="Arial" w:eastAsia="Arial" w:hAnsi="Arial"/>
                <w:sz w:val="14"/>
                <w:szCs w:val="14"/>
                <w:b w:val="1"/>
                <w:bCs w:val="1"/>
                <w:color w:val="auto"/>
              </w:rPr>
              <w:t>POLICIES</w:t>
            </w:r>
          </w:p>
        </w:tc>
        <w:tc>
          <w:tcPr>
            <w:tcW w:w="88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CURRENCY TRANSLATION</w:t>
            </w:r>
          </w:p>
        </w:tc>
        <w:tc>
          <w:tcPr>
            <w:tcW w:w="0" w:type="dxa"/>
            <w:vAlign w:val="bottom"/>
          </w:tcPr>
          <w:p>
            <w:pPr>
              <w:spacing w:after="0"/>
              <w:rPr>
                <w:sz w:val="1"/>
                <w:szCs w:val="1"/>
                <w:color w:val="auto"/>
              </w:rPr>
            </w:pPr>
          </w:p>
        </w:tc>
      </w:tr>
      <w:tr>
        <w:trPr>
          <w:trHeight w:val="186"/>
        </w:trPr>
        <w:tc>
          <w:tcPr>
            <w:tcW w:w="2060" w:type="dxa"/>
            <w:vAlign w:val="bottom"/>
            <w:tcBorders>
              <w:right w:val="single" w:sz="8" w:color="0066A5"/>
            </w:tcBorders>
          </w:tcPr>
          <w:p>
            <w:pPr>
              <w:spacing w:after="0"/>
              <w:rPr>
                <w:sz w:val="16"/>
                <w:szCs w:val="16"/>
                <w:color w:val="auto"/>
              </w:rPr>
            </w:pPr>
          </w:p>
        </w:tc>
        <w:tc>
          <w:tcPr>
            <w:tcW w:w="8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60" w:type="dxa"/>
            <w:vAlign w:val="bottom"/>
            <w:tcBorders>
              <w:right w:val="single" w:sz="8" w:color="0066A5"/>
            </w:tcBorders>
          </w:tcPr>
          <w:p>
            <w:pPr>
              <w:spacing w:after="0"/>
              <w:rPr>
                <w:sz w:val="19"/>
                <w:szCs w:val="19"/>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w w:val="93"/>
              </w:rPr>
              <w:t>Income and expense items denominated in currencies other than the functional currency are translated into the functional currency at the rate ruling on</w:t>
            </w:r>
          </w:p>
        </w:tc>
        <w:tc>
          <w:tcPr>
            <w:tcW w:w="0" w:type="dxa"/>
            <w:vAlign w:val="bottom"/>
          </w:tcPr>
          <w:p>
            <w:pPr>
              <w:spacing w:after="0"/>
              <w:rPr>
                <w:sz w:val="1"/>
                <w:szCs w:val="1"/>
                <w:color w:val="auto"/>
              </w:rPr>
            </w:pPr>
          </w:p>
        </w:tc>
      </w:tr>
      <w:tr>
        <w:trPr>
          <w:trHeight w:val="147"/>
        </w:trPr>
        <w:tc>
          <w:tcPr>
            <w:tcW w:w="2060" w:type="dxa"/>
            <w:vAlign w:val="bottom"/>
            <w:tcBorders>
              <w:right w:val="single" w:sz="8" w:color="0066A5"/>
            </w:tcBorders>
          </w:tcPr>
          <w:p>
            <w:pPr>
              <w:spacing w:after="0"/>
              <w:rPr>
                <w:sz w:val="12"/>
                <w:szCs w:val="12"/>
                <w:color w:val="auto"/>
              </w:rPr>
            </w:pPr>
          </w:p>
        </w:tc>
        <w:tc>
          <w:tcPr>
            <w:tcW w:w="8860" w:type="dxa"/>
            <w:vAlign w:val="bottom"/>
          </w:tcPr>
          <w:p>
            <w:pPr>
              <w:ind w:left="140"/>
              <w:spacing w:after="0" w:line="147" w:lineRule="exact"/>
              <w:rPr>
                <w:sz w:val="20"/>
                <w:szCs w:val="20"/>
                <w:color w:val="auto"/>
              </w:rPr>
            </w:pPr>
            <w:r>
              <w:rPr>
                <w:rFonts w:ascii="Arial" w:cs="Arial" w:eastAsia="Arial" w:hAnsi="Arial"/>
                <w:sz w:val="14"/>
                <w:szCs w:val="14"/>
                <w:color w:val="auto"/>
                <w:w w:val="94"/>
              </w:rPr>
              <w:t>their transaction date. Monetary assets and liabilities recorded in currencies other than the functional currency have been expressed in the functional</w:t>
            </w:r>
          </w:p>
        </w:tc>
        <w:tc>
          <w:tcPr>
            <w:tcW w:w="0" w:type="dxa"/>
            <w:vAlign w:val="bottom"/>
          </w:tcPr>
          <w:p>
            <w:pPr>
              <w:spacing w:after="0"/>
              <w:rPr>
                <w:sz w:val="1"/>
                <w:szCs w:val="1"/>
                <w:color w:val="auto"/>
              </w:rPr>
            </w:pPr>
          </w:p>
        </w:tc>
      </w:tr>
      <w:tr>
        <w:trPr>
          <w:trHeight w:val="181"/>
        </w:trPr>
        <w:tc>
          <w:tcPr>
            <w:tcW w:w="2060" w:type="dxa"/>
            <w:vAlign w:val="bottom"/>
            <w:tcBorders>
              <w:right w:val="single" w:sz="8" w:color="0066A5"/>
            </w:tcBorders>
          </w:tcPr>
          <w:p>
            <w:pPr>
              <w:spacing w:after="0"/>
              <w:rPr>
                <w:sz w:val="15"/>
                <w:szCs w:val="15"/>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w w:val="96"/>
              </w:rPr>
              <w:t>currency at the rates of exchange ruling at the respective balance sheet dates. Differences on translation are included in the Statement of Income.</w:t>
            </w:r>
          </w:p>
        </w:tc>
        <w:tc>
          <w:tcPr>
            <w:tcW w:w="0" w:type="dxa"/>
            <w:vAlign w:val="bottom"/>
          </w:tcPr>
          <w:p>
            <w:pPr>
              <w:spacing w:after="0"/>
              <w:rPr>
                <w:sz w:val="1"/>
                <w:szCs w:val="1"/>
                <w:color w:val="auto"/>
              </w:rPr>
            </w:pPr>
          </w:p>
        </w:tc>
      </w:tr>
      <w:tr>
        <w:trPr>
          <w:trHeight w:val="219"/>
        </w:trPr>
        <w:tc>
          <w:tcPr>
            <w:tcW w:w="2060" w:type="dxa"/>
            <w:vAlign w:val="bottom"/>
            <w:tcBorders>
              <w:right w:val="single" w:sz="8" w:color="0066A5"/>
            </w:tcBorders>
          </w:tcPr>
          <w:p>
            <w:pPr>
              <w:spacing w:after="0"/>
              <w:rPr>
                <w:sz w:val="19"/>
                <w:szCs w:val="19"/>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w w:val="94"/>
              </w:rPr>
              <w:t>Share capital issued in currencies other than in the functional currency is translated into the functional currency at the exchange rate as at the date of</w:t>
            </w:r>
          </w:p>
        </w:tc>
        <w:tc>
          <w:tcPr>
            <w:tcW w:w="0" w:type="dxa"/>
            <w:vAlign w:val="bottom"/>
          </w:tcPr>
          <w:p>
            <w:pPr>
              <w:spacing w:after="0"/>
              <w:rPr>
                <w:sz w:val="1"/>
                <w:szCs w:val="1"/>
                <w:color w:val="auto"/>
              </w:rPr>
            </w:pPr>
          </w:p>
        </w:tc>
      </w:tr>
      <w:tr>
        <w:trPr>
          <w:trHeight w:val="181"/>
        </w:trPr>
        <w:tc>
          <w:tcPr>
            <w:tcW w:w="2060" w:type="dxa"/>
            <w:vAlign w:val="bottom"/>
            <w:tcBorders>
              <w:right w:val="single" w:sz="8" w:color="0066A5"/>
            </w:tcBorders>
          </w:tcPr>
          <w:p>
            <w:pPr>
              <w:spacing w:after="0"/>
              <w:rPr>
                <w:sz w:val="15"/>
                <w:szCs w:val="15"/>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rPr>
              <w:t>issue.</w:t>
            </w:r>
          </w:p>
        </w:tc>
        <w:tc>
          <w:tcPr>
            <w:tcW w:w="0" w:type="dxa"/>
            <w:vAlign w:val="bottom"/>
          </w:tcPr>
          <w:p>
            <w:pPr>
              <w:spacing w:after="0"/>
              <w:rPr>
                <w:sz w:val="1"/>
                <w:szCs w:val="1"/>
                <w:color w:val="auto"/>
              </w:rPr>
            </w:pPr>
          </w:p>
        </w:tc>
      </w:tr>
      <w:tr>
        <w:trPr>
          <w:trHeight w:val="373"/>
        </w:trPr>
        <w:tc>
          <w:tcPr>
            <w:tcW w:w="2060" w:type="dxa"/>
            <w:vAlign w:val="bottom"/>
            <w:tcBorders>
              <w:right w:val="single" w:sz="8" w:color="0066A5"/>
            </w:tcBorders>
          </w:tcPr>
          <w:p>
            <w:pPr>
              <w:spacing w:after="0"/>
              <w:rPr>
                <w:sz w:val="24"/>
                <w:szCs w:val="24"/>
                <w:color w:val="auto"/>
              </w:rPr>
            </w:pPr>
          </w:p>
        </w:tc>
        <w:tc>
          <w:tcPr>
            <w:tcW w:w="8860" w:type="dxa"/>
            <w:vAlign w:val="bottom"/>
          </w:tcPr>
          <w:p>
            <w:pPr>
              <w:ind w:left="140"/>
              <w:spacing w:after="0"/>
              <w:rPr>
                <w:sz w:val="20"/>
                <w:szCs w:val="20"/>
                <w:color w:val="auto"/>
              </w:rPr>
            </w:pPr>
            <w:r>
              <w:rPr>
                <w:rFonts w:ascii="Arial" w:cs="Arial" w:eastAsia="Arial" w:hAnsi="Arial"/>
                <w:sz w:val="14"/>
                <w:szCs w:val="14"/>
                <w:b w:val="1"/>
                <w:bCs w:val="1"/>
                <w:color w:val="auto"/>
              </w:rPr>
              <w:t>PRESENTATION CURRENCY</w:t>
            </w:r>
          </w:p>
        </w:tc>
        <w:tc>
          <w:tcPr>
            <w:tcW w:w="0" w:type="dxa"/>
            <w:vAlign w:val="bottom"/>
          </w:tcPr>
          <w:p>
            <w:pPr>
              <w:spacing w:after="0"/>
              <w:rPr>
                <w:sz w:val="1"/>
                <w:szCs w:val="1"/>
                <w:color w:val="auto"/>
              </w:rPr>
            </w:pPr>
          </w:p>
        </w:tc>
      </w:tr>
      <w:tr>
        <w:trPr>
          <w:trHeight w:val="253"/>
        </w:trPr>
        <w:tc>
          <w:tcPr>
            <w:tcW w:w="2060" w:type="dxa"/>
            <w:vAlign w:val="bottom"/>
            <w:tcBorders>
              <w:right w:val="single" w:sz="8" w:color="0066A5"/>
            </w:tcBorders>
          </w:tcPr>
          <w:p>
            <w:pPr>
              <w:spacing w:after="0"/>
              <w:rPr>
                <w:sz w:val="22"/>
                <w:szCs w:val="22"/>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rPr>
              <w:t>The Company’s presentation and functional currency is US dollars.</w:t>
            </w:r>
          </w:p>
        </w:tc>
        <w:tc>
          <w:tcPr>
            <w:tcW w:w="0" w:type="dxa"/>
            <w:vAlign w:val="bottom"/>
          </w:tcPr>
          <w:p>
            <w:pPr>
              <w:spacing w:after="0"/>
              <w:rPr>
                <w:sz w:val="1"/>
                <w:szCs w:val="1"/>
                <w:color w:val="auto"/>
              </w:rPr>
            </w:pPr>
          </w:p>
        </w:tc>
      </w:tr>
      <w:tr>
        <w:trPr>
          <w:trHeight w:val="373"/>
        </w:trPr>
        <w:tc>
          <w:tcPr>
            <w:tcW w:w="2060" w:type="dxa"/>
            <w:vAlign w:val="bottom"/>
            <w:tcBorders>
              <w:right w:val="single" w:sz="8" w:color="0066A5"/>
            </w:tcBorders>
          </w:tcPr>
          <w:p>
            <w:pPr>
              <w:spacing w:after="0"/>
              <w:rPr>
                <w:sz w:val="24"/>
                <w:szCs w:val="24"/>
                <w:color w:val="auto"/>
              </w:rPr>
            </w:pPr>
          </w:p>
        </w:tc>
        <w:tc>
          <w:tcPr>
            <w:tcW w:w="8860" w:type="dxa"/>
            <w:vAlign w:val="bottom"/>
          </w:tcPr>
          <w:p>
            <w:pPr>
              <w:ind w:left="140"/>
              <w:spacing w:after="0"/>
              <w:rPr>
                <w:sz w:val="20"/>
                <w:szCs w:val="20"/>
                <w:color w:val="auto"/>
              </w:rPr>
            </w:pPr>
            <w:r>
              <w:rPr>
                <w:rFonts w:ascii="Arial" w:cs="Arial" w:eastAsia="Arial" w:hAnsi="Arial"/>
                <w:sz w:val="14"/>
                <w:szCs w:val="14"/>
                <w:b w:val="1"/>
                <w:bCs w:val="1"/>
                <w:color w:val="auto"/>
              </w:rPr>
              <w:t>TAXATION</w:t>
            </w:r>
          </w:p>
        </w:tc>
        <w:tc>
          <w:tcPr>
            <w:tcW w:w="0" w:type="dxa"/>
            <w:vAlign w:val="bottom"/>
          </w:tcPr>
          <w:p>
            <w:pPr>
              <w:spacing w:after="0"/>
              <w:rPr>
                <w:sz w:val="1"/>
                <w:szCs w:val="1"/>
                <w:color w:val="auto"/>
              </w:rPr>
            </w:pPr>
          </w:p>
        </w:tc>
      </w:tr>
      <w:tr>
        <w:trPr>
          <w:trHeight w:val="253"/>
        </w:trPr>
        <w:tc>
          <w:tcPr>
            <w:tcW w:w="2060" w:type="dxa"/>
            <w:vAlign w:val="bottom"/>
            <w:tcBorders>
              <w:right w:val="single" w:sz="8" w:color="0066A5"/>
            </w:tcBorders>
          </w:tcPr>
          <w:p>
            <w:pPr>
              <w:spacing w:after="0"/>
              <w:rPr>
                <w:sz w:val="22"/>
                <w:szCs w:val="22"/>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rPr>
              <w:t>The Company is tax resident in the Netherlands.</w:t>
            </w:r>
          </w:p>
        </w:tc>
        <w:tc>
          <w:tcPr>
            <w:tcW w:w="0" w:type="dxa"/>
            <w:vAlign w:val="bottom"/>
          </w:tcPr>
          <w:p>
            <w:pPr>
              <w:spacing w:after="0"/>
              <w:rPr>
                <w:sz w:val="1"/>
                <w:szCs w:val="1"/>
                <w:color w:val="auto"/>
              </w:rPr>
            </w:pPr>
          </w:p>
        </w:tc>
      </w:tr>
      <w:tr>
        <w:trPr>
          <w:trHeight w:val="219"/>
        </w:trPr>
        <w:tc>
          <w:tcPr>
            <w:tcW w:w="2060" w:type="dxa"/>
            <w:vAlign w:val="bottom"/>
            <w:tcBorders>
              <w:right w:val="single" w:sz="8" w:color="0066A5"/>
            </w:tcBorders>
          </w:tcPr>
          <w:p>
            <w:pPr>
              <w:spacing w:after="0"/>
              <w:rPr>
                <w:sz w:val="19"/>
                <w:szCs w:val="19"/>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w w:val="93"/>
              </w:rPr>
              <w:t>For the assessment of Netherlands corporate income tax, the Company and certain of its subsidiaries form a fiscal unit. As from January 1, 2006 Shell</w:t>
            </w:r>
          </w:p>
        </w:tc>
        <w:tc>
          <w:tcPr>
            <w:tcW w:w="0" w:type="dxa"/>
            <w:vAlign w:val="bottom"/>
          </w:tcPr>
          <w:p>
            <w:pPr>
              <w:spacing w:after="0"/>
              <w:rPr>
                <w:sz w:val="1"/>
                <w:szCs w:val="1"/>
                <w:color w:val="auto"/>
              </w:rPr>
            </w:pPr>
          </w:p>
        </w:tc>
      </w:tr>
      <w:tr>
        <w:trPr>
          <w:trHeight w:val="147"/>
        </w:trPr>
        <w:tc>
          <w:tcPr>
            <w:tcW w:w="2060" w:type="dxa"/>
            <w:vAlign w:val="bottom"/>
            <w:tcBorders>
              <w:right w:val="single" w:sz="8" w:color="0066A5"/>
            </w:tcBorders>
          </w:tcPr>
          <w:p>
            <w:pPr>
              <w:spacing w:after="0"/>
              <w:rPr>
                <w:sz w:val="12"/>
                <w:szCs w:val="12"/>
                <w:color w:val="auto"/>
              </w:rPr>
            </w:pPr>
          </w:p>
        </w:tc>
        <w:tc>
          <w:tcPr>
            <w:tcW w:w="8860" w:type="dxa"/>
            <w:vAlign w:val="bottom"/>
          </w:tcPr>
          <w:p>
            <w:pPr>
              <w:ind w:left="140"/>
              <w:spacing w:after="0" w:line="147" w:lineRule="exact"/>
              <w:rPr>
                <w:sz w:val="20"/>
                <w:szCs w:val="20"/>
                <w:color w:val="auto"/>
              </w:rPr>
            </w:pPr>
            <w:r>
              <w:rPr>
                <w:rFonts w:ascii="Arial" w:cs="Arial" w:eastAsia="Arial" w:hAnsi="Arial"/>
                <w:sz w:val="14"/>
                <w:szCs w:val="14"/>
                <w:color w:val="auto"/>
                <w:w w:val="94"/>
              </w:rPr>
              <w:t>Petroleum and its fiscal unit subsidiaries have become part of the fiscal unit of which the Company is the parent. The deferred tax asset related to the</w:t>
            </w:r>
          </w:p>
        </w:tc>
        <w:tc>
          <w:tcPr>
            <w:tcW w:w="0" w:type="dxa"/>
            <w:vAlign w:val="bottom"/>
          </w:tcPr>
          <w:p>
            <w:pPr>
              <w:spacing w:after="0"/>
              <w:rPr>
                <w:sz w:val="1"/>
                <w:szCs w:val="1"/>
                <w:color w:val="auto"/>
              </w:rPr>
            </w:pPr>
          </w:p>
        </w:tc>
      </w:tr>
      <w:tr>
        <w:trPr>
          <w:trHeight w:val="147"/>
        </w:trPr>
        <w:tc>
          <w:tcPr>
            <w:tcW w:w="2060" w:type="dxa"/>
            <w:vAlign w:val="bottom"/>
            <w:tcBorders>
              <w:right w:val="single" w:sz="8" w:color="0066A5"/>
            </w:tcBorders>
          </w:tcPr>
          <w:p>
            <w:pPr>
              <w:spacing w:after="0"/>
              <w:rPr>
                <w:sz w:val="12"/>
                <w:szCs w:val="12"/>
                <w:color w:val="auto"/>
              </w:rPr>
            </w:pPr>
          </w:p>
        </w:tc>
        <w:tc>
          <w:tcPr>
            <w:tcW w:w="8860" w:type="dxa"/>
            <w:vAlign w:val="bottom"/>
          </w:tcPr>
          <w:p>
            <w:pPr>
              <w:ind w:left="140"/>
              <w:spacing w:after="0" w:line="147" w:lineRule="exact"/>
              <w:rPr>
                <w:sz w:val="20"/>
                <w:szCs w:val="20"/>
                <w:color w:val="auto"/>
              </w:rPr>
            </w:pPr>
            <w:r>
              <w:rPr>
                <w:rFonts w:ascii="Arial" w:cs="Arial" w:eastAsia="Arial" w:hAnsi="Arial"/>
                <w:sz w:val="14"/>
                <w:szCs w:val="14"/>
                <w:color w:val="auto"/>
                <w:w w:val="92"/>
              </w:rPr>
              <w:t>Shell Petroleum fiscal unit prior to January 1, 2006 remained accounted for in Shell Petroleum until this was utilised in 2007. As from 2007, onwards the</w:t>
            </w:r>
          </w:p>
        </w:tc>
        <w:tc>
          <w:tcPr>
            <w:tcW w:w="0" w:type="dxa"/>
            <w:vAlign w:val="bottom"/>
          </w:tcPr>
          <w:p>
            <w:pPr>
              <w:spacing w:after="0"/>
              <w:rPr>
                <w:sz w:val="1"/>
                <w:szCs w:val="1"/>
                <w:color w:val="auto"/>
              </w:rPr>
            </w:pPr>
          </w:p>
        </w:tc>
      </w:tr>
      <w:tr>
        <w:trPr>
          <w:trHeight w:val="181"/>
        </w:trPr>
        <w:tc>
          <w:tcPr>
            <w:tcW w:w="2060" w:type="dxa"/>
            <w:vAlign w:val="bottom"/>
            <w:tcBorders>
              <w:right w:val="single" w:sz="8" w:color="0066A5"/>
            </w:tcBorders>
          </w:tcPr>
          <w:p>
            <w:pPr>
              <w:spacing w:after="0"/>
              <w:rPr>
                <w:sz w:val="15"/>
                <w:szCs w:val="15"/>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rPr>
              <w:t>Company records the resulting current tax payable for the fiscal unit.</w:t>
            </w:r>
          </w:p>
        </w:tc>
        <w:tc>
          <w:tcPr>
            <w:tcW w:w="0" w:type="dxa"/>
            <w:vAlign w:val="bottom"/>
          </w:tcPr>
          <w:p>
            <w:pPr>
              <w:spacing w:after="0"/>
              <w:rPr>
                <w:sz w:val="1"/>
                <w:szCs w:val="1"/>
                <w:color w:val="auto"/>
              </w:rPr>
            </w:pPr>
          </w:p>
        </w:tc>
      </w:tr>
      <w:tr>
        <w:trPr>
          <w:trHeight w:val="253"/>
        </w:trPr>
        <w:tc>
          <w:tcPr>
            <w:tcW w:w="2060" w:type="dxa"/>
            <w:vAlign w:val="bottom"/>
            <w:tcBorders>
              <w:right w:val="single" w:sz="8" w:color="0066A5"/>
            </w:tcBorders>
          </w:tcPr>
          <w:p>
            <w:pPr>
              <w:spacing w:after="0"/>
              <w:rPr>
                <w:sz w:val="22"/>
                <w:szCs w:val="22"/>
                <w:color w:val="auto"/>
              </w:rPr>
            </w:pPr>
          </w:p>
        </w:tc>
        <w:tc>
          <w:tcPr>
            <w:tcW w:w="8860" w:type="dxa"/>
            <w:vAlign w:val="bottom"/>
          </w:tcPr>
          <w:p>
            <w:pPr>
              <w:ind w:left="140"/>
              <w:spacing w:after="0"/>
              <w:rPr>
                <w:sz w:val="20"/>
                <w:szCs w:val="20"/>
                <w:color w:val="auto"/>
              </w:rPr>
            </w:pPr>
            <w:r>
              <w:rPr>
                <w:rFonts w:ascii="Arial" w:cs="Arial" w:eastAsia="Arial" w:hAnsi="Arial"/>
                <w:sz w:val="14"/>
                <w:szCs w:val="14"/>
                <w:color w:val="auto"/>
              </w:rPr>
              <w:t>The Company records a tax charge or credit in the Statement of Income calculated at the statutory tax rate prevailing in the Netherlands.</w:t>
            </w:r>
          </w:p>
        </w:tc>
        <w:tc>
          <w:tcPr>
            <w:tcW w:w="0" w:type="dxa"/>
            <w:vAlign w:val="bottom"/>
          </w:tcPr>
          <w:p>
            <w:pPr>
              <w:spacing w:after="0"/>
              <w:rPr>
                <w:sz w:val="1"/>
                <w:szCs w:val="1"/>
                <w:color w:val="auto"/>
              </w:rPr>
            </w:pPr>
          </w:p>
        </w:tc>
      </w:tr>
      <w:tr>
        <w:trPr>
          <w:trHeight w:val="304"/>
        </w:trPr>
        <w:tc>
          <w:tcPr>
            <w:tcW w:w="2060" w:type="dxa"/>
            <w:vAlign w:val="bottom"/>
            <w:tcBorders>
              <w:right w:val="single" w:sz="8" w:color="0066A5"/>
            </w:tcBorders>
          </w:tcPr>
          <w:p>
            <w:pPr>
              <w:spacing w:after="0"/>
              <w:rPr>
                <w:sz w:val="24"/>
                <w:szCs w:val="24"/>
                <w:color w:val="auto"/>
              </w:rPr>
            </w:pP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186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386715</wp:posOffset>
            </wp:positionV>
            <wp:extent cx="7252970" cy="209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192" w:name="page193"/>
    <w:bookmarkEnd w:id="192"/>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66A5"/>
        </w:rPr>
        <w:t>Note 2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FINANCE</w:t>
      </w:r>
    </w:p>
    <w:p>
      <w:pPr>
        <w:spacing w:after="0"/>
        <w:rPr>
          <w:sz w:val="20"/>
          <w:szCs w:val="20"/>
          <w:color w:val="auto"/>
        </w:rPr>
      </w:pPr>
      <w:r>
        <w:rPr>
          <w:rFonts w:ascii="Arial" w:cs="Arial" w:eastAsia="Arial" w:hAnsi="Arial"/>
          <w:sz w:val="14"/>
          <w:szCs w:val="14"/>
          <w:b w:val="1"/>
          <w:bCs w:val="1"/>
          <w:color w:val="auto"/>
        </w:rPr>
        <w:t>INCOME/(EXPENSE)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4</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 AND</w:t>
      </w:r>
    </w:p>
    <w:p>
      <w:pPr>
        <w:spacing w:after="0" w:line="238" w:lineRule="auto"/>
        <w:rPr>
          <w:sz w:val="20"/>
          <w:szCs w:val="20"/>
          <w:color w:val="auto"/>
        </w:rPr>
      </w:pPr>
      <w:r>
        <w:rPr>
          <w:rFonts w:ascii="Arial" w:cs="Arial" w:eastAsia="Arial" w:hAnsi="Arial"/>
          <w:sz w:val="14"/>
          <w:szCs w:val="14"/>
          <w:b w:val="1"/>
          <w:bCs w:val="1"/>
          <w:color w:val="auto"/>
        </w:rPr>
        <w:t>SENIOR</w:t>
      </w:r>
    </w:p>
    <w:p>
      <w:pPr>
        <w:spacing w:after="0"/>
        <w:rPr>
          <w:sz w:val="20"/>
          <w:szCs w:val="20"/>
          <w:color w:val="auto"/>
        </w:rPr>
      </w:pPr>
      <w:r>
        <w:rPr>
          <w:rFonts w:ascii="Arial" w:cs="Arial" w:eastAsia="Arial" w:hAnsi="Arial"/>
          <w:sz w:val="14"/>
          <w:szCs w:val="14"/>
          <w:b w:val="1"/>
          <w:bCs w:val="1"/>
          <w:color w:val="auto"/>
        </w:rPr>
        <w:t>MANAGEMENT</w:t>
      </w:r>
    </w:p>
    <w:p>
      <w:pPr>
        <w:spacing w:after="0"/>
        <w:rPr>
          <w:sz w:val="20"/>
          <w:szCs w:val="20"/>
          <w:color w:val="auto"/>
        </w:rPr>
      </w:pPr>
      <w:r>
        <w:rPr>
          <w:rFonts w:ascii="Arial" w:cs="Arial" w:eastAsia="Arial" w:hAnsi="Arial"/>
          <w:sz w:val="14"/>
          <w:szCs w:val="14"/>
          <w:b w:val="1"/>
          <w:bCs w:val="1"/>
          <w:color w:val="auto"/>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-93345</wp:posOffset>
            </wp:positionV>
            <wp:extent cx="17145" cy="29013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145" cy="290131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-295910</wp:posOffset>
            </wp:positionV>
            <wp:extent cx="211455" cy="628396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11455" cy="6283960"/>
                    </a:xfrm>
                    <a:prstGeom prst="rect">
                      <a:avLst/>
                    </a:prstGeom>
                    <a:noFill/>
                  </pic:spPr>
                </pic:pic>
              </a:graphicData>
            </a:graphic>
          </wp:anchor>
        </w:drawing>
      </w:r>
    </w:p>
    <w:p>
      <w:pPr>
        <w:spacing w:after="0" w:line="80"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Investments in subsidiaries are stated at cost, net of pre-acquisition dividends receivable. The cost of the Company’s investment in Royal Dutch is based on the fair value of the Royal Dutch shares, transferred to Royal Dutch Shell by the former shareholders of Royal Dutch in exchange for Class A shares in Royal Dutch Shell during the public exchange offer (the Royal Dutch Offer). For shares of Royal Dutch tendered in the acceptance period, the fair value is calculated based on the closing price of Royal Dutch’s shares on July 19, 2005. For shares of Royal Dutch tendered in the subsequent acceptance period, the fair value is calculated based on the quoted bid price of Royal Dutch Shell’s Class A shares on the specified date.</w:t>
      </w:r>
    </w:p>
    <w:p>
      <w:pPr>
        <w:spacing w:after="0" w:line="70"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The cost of the Company’s investment in Shell Transport is the fair value of the Shell Transport shares held by the former shareholders of Shell Transport, which were transferred in consideration for the issuance of Class B shares as part of the Scheme of Arrangement. The fair value is calculated based on the closing price of Shell Transport’s shares on July 19, 2005.</w:t>
      </w:r>
    </w:p>
    <w:p>
      <w:pPr>
        <w:spacing w:after="0" w:line="73" w:lineRule="exact"/>
        <w:rPr>
          <w:sz w:val="20"/>
          <w:szCs w:val="20"/>
          <w:color w:val="auto"/>
        </w:rPr>
      </w:pPr>
    </w:p>
    <w:p>
      <w:pPr>
        <w:ind w:right="1640"/>
        <w:spacing w:after="0" w:line="247" w:lineRule="auto"/>
        <w:rPr>
          <w:sz w:val="20"/>
          <w:szCs w:val="20"/>
          <w:color w:val="auto"/>
        </w:rPr>
      </w:pPr>
      <w:r>
        <w:rPr>
          <w:rFonts w:ascii="Arial" w:cs="Arial" w:eastAsia="Arial" w:hAnsi="Arial"/>
          <w:sz w:val="14"/>
          <w:szCs w:val="14"/>
          <w:color w:val="auto"/>
        </w:rPr>
        <w:t>As a result of the Unification (see Note 1), the Company’s investments in Royal Dutch and Shell Transport now represents an investment in Shell Petroleum. This had no impact on the cost of investments in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 PLANS</w:t>
      </w:r>
    </w:p>
    <w:p>
      <w:pPr>
        <w:spacing w:after="0" w:line="100"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The fair value of share-based compensation (“IFRS 2 charge”) for equity-settled plans granted to employees under the Company’s schemes is recognised as a receivable from subsidiaries from the date of grant over the vesting period with a corresponding increase in equity. The fair value of these plans is determined using a Monte Carlo pricing model.</w:t>
      </w:r>
    </w:p>
    <w:p>
      <w:pPr>
        <w:spacing w:after="0" w:line="73" w:lineRule="exact"/>
        <w:rPr>
          <w:sz w:val="20"/>
          <w:szCs w:val="20"/>
          <w:color w:val="auto"/>
        </w:rPr>
      </w:pPr>
    </w:p>
    <w:p>
      <w:pPr>
        <w:jc w:val="both"/>
        <w:ind w:right="120"/>
        <w:spacing w:after="0" w:line="260" w:lineRule="auto"/>
        <w:rPr>
          <w:sz w:val="20"/>
          <w:szCs w:val="20"/>
          <w:color w:val="auto"/>
        </w:rPr>
      </w:pPr>
      <w:r>
        <w:rPr>
          <w:rFonts w:ascii="Arial" w:cs="Arial" w:eastAsia="Arial" w:hAnsi="Arial"/>
          <w:sz w:val="13"/>
          <w:szCs w:val="13"/>
          <w:color w:val="auto"/>
        </w:rPr>
        <w:t>At the moment of vesting of a plan, the costs for the actual deliveries will be recharged to the relevant employing subsidiaries. If the actual vesting costs are lower than the originally estimated IFRS 2 charge, the difference is accounted for as an increase in the cost of investment. If the actual vesting costs are higher than the originally estimated IFRS 2 charge, the difference is accounted for as a gain in the Statement of Income.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INCOME</w:t>
      </w:r>
    </w:p>
    <w:p>
      <w:pPr>
        <w:spacing w:after="0" w:line="100" w:lineRule="exact"/>
        <w:rPr>
          <w:sz w:val="20"/>
          <w:szCs w:val="20"/>
          <w:color w:val="auto"/>
        </w:rPr>
      </w:pPr>
    </w:p>
    <w:p>
      <w:pPr>
        <w:ind w:right="1520"/>
        <w:spacing w:after="0" w:line="247" w:lineRule="auto"/>
        <w:rPr>
          <w:sz w:val="20"/>
          <w:szCs w:val="20"/>
          <w:color w:val="auto"/>
        </w:rPr>
      </w:pPr>
      <w:r>
        <w:rPr>
          <w:rFonts w:ascii="Arial" w:cs="Arial" w:eastAsia="Arial" w:hAnsi="Arial"/>
          <w:sz w:val="14"/>
          <w:szCs w:val="14"/>
          <w:color w:val="auto"/>
        </w:rPr>
        <w:t>Interim dividends declared are recognised on a paid basis unless the dividend has been confirmed by a general meeting of Shell Transport or of Shell Petroleum, in which case income is recognised on declaration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120" w:type="dxa"/>
            <w:vAlign w:val="bottom"/>
            <w:shd w:val="clear" w:color="auto" w:fill="0066A5"/>
          </w:tcPr>
          <w:p>
            <w:pPr>
              <w:spacing w:after="0"/>
              <w:rPr>
                <w:sz w:val="12"/>
                <w:szCs w:val="12"/>
                <w:color w:val="auto"/>
              </w:rPr>
            </w:pPr>
          </w:p>
        </w:tc>
        <w:tc>
          <w:tcPr>
            <w:tcW w:w="620" w:type="dxa"/>
            <w:vAlign w:val="bottom"/>
            <w:shd w:val="clear" w:color="auto" w:fill="0066A5"/>
          </w:tcPr>
          <w:p>
            <w:pPr>
              <w:spacing w:after="0"/>
              <w:rPr>
                <w:sz w:val="12"/>
                <w:szCs w:val="12"/>
                <w:color w:val="auto"/>
              </w:rPr>
            </w:pPr>
          </w:p>
        </w:tc>
        <w:tc>
          <w:tcPr>
            <w:tcW w:w="102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120" w:type="dxa"/>
            <w:vAlign w:val="bottom"/>
            <w:shd w:val="clear" w:color="auto" w:fill="CECAC6"/>
          </w:tcPr>
          <w:p>
            <w:pPr>
              <w:spacing w:after="0"/>
              <w:rPr>
                <w:sz w:val="11"/>
                <w:szCs w:val="11"/>
                <w:color w:val="auto"/>
              </w:rPr>
            </w:pPr>
          </w:p>
        </w:tc>
        <w:tc>
          <w:tcPr>
            <w:tcW w:w="6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7120" w:type="dxa"/>
            <w:vAlign w:val="bottom"/>
          </w:tcPr>
          <w:p>
            <w:pPr>
              <w:spacing w:after="0" w:line="128" w:lineRule="exact"/>
              <w:rPr>
                <w:sz w:val="20"/>
                <w:szCs w:val="20"/>
                <w:color w:val="auto"/>
              </w:rPr>
            </w:pPr>
            <w:r>
              <w:rPr>
                <w:rFonts w:ascii="Arial" w:cs="Arial" w:eastAsia="Arial" w:hAnsi="Arial"/>
                <w:sz w:val="12"/>
                <w:szCs w:val="12"/>
                <w:b w:val="1"/>
                <w:bCs w:val="1"/>
                <w:color w:val="auto"/>
              </w:rPr>
              <w:t>Finance income</w:t>
            </w:r>
          </w:p>
        </w:tc>
        <w:tc>
          <w:tcPr>
            <w:tcW w:w="620" w:type="dxa"/>
            <w:vAlign w:val="bottom"/>
            <w:shd w:val="clear" w:color="auto" w:fill="E4E3E1"/>
          </w:tcPr>
          <w:p>
            <w:pPr>
              <w:spacing w:after="0"/>
              <w:rPr>
                <w:sz w:val="11"/>
                <w:szCs w:val="11"/>
                <w:color w:val="auto"/>
              </w:rPr>
            </w:pPr>
          </w:p>
        </w:tc>
        <w:tc>
          <w:tcPr>
            <w:tcW w:w="1020" w:type="dxa"/>
            <w:vAlign w:val="bottom"/>
          </w:tcPr>
          <w:p>
            <w:pPr>
              <w:spacing w:after="0"/>
              <w:rPr>
                <w:sz w:val="11"/>
                <w:szCs w:val="11"/>
                <w:color w:val="auto"/>
              </w:rPr>
            </w:pPr>
          </w:p>
        </w:tc>
      </w:tr>
      <w:tr>
        <w:trPr>
          <w:trHeight w:val="133"/>
        </w:trPr>
        <w:tc>
          <w:tcPr>
            <w:tcW w:w="7120" w:type="dxa"/>
            <w:vAlign w:val="bottom"/>
          </w:tcPr>
          <w:p>
            <w:pPr>
              <w:spacing w:after="0" w:line="133" w:lineRule="exact"/>
              <w:rPr>
                <w:sz w:val="20"/>
                <w:szCs w:val="20"/>
                <w:color w:val="auto"/>
              </w:rPr>
            </w:pPr>
            <w:r>
              <w:rPr>
                <w:rFonts w:ascii="Arial" w:cs="Arial" w:eastAsia="Arial" w:hAnsi="Arial"/>
                <w:sz w:val="12"/>
                <w:szCs w:val="12"/>
                <w:color w:val="auto"/>
              </w:rPr>
              <w:t>Interest income</w:t>
            </w:r>
          </w:p>
        </w:tc>
        <w:tc>
          <w:tcPr>
            <w:tcW w:w="62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32</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51</w:t>
            </w: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Currency exchange gains</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404</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427</w:t>
            </w:r>
          </w:p>
        </w:tc>
      </w:tr>
      <w:tr>
        <w:trPr>
          <w:trHeight w:val="140"/>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436</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478</w:t>
            </w:r>
          </w:p>
        </w:tc>
      </w:tr>
      <w:tr>
        <w:trPr>
          <w:trHeight w:val="134"/>
        </w:trPr>
        <w:tc>
          <w:tcPr>
            <w:tcW w:w="7120" w:type="dxa"/>
            <w:vAlign w:val="bottom"/>
          </w:tcPr>
          <w:p>
            <w:pPr>
              <w:spacing w:after="0" w:line="134" w:lineRule="exact"/>
              <w:rPr>
                <w:sz w:val="20"/>
                <w:szCs w:val="20"/>
                <w:color w:val="auto"/>
              </w:rPr>
            </w:pPr>
            <w:r>
              <w:rPr>
                <w:rFonts w:ascii="Arial" w:cs="Arial" w:eastAsia="Arial" w:hAnsi="Arial"/>
                <w:sz w:val="12"/>
                <w:szCs w:val="12"/>
                <w:b w:val="1"/>
                <w:bCs w:val="1"/>
                <w:color w:val="auto"/>
              </w:rPr>
              <w:t>Finance expense</w:t>
            </w:r>
          </w:p>
        </w:tc>
        <w:tc>
          <w:tcPr>
            <w:tcW w:w="620" w:type="dxa"/>
            <w:vAlign w:val="bottom"/>
            <w:shd w:val="clear" w:color="auto" w:fill="E4E3E1"/>
          </w:tcPr>
          <w:p>
            <w:pPr>
              <w:spacing w:after="0"/>
              <w:rPr>
                <w:sz w:val="11"/>
                <w:szCs w:val="11"/>
                <w:color w:val="auto"/>
              </w:rPr>
            </w:pPr>
          </w:p>
        </w:tc>
        <w:tc>
          <w:tcPr>
            <w:tcW w:w="1020" w:type="dxa"/>
            <w:vAlign w:val="bottom"/>
          </w:tcPr>
          <w:p>
            <w:pPr>
              <w:spacing w:after="0"/>
              <w:rPr>
                <w:sz w:val="11"/>
                <w:szCs w:val="11"/>
                <w:color w:val="auto"/>
              </w:rPr>
            </w:pP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Interest expense</w:t>
            </w:r>
          </w:p>
        </w:tc>
        <w:tc>
          <w:tcPr>
            <w:tcW w:w="6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r>
      <w:tr>
        <w:trPr>
          <w:trHeight w:val="146"/>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(11)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-828040</wp:posOffset>
            </wp:positionV>
            <wp:extent cx="17145" cy="9728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145" cy="97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Directors and Senior Management are remunerated for their services to the group as a whole. The Directors’ and Senior Management remuneration is paid by subsidiaries. The Parent Company has received a recharge of $9.3 million (2006: $5.2 million) for the services of 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-287655</wp:posOffset>
            </wp:positionV>
            <wp:extent cx="17145" cy="4908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145" cy="4908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Remuneration of Directors and Senior Management is set out in Note 6[C]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683260</wp:posOffset>
            </wp:positionV>
            <wp:extent cx="7252970" cy="209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480" w:space="720"/>
            <w:col w:w="8760"/>
          </w:cols>
          <w:pgMar w:left="240" w:top="415" w:right="69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PARENT COMPANY FINANCIAL STATEMENTS</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009AC9"/>
        </w:rPr>
        <w:t>5</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39"/>
        </w:trPr>
        <w:tc>
          <w:tcPr>
            <w:tcW w:w="740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[A] TAXATION (CHARGE)/CREDIT FOR THE PERIOD</w:t>
            </w:r>
          </w:p>
        </w:tc>
        <w:tc>
          <w:tcPr>
            <w:tcW w:w="660" w:type="dxa"/>
            <w:vAlign w:val="bottom"/>
            <w:shd w:val="clear" w:color="auto" w:fill="0066A5"/>
          </w:tcPr>
          <w:p>
            <w:pPr>
              <w:spacing w:after="0"/>
              <w:rPr>
                <w:sz w:val="12"/>
                <w:szCs w:val="12"/>
                <w:color w:val="auto"/>
              </w:rPr>
            </w:pPr>
          </w:p>
        </w:tc>
        <w:tc>
          <w:tcPr>
            <w:tcW w:w="106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400" w:type="dxa"/>
            <w:vAlign w:val="bottom"/>
            <w:shd w:val="clear" w:color="auto" w:fill="CECAC6"/>
          </w:tcPr>
          <w:p>
            <w:pPr>
              <w:spacing w:after="0"/>
              <w:rPr>
                <w:sz w:val="11"/>
                <w:szCs w:val="11"/>
                <w:color w:val="auto"/>
              </w:rPr>
            </w:pPr>
          </w:p>
        </w:tc>
        <w:tc>
          <w:tcPr>
            <w:tcW w:w="6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7400" w:type="dxa"/>
            <w:vAlign w:val="bottom"/>
          </w:tcPr>
          <w:p>
            <w:pPr>
              <w:spacing w:after="0" w:line="128" w:lineRule="exact"/>
              <w:rPr>
                <w:sz w:val="20"/>
                <w:szCs w:val="20"/>
                <w:color w:val="auto"/>
              </w:rPr>
            </w:pPr>
            <w:r>
              <w:rPr>
                <w:rFonts w:ascii="Arial" w:cs="Arial" w:eastAsia="Arial" w:hAnsi="Arial"/>
                <w:sz w:val="12"/>
                <w:szCs w:val="12"/>
                <w:color w:val="auto"/>
              </w:rPr>
              <w:t>Current taxation</w:t>
            </w:r>
          </w:p>
        </w:tc>
        <w:tc>
          <w:tcPr>
            <w:tcW w:w="66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(2)</w:t>
            </w:r>
          </w:p>
        </w:tc>
        <w:tc>
          <w:tcPr>
            <w:tcW w:w="1060" w:type="dxa"/>
            <w:vAlign w:val="bottom"/>
          </w:tcPr>
          <w:p>
            <w:pPr>
              <w:jc w:val="right"/>
              <w:ind w:right="18"/>
              <w:spacing w:after="0" w:line="128" w:lineRule="exact"/>
              <w:rPr>
                <w:sz w:val="20"/>
                <w:szCs w:val="20"/>
                <w:color w:val="auto"/>
              </w:rPr>
            </w:pPr>
            <w:r>
              <w:rPr>
                <w:rFonts w:ascii="Arial" w:cs="Arial" w:eastAsia="Arial" w:hAnsi="Arial"/>
                <w:sz w:val="12"/>
                <w:szCs w:val="12"/>
                <w:color w:val="auto"/>
              </w:rPr>
              <w:t>–</w:t>
            </w:r>
          </w:p>
        </w:tc>
      </w:tr>
      <w:tr>
        <w:trPr>
          <w:trHeight w:val="139"/>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Deferred taxation</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42</w:t>
            </w:r>
          </w:p>
        </w:tc>
      </w:tr>
      <w:tr>
        <w:trPr>
          <w:trHeight w:val="146"/>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Taxation (charge)/credit</w:t>
            </w:r>
          </w:p>
        </w:tc>
        <w:tc>
          <w:tcPr>
            <w:tcW w:w="6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-455930</wp:posOffset>
            </wp:positionV>
            <wp:extent cx="17145" cy="47110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45" cy="471106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Reconciliations of the expected tax charge to the actual tax charge is as follows:</w:t>
      </w:r>
    </w:p>
    <w:tbl>
      <w:tblPr>
        <w:tblLayout w:type="fixed"/>
        <w:tblInd w:w="20" w:type="dxa"/>
        <w:tblCellMar>
          <w:top w:w="0" w:type="dxa"/>
          <w:left w:w="0" w:type="dxa"/>
          <w:bottom w:w="0" w:type="dxa"/>
          <w:right w:w="0" w:type="dxa"/>
        </w:tblCellMar>
      </w:tblPr>
      <w:tr>
        <w:trPr>
          <w:trHeight w:val="139"/>
        </w:trPr>
        <w:tc>
          <w:tcPr>
            <w:tcW w:w="7400" w:type="dxa"/>
            <w:vAlign w:val="bottom"/>
            <w:shd w:val="clear" w:color="auto" w:fill="0066A5"/>
          </w:tcPr>
          <w:p>
            <w:pPr>
              <w:spacing w:after="0"/>
              <w:rPr>
                <w:sz w:val="12"/>
                <w:szCs w:val="12"/>
                <w:color w:val="auto"/>
              </w:rPr>
            </w:pPr>
          </w:p>
        </w:tc>
        <w:tc>
          <w:tcPr>
            <w:tcW w:w="660" w:type="dxa"/>
            <w:vAlign w:val="bottom"/>
            <w:shd w:val="clear" w:color="auto" w:fill="0066A5"/>
          </w:tcPr>
          <w:p>
            <w:pPr>
              <w:spacing w:after="0"/>
              <w:rPr>
                <w:sz w:val="12"/>
                <w:szCs w:val="12"/>
                <w:color w:val="auto"/>
              </w:rPr>
            </w:pPr>
          </w:p>
        </w:tc>
        <w:tc>
          <w:tcPr>
            <w:tcW w:w="106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400" w:type="dxa"/>
            <w:vAlign w:val="bottom"/>
            <w:shd w:val="clear" w:color="auto" w:fill="CECAC6"/>
          </w:tcPr>
          <w:p>
            <w:pPr>
              <w:spacing w:after="0"/>
              <w:rPr>
                <w:sz w:val="11"/>
                <w:szCs w:val="11"/>
                <w:color w:val="auto"/>
              </w:rPr>
            </w:pPr>
          </w:p>
        </w:tc>
        <w:tc>
          <w:tcPr>
            <w:tcW w:w="6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33"/>
        </w:trPr>
        <w:tc>
          <w:tcPr>
            <w:tcW w:w="74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Income before taxation</w:t>
            </w:r>
          </w:p>
        </w:tc>
        <w:tc>
          <w:tcPr>
            <w:tcW w:w="660" w:type="dxa"/>
            <w:vAlign w:val="bottom"/>
            <w:tcBorders>
              <w:bottom w:val="single" w:sz="8" w:color="auto"/>
            </w:tcBorders>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15,137</w:t>
            </w:r>
          </w:p>
        </w:tc>
        <w:tc>
          <w:tcPr>
            <w:tcW w:w="106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17,596</w:t>
            </w:r>
          </w:p>
        </w:tc>
      </w:tr>
      <w:tr>
        <w:trPr>
          <w:trHeight w:val="134"/>
        </w:trPr>
        <w:tc>
          <w:tcPr>
            <w:tcW w:w="7400" w:type="dxa"/>
            <w:vAlign w:val="bottom"/>
          </w:tcPr>
          <w:p>
            <w:pPr>
              <w:spacing w:after="0" w:line="134" w:lineRule="exact"/>
              <w:rPr>
                <w:sz w:val="20"/>
                <w:szCs w:val="20"/>
                <w:color w:val="auto"/>
              </w:rPr>
            </w:pPr>
            <w:r>
              <w:rPr>
                <w:rFonts w:ascii="Arial" w:cs="Arial" w:eastAsia="Arial" w:hAnsi="Arial"/>
                <w:sz w:val="12"/>
                <w:szCs w:val="12"/>
                <w:color w:val="auto"/>
              </w:rPr>
              <w:t>Applicable tax charge at statutory rate of 25.5% (2006: 29.1%)</w:t>
            </w:r>
          </w:p>
        </w:tc>
        <w:tc>
          <w:tcPr>
            <w:tcW w:w="660" w:type="dxa"/>
            <w:vAlign w:val="bottom"/>
            <w:shd w:val="clear" w:color="auto" w:fill="E4E3E1"/>
          </w:tcPr>
          <w:p>
            <w:pPr>
              <w:jc w:val="right"/>
              <w:spacing w:after="0" w:line="134" w:lineRule="exact"/>
              <w:rPr>
                <w:sz w:val="20"/>
                <w:szCs w:val="20"/>
                <w:color w:val="auto"/>
              </w:rPr>
            </w:pPr>
            <w:r>
              <w:rPr>
                <w:rFonts w:ascii="Arial" w:cs="Arial" w:eastAsia="Arial" w:hAnsi="Arial"/>
                <w:sz w:val="12"/>
                <w:szCs w:val="12"/>
                <w:color w:val="auto"/>
              </w:rPr>
              <w:t>(3,860)</w:t>
            </w:r>
          </w:p>
        </w:tc>
        <w:tc>
          <w:tcPr>
            <w:tcW w:w="1060" w:type="dxa"/>
            <w:vAlign w:val="bottom"/>
          </w:tcPr>
          <w:p>
            <w:pPr>
              <w:jc w:val="right"/>
              <w:spacing w:after="0" w:line="134" w:lineRule="exact"/>
              <w:rPr>
                <w:sz w:val="20"/>
                <w:szCs w:val="20"/>
                <w:color w:val="auto"/>
              </w:rPr>
            </w:pPr>
            <w:r>
              <w:rPr>
                <w:rFonts w:ascii="Arial" w:cs="Arial" w:eastAsia="Arial" w:hAnsi="Arial"/>
                <w:sz w:val="12"/>
                <w:szCs w:val="12"/>
                <w:color w:val="auto"/>
              </w:rPr>
              <w:t>(5,120)</w:t>
            </w:r>
          </w:p>
        </w:tc>
      </w:tr>
      <w:tr>
        <w:trPr>
          <w:trHeight w:val="133"/>
        </w:trPr>
        <w:tc>
          <w:tcPr>
            <w:tcW w:w="7400" w:type="dxa"/>
            <w:vAlign w:val="bottom"/>
          </w:tcPr>
          <w:p>
            <w:pPr>
              <w:spacing w:after="0" w:line="133" w:lineRule="exact"/>
              <w:rPr>
                <w:sz w:val="20"/>
                <w:szCs w:val="20"/>
                <w:color w:val="auto"/>
              </w:rPr>
            </w:pPr>
            <w:r>
              <w:rPr>
                <w:rFonts w:ascii="Arial" w:cs="Arial" w:eastAsia="Arial" w:hAnsi="Arial"/>
                <w:sz w:val="12"/>
                <w:szCs w:val="12"/>
                <w:color w:val="auto"/>
              </w:rPr>
              <w:t>Income not subject to tax</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3,861</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5,131</w:t>
            </w:r>
          </w:p>
        </w:tc>
      </w:tr>
      <w:tr>
        <w:trPr>
          <w:trHeight w:val="133"/>
        </w:trPr>
        <w:tc>
          <w:tcPr>
            <w:tcW w:w="7400" w:type="dxa"/>
            <w:vAlign w:val="bottom"/>
          </w:tcPr>
          <w:p>
            <w:pPr>
              <w:spacing w:after="0" w:line="133" w:lineRule="exact"/>
              <w:rPr>
                <w:sz w:val="20"/>
                <w:szCs w:val="20"/>
                <w:color w:val="auto"/>
              </w:rPr>
            </w:pPr>
            <w:r>
              <w:rPr>
                <w:rFonts w:ascii="Arial" w:cs="Arial" w:eastAsia="Arial" w:hAnsi="Arial"/>
                <w:sz w:val="12"/>
                <w:szCs w:val="12"/>
                <w:color w:val="auto"/>
              </w:rPr>
              <w:t>Adjustment in respect of prior period</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(3)</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7400" w:type="dxa"/>
            <w:vAlign w:val="bottom"/>
          </w:tcPr>
          <w:p>
            <w:pPr>
              <w:spacing w:after="0" w:line="133" w:lineRule="exact"/>
              <w:rPr>
                <w:sz w:val="20"/>
                <w:szCs w:val="20"/>
                <w:color w:val="auto"/>
              </w:rPr>
            </w:pPr>
            <w:r>
              <w:rPr>
                <w:rFonts w:ascii="Arial" w:cs="Arial" w:eastAsia="Arial" w:hAnsi="Arial"/>
                <w:sz w:val="12"/>
                <w:szCs w:val="12"/>
                <w:color w:val="auto"/>
              </w:rPr>
              <w:t>Tax credit on UK dividends</w:t>
            </w:r>
          </w:p>
        </w:tc>
        <w:tc>
          <w:tcPr>
            <w:tcW w:w="66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23</w:t>
            </w:r>
          </w:p>
        </w:tc>
      </w:tr>
      <w:tr>
        <w:trPr>
          <w:trHeight w:val="139"/>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reconciling items</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w:t>
            </w:r>
          </w:p>
        </w:tc>
      </w:tr>
      <w:tr>
        <w:trPr>
          <w:trHeight w:val="146"/>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Taxation (charge)/credit</w:t>
            </w:r>
          </w:p>
        </w:tc>
        <w:tc>
          <w:tcPr>
            <w:tcW w:w="66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42</w:t>
            </w:r>
          </w:p>
        </w:tc>
      </w:tr>
    </w:tbl>
    <w:p>
      <w:pPr>
        <w:spacing w:after="0" w:line="10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The adjustment in respect of prior period reflects the effects of changes in current period in rules, facts or other factors compared to those used in establishing the current tax position or deferred tax balance in prior period.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740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[B] TAXES PAYABLE</w:t>
            </w:r>
            <w:r>
              <w:rPr>
                <w:rFonts w:ascii="Arial" w:cs="Arial" w:eastAsia="Arial" w:hAnsi="Arial"/>
                <w:sz w:val="10"/>
                <w:szCs w:val="10"/>
                <w:b w:val="1"/>
                <w:bCs w:val="1"/>
                <w:color w:val="FFFFFF"/>
              </w:rPr>
              <w:t>[A]</w:t>
            </w:r>
          </w:p>
        </w:tc>
        <w:tc>
          <w:tcPr>
            <w:tcW w:w="660" w:type="dxa"/>
            <w:vAlign w:val="bottom"/>
            <w:shd w:val="clear" w:color="auto" w:fill="0066A5"/>
          </w:tcPr>
          <w:p>
            <w:pPr>
              <w:spacing w:after="0"/>
              <w:rPr>
                <w:sz w:val="12"/>
                <w:szCs w:val="12"/>
                <w:color w:val="auto"/>
              </w:rPr>
            </w:pPr>
          </w:p>
        </w:tc>
        <w:tc>
          <w:tcPr>
            <w:tcW w:w="106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400" w:type="dxa"/>
            <w:vAlign w:val="bottom"/>
            <w:shd w:val="clear" w:color="auto" w:fill="CECAC6"/>
          </w:tcPr>
          <w:p>
            <w:pPr>
              <w:spacing w:after="0"/>
              <w:rPr>
                <w:sz w:val="11"/>
                <w:szCs w:val="11"/>
                <w:color w:val="auto"/>
              </w:rPr>
            </w:pPr>
          </w:p>
        </w:tc>
        <w:tc>
          <w:tcPr>
            <w:tcW w:w="6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6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33"/>
        </w:trPr>
        <w:tc>
          <w:tcPr>
            <w:tcW w:w="74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Income taxes</w:t>
            </w:r>
          </w:p>
        </w:tc>
        <w:tc>
          <w:tcPr>
            <w:tcW w:w="660" w:type="dxa"/>
            <w:vAlign w:val="bottom"/>
            <w:tcBorders>
              <w:bottom w:val="single" w:sz="8" w:color="auto"/>
            </w:tcBorders>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195</w:t>
            </w:r>
          </w:p>
        </w:tc>
        <w:tc>
          <w:tcPr>
            <w:tcW w:w="1060" w:type="dxa"/>
            <w:vAlign w:val="bottom"/>
            <w:tcBorders>
              <w:bottom w:val="single" w:sz="8" w:color="auto"/>
            </w:tcBorders>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46"/>
        </w:trPr>
        <w:tc>
          <w:tcPr>
            <w:tcW w:w="7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195</w:t>
            </w: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[A] See Note 2 Accounting policies.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Taxes payable are reported within accounts payable and accrued liabilities.</w:t>
      </w:r>
    </w:p>
    <w:p>
      <w:pPr>
        <w:spacing w:after="0" w:line="92"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In 2007, current tax of $20 million was recognised in equity due to the tax deductability of stamp duty and commission fees, relating to shares repurchased for cancellation.</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12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[C] DEFERRED TAX ASSETS</w:t>
            </w:r>
          </w:p>
        </w:tc>
        <w:tc>
          <w:tcPr>
            <w:tcW w:w="400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27"/>
        </w:trPr>
        <w:tc>
          <w:tcPr>
            <w:tcW w:w="512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40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w:t>
            </w:r>
          </w:p>
        </w:tc>
      </w:tr>
      <w:tr>
        <w:trPr>
          <w:trHeight w:val="139"/>
        </w:trPr>
        <w:tc>
          <w:tcPr>
            <w:tcW w:w="5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Credited to income</w:t>
            </w:r>
          </w:p>
        </w:tc>
        <w:tc>
          <w:tcPr>
            <w:tcW w:w="40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w:t>
            </w:r>
          </w:p>
        </w:tc>
      </w:tr>
      <w:tr>
        <w:trPr>
          <w:trHeight w:val="134"/>
        </w:trPr>
        <w:tc>
          <w:tcPr>
            <w:tcW w:w="512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400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10</w:t>
            </w:r>
          </w:p>
        </w:tc>
      </w:tr>
      <w:tr>
        <w:trPr>
          <w:trHeight w:val="133"/>
        </w:trPr>
        <w:tc>
          <w:tcPr>
            <w:tcW w:w="5120" w:type="dxa"/>
            <w:vAlign w:val="bottom"/>
          </w:tcPr>
          <w:p>
            <w:pPr>
              <w:spacing w:after="0" w:line="133" w:lineRule="exact"/>
              <w:rPr>
                <w:sz w:val="20"/>
                <w:szCs w:val="20"/>
                <w:color w:val="auto"/>
              </w:rPr>
            </w:pPr>
            <w:r>
              <w:rPr>
                <w:rFonts w:ascii="Arial" w:cs="Arial" w:eastAsia="Arial" w:hAnsi="Arial"/>
                <w:sz w:val="12"/>
                <w:szCs w:val="12"/>
                <w:color w:val="auto"/>
              </w:rPr>
              <w:t>Credited to equity</w:t>
            </w:r>
          </w:p>
        </w:tc>
        <w:tc>
          <w:tcPr>
            <w:tcW w:w="400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w:t>
            </w:r>
          </w:p>
        </w:tc>
      </w:tr>
      <w:tr>
        <w:trPr>
          <w:trHeight w:val="139"/>
        </w:trPr>
        <w:tc>
          <w:tcPr>
            <w:tcW w:w="5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Difference in exchange</w:t>
            </w:r>
          </w:p>
        </w:tc>
        <w:tc>
          <w:tcPr>
            <w:tcW w:w="40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w:t>
            </w:r>
          </w:p>
        </w:tc>
      </w:tr>
      <w:tr>
        <w:trPr>
          <w:trHeight w:val="146"/>
        </w:trPr>
        <w:tc>
          <w:tcPr>
            <w:tcW w:w="5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40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18</w:t>
            </w:r>
          </w:p>
        </w:tc>
      </w:tr>
    </w:tbl>
    <w:p>
      <w:pPr>
        <w:spacing w:after="0" w:line="101" w:lineRule="exact"/>
        <w:rPr>
          <w:sz w:val="20"/>
          <w:szCs w:val="20"/>
          <w:color w:val="auto"/>
        </w:rPr>
      </w:pPr>
    </w:p>
    <w:p>
      <w:pPr>
        <w:ind w:right="100"/>
        <w:spacing w:after="0" w:line="231" w:lineRule="auto"/>
        <w:rPr>
          <w:sz w:val="20"/>
          <w:szCs w:val="20"/>
          <w:color w:val="auto"/>
        </w:rPr>
      </w:pPr>
      <w:r>
        <w:rPr>
          <w:rFonts w:ascii="Arial" w:cs="Arial" w:eastAsia="Arial" w:hAnsi="Arial"/>
          <w:sz w:val="14"/>
          <w:szCs w:val="14"/>
          <w:color w:val="auto"/>
        </w:rPr>
        <w:t>A deferred tax asset has been recognised in respect of all tax losses as it is probable that these assets will be recovered based on future available profits. The Company has tax losses carried forward amounting to $18 million (2006: $10 million), which can be carried forward for 7 years as of December 31, 2007. In 2007 deferred tax of $7 million was recognised directly in equity due to stamp duty and commission fees, relating to shares repurchased for cancellation, being deductible.</w:t>
      </w:r>
    </w:p>
    <w:p>
      <w:pPr>
        <w:spacing w:after="0" w:line="200" w:lineRule="exact"/>
        <w:rPr>
          <w:sz w:val="20"/>
          <w:szCs w:val="20"/>
          <w:color w:val="auto"/>
        </w:rPr>
      </w:pPr>
    </w:p>
    <w:p>
      <w:pPr>
        <w:sectPr>
          <w:pgSz w:w="11900" w:h="16838" w:orient="portrait"/>
          <w:cols w:equalWidth="0" w:num="2">
            <w:col w:w="1560" w:space="720"/>
            <w:col w:w="914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188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52970" cy="20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4" w:name="page195"/>
    <w:bookmarkEnd w:id="194"/>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6</w:t>
      </w:r>
    </w:p>
    <w:p>
      <w:pPr>
        <w:spacing w:after="0" w:line="17"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b w:val="1"/>
          <w:bCs w:val="1"/>
          <w:color w:val="auto"/>
        </w:rPr>
        <w:t>INVESTMENTS IN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7</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rPr>
          <w:sz w:val="20"/>
          <w:szCs w:val="20"/>
          <w:color w:val="auto"/>
        </w:rPr>
      </w:pPr>
      <w:r>
        <w:rPr>
          <w:rFonts w:ascii="Arial" w:cs="Arial" w:eastAsia="Arial" w:hAnsi="Arial"/>
          <w:sz w:val="14"/>
          <w:szCs w:val="14"/>
          <w:b w:val="1"/>
          <w:bCs w:val="1"/>
          <w:color w:val="auto"/>
        </w:rPr>
        <w:t>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7120" w:type="dxa"/>
            <w:vAlign w:val="bottom"/>
            <w:shd w:val="clear" w:color="auto" w:fill="0066A5"/>
          </w:tcPr>
          <w:p>
            <w:pPr>
              <w:spacing w:after="0"/>
              <w:rPr>
                <w:sz w:val="12"/>
                <w:szCs w:val="12"/>
                <w:color w:val="auto"/>
              </w:rPr>
            </w:pPr>
          </w:p>
        </w:tc>
        <w:tc>
          <w:tcPr>
            <w:tcW w:w="600" w:type="dxa"/>
            <w:vAlign w:val="bottom"/>
            <w:shd w:val="clear" w:color="auto" w:fill="0066A5"/>
          </w:tcPr>
          <w:p>
            <w:pPr>
              <w:spacing w:after="0"/>
              <w:rPr>
                <w:sz w:val="12"/>
                <w:szCs w:val="12"/>
                <w:color w:val="auto"/>
              </w:rPr>
            </w:pPr>
          </w:p>
        </w:tc>
        <w:tc>
          <w:tcPr>
            <w:tcW w:w="104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120" w:type="dxa"/>
            <w:vAlign w:val="bottom"/>
            <w:shd w:val="clear" w:color="auto" w:fill="CECAC6"/>
          </w:tcPr>
          <w:p>
            <w:pPr>
              <w:spacing w:after="0"/>
              <w:rPr>
                <w:sz w:val="11"/>
                <w:szCs w:val="11"/>
                <w:color w:val="auto"/>
              </w:rPr>
            </w:pPr>
          </w:p>
        </w:tc>
        <w:tc>
          <w:tcPr>
            <w:tcW w:w="60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2007</w:t>
            </w:r>
          </w:p>
        </w:tc>
        <w:tc>
          <w:tcPr>
            <w:tcW w:w="104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712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w:t>
            </w:r>
          </w:p>
        </w:tc>
        <w:tc>
          <w:tcPr>
            <w:tcW w:w="60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200,613</w:t>
            </w:r>
          </w:p>
        </w:tc>
        <w:tc>
          <w:tcPr>
            <w:tcW w:w="10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200,612</w:t>
            </w: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Additions in the year</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1</w:t>
            </w:r>
          </w:p>
        </w:tc>
      </w:tr>
      <w:tr>
        <w:trPr>
          <w:trHeight w:val="146"/>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w:t>
            </w:r>
          </w:p>
        </w:tc>
        <w:tc>
          <w:tcPr>
            <w:tcW w:w="60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200,613</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200,613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-455930</wp:posOffset>
            </wp:positionV>
            <wp:extent cx="17145" cy="53276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145" cy="53276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-591185</wp:posOffset>
            </wp:positionV>
            <wp:extent cx="211455" cy="62839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11455" cy="628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120" w:type="dxa"/>
            <w:vAlign w:val="bottom"/>
            <w:shd w:val="clear" w:color="auto" w:fill="0066A5"/>
          </w:tcPr>
          <w:p>
            <w:pPr>
              <w:spacing w:after="0"/>
              <w:rPr>
                <w:sz w:val="12"/>
                <w:szCs w:val="12"/>
                <w:color w:val="auto"/>
              </w:rPr>
            </w:pPr>
          </w:p>
        </w:tc>
        <w:tc>
          <w:tcPr>
            <w:tcW w:w="620" w:type="dxa"/>
            <w:vAlign w:val="bottom"/>
            <w:shd w:val="clear" w:color="auto" w:fill="0066A5"/>
          </w:tcPr>
          <w:p>
            <w:pPr>
              <w:spacing w:after="0"/>
              <w:rPr>
                <w:sz w:val="12"/>
                <w:szCs w:val="12"/>
                <w:color w:val="auto"/>
              </w:rPr>
            </w:pPr>
          </w:p>
        </w:tc>
        <w:tc>
          <w:tcPr>
            <w:tcW w:w="102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120" w:type="dxa"/>
            <w:vAlign w:val="bottom"/>
            <w:shd w:val="clear" w:color="auto" w:fill="E4E3E1"/>
          </w:tcPr>
          <w:p>
            <w:pPr>
              <w:spacing w:after="0"/>
              <w:rPr>
                <w:sz w:val="11"/>
                <w:szCs w:val="11"/>
                <w:color w:val="auto"/>
              </w:rPr>
            </w:pPr>
          </w:p>
        </w:tc>
        <w:tc>
          <w:tcPr>
            <w:tcW w:w="62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2007</w:t>
            </w:r>
          </w:p>
        </w:tc>
        <w:tc>
          <w:tcPr>
            <w:tcW w:w="1020" w:type="dxa"/>
            <w:vAlign w:val="bottom"/>
            <w:shd w:val="clear" w:color="auto" w:fill="E4E3E1"/>
          </w:tcPr>
          <w:p>
            <w:pPr>
              <w:jc w:val="right"/>
              <w:ind w:right="18"/>
              <w:spacing w:after="0" w:line="128" w:lineRule="exact"/>
              <w:rPr>
                <w:sz w:val="20"/>
                <w:szCs w:val="20"/>
                <w:color w:val="auto"/>
              </w:rPr>
            </w:pPr>
            <w:r>
              <w:rPr>
                <w:rFonts w:ascii="Arial" w:cs="Arial" w:eastAsia="Arial" w:hAnsi="Arial"/>
                <w:sz w:val="12"/>
                <w:szCs w:val="12"/>
                <w:color w:val="auto"/>
              </w:rPr>
              <w:t>2006</w:t>
            </w:r>
          </w:p>
        </w:tc>
      </w:tr>
      <w:tr>
        <w:trPr>
          <w:trHeight w:val="127"/>
        </w:trPr>
        <w:tc>
          <w:tcPr>
            <w:tcW w:w="7120" w:type="dxa"/>
            <w:vAlign w:val="bottom"/>
          </w:tcPr>
          <w:p>
            <w:pPr>
              <w:spacing w:after="0" w:line="128" w:lineRule="exact"/>
              <w:rPr>
                <w:sz w:val="20"/>
                <w:szCs w:val="20"/>
                <w:color w:val="auto"/>
              </w:rPr>
            </w:pPr>
            <w:r>
              <w:rPr>
                <w:rFonts w:ascii="Arial" w:cs="Arial" w:eastAsia="Arial" w:hAnsi="Arial"/>
                <w:sz w:val="12"/>
                <w:szCs w:val="12"/>
                <w:color w:val="auto"/>
              </w:rPr>
              <w:t>Amounts due from subsidiaries</w:t>
            </w:r>
          </w:p>
        </w:tc>
        <w:tc>
          <w:tcPr>
            <w:tcW w:w="62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8,202</w:t>
            </w:r>
          </w:p>
        </w:tc>
        <w:tc>
          <w:tcPr>
            <w:tcW w:w="10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6,606</w:t>
            </w: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Other receivables</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2</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27</w:t>
            </w:r>
          </w:p>
        </w:tc>
      </w:tr>
      <w:tr>
        <w:trPr>
          <w:trHeight w:val="146"/>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8,204</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6,633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-455930</wp:posOffset>
            </wp:positionV>
            <wp:extent cx="17145" cy="87122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145" cy="87122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Amounts due from subsidiaries consist mainly of dividends receivable from Shell Petroleum (see Note 14).</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 2006, other receivables mainly comprised of an amount relating to a UK tax credit of $25 million, which was settled in 2007.</w:t>
      </w:r>
    </w:p>
    <w:p>
      <w:pPr>
        <w:spacing w:after="0" w:line="200" w:lineRule="exact"/>
        <w:rPr>
          <w:sz w:val="20"/>
          <w:szCs w:val="20"/>
          <w:color w:val="auto"/>
        </w:rPr>
      </w:pPr>
    </w:p>
    <w:p>
      <w:pPr>
        <w:sectPr>
          <w:pgSz w:w="11900" w:h="16838" w:orient="portrait"/>
          <w:cols w:equalWidth="0" w:num="2">
            <w:col w:w="1480" w:space="720"/>
            <w:col w:w="8760"/>
          </w:cols>
          <w:pgMar w:left="240" w:top="415" w:right="69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8</w:t>
      </w:r>
    </w:p>
    <w:p>
      <w:pPr>
        <w:spacing w:after="0" w:line="17" w:lineRule="exact"/>
        <w:rPr>
          <w:sz w:val="20"/>
          <w:szCs w:val="20"/>
          <w:color w:val="auto"/>
        </w:rPr>
      </w:pPr>
    </w:p>
    <w:p>
      <w:pPr>
        <w:ind w:right="280"/>
        <w:spacing w:after="0" w:line="252" w:lineRule="auto"/>
        <w:rPr>
          <w:sz w:val="20"/>
          <w:szCs w:val="20"/>
          <w:color w:val="auto"/>
        </w:rPr>
      </w:pPr>
      <w:r>
        <w:rPr>
          <w:rFonts w:ascii="Arial" w:cs="Arial" w:eastAsia="Arial" w:hAnsi="Arial"/>
          <w:sz w:val="14"/>
          <w:szCs w:val="14"/>
          <w:b w:val="1"/>
          <w:bCs w:val="1"/>
          <w:color w:val="auto"/>
        </w:rPr>
        <w:t>CASH AND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9</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w:t>
      </w:r>
    </w:p>
    <w:p>
      <w:pPr>
        <w:spacing w:after="0" w:line="238" w:lineRule="auto"/>
        <w:rPr>
          <w:sz w:val="20"/>
          <w:szCs w:val="20"/>
          <w:color w:val="auto"/>
        </w:rPr>
      </w:pPr>
      <w:r>
        <w:rPr>
          <w:rFonts w:ascii="Arial" w:cs="Arial" w:eastAsia="Arial" w:hAnsi="Arial"/>
          <w:sz w:val="14"/>
          <w:szCs w:val="14"/>
          <w:b w:val="1"/>
          <w:bCs w:val="1"/>
          <w:color w:val="auto"/>
        </w:rPr>
        <w:t>INSTRUMENTS AND</w:t>
      </w:r>
    </w:p>
    <w:p>
      <w:pPr>
        <w:spacing w:after="0"/>
        <w:rPr>
          <w:sz w:val="20"/>
          <w:szCs w:val="20"/>
          <w:color w:val="auto"/>
        </w:rPr>
      </w:pPr>
      <w:r>
        <w:rPr>
          <w:rFonts w:ascii="Arial" w:cs="Arial" w:eastAsia="Arial" w:hAnsi="Arial"/>
          <w:sz w:val="14"/>
          <w:szCs w:val="14"/>
          <w:b w:val="1"/>
          <w:bCs w:val="1"/>
          <w:color w:val="auto"/>
        </w:rPr>
        <w:t>OTHER DERIVATIVE</w:t>
      </w:r>
    </w:p>
    <w:p>
      <w:pPr>
        <w:spacing w:after="0"/>
        <w:rPr>
          <w:sz w:val="20"/>
          <w:szCs w:val="20"/>
          <w:color w:val="auto"/>
        </w:rPr>
      </w:pPr>
      <w:r>
        <w:rPr>
          <w:rFonts w:ascii="Arial" w:cs="Arial" w:eastAsia="Arial" w:hAnsi="Arial"/>
          <w:sz w:val="14"/>
          <w:szCs w:val="14"/>
          <w:b w:val="1"/>
          <w:bCs w:val="1"/>
          <w:color w:val="auto"/>
        </w:rPr>
        <w:t>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10</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ACCOUNTS</w:t>
      </w:r>
    </w:p>
    <w:p>
      <w:pPr>
        <w:spacing w:after="0" w:line="238" w:lineRule="auto"/>
        <w:rPr>
          <w:sz w:val="20"/>
          <w:szCs w:val="20"/>
          <w:color w:val="auto"/>
        </w:rPr>
      </w:pPr>
      <w:r>
        <w:rPr>
          <w:rFonts w:ascii="Arial" w:cs="Arial" w:eastAsia="Arial" w:hAnsi="Arial"/>
          <w:sz w:val="14"/>
          <w:szCs w:val="14"/>
          <w:b w:val="1"/>
          <w:bCs w:val="1"/>
          <w:color w:val="auto"/>
        </w:rPr>
        <w:t>PAYABLE AND</w:t>
      </w:r>
    </w:p>
    <w:p>
      <w:pPr>
        <w:spacing w:after="0"/>
        <w:rPr>
          <w:sz w:val="20"/>
          <w:szCs w:val="20"/>
          <w:color w:val="auto"/>
        </w:rPr>
      </w:pPr>
      <w:r>
        <w:rPr>
          <w:rFonts w:ascii="Arial" w:cs="Arial" w:eastAsia="Arial" w:hAnsi="Arial"/>
          <w:sz w:val="14"/>
          <w:szCs w:val="14"/>
          <w:b w:val="1"/>
          <w:bCs w:val="1"/>
          <w:color w:val="auto"/>
        </w:rPr>
        <w:t>ACCRUED</w:t>
      </w:r>
    </w:p>
    <w:p>
      <w:pPr>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7120" w:type="dxa"/>
            <w:vAlign w:val="bottom"/>
            <w:shd w:val="clear" w:color="auto" w:fill="0066A5"/>
          </w:tcPr>
          <w:p>
            <w:pPr>
              <w:spacing w:after="0"/>
              <w:rPr>
                <w:sz w:val="12"/>
                <w:szCs w:val="12"/>
                <w:color w:val="auto"/>
              </w:rPr>
            </w:pPr>
          </w:p>
        </w:tc>
        <w:tc>
          <w:tcPr>
            <w:tcW w:w="620" w:type="dxa"/>
            <w:vAlign w:val="bottom"/>
            <w:shd w:val="clear" w:color="auto" w:fill="0066A5"/>
          </w:tcPr>
          <w:p>
            <w:pPr>
              <w:spacing w:after="0"/>
              <w:rPr>
                <w:sz w:val="12"/>
                <w:szCs w:val="12"/>
                <w:color w:val="auto"/>
              </w:rPr>
            </w:pPr>
          </w:p>
        </w:tc>
        <w:tc>
          <w:tcPr>
            <w:tcW w:w="102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120" w:type="dxa"/>
            <w:vAlign w:val="bottom"/>
            <w:shd w:val="clear" w:color="auto" w:fill="CECAC6"/>
          </w:tcPr>
          <w:p>
            <w:pPr>
              <w:spacing w:after="0"/>
              <w:rPr>
                <w:sz w:val="11"/>
                <w:szCs w:val="11"/>
                <w:color w:val="auto"/>
              </w:rPr>
            </w:pPr>
          </w:p>
        </w:tc>
        <w:tc>
          <w:tcPr>
            <w:tcW w:w="6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7120" w:type="dxa"/>
            <w:vAlign w:val="bottom"/>
          </w:tcPr>
          <w:p>
            <w:pPr>
              <w:spacing w:after="0" w:line="128" w:lineRule="exact"/>
              <w:rPr>
                <w:sz w:val="20"/>
                <w:szCs w:val="20"/>
                <w:color w:val="auto"/>
              </w:rPr>
            </w:pPr>
            <w:r>
              <w:rPr>
                <w:rFonts w:ascii="Arial" w:cs="Arial" w:eastAsia="Arial" w:hAnsi="Arial"/>
                <w:sz w:val="12"/>
                <w:szCs w:val="12"/>
                <w:color w:val="auto"/>
              </w:rPr>
              <w:t>Cash and cash equivalents</w:t>
            </w:r>
          </w:p>
        </w:tc>
        <w:tc>
          <w:tcPr>
            <w:tcW w:w="62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657</w:t>
            </w:r>
          </w:p>
        </w:tc>
        <w:tc>
          <w:tcPr>
            <w:tcW w:w="10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649</w:t>
            </w: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Overdraft with a subsidiary</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r>
      <w:tr>
        <w:trPr>
          <w:trHeight w:val="146"/>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Cash and cash equivalents in the Statement of Cash Flows</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657</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-455930</wp:posOffset>
            </wp:positionV>
            <wp:extent cx="17145" cy="6515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145" cy="65151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comprise call deposits with a subsidiary (see Note 14).</w:t>
      </w:r>
    </w:p>
    <w:p>
      <w:pPr>
        <w:spacing w:after="0" w:line="200" w:lineRule="exact"/>
        <w:rPr>
          <w:sz w:val="20"/>
          <w:szCs w:val="20"/>
          <w:color w:val="auto"/>
        </w:rPr>
      </w:pPr>
    </w:p>
    <w:p>
      <w:pPr>
        <w:spacing w:after="0" w:line="385" w:lineRule="exact"/>
        <w:rPr>
          <w:sz w:val="20"/>
          <w:szCs w:val="20"/>
          <w:color w:val="auto"/>
        </w:rPr>
      </w:pPr>
    </w:p>
    <w:p>
      <w:pPr>
        <w:ind w:right="500"/>
        <w:spacing w:after="0" w:line="247" w:lineRule="auto"/>
        <w:rPr>
          <w:sz w:val="20"/>
          <w:szCs w:val="20"/>
          <w:color w:val="auto"/>
        </w:rPr>
      </w:pPr>
      <w:r>
        <w:rPr>
          <w:rFonts w:ascii="Arial" w:cs="Arial" w:eastAsia="Arial" w:hAnsi="Arial"/>
          <w:sz w:val="14"/>
          <w:szCs w:val="14"/>
          <w:color w:val="auto"/>
        </w:rPr>
        <w:t>Accounting policies relating to financial instruments and other derivative contracts follow those of Shell as set out in Note 26 to the Consolidated Financial Statements on pages 145-149.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-189230</wp:posOffset>
            </wp:positionV>
            <wp:extent cx="17145" cy="124333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145" cy="1243330"/>
                    </a:xfrm>
                    <a:prstGeom prst="rect">
                      <a:avLst/>
                    </a:prstGeom>
                    <a:noFill/>
                  </pic:spPr>
                </pic:pic>
              </a:graphicData>
            </a:graphic>
          </wp:anchor>
        </w:drawing>
      </w:r>
    </w:p>
    <w:p>
      <w:pPr>
        <w:spacing w:after="0" w:line="48"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Financial assets and liabilities in the Company’s Balance Sheet comprise cash and cash equivalents (see Note 8), accounts receivable (see Note 7) and certain amounts reported within accounts payable and accrued liabilities (see Note 10).</w:t>
      </w:r>
    </w:p>
    <w:p>
      <w:pPr>
        <w:spacing w:after="0" w:line="68"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Foreign exchange derivatives are used by the Company to manage foreign exchange risk. Foreign exchange risk arises when certain transactions are denominated in a currency that is not the Company’s functional currency. The Company has hedging and treasury policies in place, which are designed to measure and manage its foreign currency exposures by reference to its functional currency and to report foreign exchange gains and losses.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The Company held no forward exchange contracts at December 31, 2007 (2006: nil).</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and liabilities at December 31, 2007 and 2006 approximates the carrying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120" w:type="dxa"/>
            <w:vAlign w:val="bottom"/>
            <w:shd w:val="clear" w:color="auto" w:fill="0066A5"/>
          </w:tcPr>
          <w:p>
            <w:pPr>
              <w:spacing w:after="0"/>
              <w:rPr>
                <w:sz w:val="12"/>
                <w:szCs w:val="12"/>
                <w:color w:val="auto"/>
              </w:rPr>
            </w:pPr>
          </w:p>
        </w:tc>
        <w:tc>
          <w:tcPr>
            <w:tcW w:w="620" w:type="dxa"/>
            <w:vAlign w:val="bottom"/>
            <w:shd w:val="clear" w:color="auto" w:fill="0066A5"/>
          </w:tcPr>
          <w:p>
            <w:pPr>
              <w:spacing w:after="0"/>
              <w:rPr>
                <w:sz w:val="12"/>
                <w:szCs w:val="12"/>
                <w:color w:val="auto"/>
              </w:rPr>
            </w:pPr>
          </w:p>
        </w:tc>
        <w:tc>
          <w:tcPr>
            <w:tcW w:w="102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33"/>
        </w:trPr>
        <w:tc>
          <w:tcPr>
            <w:tcW w:w="7120" w:type="dxa"/>
            <w:vAlign w:val="bottom"/>
            <w:shd w:val="clear" w:color="auto" w:fill="CECAC6"/>
          </w:tcPr>
          <w:p>
            <w:pPr>
              <w:spacing w:after="0"/>
              <w:rPr>
                <w:sz w:val="11"/>
                <w:szCs w:val="11"/>
                <w:color w:val="auto"/>
              </w:rPr>
            </w:pPr>
          </w:p>
        </w:tc>
        <w:tc>
          <w:tcPr>
            <w:tcW w:w="62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2007</w:t>
            </w:r>
          </w:p>
        </w:tc>
        <w:tc>
          <w:tcPr>
            <w:tcW w:w="10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r>
      <w:tr>
        <w:trPr>
          <w:trHeight w:val="127"/>
        </w:trPr>
        <w:tc>
          <w:tcPr>
            <w:tcW w:w="7120" w:type="dxa"/>
            <w:vAlign w:val="bottom"/>
          </w:tcPr>
          <w:p>
            <w:pPr>
              <w:spacing w:after="0" w:line="128" w:lineRule="exact"/>
              <w:rPr>
                <w:sz w:val="20"/>
                <w:szCs w:val="20"/>
                <w:color w:val="auto"/>
              </w:rPr>
            </w:pPr>
            <w:r>
              <w:rPr>
                <w:rFonts w:ascii="Arial" w:cs="Arial" w:eastAsia="Arial" w:hAnsi="Arial"/>
                <w:sz w:val="12"/>
                <w:szCs w:val="12"/>
                <w:color w:val="auto"/>
              </w:rPr>
              <w:t>Accruals</w:t>
            </w:r>
          </w:p>
        </w:tc>
        <w:tc>
          <w:tcPr>
            <w:tcW w:w="620" w:type="dxa"/>
            <w:vAlign w:val="bottom"/>
            <w:shd w:val="clear" w:color="auto" w:fill="E4E3E1"/>
          </w:tcPr>
          <w:p>
            <w:pPr>
              <w:jc w:val="right"/>
              <w:ind w:right="38"/>
              <w:spacing w:after="0" w:line="128" w:lineRule="exact"/>
              <w:rPr>
                <w:sz w:val="20"/>
                <w:szCs w:val="20"/>
                <w:color w:val="auto"/>
              </w:rPr>
            </w:pPr>
            <w:r>
              <w:rPr>
                <w:rFonts w:ascii="Arial" w:cs="Arial" w:eastAsia="Arial" w:hAnsi="Arial"/>
                <w:sz w:val="12"/>
                <w:szCs w:val="12"/>
                <w:color w:val="auto"/>
              </w:rPr>
              <w:t>483</w:t>
            </w:r>
          </w:p>
        </w:tc>
        <w:tc>
          <w:tcPr>
            <w:tcW w:w="1020" w:type="dxa"/>
            <w:vAlign w:val="bottom"/>
          </w:tcPr>
          <w:p>
            <w:pPr>
              <w:jc w:val="right"/>
              <w:ind w:right="18"/>
              <w:spacing w:after="0" w:line="128" w:lineRule="exact"/>
              <w:rPr>
                <w:sz w:val="20"/>
                <w:szCs w:val="20"/>
                <w:color w:val="auto"/>
              </w:rPr>
            </w:pPr>
            <w:r>
              <w:rPr>
                <w:rFonts w:ascii="Arial" w:cs="Arial" w:eastAsia="Arial" w:hAnsi="Arial"/>
                <w:sz w:val="12"/>
                <w:szCs w:val="12"/>
                <w:color w:val="auto"/>
              </w:rPr>
              <w:t>7</w:t>
            </w:r>
          </w:p>
        </w:tc>
      </w:tr>
      <w:tr>
        <w:trPr>
          <w:trHeight w:val="133"/>
        </w:trPr>
        <w:tc>
          <w:tcPr>
            <w:tcW w:w="7120" w:type="dxa"/>
            <w:vAlign w:val="bottom"/>
          </w:tcPr>
          <w:p>
            <w:pPr>
              <w:spacing w:after="0" w:line="133" w:lineRule="exact"/>
              <w:rPr>
                <w:sz w:val="20"/>
                <w:szCs w:val="20"/>
                <w:color w:val="auto"/>
              </w:rPr>
            </w:pPr>
            <w:r>
              <w:rPr>
                <w:rFonts w:ascii="Arial" w:cs="Arial" w:eastAsia="Arial" w:hAnsi="Arial"/>
                <w:sz w:val="12"/>
                <w:szCs w:val="12"/>
                <w:color w:val="auto"/>
              </w:rPr>
              <w:t>Withholding tax payable</w:t>
            </w:r>
          </w:p>
        </w:tc>
        <w:tc>
          <w:tcPr>
            <w:tcW w:w="62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209</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242</w:t>
            </w:r>
          </w:p>
        </w:tc>
      </w:tr>
      <w:tr>
        <w:trPr>
          <w:trHeight w:val="133"/>
        </w:trPr>
        <w:tc>
          <w:tcPr>
            <w:tcW w:w="7120" w:type="dxa"/>
            <w:vAlign w:val="bottom"/>
          </w:tcPr>
          <w:p>
            <w:pPr>
              <w:spacing w:after="0" w:line="133" w:lineRule="exact"/>
              <w:rPr>
                <w:sz w:val="20"/>
                <w:szCs w:val="20"/>
                <w:color w:val="auto"/>
              </w:rPr>
            </w:pPr>
            <w:r>
              <w:rPr>
                <w:rFonts w:ascii="Arial" w:cs="Arial" w:eastAsia="Arial" w:hAnsi="Arial"/>
                <w:sz w:val="12"/>
                <w:szCs w:val="12"/>
                <w:color w:val="auto"/>
              </w:rPr>
              <w:t>Taxes payable</w:t>
            </w:r>
          </w:p>
        </w:tc>
        <w:tc>
          <w:tcPr>
            <w:tcW w:w="62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195</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7120" w:type="dxa"/>
            <w:vAlign w:val="bottom"/>
          </w:tcPr>
          <w:p>
            <w:pPr>
              <w:spacing w:after="0" w:line="133" w:lineRule="exact"/>
              <w:rPr>
                <w:sz w:val="20"/>
                <w:szCs w:val="20"/>
                <w:color w:val="auto"/>
              </w:rPr>
            </w:pPr>
            <w:r>
              <w:rPr>
                <w:rFonts w:ascii="Arial" w:cs="Arial" w:eastAsia="Arial" w:hAnsi="Arial"/>
                <w:sz w:val="12"/>
                <w:szCs w:val="12"/>
                <w:color w:val="auto"/>
              </w:rPr>
              <w:t>Amounts owed to subsidiaries</w:t>
            </w:r>
          </w:p>
        </w:tc>
        <w:tc>
          <w:tcPr>
            <w:tcW w:w="620" w:type="dxa"/>
            <w:vAlign w:val="bottom"/>
            <w:shd w:val="clear" w:color="auto" w:fill="E4E3E1"/>
          </w:tcPr>
          <w:p>
            <w:pPr>
              <w:jc w:val="right"/>
              <w:ind w:right="38"/>
              <w:spacing w:after="0" w:line="133" w:lineRule="exact"/>
              <w:rPr>
                <w:sz w:val="20"/>
                <w:szCs w:val="20"/>
                <w:color w:val="auto"/>
              </w:rPr>
            </w:pPr>
            <w:r>
              <w:rPr>
                <w:rFonts w:ascii="Arial" w:cs="Arial" w:eastAsia="Arial" w:hAnsi="Arial"/>
                <w:sz w:val="12"/>
                <w:szCs w:val="12"/>
                <w:color w:val="auto"/>
              </w:rPr>
              <w:t>2</w:t>
            </w:r>
          </w:p>
        </w:tc>
        <w:tc>
          <w:tcPr>
            <w:tcW w:w="10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669</w:t>
            </w:r>
          </w:p>
        </w:tc>
      </w:tr>
      <w:tr>
        <w:trPr>
          <w:trHeight w:val="139"/>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Unclaimed dividends</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1</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r>
        <w:trPr>
          <w:trHeight w:val="146"/>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shd w:val="clear" w:color="auto" w:fill="E4E3E1"/>
          </w:tcPr>
          <w:p>
            <w:pPr>
              <w:jc w:val="right"/>
              <w:ind w:right="38"/>
              <w:spacing w:after="0"/>
              <w:rPr>
                <w:sz w:val="20"/>
                <w:szCs w:val="20"/>
                <w:color w:val="auto"/>
              </w:rPr>
            </w:pPr>
            <w:r>
              <w:rPr>
                <w:rFonts w:ascii="Arial" w:cs="Arial" w:eastAsia="Arial" w:hAnsi="Arial"/>
                <w:sz w:val="12"/>
                <w:szCs w:val="12"/>
                <w:color w:val="auto"/>
              </w:rPr>
              <w:t>890</w:t>
            </w: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-709930</wp:posOffset>
            </wp:positionV>
            <wp:extent cx="17145" cy="98933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145" cy="98933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Accruals include an amount of $479 million relating to contracts with external banks for share buybacks during the closed period.</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691515</wp:posOffset>
            </wp:positionV>
            <wp:extent cx="7252970" cy="209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480" w:space="720"/>
            <w:col w:w="8760"/>
          </w:cols>
          <w:pgMar w:left="240" w:top="415" w:right="699" w:bottom="1440" w:gutter="0" w:footer="0" w:header="0"/>
          <w:type w:val="continuous"/>
        </w:sectPr>
      </w:pPr>
    </w:p>
    <w:bookmarkStart w:id="195" w:name="page196"/>
    <w:bookmarkEnd w:id="19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1"/>
          <w:szCs w:val="11"/>
          <w:color w:val="auto"/>
        </w:rPr>
        <w:t>NOTES TO THE PARENT COMPANY FINANCIAL STATEMENTS</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11</w:t>
      </w:r>
    </w:p>
    <w:p>
      <w:pPr>
        <w:spacing w:after="0" w:line="17" w:lineRule="exact"/>
        <w:rPr>
          <w:sz w:val="20"/>
          <w:szCs w:val="20"/>
          <w:color w:val="auto"/>
        </w:rPr>
      </w:pPr>
    </w:p>
    <w:p>
      <w:pPr>
        <w:ind w:right="260"/>
        <w:spacing w:after="0" w:line="252" w:lineRule="auto"/>
        <w:rPr>
          <w:sz w:val="20"/>
          <w:szCs w:val="20"/>
          <w:color w:val="auto"/>
        </w:rPr>
      </w:pPr>
      <w:r>
        <w:rPr>
          <w:rFonts w:ascii="Arial" w:cs="Arial" w:eastAsia="Arial" w:hAnsi="Arial"/>
          <w:sz w:val="14"/>
          <w:szCs w:val="14"/>
          <w:b w:val="1"/>
          <w:bCs w:val="1"/>
          <w:color w:val="auto"/>
        </w:rPr>
        <w:t>ORDINARY SHARE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39"/>
        </w:trPr>
        <w:tc>
          <w:tcPr>
            <w:tcW w:w="92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AUTHORISED</w:t>
            </w:r>
          </w:p>
        </w:tc>
        <w:tc>
          <w:tcPr>
            <w:tcW w:w="1540" w:type="dxa"/>
            <w:vAlign w:val="bottom"/>
            <w:shd w:val="clear" w:color="auto" w:fill="0066A5"/>
          </w:tcPr>
          <w:p>
            <w:pPr>
              <w:spacing w:after="0"/>
              <w:rPr>
                <w:sz w:val="12"/>
                <w:szCs w:val="12"/>
                <w:color w:val="auto"/>
              </w:rPr>
            </w:pPr>
          </w:p>
        </w:tc>
        <w:tc>
          <w:tcPr>
            <w:tcW w:w="3300" w:type="dxa"/>
            <w:vAlign w:val="bottom"/>
            <w:shd w:val="clear" w:color="auto" w:fill="0066A5"/>
          </w:tcPr>
          <w:p>
            <w:pPr>
              <w:spacing w:after="0"/>
              <w:rPr>
                <w:sz w:val="12"/>
                <w:szCs w:val="12"/>
                <w:color w:val="auto"/>
              </w:rPr>
            </w:pPr>
          </w:p>
        </w:tc>
        <w:tc>
          <w:tcPr>
            <w:tcW w:w="1060" w:type="dxa"/>
            <w:vAlign w:val="bottom"/>
            <w:shd w:val="clear" w:color="auto" w:fill="0066A5"/>
          </w:tcPr>
          <w:p>
            <w:pPr>
              <w:spacing w:after="0"/>
              <w:rPr>
                <w:sz w:val="12"/>
                <w:szCs w:val="12"/>
                <w:color w:val="auto"/>
              </w:rPr>
            </w:pPr>
          </w:p>
        </w:tc>
        <w:tc>
          <w:tcPr>
            <w:tcW w:w="980" w:type="dxa"/>
            <w:vAlign w:val="bottom"/>
            <w:shd w:val="clear" w:color="auto" w:fill="0066A5"/>
          </w:tcPr>
          <w:p>
            <w:pPr>
              <w:spacing w:after="0"/>
              <w:rPr>
                <w:sz w:val="12"/>
                <w:szCs w:val="12"/>
                <w:color w:val="auto"/>
              </w:rPr>
            </w:pPr>
          </w:p>
        </w:tc>
        <w:tc>
          <w:tcPr>
            <w:tcW w:w="1320" w:type="dxa"/>
            <w:vAlign w:val="bottom"/>
            <w:shd w:val="clear" w:color="auto" w:fill="0066A5"/>
          </w:tcPr>
          <w:p>
            <w:pPr>
              <w:spacing w:after="0"/>
              <w:rPr>
                <w:sz w:val="12"/>
                <w:szCs w:val="12"/>
                <w:color w:val="auto"/>
              </w:rPr>
            </w:pPr>
          </w:p>
        </w:tc>
      </w:tr>
      <w:tr>
        <w:trPr>
          <w:trHeight w:val="133"/>
        </w:trPr>
        <w:tc>
          <w:tcPr>
            <w:tcW w:w="920" w:type="dxa"/>
            <w:vAlign w:val="bottom"/>
            <w:shd w:val="clear" w:color="auto" w:fill="CECAC6"/>
          </w:tcPr>
          <w:p>
            <w:pPr>
              <w:spacing w:after="0" w:line="133" w:lineRule="exact"/>
              <w:rPr>
                <w:sz w:val="20"/>
                <w:szCs w:val="20"/>
                <w:color w:val="auto"/>
              </w:rPr>
            </w:pPr>
            <w:r>
              <w:rPr>
                <w:rFonts w:ascii="Arial" w:cs="Arial" w:eastAsia="Arial" w:hAnsi="Arial"/>
                <w:sz w:val="12"/>
                <w:szCs w:val="12"/>
                <w:color w:val="auto"/>
              </w:rPr>
              <w:t>Dec 31, 2007</w:t>
            </w:r>
          </w:p>
        </w:tc>
        <w:tc>
          <w:tcPr>
            <w:tcW w:w="154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Dec 31, 2006</w:t>
            </w:r>
          </w:p>
        </w:tc>
        <w:tc>
          <w:tcPr>
            <w:tcW w:w="3300" w:type="dxa"/>
            <w:vAlign w:val="bottom"/>
            <w:shd w:val="clear" w:color="auto" w:fill="CECAC6"/>
          </w:tcPr>
          <w:p>
            <w:pPr>
              <w:spacing w:after="0"/>
              <w:rPr>
                <w:sz w:val="11"/>
                <w:szCs w:val="11"/>
                <w:color w:val="auto"/>
              </w:rPr>
            </w:pPr>
          </w:p>
        </w:tc>
        <w:tc>
          <w:tcPr>
            <w:tcW w:w="204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2007</w:t>
            </w:r>
            <w:r>
              <w:rPr>
                <w:rFonts w:ascii="Arial" w:cs="Arial" w:eastAsia="Arial" w:hAnsi="Arial"/>
                <w:sz w:val="12"/>
                <w:szCs w:val="12"/>
                <w:b w:val="1"/>
                <w:bCs w:val="1"/>
                <w:color w:val="auto"/>
              </w:rPr>
              <w:t>[A]</w:t>
            </w:r>
          </w:p>
        </w:tc>
        <w:tc>
          <w:tcPr>
            <w:tcW w:w="132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Dec 31, 2006</w:t>
            </w:r>
            <w:r>
              <w:rPr>
                <w:rFonts w:ascii="Arial" w:cs="Arial" w:eastAsia="Arial" w:hAnsi="Arial"/>
                <w:sz w:val="10"/>
                <w:szCs w:val="10"/>
                <w:b w:val="1"/>
                <w:bCs w:val="1"/>
                <w:color w:val="auto"/>
              </w:rPr>
              <w:t>[A]</w:t>
            </w:r>
          </w:p>
        </w:tc>
      </w:tr>
      <w:tr>
        <w:trPr>
          <w:trHeight w:val="119"/>
        </w:trPr>
        <w:tc>
          <w:tcPr>
            <w:tcW w:w="920" w:type="dxa"/>
            <w:vAlign w:val="bottom"/>
            <w:shd w:val="clear" w:color="auto" w:fill="E4E3E1"/>
          </w:tcPr>
          <w:p>
            <w:pPr>
              <w:jc w:val="right"/>
              <w:spacing w:after="0" w:line="120" w:lineRule="exact"/>
              <w:rPr>
                <w:sz w:val="20"/>
                <w:szCs w:val="20"/>
                <w:color w:val="auto"/>
              </w:rPr>
            </w:pPr>
            <w:r>
              <w:rPr>
                <w:rFonts w:ascii="Arial" w:cs="Arial" w:eastAsia="Arial" w:hAnsi="Arial"/>
                <w:sz w:val="12"/>
                <w:szCs w:val="12"/>
                <w:color w:val="auto"/>
                <w:shd w:val="clear" w:color="auto" w:fill="E4E3E1"/>
              </w:rPr>
              <w:t>4,077,359,886</w:t>
            </w:r>
          </w:p>
        </w:tc>
        <w:tc>
          <w:tcPr>
            <w:tcW w:w="1540" w:type="dxa"/>
            <w:vAlign w:val="bottom"/>
          </w:tcPr>
          <w:p>
            <w:pPr>
              <w:jc w:val="right"/>
              <w:ind w:right="258"/>
              <w:spacing w:after="0" w:line="120" w:lineRule="exact"/>
              <w:rPr>
                <w:sz w:val="20"/>
                <w:szCs w:val="20"/>
                <w:color w:val="auto"/>
              </w:rPr>
            </w:pPr>
            <w:r>
              <w:rPr>
                <w:rFonts w:ascii="Arial" w:cs="Arial" w:eastAsia="Arial" w:hAnsi="Arial"/>
                <w:sz w:val="12"/>
                <w:szCs w:val="12"/>
                <w:color w:val="auto"/>
              </w:rPr>
              <w:t>4,077,359,886</w:t>
            </w:r>
          </w:p>
        </w:tc>
        <w:tc>
          <w:tcPr>
            <w:tcW w:w="3300" w:type="dxa"/>
            <w:vAlign w:val="bottom"/>
          </w:tcPr>
          <w:p>
            <w:pPr>
              <w:ind w:left="320"/>
              <w:spacing w:after="0" w:line="120" w:lineRule="exact"/>
              <w:rPr>
                <w:sz w:val="20"/>
                <w:szCs w:val="20"/>
                <w:color w:val="auto"/>
              </w:rPr>
            </w:pPr>
            <w:r>
              <w:rPr>
                <w:rFonts w:ascii="Arial" w:cs="Arial" w:eastAsia="Arial" w:hAnsi="Arial"/>
                <w:sz w:val="12"/>
                <w:szCs w:val="12"/>
                <w:color w:val="auto"/>
              </w:rPr>
              <w:t>Class A shares of €0.07 each</w:t>
            </w:r>
          </w:p>
        </w:tc>
        <w:tc>
          <w:tcPr>
            <w:tcW w:w="1060" w:type="dxa"/>
            <w:vAlign w:val="bottom"/>
          </w:tcPr>
          <w:p>
            <w:pPr>
              <w:spacing w:after="0"/>
              <w:rPr>
                <w:sz w:val="10"/>
                <w:szCs w:val="10"/>
                <w:color w:val="auto"/>
              </w:rPr>
            </w:pPr>
          </w:p>
        </w:tc>
        <w:tc>
          <w:tcPr>
            <w:tcW w:w="980" w:type="dxa"/>
            <w:vAlign w:val="bottom"/>
            <w:shd w:val="clear" w:color="auto" w:fill="E4E3E1"/>
          </w:tcPr>
          <w:p>
            <w:pPr>
              <w:jc w:val="right"/>
              <w:ind w:right="18"/>
              <w:spacing w:after="0" w:line="120" w:lineRule="exact"/>
              <w:rPr>
                <w:sz w:val="20"/>
                <w:szCs w:val="20"/>
                <w:color w:val="auto"/>
              </w:rPr>
            </w:pPr>
            <w:r>
              <w:rPr>
                <w:rFonts w:ascii="Arial" w:cs="Arial" w:eastAsia="Arial" w:hAnsi="Arial"/>
                <w:sz w:val="12"/>
                <w:szCs w:val="12"/>
                <w:color w:val="auto"/>
              </w:rPr>
              <w:t>€285</w:t>
            </w:r>
          </w:p>
        </w:tc>
        <w:tc>
          <w:tcPr>
            <w:tcW w:w="1320" w:type="dxa"/>
            <w:vAlign w:val="bottom"/>
          </w:tcPr>
          <w:p>
            <w:pPr>
              <w:jc w:val="right"/>
              <w:ind w:right="18"/>
              <w:spacing w:after="0" w:line="120" w:lineRule="exact"/>
              <w:rPr>
                <w:sz w:val="20"/>
                <w:szCs w:val="20"/>
                <w:color w:val="auto"/>
              </w:rPr>
            </w:pPr>
            <w:r>
              <w:rPr>
                <w:rFonts w:ascii="Arial" w:cs="Arial" w:eastAsia="Arial" w:hAnsi="Arial"/>
                <w:sz w:val="12"/>
                <w:szCs w:val="12"/>
                <w:color w:val="auto"/>
              </w:rPr>
              <w:t>€285</w:t>
            </w:r>
          </w:p>
        </w:tc>
      </w:tr>
      <w:tr>
        <w:trPr>
          <w:trHeight w:val="133"/>
        </w:trPr>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2,759,360,000</w:t>
            </w:r>
          </w:p>
        </w:tc>
        <w:tc>
          <w:tcPr>
            <w:tcW w:w="15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2,759,360,000</w:t>
            </w:r>
          </w:p>
        </w:tc>
        <w:tc>
          <w:tcPr>
            <w:tcW w:w="3300" w:type="dxa"/>
            <w:vAlign w:val="bottom"/>
          </w:tcPr>
          <w:p>
            <w:pPr>
              <w:ind w:left="320"/>
              <w:spacing w:after="0" w:line="133" w:lineRule="exact"/>
              <w:rPr>
                <w:sz w:val="20"/>
                <w:szCs w:val="20"/>
                <w:color w:val="auto"/>
              </w:rPr>
            </w:pPr>
            <w:r>
              <w:rPr>
                <w:rFonts w:ascii="Arial" w:cs="Arial" w:eastAsia="Arial" w:hAnsi="Arial"/>
                <w:sz w:val="12"/>
                <w:szCs w:val="12"/>
                <w:color w:val="auto"/>
              </w:rPr>
              <w:t>Class B shares of €0.07 each</w:t>
            </w:r>
          </w:p>
        </w:tc>
        <w:tc>
          <w:tcPr>
            <w:tcW w:w="1060" w:type="dxa"/>
            <w:vAlign w:val="bottom"/>
          </w:tcPr>
          <w:p>
            <w:pPr>
              <w:spacing w:after="0"/>
              <w:rPr>
                <w:sz w:val="11"/>
                <w:szCs w:val="11"/>
                <w:color w:val="auto"/>
              </w:rPr>
            </w:pPr>
          </w:p>
        </w:tc>
        <w:tc>
          <w:tcPr>
            <w:tcW w:w="9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€193</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€193</w:t>
            </w:r>
          </w:p>
        </w:tc>
      </w:tr>
      <w:tr>
        <w:trPr>
          <w:trHeight w:val="133"/>
        </w:trPr>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3,101,000,000</w:t>
            </w:r>
          </w:p>
        </w:tc>
        <w:tc>
          <w:tcPr>
            <w:tcW w:w="15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3,101,000,000</w:t>
            </w:r>
          </w:p>
        </w:tc>
        <w:tc>
          <w:tcPr>
            <w:tcW w:w="3300" w:type="dxa"/>
            <w:vAlign w:val="bottom"/>
          </w:tcPr>
          <w:p>
            <w:pPr>
              <w:ind w:left="320"/>
              <w:spacing w:after="0" w:line="133" w:lineRule="exact"/>
              <w:rPr>
                <w:sz w:val="20"/>
                <w:szCs w:val="20"/>
                <w:color w:val="auto"/>
              </w:rPr>
            </w:pPr>
            <w:r>
              <w:rPr>
                <w:rFonts w:ascii="Arial" w:cs="Arial" w:eastAsia="Arial" w:hAnsi="Arial"/>
                <w:sz w:val="12"/>
                <w:szCs w:val="12"/>
                <w:color w:val="auto"/>
              </w:rPr>
              <w:t>Unclassified shares of €0.07 each</w:t>
            </w:r>
          </w:p>
        </w:tc>
        <w:tc>
          <w:tcPr>
            <w:tcW w:w="1060" w:type="dxa"/>
            <w:vAlign w:val="bottom"/>
          </w:tcPr>
          <w:p>
            <w:pPr>
              <w:spacing w:after="0"/>
              <w:rPr>
                <w:sz w:val="11"/>
                <w:szCs w:val="11"/>
                <w:color w:val="auto"/>
              </w:rPr>
            </w:pPr>
          </w:p>
        </w:tc>
        <w:tc>
          <w:tcPr>
            <w:tcW w:w="9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€217</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€217</w:t>
            </w:r>
          </w:p>
        </w:tc>
      </w:tr>
      <w:tr>
        <w:trPr>
          <w:trHeight w:val="133"/>
        </w:trPr>
        <w:tc>
          <w:tcPr>
            <w:tcW w:w="9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rPr>
              <w:t>62,280,114</w:t>
            </w:r>
          </w:p>
        </w:tc>
        <w:tc>
          <w:tcPr>
            <w:tcW w:w="15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62,280,114</w:t>
            </w:r>
          </w:p>
        </w:tc>
        <w:tc>
          <w:tcPr>
            <w:tcW w:w="3300" w:type="dxa"/>
            <w:vAlign w:val="bottom"/>
          </w:tcPr>
          <w:p>
            <w:pPr>
              <w:ind w:left="320"/>
              <w:spacing w:after="0" w:line="133" w:lineRule="exact"/>
              <w:rPr>
                <w:sz w:val="20"/>
                <w:szCs w:val="20"/>
                <w:color w:val="auto"/>
              </w:rPr>
            </w:pPr>
            <w:r>
              <w:rPr>
                <w:rFonts w:ascii="Arial" w:cs="Arial" w:eastAsia="Arial" w:hAnsi="Arial"/>
                <w:sz w:val="12"/>
                <w:szCs w:val="12"/>
                <w:color w:val="auto"/>
              </w:rPr>
              <w:t>Euro deferred shares of €0.07 each</w:t>
            </w:r>
          </w:p>
        </w:tc>
        <w:tc>
          <w:tcPr>
            <w:tcW w:w="1060" w:type="dxa"/>
            <w:vAlign w:val="bottom"/>
          </w:tcPr>
          <w:p>
            <w:pPr>
              <w:spacing w:after="0"/>
              <w:rPr>
                <w:sz w:val="11"/>
                <w:szCs w:val="11"/>
                <w:color w:val="auto"/>
              </w:rPr>
            </w:pPr>
          </w:p>
        </w:tc>
        <w:tc>
          <w:tcPr>
            <w:tcW w:w="980" w:type="dxa"/>
            <w:vAlign w:val="bottom"/>
            <w:shd w:val="clear" w:color="auto" w:fill="E4E3E1"/>
          </w:tcPr>
          <w:p>
            <w:pPr>
              <w:jc w:val="right"/>
              <w:ind w:right="18"/>
              <w:spacing w:after="0" w:line="133" w:lineRule="exact"/>
              <w:rPr>
                <w:sz w:val="20"/>
                <w:szCs w:val="20"/>
                <w:color w:val="auto"/>
              </w:rPr>
            </w:pPr>
            <w:r>
              <w:rPr>
                <w:rFonts w:ascii="Arial" w:cs="Arial" w:eastAsia="Arial" w:hAnsi="Arial"/>
                <w:sz w:val="12"/>
                <w:szCs w:val="12"/>
                <w:color w:val="auto"/>
              </w:rPr>
              <w:t>€4</w:t>
            </w:r>
          </w:p>
        </w:tc>
        <w:tc>
          <w:tcPr>
            <w:tcW w:w="1320" w:type="dxa"/>
            <w:vAlign w:val="bottom"/>
          </w:tcPr>
          <w:p>
            <w:pPr>
              <w:jc w:val="right"/>
              <w:ind w:right="18"/>
              <w:spacing w:after="0" w:line="133" w:lineRule="exact"/>
              <w:rPr>
                <w:sz w:val="20"/>
                <w:szCs w:val="20"/>
                <w:color w:val="auto"/>
              </w:rPr>
            </w:pPr>
            <w:r>
              <w:rPr>
                <w:rFonts w:ascii="Arial" w:cs="Arial" w:eastAsia="Arial" w:hAnsi="Arial"/>
                <w:sz w:val="12"/>
                <w:szCs w:val="12"/>
                <w:color w:val="auto"/>
              </w:rPr>
              <w:t>€4</w:t>
            </w:r>
          </w:p>
        </w:tc>
      </w:tr>
      <w:tr>
        <w:trPr>
          <w:trHeight w:val="154"/>
        </w:trPr>
        <w:tc>
          <w:tcPr>
            <w:tcW w:w="9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50,000</w:t>
            </w:r>
          </w:p>
        </w:tc>
        <w:tc>
          <w:tcPr>
            <w:tcW w:w="15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50,000</w:t>
            </w:r>
          </w:p>
        </w:tc>
        <w:tc>
          <w:tcPr>
            <w:tcW w:w="330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Sterling deferred shares of £1 each</w:t>
            </w:r>
          </w:p>
        </w:tc>
        <w:tc>
          <w:tcPr>
            <w:tcW w:w="10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shd w:val="clear" w:color="auto" w:fill="E4E3E1"/>
          </w:tcPr>
          <w:p>
            <w:pPr>
              <w:jc w:val="right"/>
              <w:ind w:right="1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-616585</wp:posOffset>
            </wp:positionV>
            <wp:extent cx="17145" cy="510032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145" cy="5100320"/>
                    </a:xfrm>
                    <a:prstGeom prst="rect">
                      <a:avLst/>
                    </a:prstGeom>
                    <a:noFill/>
                  </pic:spPr>
                </pic:pic>
              </a:graphicData>
            </a:graphic>
          </wp:anchor>
        </w:drawing>
      </w:r>
    </w:p>
    <w:p>
      <w:pPr>
        <w:spacing w:after="0" w:line="41" w:lineRule="exact"/>
        <w:rPr>
          <w:sz w:val="20"/>
          <w:szCs w:val="20"/>
          <w:color w:val="auto"/>
        </w:rPr>
      </w:pPr>
    </w:p>
    <w:p>
      <w:pPr>
        <w:ind w:left="360" w:hanging="350"/>
        <w:spacing w:after="0"/>
        <w:tabs>
          <w:tab w:leader="none" w:pos="360" w:val="left"/>
        </w:tabs>
        <w:numPr>
          <w:ilvl w:val="0"/>
          <w:numId w:val="165"/>
        </w:numPr>
        <w:rPr>
          <w:rFonts w:ascii="Arial" w:cs="Arial" w:eastAsia="Arial" w:hAnsi="Arial"/>
          <w:sz w:val="12"/>
          <w:szCs w:val="12"/>
          <w:color w:val="auto"/>
        </w:rPr>
      </w:pPr>
      <w:r>
        <w:rPr>
          <w:rFonts w:ascii="Arial" w:cs="Arial" w:eastAsia="Arial" w:hAnsi="Arial"/>
          <w:sz w:val="12"/>
          <w:szCs w:val="12"/>
          <w:color w:val="auto"/>
        </w:rPr>
        <w:t>Amounts are in millions.</w:t>
      </w: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00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ISSUED AND FULLY PAID</w:t>
            </w:r>
          </w:p>
        </w:tc>
        <w:tc>
          <w:tcPr>
            <w:tcW w:w="1460" w:type="dxa"/>
            <w:vAlign w:val="bottom"/>
            <w:shd w:val="clear" w:color="auto" w:fill="0066A5"/>
          </w:tcPr>
          <w:p>
            <w:pPr>
              <w:spacing w:after="0"/>
              <w:rPr>
                <w:sz w:val="12"/>
                <w:szCs w:val="12"/>
                <w:color w:val="auto"/>
              </w:rPr>
            </w:pPr>
          </w:p>
        </w:tc>
        <w:tc>
          <w:tcPr>
            <w:tcW w:w="1020" w:type="dxa"/>
            <w:vAlign w:val="bottom"/>
            <w:shd w:val="clear" w:color="auto" w:fill="0066A5"/>
          </w:tcPr>
          <w:p>
            <w:pPr>
              <w:spacing w:after="0"/>
              <w:rPr>
                <w:sz w:val="12"/>
                <w:szCs w:val="12"/>
                <w:color w:val="auto"/>
              </w:rPr>
            </w:pPr>
          </w:p>
        </w:tc>
        <w:tc>
          <w:tcPr>
            <w:tcW w:w="1360" w:type="dxa"/>
            <w:vAlign w:val="bottom"/>
            <w:shd w:val="clear" w:color="auto" w:fill="0066A5"/>
          </w:tcPr>
          <w:p>
            <w:pPr>
              <w:spacing w:after="0"/>
              <w:rPr>
                <w:sz w:val="12"/>
                <w:szCs w:val="12"/>
                <w:color w:val="auto"/>
              </w:rPr>
            </w:pPr>
          </w:p>
        </w:tc>
        <w:tc>
          <w:tcPr>
            <w:tcW w:w="128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Number of shares</w:t>
            </w:r>
          </w:p>
        </w:tc>
      </w:tr>
      <w:tr>
        <w:trPr>
          <w:trHeight w:val="141"/>
        </w:trPr>
        <w:tc>
          <w:tcPr>
            <w:tcW w:w="4000" w:type="dxa"/>
            <w:vAlign w:val="bottom"/>
            <w:shd w:val="clear" w:color="auto" w:fill="CECAC6"/>
          </w:tcPr>
          <w:p>
            <w:pPr>
              <w:spacing w:after="0"/>
              <w:rPr>
                <w:sz w:val="12"/>
                <w:szCs w:val="12"/>
                <w:color w:val="auto"/>
              </w:rPr>
            </w:pPr>
          </w:p>
        </w:tc>
        <w:tc>
          <w:tcPr>
            <w:tcW w:w="1460" w:type="dxa"/>
            <w:vAlign w:val="bottom"/>
            <w:shd w:val="clear" w:color="auto" w:fill="CECAC6"/>
          </w:tcPr>
          <w:p>
            <w:pPr>
              <w:spacing w:after="0"/>
              <w:rPr>
                <w:sz w:val="12"/>
                <w:szCs w:val="12"/>
                <w:color w:val="auto"/>
              </w:rPr>
            </w:pPr>
          </w:p>
        </w:tc>
        <w:tc>
          <w:tcPr>
            <w:tcW w:w="1020" w:type="dxa"/>
            <w:vAlign w:val="bottom"/>
            <w:shd w:val="clear" w:color="auto" w:fill="CECAC6"/>
          </w:tcPr>
          <w:p>
            <w:pPr>
              <w:spacing w:after="0"/>
              <w:rPr>
                <w:sz w:val="12"/>
                <w:szCs w:val="12"/>
                <w:color w:val="auto"/>
              </w:rPr>
            </w:pPr>
          </w:p>
        </w:tc>
        <w:tc>
          <w:tcPr>
            <w:tcW w:w="136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Shares of €0.07 each</w:t>
            </w:r>
          </w:p>
        </w:tc>
        <w:tc>
          <w:tcPr>
            <w:tcW w:w="12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Shares of £1 each</w:t>
            </w:r>
          </w:p>
        </w:tc>
      </w:tr>
      <w:tr>
        <w:trPr>
          <w:trHeight w:val="133"/>
        </w:trPr>
        <w:tc>
          <w:tcPr>
            <w:tcW w:w="4000" w:type="dxa"/>
            <w:vAlign w:val="bottom"/>
            <w:shd w:val="clear" w:color="auto" w:fill="CECAC6"/>
          </w:tcPr>
          <w:p>
            <w:pPr>
              <w:spacing w:after="0"/>
              <w:rPr>
                <w:sz w:val="11"/>
                <w:szCs w:val="11"/>
                <w:color w:val="auto"/>
              </w:rPr>
            </w:pPr>
          </w:p>
        </w:tc>
        <w:tc>
          <w:tcPr>
            <w:tcW w:w="146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136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Euro</w:t>
            </w:r>
          </w:p>
        </w:tc>
        <w:tc>
          <w:tcPr>
            <w:tcW w:w="1280" w:type="dxa"/>
            <w:vAlign w:val="bottom"/>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Sterling</w:t>
            </w:r>
          </w:p>
        </w:tc>
      </w:tr>
      <w:tr>
        <w:trPr>
          <w:trHeight w:val="139"/>
        </w:trPr>
        <w:tc>
          <w:tcPr>
            <w:tcW w:w="4000" w:type="dxa"/>
            <w:vAlign w:val="bottom"/>
            <w:shd w:val="clear" w:color="auto" w:fill="CECAC6"/>
          </w:tcPr>
          <w:p>
            <w:pPr>
              <w:spacing w:after="0"/>
              <w:rPr>
                <w:sz w:val="12"/>
                <w:szCs w:val="12"/>
                <w:color w:val="auto"/>
              </w:rPr>
            </w:pPr>
          </w:p>
        </w:tc>
        <w:tc>
          <w:tcPr>
            <w:tcW w:w="146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Class A</w:t>
            </w:r>
          </w:p>
        </w:tc>
        <w:tc>
          <w:tcPr>
            <w:tcW w:w="1020" w:type="dxa"/>
            <w:vAlign w:val="bottom"/>
            <w:shd w:val="clear" w:color="auto" w:fill="CECAC6"/>
          </w:tcPr>
          <w:p>
            <w:pPr>
              <w:jc w:val="right"/>
              <w:spacing w:after="0"/>
              <w:rPr>
                <w:sz w:val="20"/>
                <w:szCs w:val="20"/>
                <w:color w:val="auto"/>
              </w:rPr>
            </w:pPr>
            <w:r>
              <w:rPr>
                <w:rFonts w:ascii="Arial" w:cs="Arial" w:eastAsia="Arial" w:hAnsi="Arial"/>
                <w:sz w:val="12"/>
                <w:szCs w:val="12"/>
                <w:color w:val="auto"/>
              </w:rPr>
              <w:t>Class B</w:t>
            </w:r>
          </w:p>
        </w:tc>
        <w:tc>
          <w:tcPr>
            <w:tcW w:w="136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deferred</w:t>
            </w:r>
          </w:p>
        </w:tc>
        <w:tc>
          <w:tcPr>
            <w:tcW w:w="128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deferred</w:t>
            </w:r>
          </w:p>
        </w:tc>
      </w:tr>
      <w:tr>
        <w:trPr>
          <w:trHeight w:val="127"/>
        </w:trPr>
        <w:tc>
          <w:tcPr>
            <w:tcW w:w="400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46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3,935,625,000</w:t>
            </w:r>
          </w:p>
        </w:tc>
        <w:tc>
          <w:tcPr>
            <w:tcW w:w="1020" w:type="dxa"/>
            <w:vAlign w:val="bottom"/>
          </w:tcPr>
          <w:p>
            <w:pPr>
              <w:jc w:val="right"/>
              <w:spacing w:after="0" w:line="128" w:lineRule="exact"/>
              <w:rPr>
                <w:sz w:val="20"/>
                <w:szCs w:val="20"/>
                <w:color w:val="auto"/>
              </w:rPr>
            </w:pPr>
            <w:r>
              <w:rPr>
                <w:rFonts w:ascii="Arial" w:cs="Arial" w:eastAsia="Arial" w:hAnsi="Arial"/>
                <w:sz w:val="12"/>
                <w:szCs w:val="12"/>
                <w:color w:val="auto"/>
              </w:rPr>
              <w:t>2,759,360,000</w:t>
            </w:r>
          </w:p>
        </w:tc>
        <w:tc>
          <w:tcPr>
            <w:tcW w:w="13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62,280,114</w:t>
            </w:r>
          </w:p>
        </w:tc>
        <w:tc>
          <w:tcPr>
            <w:tcW w:w="1280" w:type="dxa"/>
            <w:vAlign w:val="bottom"/>
          </w:tcPr>
          <w:p>
            <w:pPr>
              <w:jc w:val="right"/>
              <w:ind w:right="18"/>
              <w:spacing w:after="0" w:line="128" w:lineRule="exact"/>
              <w:rPr>
                <w:sz w:val="20"/>
                <w:szCs w:val="20"/>
                <w:color w:val="auto"/>
              </w:rPr>
            </w:pPr>
            <w:r>
              <w:rPr>
                <w:rFonts w:ascii="Arial" w:cs="Arial" w:eastAsia="Arial" w:hAnsi="Arial"/>
                <w:sz w:val="12"/>
                <w:szCs w:val="12"/>
                <w:color w:val="auto"/>
              </w:rPr>
              <w:t>50,000</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Shares issued</w:t>
            </w:r>
          </w:p>
        </w:tc>
        <w:tc>
          <w:tcPr>
            <w:tcW w:w="14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4,827,974</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3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12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3"/>
        </w:trPr>
        <w:tc>
          <w:tcPr>
            <w:tcW w:w="4000" w:type="dxa"/>
            <w:vAlign w:val="bottom"/>
          </w:tcPr>
          <w:p>
            <w:pPr>
              <w:spacing w:after="0" w:line="133" w:lineRule="exact"/>
              <w:rPr>
                <w:sz w:val="20"/>
                <w:szCs w:val="20"/>
                <w:color w:val="auto"/>
              </w:rPr>
            </w:pPr>
            <w:r>
              <w:rPr>
                <w:rFonts w:ascii="Arial" w:cs="Arial" w:eastAsia="Arial" w:hAnsi="Arial"/>
                <w:sz w:val="12"/>
                <w:szCs w:val="12"/>
                <w:color w:val="auto"/>
              </w:rPr>
              <w:t>Redemption of share capital</w:t>
            </w:r>
          </w:p>
        </w:tc>
        <w:tc>
          <w:tcPr>
            <w:tcW w:w="14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1360" w:type="dxa"/>
            <w:vAlign w:val="bottom"/>
          </w:tcPr>
          <w:p>
            <w:pPr>
              <w:jc w:val="right"/>
              <w:ind w:right="78"/>
              <w:spacing w:after="0" w:line="133" w:lineRule="exact"/>
              <w:rPr>
                <w:sz w:val="20"/>
                <w:szCs w:val="20"/>
                <w:color w:val="auto"/>
              </w:rPr>
            </w:pPr>
            <w:r>
              <w:rPr>
                <w:rFonts w:ascii="Arial" w:cs="Arial" w:eastAsia="Arial" w:hAnsi="Arial"/>
                <w:sz w:val="12"/>
                <w:szCs w:val="12"/>
                <w:color w:val="auto"/>
              </w:rPr>
              <w:t>(62,280,114)</w:t>
            </w:r>
          </w:p>
        </w:tc>
        <w:tc>
          <w:tcPr>
            <w:tcW w:w="1280" w:type="dxa"/>
            <w:vAlign w:val="bottom"/>
          </w:tcPr>
          <w:p>
            <w:pPr>
              <w:jc w:val="right"/>
              <w:ind w:right="18"/>
              <w:spacing w:after="0" w:line="133" w:lineRule="exact"/>
              <w:rPr>
                <w:sz w:val="20"/>
                <w:szCs w:val="20"/>
                <w:color w:val="auto"/>
              </w:rPr>
            </w:pPr>
            <w:r>
              <w:rPr>
                <w:rFonts w:ascii="Arial" w:cs="Arial" w:eastAsia="Arial" w:hAnsi="Arial"/>
                <w:sz w:val="12"/>
                <w:szCs w:val="12"/>
                <w:color w:val="auto"/>
              </w:rPr>
              <w:t>–</w:t>
            </w:r>
          </w:p>
        </w:tc>
      </w:tr>
      <w:tr>
        <w:trPr>
          <w:trHeight w:val="139"/>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4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(244,672,974)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r>
        <w:trPr>
          <w:trHeight w:val="134"/>
        </w:trPr>
        <w:tc>
          <w:tcPr>
            <w:tcW w:w="400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46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3,695,780,000</w:t>
            </w:r>
          </w:p>
        </w:tc>
        <w:tc>
          <w:tcPr>
            <w:tcW w:w="1020" w:type="dxa"/>
            <w:vAlign w:val="bottom"/>
          </w:tcPr>
          <w:p>
            <w:pPr>
              <w:jc w:val="right"/>
              <w:spacing w:after="0" w:line="134" w:lineRule="exact"/>
              <w:rPr>
                <w:sz w:val="20"/>
                <w:szCs w:val="20"/>
                <w:color w:val="auto"/>
              </w:rPr>
            </w:pPr>
            <w:r>
              <w:rPr>
                <w:rFonts w:ascii="Arial" w:cs="Arial" w:eastAsia="Arial" w:hAnsi="Arial"/>
                <w:sz w:val="12"/>
                <w:szCs w:val="12"/>
                <w:color w:val="auto"/>
              </w:rPr>
              <w:t>2,759,360,000</w:t>
            </w:r>
          </w:p>
        </w:tc>
        <w:tc>
          <w:tcPr>
            <w:tcW w:w="1360" w:type="dxa"/>
            <w:vAlign w:val="bottom"/>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128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50,000</w:t>
            </w:r>
          </w:p>
        </w:tc>
      </w:tr>
      <w:tr>
        <w:trPr>
          <w:trHeight w:val="139"/>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46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(112,275,000)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w:t>
            </w:r>
          </w:p>
        </w:tc>
      </w:tr>
      <w:tr>
        <w:trPr>
          <w:trHeight w:val="146"/>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1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3,583,505,000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2,759,360,000</w:t>
            </w:r>
          </w:p>
        </w:tc>
        <w:tc>
          <w:tcPr>
            <w:tcW w:w="13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2641600</wp:posOffset>
            </wp:positionH>
            <wp:positionV relativeFrom="paragraph">
              <wp:posOffset>-904240</wp:posOffset>
            </wp:positionV>
            <wp:extent cx="3163570" cy="60071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163570" cy="600710"/>
                    </a:xfrm>
                    <a:prstGeom prst="rect">
                      <a:avLst/>
                    </a:prstGeom>
                    <a:noFill/>
                  </pic:spPr>
                </pic:pic>
              </a:graphicData>
            </a:graphic>
          </wp:anchor>
        </w:drawing>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360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NOMINAL VALUE</w:t>
            </w:r>
          </w:p>
        </w:tc>
        <w:tc>
          <w:tcPr>
            <w:tcW w:w="1200" w:type="dxa"/>
            <w:vAlign w:val="bottom"/>
            <w:shd w:val="clear" w:color="auto" w:fill="0066A5"/>
          </w:tcPr>
          <w:p>
            <w:pPr>
              <w:spacing w:after="0"/>
              <w:rPr>
                <w:sz w:val="12"/>
                <w:szCs w:val="12"/>
                <w:color w:val="auto"/>
              </w:rPr>
            </w:pPr>
          </w:p>
        </w:tc>
        <w:tc>
          <w:tcPr>
            <w:tcW w:w="1000" w:type="dxa"/>
            <w:vAlign w:val="bottom"/>
            <w:shd w:val="clear" w:color="auto" w:fill="0066A5"/>
          </w:tcPr>
          <w:p>
            <w:pPr>
              <w:spacing w:after="0"/>
              <w:rPr>
                <w:sz w:val="12"/>
                <w:szCs w:val="12"/>
                <w:color w:val="auto"/>
              </w:rPr>
            </w:pPr>
          </w:p>
        </w:tc>
        <w:tc>
          <w:tcPr>
            <w:tcW w:w="1000" w:type="dxa"/>
            <w:vAlign w:val="bottom"/>
            <w:shd w:val="clear" w:color="auto" w:fill="0066A5"/>
          </w:tcPr>
          <w:p>
            <w:pPr>
              <w:spacing w:after="0"/>
              <w:rPr>
                <w:sz w:val="12"/>
                <w:szCs w:val="12"/>
                <w:color w:val="auto"/>
              </w:rPr>
            </w:pPr>
          </w:p>
        </w:tc>
        <w:tc>
          <w:tcPr>
            <w:tcW w:w="1460" w:type="dxa"/>
            <w:vAlign w:val="bottom"/>
            <w:shd w:val="clear" w:color="auto" w:fill="0066A5"/>
          </w:tcPr>
          <w:p>
            <w:pPr>
              <w:spacing w:after="0"/>
              <w:rPr>
                <w:sz w:val="12"/>
                <w:szCs w:val="12"/>
                <w:color w:val="auto"/>
              </w:rPr>
            </w:pPr>
          </w:p>
        </w:tc>
        <w:tc>
          <w:tcPr>
            <w:tcW w:w="86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41"/>
        </w:trPr>
        <w:tc>
          <w:tcPr>
            <w:tcW w:w="3600" w:type="dxa"/>
            <w:vAlign w:val="bottom"/>
            <w:shd w:val="clear" w:color="auto" w:fill="CECAC6"/>
          </w:tcPr>
          <w:p>
            <w:pPr>
              <w:spacing w:after="0"/>
              <w:rPr>
                <w:sz w:val="12"/>
                <w:szCs w:val="12"/>
                <w:color w:val="auto"/>
              </w:rPr>
            </w:pPr>
          </w:p>
        </w:tc>
        <w:tc>
          <w:tcPr>
            <w:tcW w:w="1200" w:type="dxa"/>
            <w:vAlign w:val="bottom"/>
            <w:shd w:val="clear" w:color="auto" w:fill="CECAC6"/>
          </w:tcPr>
          <w:p>
            <w:pPr>
              <w:spacing w:after="0"/>
              <w:rPr>
                <w:sz w:val="12"/>
                <w:szCs w:val="12"/>
                <w:color w:val="auto"/>
              </w:rPr>
            </w:pPr>
          </w:p>
        </w:tc>
        <w:tc>
          <w:tcPr>
            <w:tcW w:w="2000" w:type="dxa"/>
            <w:vAlign w:val="bottom"/>
            <w:gridSpan w:val="2"/>
            <w:shd w:val="clear" w:color="auto" w:fill="CECAC6"/>
          </w:tcPr>
          <w:p>
            <w:pPr>
              <w:jc w:val="right"/>
              <w:ind w:right="178"/>
              <w:spacing w:after="0"/>
              <w:rPr>
                <w:sz w:val="20"/>
                <w:szCs w:val="20"/>
                <w:color w:val="auto"/>
              </w:rPr>
            </w:pPr>
            <w:r>
              <w:rPr>
                <w:rFonts w:ascii="Arial" w:cs="Arial" w:eastAsia="Arial" w:hAnsi="Arial"/>
                <w:sz w:val="12"/>
                <w:szCs w:val="12"/>
                <w:color w:val="auto"/>
              </w:rPr>
              <w:t>Shares of €0.07 each</w:t>
            </w:r>
          </w:p>
        </w:tc>
        <w:tc>
          <w:tcPr>
            <w:tcW w:w="146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Shares of £1 each</w:t>
            </w:r>
          </w:p>
        </w:tc>
        <w:tc>
          <w:tcPr>
            <w:tcW w:w="860" w:type="dxa"/>
            <w:vAlign w:val="bottom"/>
            <w:shd w:val="clear" w:color="auto" w:fill="CECAC6"/>
          </w:tcPr>
          <w:p>
            <w:pPr>
              <w:spacing w:after="0"/>
              <w:rPr>
                <w:sz w:val="12"/>
                <w:szCs w:val="12"/>
                <w:color w:val="auto"/>
              </w:rPr>
            </w:pPr>
          </w:p>
        </w:tc>
      </w:tr>
      <w:tr>
        <w:trPr>
          <w:trHeight w:val="133"/>
        </w:trPr>
        <w:tc>
          <w:tcPr>
            <w:tcW w:w="3600" w:type="dxa"/>
            <w:vAlign w:val="bottom"/>
            <w:shd w:val="clear" w:color="auto" w:fill="CECAC6"/>
          </w:tcPr>
          <w:p>
            <w:pPr>
              <w:spacing w:after="0"/>
              <w:rPr>
                <w:sz w:val="11"/>
                <w:szCs w:val="11"/>
                <w:color w:val="auto"/>
              </w:rPr>
            </w:pPr>
          </w:p>
        </w:tc>
        <w:tc>
          <w:tcPr>
            <w:tcW w:w="1200" w:type="dxa"/>
            <w:vAlign w:val="bottom"/>
            <w:shd w:val="clear" w:color="auto" w:fill="CECAC6"/>
          </w:tcPr>
          <w:p>
            <w:pPr>
              <w:spacing w:after="0"/>
              <w:rPr>
                <w:sz w:val="11"/>
                <w:szCs w:val="11"/>
                <w:color w:val="auto"/>
              </w:rPr>
            </w:pPr>
          </w:p>
        </w:tc>
        <w:tc>
          <w:tcPr>
            <w:tcW w:w="1000" w:type="dxa"/>
            <w:vAlign w:val="bottom"/>
            <w:shd w:val="clear" w:color="auto" w:fill="CECAC6"/>
          </w:tcPr>
          <w:p>
            <w:pPr>
              <w:spacing w:after="0"/>
              <w:rPr>
                <w:sz w:val="11"/>
                <w:szCs w:val="11"/>
                <w:color w:val="auto"/>
              </w:rPr>
            </w:pPr>
          </w:p>
        </w:tc>
        <w:tc>
          <w:tcPr>
            <w:tcW w:w="100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Euro</w:t>
            </w:r>
          </w:p>
        </w:tc>
        <w:tc>
          <w:tcPr>
            <w:tcW w:w="146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Sterling</w:t>
            </w:r>
          </w:p>
        </w:tc>
        <w:tc>
          <w:tcPr>
            <w:tcW w:w="860" w:type="dxa"/>
            <w:vAlign w:val="bottom"/>
            <w:shd w:val="clear" w:color="auto" w:fill="CECAC6"/>
          </w:tcPr>
          <w:p>
            <w:pPr>
              <w:spacing w:after="0"/>
              <w:rPr>
                <w:sz w:val="11"/>
                <w:szCs w:val="11"/>
                <w:color w:val="auto"/>
              </w:rPr>
            </w:pPr>
          </w:p>
        </w:tc>
      </w:tr>
      <w:tr>
        <w:trPr>
          <w:trHeight w:val="139"/>
        </w:trPr>
        <w:tc>
          <w:tcPr>
            <w:tcW w:w="3600" w:type="dxa"/>
            <w:vAlign w:val="bottom"/>
            <w:shd w:val="clear" w:color="auto" w:fill="CECAC6"/>
          </w:tcPr>
          <w:p>
            <w:pPr>
              <w:spacing w:after="0"/>
              <w:rPr>
                <w:sz w:val="12"/>
                <w:szCs w:val="12"/>
                <w:color w:val="auto"/>
              </w:rPr>
            </w:pPr>
          </w:p>
        </w:tc>
        <w:tc>
          <w:tcPr>
            <w:tcW w:w="120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Class A</w:t>
            </w:r>
          </w:p>
        </w:tc>
        <w:tc>
          <w:tcPr>
            <w:tcW w:w="100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Class B</w:t>
            </w:r>
          </w:p>
        </w:tc>
        <w:tc>
          <w:tcPr>
            <w:tcW w:w="100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deferred</w:t>
            </w:r>
          </w:p>
        </w:tc>
        <w:tc>
          <w:tcPr>
            <w:tcW w:w="146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deferred</w:t>
            </w:r>
          </w:p>
        </w:tc>
        <w:tc>
          <w:tcPr>
            <w:tcW w:w="86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r>
      <w:tr>
        <w:trPr>
          <w:trHeight w:val="113"/>
        </w:trPr>
        <w:tc>
          <w:tcPr>
            <w:tcW w:w="3600" w:type="dxa"/>
            <w:vAlign w:val="bottom"/>
          </w:tcPr>
          <w:p>
            <w:pPr>
              <w:spacing w:after="0" w:line="114" w:lineRule="exact"/>
              <w:rPr>
                <w:sz w:val="20"/>
                <w:szCs w:val="20"/>
                <w:color w:val="auto"/>
              </w:rPr>
            </w:pPr>
            <w:r>
              <w:rPr>
                <w:rFonts w:ascii="Arial" w:cs="Arial" w:eastAsia="Arial" w:hAnsi="Arial"/>
                <w:sz w:val="12"/>
                <w:szCs w:val="12"/>
                <w:b w:val="1"/>
                <w:bCs w:val="1"/>
                <w:color w:val="auto"/>
              </w:rPr>
              <w:t>At January 1, 2006</w:t>
            </w:r>
          </w:p>
        </w:tc>
        <w:tc>
          <w:tcPr>
            <w:tcW w:w="1200" w:type="dxa"/>
            <w:vAlign w:val="bottom"/>
          </w:tcPr>
          <w:p>
            <w:pPr>
              <w:jc w:val="right"/>
              <w:ind w:right="278"/>
              <w:spacing w:after="0" w:line="114" w:lineRule="exact"/>
              <w:rPr>
                <w:sz w:val="20"/>
                <w:szCs w:val="20"/>
                <w:color w:val="auto"/>
              </w:rPr>
            </w:pPr>
            <w:r>
              <w:rPr>
                <w:rFonts w:ascii="Arial" w:cs="Arial" w:eastAsia="Arial" w:hAnsi="Arial"/>
                <w:sz w:val="12"/>
                <w:szCs w:val="12"/>
                <w:color w:val="auto"/>
              </w:rPr>
              <w:t>333</w:t>
            </w:r>
          </w:p>
        </w:tc>
        <w:tc>
          <w:tcPr>
            <w:tcW w:w="1000" w:type="dxa"/>
            <w:vAlign w:val="bottom"/>
          </w:tcPr>
          <w:p>
            <w:pPr>
              <w:jc w:val="right"/>
              <w:ind w:right="238"/>
              <w:spacing w:after="0" w:line="114" w:lineRule="exact"/>
              <w:rPr>
                <w:sz w:val="20"/>
                <w:szCs w:val="20"/>
                <w:color w:val="auto"/>
              </w:rPr>
            </w:pPr>
            <w:r>
              <w:rPr>
                <w:rFonts w:ascii="Arial" w:cs="Arial" w:eastAsia="Arial" w:hAnsi="Arial"/>
                <w:sz w:val="12"/>
                <w:szCs w:val="12"/>
                <w:color w:val="auto"/>
              </w:rPr>
              <w:t>233</w:t>
            </w:r>
          </w:p>
        </w:tc>
        <w:tc>
          <w:tcPr>
            <w:tcW w:w="1000" w:type="dxa"/>
            <w:vAlign w:val="bottom"/>
          </w:tcPr>
          <w:p>
            <w:pPr>
              <w:jc w:val="right"/>
              <w:ind w:right="178"/>
              <w:spacing w:after="0" w:line="114" w:lineRule="exact"/>
              <w:rPr>
                <w:sz w:val="20"/>
                <w:szCs w:val="20"/>
                <w:color w:val="auto"/>
              </w:rPr>
            </w:pPr>
            <w:r>
              <w:rPr>
                <w:rFonts w:ascii="Arial" w:cs="Arial" w:eastAsia="Arial" w:hAnsi="Arial"/>
                <w:sz w:val="12"/>
                <w:szCs w:val="12"/>
                <w:color w:val="auto"/>
              </w:rPr>
              <w:t>5</w:t>
            </w:r>
          </w:p>
        </w:tc>
        <w:tc>
          <w:tcPr>
            <w:tcW w:w="1460" w:type="dxa"/>
            <w:vAlign w:val="bottom"/>
          </w:tcPr>
          <w:p>
            <w:pPr>
              <w:jc w:val="right"/>
              <w:ind w:right="218"/>
              <w:spacing w:after="0" w:line="114" w:lineRule="exact"/>
              <w:rPr>
                <w:sz w:val="20"/>
                <w:szCs w:val="20"/>
                <w:color w:val="auto"/>
              </w:rPr>
            </w:pPr>
            <w:r>
              <w:rPr>
                <w:rFonts w:ascii="Arial" w:cs="Arial" w:eastAsia="Arial" w:hAnsi="Arial"/>
                <w:sz w:val="12"/>
                <w:szCs w:val="12"/>
                <w:b w:val="1"/>
                <w:bCs w:val="1"/>
                <w:color w:val="auto"/>
              </w:rPr>
              <w:t>[A]</w:t>
            </w:r>
          </w:p>
        </w:tc>
        <w:tc>
          <w:tcPr>
            <w:tcW w:w="860" w:type="dxa"/>
            <w:vAlign w:val="bottom"/>
          </w:tcPr>
          <w:p>
            <w:pPr>
              <w:jc w:val="right"/>
              <w:ind w:right="18"/>
              <w:spacing w:after="0" w:line="114" w:lineRule="exact"/>
              <w:rPr>
                <w:sz w:val="20"/>
                <w:szCs w:val="20"/>
                <w:color w:val="auto"/>
              </w:rPr>
            </w:pPr>
            <w:r>
              <w:rPr>
                <w:rFonts w:ascii="Arial" w:cs="Arial" w:eastAsia="Arial" w:hAnsi="Arial"/>
                <w:sz w:val="12"/>
                <w:szCs w:val="12"/>
                <w:color w:val="auto"/>
              </w:rPr>
              <w:t>571</w:t>
            </w:r>
          </w:p>
        </w:tc>
      </w:tr>
      <w:tr>
        <w:trPr>
          <w:trHeight w:val="147"/>
        </w:trPr>
        <w:tc>
          <w:tcPr>
            <w:tcW w:w="3600" w:type="dxa"/>
            <w:vAlign w:val="bottom"/>
          </w:tcPr>
          <w:p>
            <w:pPr>
              <w:spacing w:after="0"/>
              <w:rPr>
                <w:sz w:val="20"/>
                <w:szCs w:val="20"/>
                <w:color w:val="auto"/>
              </w:rPr>
            </w:pPr>
            <w:r>
              <w:rPr>
                <w:rFonts w:ascii="Arial" w:cs="Arial" w:eastAsia="Arial" w:hAnsi="Arial"/>
                <w:sz w:val="12"/>
                <w:szCs w:val="12"/>
                <w:color w:val="auto"/>
              </w:rPr>
              <w:t>Shares issued</w:t>
            </w:r>
          </w:p>
        </w:tc>
        <w:tc>
          <w:tcPr>
            <w:tcW w:w="1200" w:type="dxa"/>
            <w:vAlign w:val="bottom"/>
          </w:tcPr>
          <w:p>
            <w:pPr>
              <w:jc w:val="right"/>
              <w:ind w:right="278"/>
              <w:spacing w:after="0"/>
              <w:rPr>
                <w:sz w:val="20"/>
                <w:szCs w:val="20"/>
                <w:color w:val="auto"/>
              </w:rPr>
            </w:pPr>
            <w:r>
              <w:rPr>
                <w:rFonts w:ascii="Arial" w:cs="Arial" w:eastAsia="Arial" w:hAnsi="Arial"/>
                <w:sz w:val="12"/>
                <w:szCs w:val="12"/>
                <w:color w:val="auto"/>
              </w:rPr>
              <w:t>[A]</w:t>
            </w:r>
          </w:p>
        </w:tc>
        <w:tc>
          <w:tcPr>
            <w:tcW w:w="100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18"/>
              <w:spacing w:after="0"/>
              <w:rPr>
                <w:sz w:val="20"/>
                <w:szCs w:val="20"/>
                <w:color w:val="auto"/>
              </w:rPr>
            </w:pPr>
            <w:r>
              <w:rPr>
                <w:rFonts w:ascii="Arial" w:cs="Arial" w:eastAsia="Arial" w:hAnsi="Arial"/>
                <w:sz w:val="12"/>
                <w:szCs w:val="12"/>
                <w:b w:val="1"/>
                <w:bCs w:val="1"/>
                <w:color w:val="auto"/>
              </w:rPr>
              <w:t>[A]</w:t>
            </w:r>
          </w:p>
        </w:tc>
      </w:tr>
      <w:tr>
        <w:trPr>
          <w:trHeight w:val="133"/>
        </w:trPr>
        <w:tc>
          <w:tcPr>
            <w:tcW w:w="3600" w:type="dxa"/>
            <w:vAlign w:val="bottom"/>
          </w:tcPr>
          <w:p>
            <w:pPr>
              <w:spacing w:after="0" w:line="133" w:lineRule="exact"/>
              <w:rPr>
                <w:sz w:val="20"/>
                <w:szCs w:val="20"/>
                <w:color w:val="auto"/>
              </w:rPr>
            </w:pPr>
            <w:r>
              <w:rPr>
                <w:rFonts w:ascii="Arial" w:cs="Arial" w:eastAsia="Arial" w:hAnsi="Arial"/>
                <w:sz w:val="12"/>
                <w:szCs w:val="12"/>
                <w:color w:val="auto"/>
              </w:rPr>
              <w:t>Redemption of share capital</w:t>
            </w:r>
          </w:p>
        </w:tc>
        <w:tc>
          <w:tcPr>
            <w:tcW w:w="120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(5)</w:t>
            </w:r>
          </w:p>
        </w:tc>
        <w:tc>
          <w:tcPr>
            <w:tcW w:w="146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r>
      <w:tr>
        <w:trPr>
          <w:trHeight w:val="139"/>
        </w:trPr>
        <w:tc>
          <w:tcPr>
            <w:tcW w:w="3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2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(21)</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w:t>
            </w:r>
          </w:p>
        </w:tc>
      </w:tr>
      <w:tr>
        <w:trPr>
          <w:trHeight w:val="134"/>
        </w:trPr>
        <w:tc>
          <w:tcPr>
            <w:tcW w:w="360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200" w:type="dxa"/>
            <w:vAlign w:val="bottom"/>
          </w:tcPr>
          <w:p>
            <w:pPr>
              <w:jc w:val="right"/>
              <w:ind w:right="278"/>
              <w:spacing w:after="0" w:line="134" w:lineRule="exact"/>
              <w:rPr>
                <w:sz w:val="20"/>
                <w:szCs w:val="20"/>
                <w:color w:val="auto"/>
              </w:rPr>
            </w:pPr>
            <w:r>
              <w:rPr>
                <w:rFonts w:ascii="Arial" w:cs="Arial" w:eastAsia="Arial" w:hAnsi="Arial"/>
                <w:sz w:val="12"/>
                <w:szCs w:val="12"/>
                <w:color w:val="auto"/>
              </w:rPr>
              <w:t>312</w:t>
            </w:r>
          </w:p>
        </w:tc>
        <w:tc>
          <w:tcPr>
            <w:tcW w:w="100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233</w:t>
            </w:r>
          </w:p>
        </w:tc>
        <w:tc>
          <w:tcPr>
            <w:tcW w:w="1000" w:type="dxa"/>
            <w:vAlign w:val="bottom"/>
          </w:tcPr>
          <w:p>
            <w:pPr>
              <w:jc w:val="right"/>
              <w:ind w:right="178"/>
              <w:spacing w:after="0" w:line="134" w:lineRule="exact"/>
              <w:rPr>
                <w:sz w:val="20"/>
                <w:szCs w:val="20"/>
                <w:color w:val="auto"/>
              </w:rPr>
            </w:pPr>
            <w:r>
              <w:rPr>
                <w:rFonts w:ascii="Arial" w:cs="Arial" w:eastAsia="Arial" w:hAnsi="Arial"/>
                <w:sz w:val="12"/>
                <w:szCs w:val="12"/>
                <w:color w:val="auto"/>
              </w:rPr>
              <w:t>–</w:t>
            </w:r>
          </w:p>
        </w:tc>
        <w:tc>
          <w:tcPr>
            <w:tcW w:w="1460" w:type="dxa"/>
            <w:vAlign w:val="bottom"/>
          </w:tcPr>
          <w:p>
            <w:pPr>
              <w:jc w:val="right"/>
              <w:ind w:right="218"/>
              <w:spacing w:after="0" w:line="134" w:lineRule="exact"/>
              <w:rPr>
                <w:sz w:val="20"/>
                <w:szCs w:val="20"/>
                <w:color w:val="auto"/>
              </w:rPr>
            </w:pPr>
            <w:r>
              <w:rPr>
                <w:rFonts w:ascii="Arial" w:cs="Arial" w:eastAsia="Arial" w:hAnsi="Arial"/>
                <w:sz w:val="12"/>
                <w:szCs w:val="12"/>
                <w:b w:val="1"/>
                <w:bCs w:val="1"/>
                <w:color w:val="auto"/>
              </w:rPr>
              <w:t>[A]</w:t>
            </w:r>
          </w:p>
        </w:tc>
        <w:tc>
          <w:tcPr>
            <w:tcW w:w="860" w:type="dxa"/>
            <w:vAlign w:val="bottom"/>
          </w:tcPr>
          <w:p>
            <w:pPr>
              <w:jc w:val="right"/>
              <w:ind w:right="18"/>
              <w:spacing w:after="0" w:line="134" w:lineRule="exact"/>
              <w:rPr>
                <w:sz w:val="20"/>
                <w:szCs w:val="20"/>
                <w:color w:val="auto"/>
              </w:rPr>
            </w:pPr>
            <w:r>
              <w:rPr>
                <w:rFonts w:ascii="Arial" w:cs="Arial" w:eastAsia="Arial" w:hAnsi="Arial"/>
                <w:sz w:val="12"/>
                <w:szCs w:val="12"/>
                <w:color w:val="auto"/>
              </w:rPr>
              <w:t>545</w:t>
            </w:r>
          </w:p>
        </w:tc>
      </w:tr>
      <w:tr>
        <w:trPr>
          <w:trHeight w:val="139"/>
        </w:trPr>
        <w:tc>
          <w:tcPr>
            <w:tcW w:w="3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20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(9)</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w:t>
            </w:r>
          </w:p>
        </w:tc>
      </w:tr>
      <w:tr>
        <w:trPr>
          <w:trHeight w:val="146"/>
        </w:trPr>
        <w:tc>
          <w:tcPr>
            <w:tcW w:w="3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120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303</w:t>
            </w:r>
          </w:p>
        </w:tc>
        <w:tc>
          <w:tcPr>
            <w:tcW w:w="100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233</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w:t>
            </w:r>
          </w:p>
        </w:tc>
        <w:tc>
          <w:tcPr>
            <w:tcW w:w="146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b w:val="1"/>
                <w:bCs w:val="1"/>
                <w:color w:val="auto"/>
              </w:rPr>
              <w:t>[A]</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536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-904240</wp:posOffset>
            </wp:positionV>
            <wp:extent cx="3408680" cy="60071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08680" cy="600710"/>
                    </a:xfrm>
                    <a:prstGeom prst="rect">
                      <a:avLst/>
                    </a:prstGeom>
                    <a:noFill/>
                  </pic:spPr>
                </pic:pic>
              </a:graphicData>
            </a:graphic>
          </wp:anchor>
        </w:drawing>
      </w:r>
    </w:p>
    <w:p>
      <w:pPr>
        <w:spacing w:after="0" w:line="41" w:lineRule="exact"/>
        <w:rPr>
          <w:sz w:val="20"/>
          <w:szCs w:val="20"/>
          <w:color w:val="auto"/>
        </w:rPr>
      </w:pPr>
    </w:p>
    <w:p>
      <w:pPr>
        <w:spacing w:after="0"/>
        <w:tabs>
          <w:tab w:leader="none" w:pos="340" w:val="left"/>
        </w:tabs>
        <w:rPr>
          <w:sz w:val="20"/>
          <w:szCs w:val="20"/>
          <w:color w:val="auto"/>
        </w:rPr>
      </w:pPr>
      <w:r>
        <w:rPr>
          <w:rFonts w:ascii="Arial" w:cs="Arial" w:eastAsia="Arial" w:hAnsi="Arial"/>
          <w:sz w:val="12"/>
          <w:szCs w:val="12"/>
          <w:color w:val="auto"/>
        </w:rPr>
        <w:t>[A]</w:t>
        <w:tab/>
        <w:t>Less than $1 million.</w:t>
      </w:r>
    </w:p>
    <w:p>
      <w:pPr>
        <w:spacing w:after="0" w:line="89" w:lineRule="exact"/>
        <w:rPr>
          <w:sz w:val="20"/>
          <w:szCs w:val="20"/>
          <w:color w:val="auto"/>
        </w:rPr>
      </w:pPr>
    </w:p>
    <w:p>
      <w:pPr>
        <w:ind w:right="120"/>
        <w:spacing w:after="0" w:line="235" w:lineRule="auto"/>
        <w:rPr>
          <w:sz w:val="20"/>
          <w:szCs w:val="20"/>
          <w:color w:val="auto"/>
        </w:rPr>
      </w:pPr>
      <w:r>
        <w:rPr>
          <w:rFonts w:ascii="Arial" w:cs="Arial" w:eastAsia="Arial" w:hAnsi="Arial"/>
          <w:sz w:val="14"/>
          <w:szCs w:val="14"/>
          <w:color w:val="auto"/>
        </w:rPr>
        <w:t>On January 6, 2006 the Company issued 4,827,974 Class A shares at a nominal value of €0.07 in exchange for loan notes issued to the remaining public shareholders of Royal Dutch on December 21, 2005 as part of the Unification (see Note 1). On March 8, 2006 62,280,114 euro deferred shares were redeemed for €0.01 in total, in accordance with the rights attached to those shares.</w:t>
      </w:r>
    </w:p>
    <w:p>
      <w:pPr>
        <w:spacing w:after="0" w:line="73"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In the period from January 1, 2006 to December 20, 2006 244,672,974 Class A shares were repurchased under the Company’s share buyback programme and cancelled.</w:t>
      </w:r>
    </w:p>
    <w:p>
      <w:pPr>
        <w:spacing w:after="0" w:line="6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In the period from January 2, 2007 to December 19, 2007 112,275,000 Class A shares were repurchased under the Company’s share buyback programme and cancelled.</w:t>
      </w:r>
    </w:p>
    <w:p>
      <w:pPr>
        <w:spacing w:after="0" w:line="68" w:lineRule="exact"/>
        <w:rPr>
          <w:sz w:val="20"/>
          <w:szCs w:val="20"/>
          <w:color w:val="auto"/>
        </w:rPr>
      </w:pPr>
    </w:p>
    <w:p>
      <w:pPr>
        <w:ind w:right="120"/>
        <w:spacing w:after="0" w:line="291" w:lineRule="auto"/>
        <w:rPr>
          <w:sz w:val="20"/>
          <w:szCs w:val="20"/>
          <w:color w:val="auto"/>
        </w:rPr>
      </w:pPr>
      <w:r>
        <w:rPr>
          <w:rFonts w:ascii="Arial" w:cs="Arial" w:eastAsia="Arial" w:hAnsi="Arial"/>
          <w:sz w:val="12"/>
          <w:szCs w:val="12"/>
          <w:color w:val="auto"/>
        </w:rPr>
        <w:t>The Class B shares rank pari passu in all respects with the Class A shares except for the dividend access mechanism described below. Royal Dutch Shell and Shell Transport can procure the termination of the dividend access mechanism at any time. Upon such termination, the Class B shares will form one class with the Class A shares ranking pari passu in all respects and the Class A shares and Class B shares will be known as ordinary shares without further distinction.</w:t>
      </w:r>
    </w:p>
    <w:p>
      <w:pPr>
        <w:spacing w:after="0" w:line="44" w:lineRule="exact"/>
        <w:rPr>
          <w:sz w:val="20"/>
          <w:szCs w:val="20"/>
          <w:color w:val="auto"/>
        </w:rPr>
      </w:pPr>
    </w:p>
    <w:p>
      <w:pPr>
        <w:ind w:right="120"/>
        <w:spacing w:after="0" w:line="291" w:lineRule="auto"/>
        <w:rPr>
          <w:sz w:val="20"/>
          <w:szCs w:val="20"/>
          <w:color w:val="auto"/>
        </w:rPr>
      </w:pPr>
      <w:r>
        <w:rPr>
          <w:rFonts w:ascii="Arial" w:cs="Arial" w:eastAsia="Arial" w:hAnsi="Arial"/>
          <w:sz w:val="12"/>
          <w:szCs w:val="12"/>
          <w:color w:val="auto"/>
        </w:rPr>
        <w:t>The sterling deferred shares are redeemable only at the option of the Company at £1 for all the sterling deferred shares redeemed at any one time, and carry no voting rights. There are no further rights to participate in profits or assets, including the right to receive dividends. Upon winding up or liquidation, the shares carry a right to repayment of paid-up nominal value, ranking ahead of the ordinary shares and Class A and Class B shares, but behind the euro deferred shares.</w:t>
      </w:r>
    </w:p>
    <w:p>
      <w:pPr>
        <w:spacing w:after="0" w:line="44"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For information on the number of shares in the Company held by Shell employee share ownership trusts and in connection with share-based compensation plans, refer to Note 27 of the Consolidated Financial Statements on pages 149-152.</w:t>
      </w:r>
    </w:p>
    <w:p>
      <w:pPr>
        <w:spacing w:after="0" w:line="200" w:lineRule="exact"/>
        <w:rPr>
          <w:sz w:val="20"/>
          <w:szCs w:val="20"/>
          <w:color w:val="auto"/>
        </w:rPr>
      </w:pPr>
    </w:p>
    <w:p>
      <w:pPr>
        <w:sectPr>
          <w:pgSz w:w="11900" w:h="16838" w:orient="portrait"/>
          <w:cols w:equalWidth="0" w:num="2">
            <w:col w:w="1560" w:space="720"/>
            <w:col w:w="9140"/>
          </w:cols>
          <w:pgMar w:left="240" w:top="4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190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52970" cy="209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196" w:name="page197"/>
    <w:bookmarkEnd w:id="196"/>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0066A5"/>
        </w:rPr>
        <w:t>Note 11 continued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ACCESS MECHANISM FOR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-59055</wp:posOffset>
            </wp:positionV>
            <wp:extent cx="17145" cy="504952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145" cy="5049520"/>
                    </a:xfrm>
                    <a:prstGeom prst="rect">
                      <a:avLst/>
                    </a:prstGeom>
                    <a:noFill/>
                  </pic:spPr>
                </pic:pic>
              </a:graphicData>
            </a:graphic>
          </wp:anchor>
        </w:drawing>
        <w:drawing>
          <wp:anchor simplePos="0" relativeHeight="251657728" behindDoc="1" locked="0" layoutInCell="0" allowOverlap="1">
            <wp:simplePos x="0" y="0"/>
            <wp:positionH relativeFrom="column">
              <wp:posOffset>5635625</wp:posOffset>
            </wp:positionH>
            <wp:positionV relativeFrom="paragraph">
              <wp:posOffset>-93345</wp:posOffset>
            </wp:positionV>
            <wp:extent cx="282575" cy="620839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82575" cy="620839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Dividends paid on Class A shares have a Dutch source for tax purposes and are subject to Dutch withholding tax.</w:t>
      </w:r>
    </w:p>
    <w:p>
      <w:pPr>
        <w:spacing w:after="0" w:line="92"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It is the expectation and the intention, although there can be no certainty, that holders of Class B shares will receive dividends via the dividend access mechanism. Any dividends paid on the dividend access share will have a UK source for Dutch and UK tax purposes; there will be no UK or Dutch withholding tax on such dividends and certain holders (not including US holders) of Class B shares or Class B ADRs will be entitled to a UK tax credit in respect of their proportional share of such dividends.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 OF DIVIDEND ACCESS MECHANISM</w:t>
      </w:r>
    </w:p>
    <w:p>
      <w:pPr>
        <w:spacing w:after="0" w:line="100" w:lineRule="exact"/>
        <w:rPr>
          <w:sz w:val="20"/>
          <w:szCs w:val="20"/>
          <w:color w:val="auto"/>
        </w:rPr>
      </w:pPr>
    </w:p>
    <w:p>
      <w:pPr>
        <w:ind w:right="40"/>
        <w:spacing w:after="0" w:line="225" w:lineRule="auto"/>
        <w:rPr>
          <w:sz w:val="20"/>
          <w:szCs w:val="20"/>
          <w:color w:val="auto"/>
        </w:rPr>
      </w:pPr>
      <w:r>
        <w:rPr>
          <w:rFonts w:ascii="Arial" w:cs="Arial" w:eastAsia="Arial" w:hAnsi="Arial"/>
          <w:sz w:val="14"/>
          <w:szCs w:val="14"/>
          <w:color w:val="auto"/>
        </w:rPr>
        <w:t>A dividend access share has been issued by Shell Transport to Lloyds TSB Offshore Trust Company Limited (Lloyds) as dividend access trustee. Pursuant to a declaration of trust, Lloyds will hold any dividends paid in respect of the dividend access share on trust for the holders of Class B shares from time to time and will arrange for prompt disbursement of such dividends to holders of Class B shares. Interest and other income earned on unclaimed dividends will be for the account of Shell Transport and any dividends which are unclaimed after 12 years will revert to Shell Transport. Holders of Class B shares will not have any interest in the dividend access share and will not have any rights against Shell Transport as issuer of the dividend access share. The only assets held on trust for the benefit of the holders of Class B shares will be dividends paid to the dividend access trustee in respect of the dividend access share.</w:t>
      </w:r>
    </w:p>
    <w:p>
      <w:pPr>
        <w:spacing w:after="0" w:line="76" w:lineRule="exact"/>
        <w:rPr>
          <w:sz w:val="20"/>
          <w:szCs w:val="20"/>
          <w:color w:val="auto"/>
        </w:rPr>
      </w:pPr>
    </w:p>
    <w:p>
      <w:pPr>
        <w:jc w:val="both"/>
        <w:ind w:right="80"/>
        <w:spacing w:after="0" w:line="231" w:lineRule="auto"/>
        <w:rPr>
          <w:sz w:val="20"/>
          <w:szCs w:val="20"/>
          <w:color w:val="auto"/>
        </w:rPr>
      </w:pPr>
      <w:r>
        <w:rPr>
          <w:rFonts w:ascii="Arial" w:cs="Arial" w:eastAsia="Arial" w:hAnsi="Arial"/>
          <w:sz w:val="14"/>
          <w:szCs w:val="14"/>
          <w:color w:val="auto"/>
        </w:rPr>
        <w:t>The declaration and payment of dividends on the dividend access share will require board action by Shell Transport and will be subject to any applicable legal or articles limitations in effect from time to time. In no event will the aggregate amount of the dividend paid by Shell Transport under the dividend access mechanism for a particular period exceed the aggregate amount of the dividend declared by the Royal Dutch Shell Board on the Class B shares in respect of the same period.</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OPERATION OF THE DIVIDEND ACCESS MECHANISM</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Following the declaration of a dividend by Royal Dutch Shell on the Class B shares, Shell Transport may declare a dividend on the dividend access share. Shell Transport will not declare a dividend on the dividend access share before Royal Dutch Shell declares a dividend on the Class B shares, as Shell Transport will need to know what dividend Royal Dutch Shell has declared on the Class B shares. This is to ensure that the dividend declared on the dividend access share does not exceed an amount equal to the total dividend declared by Royal Dutch Shell on the Class B shares.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To the extent that a dividend is declared by Shell Transport on the dividend access share and paid to the dividend access trustee, the holders of the Class B shares will be beneficially entitled to receive their share of that dividend pursuant to the declaration of trust (and arrangements will be made to ensure that the dividend is paid in the same currency in which they would have received a dividend from Royal Dutch Shell).</w:t>
      </w:r>
    </w:p>
    <w:p>
      <w:pPr>
        <w:spacing w:after="0" w:line="73" w:lineRule="exact"/>
        <w:rPr>
          <w:sz w:val="20"/>
          <w:szCs w:val="20"/>
          <w:color w:val="auto"/>
        </w:rPr>
      </w:pPr>
    </w:p>
    <w:p>
      <w:pPr>
        <w:ind w:right="60"/>
        <w:spacing w:after="0" w:line="235" w:lineRule="auto"/>
        <w:rPr>
          <w:sz w:val="20"/>
          <w:szCs w:val="20"/>
          <w:color w:val="auto"/>
        </w:rPr>
      </w:pPr>
      <w:r>
        <w:rPr>
          <w:rFonts w:ascii="Arial" w:cs="Arial" w:eastAsia="Arial" w:hAnsi="Arial"/>
          <w:sz w:val="14"/>
          <w:szCs w:val="14"/>
          <w:color w:val="auto"/>
        </w:rPr>
        <w:t>If any amount is paid by Shell Transport by way of a dividend on the dividend access share and paid by the dividend access trustee to any holder of Class B shares, the dividend which Royal Dutch Shell would otherwise pay on the Class B shares will be reduced by an amount equal to the amount paid to such holders of Class B shares by the dividend access trustee.</w:t>
      </w:r>
    </w:p>
    <w:p>
      <w:pPr>
        <w:spacing w:after="0" w:line="73"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Royal Dutch Shell will have a full and unconditional obligation, in the event that the dividend access trustee does not pay an amount to holders of Class B shares on a cash dividend payment date (even if that amount has been paid to the dividend access trustee), to pay immediately the dividend declared on the Class B shares. The right of holders of Class B shares to receive distributions from the dividend access trustee will be reduced by an amount equal to the amount of any payment actually made by Royal Dutch Shell on account of any dividend on Class B shares.</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dividend access mechanism may be suspended or terminated at any time by Royal Dutch Shell’s Directors or the Directors of Shell Transport, for any reason and without financial recompense. This might, for instance, occur in response to changes in relevant tax legislation.</w:t>
      </w:r>
    </w:p>
    <w:p>
      <w:pPr>
        <w:spacing w:after="0" w:line="28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2129155</wp:posOffset>
            </wp:positionV>
            <wp:extent cx="7252970" cy="209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480" w:space="720"/>
            <w:col w:w="8760"/>
          </w:cols>
          <w:pgMar w:left="240" w:top="415" w:right="69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NOTES TO THE PARENT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258445</wp:posOffset>
            </wp:positionV>
            <wp:extent cx="17145" cy="346773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145" cy="346773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12</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RESERVES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3460" w:type="dxa"/>
            <w:vAlign w:val="bottom"/>
            <w:shd w:val="clear" w:color="auto" w:fill="0066A5"/>
          </w:tcPr>
          <w:p>
            <w:pPr>
              <w:spacing w:after="0"/>
              <w:rPr>
                <w:sz w:val="20"/>
                <w:szCs w:val="20"/>
                <w:color w:val="auto"/>
              </w:rPr>
            </w:pPr>
            <w:r>
              <w:rPr>
                <w:rFonts w:ascii="Arial" w:cs="Arial" w:eastAsia="Arial" w:hAnsi="Arial"/>
                <w:sz w:val="12"/>
                <w:szCs w:val="12"/>
                <w:b w:val="1"/>
                <w:bCs w:val="1"/>
                <w:color w:val="FFFFFF"/>
              </w:rPr>
              <w:t>ANALYSIS OF OTHER RESERVES</w:t>
            </w:r>
          </w:p>
        </w:tc>
        <w:tc>
          <w:tcPr>
            <w:tcW w:w="1180" w:type="dxa"/>
            <w:vAlign w:val="bottom"/>
            <w:shd w:val="clear" w:color="auto" w:fill="0066A5"/>
          </w:tcPr>
          <w:p>
            <w:pPr>
              <w:spacing w:after="0"/>
              <w:rPr>
                <w:sz w:val="12"/>
                <w:szCs w:val="12"/>
                <w:color w:val="auto"/>
              </w:rPr>
            </w:pPr>
          </w:p>
        </w:tc>
        <w:tc>
          <w:tcPr>
            <w:tcW w:w="1120" w:type="dxa"/>
            <w:vAlign w:val="bottom"/>
            <w:shd w:val="clear" w:color="auto" w:fill="0066A5"/>
          </w:tcPr>
          <w:p>
            <w:pPr>
              <w:spacing w:after="0"/>
              <w:rPr>
                <w:sz w:val="12"/>
                <w:szCs w:val="12"/>
                <w:color w:val="auto"/>
              </w:rPr>
            </w:pPr>
          </w:p>
        </w:tc>
        <w:tc>
          <w:tcPr>
            <w:tcW w:w="1140" w:type="dxa"/>
            <w:vAlign w:val="bottom"/>
            <w:shd w:val="clear" w:color="auto" w:fill="0066A5"/>
          </w:tcPr>
          <w:p>
            <w:pPr>
              <w:spacing w:after="0"/>
              <w:rPr>
                <w:sz w:val="12"/>
                <w:szCs w:val="12"/>
                <w:color w:val="auto"/>
              </w:rPr>
            </w:pPr>
          </w:p>
        </w:tc>
        <w:tc>
          <w:tcPr>
            <w:tcW w:w="1020" w:type="dxa"/>
            <w:vAlign w:val="bottom"/>
            <w:shd w:val="clear" w:color="auto" w:fill="0066A5"/>
          </w:tcPr>
          <w:p>
            <w:pPr>
              <w:spacing w:after="0"/>
              <w:rPr>
                <w:sz w:val="12"/>
                <w:szCs w:val="12"/>
                <w:color w:val="auto"/>
              </w:rPr>
            </w:pPr>
          </w:p>
        </w:tc>
        <w:tc>
          <w:tcPr>
            <w:tcW w:w="840" w:type="dxa"/>
            <w:vAlign w:val="bottom"/>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r>
      <w:tr>
        <w:trPr>
          <w:trHeight w:val="127"/>
        </w:trPr>
        <w:tc>
          <w:tcPr>
            <w:tcW w:w="346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Share</w:t>
            </w:r>
          </w:p>
        </w:tc>
        <w:tc>
          <w:tcPr>
            <w:tcW w:w="1120" w:type="dxa"/>
            <w:vAlign w:val="bottom"/>
            <w:shd w:val="clear" w:color="auto" w:fill="CECAC6"/>
          </w:tcPr>
          <w:p>
            <w:pPr>
              <w:jc w:val="right"/>
              <w:ind w:right="198"/>
              <w:spacing w:after="0" w:line="128" w:lineRule="exact"/>
              <w:rPr>
                <w:sz w:val="20"/>
                <w:szCs w:val="20"/>
                <w:color w:val="auto"/>
              </w:rPr>
            </w:pPr>
            <w:r>
              <w:rPr>
                <w:rFonts w:ascii="Arial" w:cs="Arial" w:eastAsia="Arial" w:hAnsi="Arial"/>
                <w:sz w:val="12"/>
                <w:szCs w:val="12"/>
                <w:color w:val="auto"/>
              </w:rPr>
              <w:t>Capital</w:t>
            </w:r>
          </w:p>
        </w:tc>
        <w:tc>
          <w:tcPr>
            <w:tcW w:w="1140" w:type="dxa"/>
            <w:vAlign w:val="bottom"/>
            <w:shd w:val="clear" w:color="auto" w:fill="CECAC6"/>
          </w:tcPr>
          <w:p>
            <w:pPr>
              <w:spacing w:after="0"/>
              <w:rPr>
                <w:sz w:val="11"/>
                <w:szCs w:val="11"/>
                <w:color w:val="auto"/>
              </w:rPr>
            </w:pPr>
          </w:p>
        </w:tc>
        <w:tc>
          <w:tcPr>
            <w:tcW w:w="1020" w:type="dxa"/>
            <w:vAlign w:val="bottom"/>
            <w:shd w:val="clear" w:color="auto" w:fill="CECAC6"/>
          </w:tcPr>
          <w:p>
            <w:pPr>
              <w:spacing w:after="0"/>
              <w:rPr>
                <w:sz w:val="11"/>
                <w:szCs w:val="11"/>
                <w:color w:val="auto"/>
              </w:rPr>
            </w:pPr>
          </w:p>
        </w:tc>
        <w:tc>
          <w:tcPr>
            <w:tcW w:w="840" w:type="dxa"/>
            <w:vAlign w:val="bottom"/>
            <w:shd w:val="clear" w:color="auto" w:fill="CECAC6"/>
          </w:tcPr>
          <w:p>
            <w:pPr>
              <w:spacing w:after="0"/>
              <w:rPr>
                <w:sz w:val="11"/>
                <w:szCs w:val="11"/>
                <w:color w:val="auto"/>
              </w:rPr>
            </w:pPr>
          </w:p>
        </w:tc>
      </w:tr>
      <w:tr>
        <w:trPr>
          <w:trHeight w:val="133"/>
        </w:trPr>
        <w:tc>
          <w:tcPr>
            <w:tcW w:w="3460" w:type="dxa"/>
            <w:vAlign w:val="bottom"/>
            <w:shd w:val="clear" w:color="auto" w:fill="CECAC6"/>
          </w:tcPr>
          <w:p>
            <w:pPr>
              <w:spacing w:after="0"/>
              <w:rPr>
                <w:sz w:val="11"/>
                <w:szCs w:val="11"/>
                <w:color w:val="auto"/>
              </w:rPr>
            </w:pPr>
          </w:p>
        </w:tc>
        <w:tc>
          <w:tcPr>
            <w:tcW w:w="118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premium</w:t>
            </w:r>
          </w:p>
        </w:tc>
        <w:tc>
          <w:tcPr>
            <w:tcW w:w="112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redemption</w:t>
            </w:r>
          </w:p>
        </w:tc>
        <w:tc>
          <w:tcPr>
            <w:tcW w:w="114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Share plan</w:t>
            </w:r>
          </w:p>
        </w:tc>
        <w:tc>
          <w:tcPr>
            <w:tcW w:w="1020" w:type="dxa"/>
            <w:vAlign w:val="bottom"/>
            <w:shd w:val="clear" w:color="auto" w:fill="CECAC6"/>
          </w:tcPr>
          <w:p>
            <w:pPr>
              <w:jc w:val="right"/>
              <w:ind w:right="218"/>
              <w:spacing w:after="0" w:line="133" w:lineRule="exact"/>
              <w:rPr>
                <w:sz w:val="20"/>
                <w:szCs w:val="20"/>
                <w:color w:val="auto"/>
              </w:rPr>
            </w:pPr>
            <w:r>
              <w:rPr>
                <w:rFonts w:ascii="Arial" w:cs="Arial" w:eastAsia="Arial" w:hAnsi="Arial"/>
                <w:sz w:val="12"/>
                <w:szCs w:val="12"/>
                <w:color w:val="auto"/>
              </w:rPr>
              <w:t>Other</w:t>
            </w:r>
          </w:p>
        </w:tc>
        <w:tc>
          <w:tcPr>
            <w:tcW w:w="840" w:type="dxa"/>
            <w:vAlign w:val="bottom"/>
            <w:shd w:val="clear" w:color="auto" w:fill="CECAC6"/>
          </w:tcPr>
          <w:p>
            <w:pPr>
              <w:spacing w:after="0"/>
              <w:rPr>
                <w:sz w:val="11"/>
                <w:szCs w:val="11"/>
                <w:color w:val="auto"/>
              </w:rPr>
            </w:pPr>
          </w:p>
        </w:tc>
      </w:tr>
      <w:tr>
        <w:trPr>
          <w:trHeight w:val="139"/>
        </w:trPr>
        <w:tc>
          <w:tcPr>
            <w:tcW w:w="3460" w:type="dxa"/>
            <w:vAlign w:val="bottom"/>
            <w:shd w:val="clear" w:color="auto" w:fill="CECAC6"/>
          </w:tcPr>
          <w:p>
            <w:pPr>
              <w:spacing w:after="0"/>
              <w:rPr>
                <w:sz w:val="12"/>
                <w:szCs w:val="12"/>
                <w:color w:val="auto"/>
              </w:rPr>
            </w:pPr>
          </w:p>
        </w:tc>
        <w:tc>
          <w:tcPr>
            <w:tcW w:w="118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reserve</w:t>
            </w:r>
          </w:p>
        </w:tc>
        <w:tc>
          <w:tcPr>
            <w:tcW w:w="1120" w:type="dxa"/>
            <w:vAlign w:val="bottom"/>
            <w:shd w:val="clear" w:color="auto" w:fill="CECAC6"/>
          </w:tcPr>
          <w:p>
            <w:pPr>
              <w:jc w:val="right"/>
              <w:ind w:right="198"/>
              <w:spacing w:after="0"/>
              <w:rPr>
                <w:sz w:val="20"/>
                <w:szCs w:val="20"/>
                <w:color w:val="auto"/>
              </w:rPr>
            </w:pPr>
            <w:r>
              <w:rPr>
                <w:rFonts w:ascii="Arial" w:cs="Arial" w:eastAsia="Arial" w:hAnsi="Arial"/>
                <w:sz w:val="12"/>
                <w:szCs w:val="12"/>
                <w:color w:val="auto"/>
              </w:rPr>
              <w:t>reserve</w:t>
            </w:r>
          </w:p>
        </w:tc>
        <w:tc>
          <w:tcPr>
            <w:tcW w:w="114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reserve</w:t>
            </w:r>
          </w:p>
        </w:tc>
        <w:tc>
          <w:tcPr>
            <w:tcW w:w="1020" w:type="dxa"/>
            <w:vAlign w:val="bottom"/>
            <w:shd w:val="clear" w:color="auto" w:fill="CECAC6"/>
          </w:tcPr>
          <w:p>
            <w:pPr>
              <w:jc w:val="right"/>
              <w:ind w:right="218"/>
              <w:spacing w:after="0"/>
              <w:rPr>
                <w:sz w:val="20"/>
                <w:szCs w:val="20"/>
                <w:color w:val="auto"/>
              </w:rPr>
            </w:pPr>
            <w:r>
              <w:rPr>
                <w:rFonts w:ascii="Arial" w:cs="Arial" w:eastAsia="Arial" w:hAnsi="Arial"/>
                <w:sz w:val="12"/>
                <w:szCs w:val="12"/>
                <w:color w:val="auto"/>
              </w:rPr>
              <w:t>reserve</w:t>
            </w:r>
          </w:p>
        </w:tc>
        <w:tc>
          <w:tcPr>
            <w:tcW w:w="84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Total</w:t>
            </w:r>
          </w:p>
        </w:tc>
      </w:tr>
      <w:tr>
        <w:trPr>
          <w:trHeight w:val="127"/>
        </w:trPr>
        <w:tc>
          <w:tcPr>
            <w:tcW w:w="3460" w:type="dxa"/>
            <w:vAlign w:val="bottom"/>
          </w:tcPr>
          <w:p>
            <w:pPr>
              <w:spacing w:after="0" w:line="128" w:lineRule="exact"/>
              <w:rPr>
                <w:sz w:val="20"/>
                <w:szCs w:val="20"/>
                <w:color w:val="auto"/>
              </w:rPr>
            </w:pPr>
            <w:r>
              <w:rPr>
                <w:rFonts w:ascii="Arial" w:cs="Arial" w:eastAsia="Arial" w:hAnsi="Arial"/>
                <w:sz w:val="12"/>
                <w:szCs w:val="12"/>
                <w:b w:val="1"/>
                <w:bCs w:val="1"/>
                <w:color w:val="auto"/>
              </w:rPr>
              <w:t>At January 1, 2006</w:t>
            </w:r>
          </w:p>
        </w:tc>
        <w:tc>
          <w:tcPr>
            <w:tcW w:w="118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28" w:lineRule="exact"/>
              <w:rPr>
                <w:sz w:val="20"/>
                <w:szCs w:val="20"/>
                <w:color w:val="auto"/>
              </w:rPr>
            </w:pPr>
            <w:r>
              <w:rPr>
                <w:rFonts w:ascii="Arial" w:cs="Arial" w:eastAsia="Arial" w:hAnsi="Arial"/>
                <w:sz w:val="12"/>
                <w:szCs w:val="12"/>
                <w:color w:val="auto"/>
              </w:rPr>
              <w:t>13</w:t>
            </w:r>
          </w:p>
        </w:tc>
        <w:tc>
          <w:tcPr>
            <w:tcW w:w="114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30</w:t>
            </w:r>
          </w:p>
        </w:tc>
        <w:tc>
          <w:tcPr>
            <w:tcW w:w="1020" w:type="dxa"/>
            <w:vAlign w:val="bottom"/>
          </w:tcPr>
          <w:p>
            <w:pPr>
              <w:jc w:val="right"/>
              <w:ind w:right="218"/>
              <w:spacing w:after="0" w:line="128" w:lineRule="exact"/>
              <w:rPr>
                <w:sz w:val="20"/>
                <w:szCs w:val="20"/>
                <w:color w:val="auto"/>
              </w:rPr>
            </w:pPr>
            <w:r>
              <w:rPr>
                <w:rFonts w:ascii="Arial" w:cs="Arial" w:eastAsia="Arial" w:hAnsi="Arial"/>
                <w:sz w:val="12"/>
                <w:szCs w:val="12"/>
                <w:color w:val="auto"/>
              </w:rPr>
              <w:t>200,377</w:t>
            </w:r>
          </w:p>
        </w:tc>
        <w:tc>
          <w:tcPr>
            <w:tcW w:w="8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200,420</w:t>
            </w:r>
          </w:p>
        </w:tc>
      </w:tr>
      <w:tr>
        <w:trPr>
          <w:trHeight w:val="133"/>
        </w:trPr>
        <w:tc>
          <w:tcPr>
            <w:tcW w:w="3460" w:type="dxa"/>
            <w:vAlign w:val="bottom"/>
          </w:tcPr>
          <w:p>
            <w:pPr>
              <w:spacing w:after="0" w:line="133" w:lineRule="exact"/>
              <w:rPr>
                <w:sz w:val="20"/>
                <w:szCs w:val="20"/>
                <w:color w:val="auto"/>
              </w:rPr>
            </w:pPr>
            <w:r>
              <w:rPr>
                <w:rFonts w:ascii="Arial" w:cs="Arial" w:eastAsia="Arial" w:hAnsi="Arial"/>
                <w:sz w:val="12"/>
                <w:szCs w:val="12"/>
                <w:color w:val="auto"/>
              </w:rPr>
              <w:t>Issue of share capital</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154</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154</w:t>
            </w:r>
          </w:p>
        </w:tc>
      </w:tr>
      <w:tr>
        <w:trPr>
          <w:trHeight w:val="133"/>
        </w:trPr>
        <w:tc>
          <w:tcPr>
            <w:tcW w:w="3460" w:type="dxa"/>
            <w:vAlign w:val="bottom"/>
          </w:tcPr>
          <w:p>
            <w:pPr>
              <w:spacing w:after="0" w:line="133" w:lineRule="exact"/>
              <w:rPr>
                <w:sz w:val="20"/>
                <w:szCs w:val="20"/>
                <w:color w:val="auto"/>
              </w:rPr>
            </w:pPr>
            <w:r>
              <w:rPr>
                <w:rFonts w:ascii="Arial" w:cs="Arial" w:eastAsia="Arial" w:hAnsi="Arial"/>
                <w:sz w:val="12"/>
                <w:szCs w:val="12"/>
                <w:color w:val="auto"/>
              </w:rPr>
              <w:t>Share-based compensation</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224</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224</w:t>
            </w:r>
          </w:p>
        </w:tc>
      </w:tr>
      <w:tr>
        <w:trPr>
          <w:trHeight w:val="133"/>
        </w:trPr>
        <w:tc>
          <w:tcPr>
            <w:tcW w:w="3460" w:type="dxa"/>
            <w:vAlign w:val="bottom"/>
          </w:tcPr>
          <w:p>
            <w:pPr>
              <w:spacing w:after="0" w:line="133" w:lineRule="exact"/>
              <w:rPr>
                <w:sz w:val="20"/>
                <w:szCs w:val="20"/>
                <w:color w:val="auto"/>
              </w:rPr>
            </w:pPr>
            <w:r>
              <w:rPr>
                <w:rFonts w:ascii="Arial" w:cs="Arial" w:eastAsia="Arial" w:hAnsi="Arial"/>
                <w:sz w:val="12"/>
                <w:szCs w:val="12"/>
                <w:color w:val="auto"/>
              </w:rPr>
              <w:t>Redemption of share capital</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5</w:t>
            </w:r>
          </w:p>
        </w:tc>
        <w:tc>
          <w:tcPr>
            <w:tcW w:w="11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5</w:t>
            </w:r>
          </w:p>
        </w:tc>
      </w:tr>
      <w:tr>
        <w:trPr>
          <w:trHeight w:val="139"/>
        </w:trPr>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21</w:t>
            </w: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21</w:t>
            </w:r>
          </w:p>
        </w:tc>
      </w:tr>
      <w:tr>
        <w:trPr>
          <w:trHeight w:val="134"/>
        </w:trPr>
        <w:tc>
          <w:tcPr>
            <w:tcW w:w="3460" w:type="dxa"/>
            <w:vAlign w:val="bottom"/>
          </w:tcPr>
          <w:p>
            <w:pPr>
              <w:spacing w:after="0" w:line="134" w:lineRule="exact"/>
              <w:rPr>
                <w:sz w:val="20"/>
                <w:szCs w:val="20"/>
                <w:color w:val="auto"/>
              </w:rPr>
            </w:pPr>
            <w:r>
              <w:rPr>
                <w:rFonts w:ascii="Arial" w:cs="Arial" w:eastAsia="Arial" w:hAnsi="Arial"/>
                <w:sz w:val="12"/>
                <w:szCs w:val="12"/>
                <w:b w:val="1"/>
                <w:bCs w:val="1"/>
                <w:color w:val="auto"/>
              </w:rPr>
              <w:t>At December 31, 2006</w:t>
            </w:r>
          </w:p>
        </w:tc>
        <w:tc>
          <w:tcPr>
            <w:tcW w:w="118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154</w:t>
            </w:r>
          </w:p>
        </w:tc>
        <w:tc>
          <w:tcPr>
            <w:tcW w:w="1120" w:type="dxa"/>
            <w:vAlign w:val="bottom"/>
          </w:tcPr>
          <w:p>
            <w:pPr>
              <w:jc w:val="right"/>
              <w:ind w:right="198"/>
              <w:spacing w:after="0" w:line="134" w:lineRule="exact"/>
              <w:rPr>
                <w:sz w:val="20"/>
                <w:szCs w:val="20"/>
                <w:color w:val="auto"/>
              </w:rPr>
            </w:pPr>
            <w:r>
              <w:rPr>
                <w:rFonts w:ascii="Arial" w:cs="Arial" w:eastAsia="Arial" w:hAnsi="Arial"/>
                <w:sz w:val="12"/>
                <w:szCs w:val="12"/>
                <w:color w:val="auto"/>
              </w:rPr>
              <w:t>39</w:t>
            </w:r>
          </w:p>
        </w:tc>
        <w:tc>
          <w:tcPr>
            <w:tcW w:w="1140" w:type="dxa"/>
            <w:vAlign w:val="bottom"/>
          </w:tcPr>
          <w:p>
            <w:pPr>
              <w:jc w:val="right"/>
              <w:ind w:right="238"/>
              <w:spacing w:after="0" w:line="134" w:lineRule="exact"/>
              <w:rPr>
                <w:sz w:val="20"/>
                <w:szCs w:val="20"/>
                <w:color w:val="auto"/>
              </w:rPr>
            </w:pPr>
            <w:r>
              <w:rPr>
                <w:rFonts w:ascii="Arial" w:cs="Arial" w:eastAsia="Arial" w:hAnsi="Arial"/>
                <w:sz w:val="12"/>
                <w:szCs w:val="12"/>
                <w:color w:val="auto"/>
              </w:rPr>
              <w:t>254</w:t>
            </w:r>
          </w:p>
        </w:tc>
        <w:tc>
          <w:tcPr>
            <w:tcW w:w="1020" w:type="dxa"/>
            <w:vAlign w:val="bottom"/>
          </w:tcPr>
          <w:p>
            <w:pPr>
              <w:jc w:val="right"/>
              <w:ind w:right="218"/>
              <w:spacing w:after="0" w:line="134" w:lineRule="exact"/>
              <w:rPr>
                <w:sz w:val="20"/>
                <w:szCs w:val="20"/>
                <w:color w:val="auto"/>
              </w:rPr>
            </w:pPr>
            <w:r>
              <w:rPr>
                <w:rFonts w:ascii="Arial" w:cs="Arial" w:eastAsia="Arial" w:hAnsi="Arial"/>
                <w:sz w:val="12"/>
                <w:szCs w:val="12"/>
                <w:color w:val="auto"/>
              </w:rPr>
              <w:t>200,377</w:t>
            </w:r>
          </w:p>
        </w:tc>
        <w:tc>
          <w:tcPr>
            <w:tcW w:w="840" w:type="dxa"/>
            <w:vAlign w:val="bottom"/>
          </w:tcPr>
          <w:p>
            <w:pPr>
              <w:jc w:val="right"/>
              <w:ind w:right="18"/>
              <w:spacing w:after="0" w:line="134" w:lineRule="exact"/>
              <w:rPr>
                <w:sz w:val="20"/>
                <w:szCs w:val="20"/>
                <w:color w:val="auto"/>
              </w:rPr>
            </w:pPr>
            <w:r>
              <w:rPr>
                <w:rFonts w:ascii="Arial" w:cs="Arial" w:eastAsia="Arial" w:hAnsi="Arial"/>
                <w:sz w:val="12"/>
                <w:szCs w:val="12"/>
                <w:color w:val="auto"/>
              </w:rPr>
              <w:t>200,824</w:t>
            </w:r>
          </w:p>
        </w:tc>
      </w:tr>
      <w:tr>
        <w:trPr>
          <w:trHeight w:val="133"/>
        </w:trPr>
        <w:tc>
          <w:tcPr>
            <w:tcW w:w="3460" w:type="dxa"/>
            <w:vAlign w:val="bottom"/>
          </w:tcPr>
          <w:p>
            <w:pPr>
              <w:spacing w:after="0" w:line="133" w:lineRule="exact"/>
              <w:rPr>
                <w:sz w:val="20"/>
                <w:szCs w:val="20"/>
                <w:color w:val="auto"/>
              </w:rPr>
            </w:pPr>
            <w:r>
              <w:rPr>
                <w:rFonts w:ascii="Arial" w:cs="Arial" w:eastAsia="Arial" w:hAnsi="Arial"/>
                <w:sz w:val="12"/>
                <w:szCs w:val="12"/>
                <w:color w:val="auto"/>
              </w:rPr>
              <w:t>Share-based compensation</w:t>
            </w:r>
          </w:p>
        </w:tc>
        <w:tc>
          <w:tcPr>
            <w:tcW w:w="118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2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w:t>
            </w:r>
          </w:p>
        </w:tc>
        <w:tc>
          <w:tcPr>
            <w:tcW w:w="114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347</w:t>
            </w:r>
          </w:p>
        </w:tc>
        <w:tc>
          <w:tcPr>
            <w:tcW w:w="1020" w:type="dxa"/>
            <w:vAlign w:val="bottom"/>
          </w:tcPr>
          <w:p>
            <w:pPr>
              <w:jc w:val="right"/>
              <w:ind w:right="21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347</w:t>
            </w:r>
          </w:p>
        </w:tc>
      </w:tr>
      <w:tr>
        <w:trPr>
          <w:trHeight w:val="139"/>
        </w:trPr>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Shares repurchased for cancellation</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9</w:t>
            </w: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w:t>
            </w:r>
          </w:p>
        </w:tc>
      </w:tr>
      <w:tr>
        <w:trPr>
          <w:trHeight w:val="146"/>
        </w:trPr>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At December 31, 2007</w:t>
            </w:r>
          </w:p>
        </w:tc>
        <w:tc>
          <w:tcPr>
            <w:tcW w:w="118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154</w:t>
            </w:r>
          </w:p>
        </w:tc>
        <w:tc>
          <w:tcPr>
            <w:tcW w:w="112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48</w:t>
            </w:r>
          </w:p>
        </w:tc>
        <w:tc>
          <w:tcPr>
            <w:tcW w:w="114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601</w:t>
            </w:r>
          </w:p>
        </w:tc>
        <w:tc>
          <w:tcPr>
            <w:tcW w:w="102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200,377</w:t>
            </w: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201,180</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PREMIUM RESERVE</w:t>
      </w:r>
    </w:p>
    <w:p>
      <w:pPr>
        <w:spacing w:after="0" w:line="28"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auto"/>
        </w:rPr>
        <w:t>On January 6, 2006 the loan notes were converted into 4,827,974 Class A shares. The difference between the value of the loan notes and the value of the new shares issued was credited to the share premium reserve.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REDEMPTION RESERVE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As required by the Companies Act 1985, the equivalent of the nominal value of shares cancelled is transferred to a capital redemption reserve.</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PLAN RESERVE</w:t>
      </w:r>
    </w:p>
    <w:p>
      <w:pPr>
        <w:spacing w:after="0" w:line="19" w:lineRule="exact"/>
        <w:rPr>
          <w:sz w:val="20"/>
          <w:szCs w:val="20"/>
          <w:color w:val="auto"/>
        </w:rPr>
      </w:pPr>
    </w:p>
    <w:p>
      <w:pPr>
        <w:spacing w:after="0" w:line="234" w:lineRule="auto"/>
        <w:rPr>
          <w:sz w:val="20"/>
          <w:szCs w:val="20"/>
          <w:color w:val="auto"/>
        </w:rPr>
      </w:pPr>
      <w:r>
        <w:rPr>
          <w:rFonts w:ascii="Arial" w:cs="Arial" w:eastAsia="Arial" w:hAnsi="Arial"/>
          <w:sz w:val="14"/>
          <w:szCs w:val="14"/>
          <w:color w:val="auto"/>
        </w:rPr>
        <w:t>Share plan reserve represents the fair value of share-based compensation granted to employees under the Company’s equity settled schemes which is to be charged to the relevant employing subsidiary with a corresponding increase shown in equity.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RESERVE</w:t>
      </w:r>
    </w:p>
    <w:p>
      <w:pPr>
        <w:spacing w:after="0" w:line="28" w:lineRule="exact"/>
        <w:rPr>
          <w:sz w:val="20"/>
          <w:szCs w:val="20"/>
          <w:color w:val="auto"/>
        </w:rPr>
      </w:pPr>
    </w:p>
    <w:p>
      <w:pPr>
        <w:ind w:right="80"/>
        <w:spacing w:after="0" w:line="273" w:lineRule="auto"/>
        <w:rPr>
          <w:sz w:val="20"/>
          <w:szCs w:val="20"/>
          <w:color w:val="auto"/>
        </w:rPr>
      </w:pPr>
      <w:r>
        <w:rPr>
          <w:rFonts w:ascii="Arial" w:cs="Arial" w:eastAsia="Arial" w:hAnsi="Arial"/>
          <w:sz w:val="13"/>
          <w:szCs w:val="13"/>
          <w:color w:val="auto"/>
        </w:rPr>
        <w:t>The other reserve was created as a result of the Unification and represents the difference between the cost of the investment in Shell Transport and Royal Dutch and the nominal value of shares issued in exchange for those investments as required by section 131 of the Companies Act 1985.</w:t>
      </w:r>
    </w:p>
    <w:p>
      <w:pPr>
        <w:spacing w:after="0" w:line="200" w:lineRule="exact"/>
        <w:rPr>
          <w:sz w:val="20"/>
          <w:szCs w:val="20"/>
          <w:color w:val="auto"/>
        </w:rPr>
      </w:pPr>
    </w:p>
    <w:p>
      <w:pPr>
        <w:sectPr>
          <w:pgSz w:w="11900" w:h="16838" w:orient="portrait"/>
          <w:cols w:equalWidth="0" w:num="2">
            <w:col w:w="1480" w:space="720"/>
            <w:col w:w="8760"/>
          </w:cols>
          <w:pgMar w:left="240" w:top="41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Arial" w:cs="Arial" w:eastAsia="Arial" w:hAnsi="Arial"/>
                <w:sz w:val="14"/>
                <w:szCs w:val="14"/>
                <w:b w:val="1"/>
                <w:bCs w:val="1"/>
                <w:color w:val="0066A5"/>
              </w:rPr>
              <w:t>13</w:t>
            </w:r>
          </w:p>
        </w:tc>
        <w:tc>
          <w:tcPr>
            <w:tcW w:w="310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20"/>
                <w:szCs w:val="20"/>
                <w:color w:val="auto"/>
              </w:rPr>
            </w:pPr>
            <w:r>
              <w:rPr>
                <w:rFonts w:ascii="Arial" w:cs="Arial" w:eastAsia="Arial" w:hAnsi="Arial"/>
                <w:sz w:val="14"/>
                <w:szCs w:val="14"/>
                <w:b w:val="1"/>
                <w:bCs w:val="1"/>
                <w:color w:val="auto"/>
              </w:rPr>
              <w:t>DIVIDENDS</w:t>
            </w:r>
          </w:p>
        </w:tc>
        <w:tc>
          <w:tcPr>
            <w:tcW w:w="3100" w:type="dxa"/>
            <w:vAlign w:val="bottom"/>
            <w:vMerge w:val="restart"/>
            <w:shd w:val="clear" w:color="auto" w:fill="0066A5"/>
          </w:tcPr>
          <w:p>
            <w:pPr>
              <w:spacing w:after="0"/>
              <w:rPr>
                <w:sz w:val="20"/>
                <w:szCs w:val="20"/>
                <w:color w:val="auto"/>
              </w:rPr>
            </w:pPr>
            <w:r>
              <w:rPr>
                <w:rFonts w:ascii="Arial" w:cs="Arial" w:eastAsia="Arial" w:hAnsi="Arial"/>
                <w:sz w:val="12"/>
                <w:szCs w:val="12"/>
                <w:b w:val="1"/>
                <w:bCs w:val="1"/>
                <w:color w:val="FFFFFF"/>
              </w:rPr>
              <w:t>DIVIDENDS PAID</w:t>
            </w:r>
          </w:p>
        </w:tc>
        <w:tc>
          <w:tcPr>
            <w:tcW w:w="3420" w:type="dxa"/>
            <w:vAlign w:val="bottom"/>
            <w:shd w:val="clear" w:color="auto" w:fill="0066A5"/>
          </w:tcPr>
          <w:p>
            <w:pPr>
              <w:spacing w:after="0"/>
              <w:rPr>
                <w:sz w:val="17"/>
                <w:szCs w:val="17"/>
                <w:color w:val="auto"/>
              </w:rPr>
            </w:pPr>
          </w:p>
        </w:tc>
        <w:tc>
          <w:tcPr>
            <w:tcW w:w="2240" w:type="dxa"/>
            <w:vAlign w:val="bottom"/>
            <w:vMerge w:val="restart"/>
            <w:shd w:val="clear" w:color="auto" w:fill="0066A5"/>
          </w:tcPr>
          <w:p>
            <w:pPr>
              <w:jc w:val="right"/>
              <w:ind w:right="18"/>
              <w:spacing w:after="0"/>
              <w:rPr>
                <w:sz w:val="20"/>
                <w:szCs w:val="20"/>
                <w:color w:val="auto"/>
              </w:rPr>
            </w:pPr>
            <w:r>
              <w:rPr>
                <w:rFonts w:ascii="Arial" w:cs="Arial" w:eastAsia="Arial" w:hAnsi="Arial"/>
                <w:sz w:val="12"/>
                <w:szCs w:val="12"/>
                <w:b w:val="1"/>
                <w:bCs w:val="1"/>
                <w:color w:val="FFFFFF"/>
              </w:rPr>
              <w:t>$ million</w:t>
            </w:r>
          </w:p>
        </w:tc>
        <w:tc>
          <w:tcPr>
            <w:tcW w:w="0" w:type="dxa"/>
            <w:vAlign w:val="bottom"/>
          </w:tcPr>
          <w:p>
            <w:pPr>
              <w:spacing w:after="0"/>
              <w:rPr>
                <w:sz w:val="1"/>
                <w:szCs w:val="1"/>
                <w:color w:val="auto"/>
              </w:rPr>
            </w:pPr>
          </w:p>
        </w:tc>
      </w:tr>
      <w:tr>
        <w:trPr>
          <w:trHeight w:val="65"/>
        </w:trPr>
        <w:tc>
          <w:tcPr>
            <w:tcW w:w="2200" w:type="dxa"/>
            <w:vAlign w:val="bottom"/>
          </w:tcPr>
          <w:p>
            <w:pPr>
              <w:spacing w:after="0"/>
              <w:rPr>
                <w:sz w:val="5"/>
                <w:szCs w:val="5"/>
                <w:color w:val="auto"/>
              </w:rPr>
            </w:pPr>
          </w:p>
        </w:tc>
        <w:tc>
          <w:tcPr>
            <w:tcW w:w="3100" w:type="dxa"/>
            <w:vAlign w:val="bottom"/>
            <w:vMerge w:val="continue"/>
            <w:shd w:val="clear" w:color="auto" w:fill="0066A5"/>
          </w:tcPr>
          <w:p>
            <w:pPr>
              <w:spacing w:after="0"/>
              <w:rPr>
                <w:sz w:val="5"/>
                <w:szCs w:val="5"/>
                <w:color w:val="auto"/>
              </w:rPr>
            </w:pPr>
          </w:p>
        </w:tc>
        <w:tc>
          <w:tcPr>
            <w:tcW w:w="3420" w:type="dxa"/>
            <w:vAlign w:val="bottom"/>
            <w:shd w:val="clear" w:color="auto" w:fill="0066A5"/>
          </w:tcPr>
          <w:p>
            <w:pPr>
              <w:spacing w:after="0"/>
              <w:rPr>
                <w:sz w:val="5"/>
                <w:szCs w:val="5"/>
                <w:color w:val="auto"/>
              </w:rPr>
            </w:pPr>
          </w:p>
        </w:tc>
        <w:tc>
          <w:tcPr>
            <w:tcW w:w="2240" w:type="dxa"/>
            <w:vAlign w:val="bottom"/>
            <w:vMerge w:val="continue"/>
            <w:shd w:val="clear" w:color="auto" w:fill="0066A5"/>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3100" w:type="dxa"/>
            <w:vAlign w:val="bottom"/>
          </w:tcPr>
          <w:p>
            <w:pPr>
              <w:spacing w:after="0" w:line="128" w:lineRule="exact"/>
              <w:rPr>
                <w:sz w:val="20"/>
                <w:szCs w:val="20"/>
                <w:color w:val="auto"/>
              </w:rPr>
            </w:pPr>
            <w:r>
              <w:rPr>
                <w:rFonts w:ascii="Arial" w:cs="Arial" w:eastAsia="Arial" w:hAnsi="Arial"/>
                <w:sz w:val="12"/>
                <w:szCs w:val="12"/>
                <w:color w:val="auto"/>
              </w:rPr>
              <w:t>Interim paid on March 15, 2006:</w:t>
            </w:r>
          </w:p>
        </w:tc>
        <w:tc>
          <w:tcPr>
            <w:tcW w:w="3420" w:type="dxa"/>
            <w:vAlign w:val="bottom"/>
          </w:tcPr>
          <w:p>
            <w:pPr>
              <w:ind w:left="260"/>
              <w:spacing w:after="0" w:line="128" w:lineRule="exact"/>
              <w:rPr>
                <w:sz w:val="20"/>
                <w:szCs w:val="20"/>
                <w:color w:val="auto"/>
              </w:rPr>
            </w:pPr>
            <w:r>
              <w:rPr>
                <w:rFonts w:ascii="Arial" w:cs="Arial" w:eastAsia="Arial" w:hAnsi="Arial"/>
                <w:sz w:val="12"/>
                <w:szCs w:val="12"/>
                <w:color w:val="auto"/>
              </w:rPr>
              <w:t>$0.28 per Class A share</w:t>
            </w:r>
            <w:r>
              <w:rPr>
                <w:rFonts w:ascii="Arial" w:cs="Arial" w:eastAsia="Arial" w:hAnsi="Arial"/>
                <w:sz w:val="10"/>
                <w:szCs w:val="10"/>
                <w:color w:val="auto"/>
              </w:rPr>
              <w:t>[A]</w:t>
            </w:r>
          </w:p>
        </w:tc>
        <w:tc>
          <w:tcPr>
            <w:tcW w:w="224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1,085</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March 15,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$0.28 per Class B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755</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June 14,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$0.315 per Class A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1,220</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June 14,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$0.315 per Class B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September 13,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$0.315 per Class A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September 13,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$0.315 per Class B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882</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December 13, 2006:</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$0.315 per Class A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1,221</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Interim paid on December 13, 2006:</w:t>
            </w:r>
          </w:p>
        </w:tc>
        <w:tc>
          <w:tcPr>
            <w:tcW w:w="342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$0.315 per Class B share</w:t>
            </w:r>
            <w:r>
              <w:rPr>
                <w:rFonts w:ascii="Arial" w:cs="Arial" w:eastAsia="Arial" w:hAnsi="Arial"/>
                <w:sz w:val="10"/>
                <w:szCs w:val="10"/>
                <w:color w:val="auto"/>
              </w:rPr>
              <w:t>[A]</w:t>
            </w:r>
          </w:p>
        </w:tc>
        <w:tc>
          <w:tcPr>
            <w:tcW w:w="22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909</w:t>
            </w: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paid in 2006</w:t>
            </w:r>
          </w:p>
        </w:tc>
        <w:tc>
          <w:tcPr>
            <w:tcW w:w="34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8,142</w:t>
            </w:r>
          </w:p>
        </w:tc>
        <w:tc>
          <w:tcPr>
            <w:tcW w:w="0" w:type="dxa"/>
            <w:vAlign w:val="bottom"/>
          </w:tcPr>
          <w:p>
            <w:pPr>
              <w:spacing w:after="0"/>
              <w:rPr>
                <w:sz w:val="1"/>
                <w:szCs w:val="1"/>
                <w:color w:val="auto"/>
              </w:rPr>
            </w:pPr>
          </w:p>
        </w:tc>
      </w:tr>
      <w:tr>
        <w:trPr>
          <w:trHeight w:val="134"/>
        </w:trPr>
        <w:tc>
          <w:tcPr>
            <w:tcW w:w="2200" w:type="dxa"/>
            <w:vAlign w:val="bottom"/>
          </w:tcPr>
          <w:p>
            <w:pPr>
              <w:spacing w:after="0"/>
              <w:rPr>
                <w:sz w:val="11"/>
                <w:szCs w:val="11"/>
                <w:color w:val="auto"/>
              </w:rPr>
            </w:pPr>
          </w:p>
        </w:tc>
        <w:tc>
          <w:tcPr>
            <w:tcW w:w="3100" w:type="dxa"/>
            <w:vAlign w:val="bottom"/>
          </w:tcPr>
          <w:p>
            <w:pPr>
              <w:spacing w:after="0" w:line="134" w:lineRule="exact"/>
              <w:rPr>
                <w:sz w:val="20"/>
                <w:szCs w:val="20"/>
                <w:color w:val="auto"/>
              </w:rPr>
            </w:pPr>
            <w:r>
              <w:rPr>
                <w:rFonts w:ascii="Arial" w:cs="Arial" w:eastAsia="Arial" w:hAnsi="Arial"/>
                <w:sz w:val="12"/>
                <w:szCs w:val="12"/>
                <w:color w:val="auto"/>
              </w:rPr>
              <w:t>Interim paid on March 14, 2007:</w:t>
            </w:r>
          </w:p>
        </w:tc>
        <w:tc>
          <w:tcPr>
            <w:tcW w:w="3420" w:type="dxa"/>
            <w:vAlign w:val="bottom"/>
          </w:tcPr>
          <w:p>
            <w:pPr>
              <w:ind w:left="260"/>
              <w:spacing w:after="0" w:line="134" w:lineRule="exact"/>
              <w:rPr>
                <w:sz w:val="20"/>
                <w:szCs w:val="20"/>
                <w:color w:val="auto"/>
              </w:rPr>
            </w:pPr>
            <w:r>
              <w:rPr>
                <w:rFonts w:ascii="Arial" w:cs="Arial" w:eastAsia="Arial" w:hAnsi="Arial"/>
                <w:sz w:val="12"/>
                <w:szCs w:val="12"/>
                <w:color w:val="auto"/>
              </w:rPr>
              <w:t>$0.325 per Class A share</w:t>
            </w:r>
            <w:r>
              <w:rPr>
                <w:rFonts w:ascii="Arial" w:cs="Arial" w:eastAsia="Arial" w:hAnsi="Arial"/>
                <w:sz w:val="10"/>
                <w:szCs w:val="10"/>
                <w:color w:val="auto"/>
              </w:rPr>
              <w:t>[A]</w:t>
            </w:r>
          </w:p>
        </w:tc>
        <w:tc>
          <w:tcPr>
            <w:tcW w:w="2240" w:type="dxa"/>
            <w:vAlign w:val="bottom"/>
          </w:tcPr>
          <w:p>
            <w:pPr>
              <w:jc w:val="right"/>
              <w:ind w:right="18"/>
              <w:spacing w:after="0" w:line="134" w:lineRule="exact"/>
              <w:rPr>
                <w:sz w:val="20"/>
                <w:szCs w:val="20"/>
                <w:color w:val="auto"/>
              </w:rPr>
            </w:pPr>
            <w:r>
              <w:rPr>
                <w:rFonts w:ascii="Arial" w:cs="Arial" w:eastAsia="Arial" w:hAnsi="Arial"/>
                <w:sz w:val="12"/>
                <w:szCs w:val="12"/>
                <w:color w:val="auto"/>
              </w:rPr>
              <w:t>1,204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March 14,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$0.325 per Class B share</w:t>
            </w:r>
            <w:r>
              <w:rPr>
                <w:rFonts w:ascii="Arial" w:cs="Arial" w:eastAsia="Arial" w:hAnsi="Arial"/>
                <w:sz w:val="10"/>
                <w:szCs w:val="10"/>
                <w:color w:val="auto"/>
              </w:rPr>
              <w:t>[A]</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884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June 13,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$0.36 per Class A share</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1,304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June 13,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$0.36 per Class B share</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984</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September 12,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$0.36 per Class A share</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1,321</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September 12,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$0.36 per Class B share</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987</w:t>
            </w:r>
          </w:p>
        </w:tc>
        <w:tc>
          <w:tcPr>
            <w:tcW w:w="0" w:type="dxa"/>
            <w:vAlign w:val="bottom"/>
          </w:tcPr>
          <w:p>
            <w:pPr>
              <w:spacing w:after="0"/>
              <w:rPr>
                <w:sz w:val="1"/>
                <w:szCs w:val="1"/>
                <w:color w:val="auto"/>
              </w:rPr>
            </w:pPr>
          </w:p>
        </w:tc>
      </w:tr>
      <w:tr>
        <w:trPr>
          <w:trHeight w:val="133"/>
        </w:trPr>
        <w:tc>
          <w:tcPr>
            <w:tcW w:w="2200" w:type="dxa"/>
            <w:vAlign w:val="bottom"/>
          </w:tcPr>
          <w:p>
            <w:pPr>
              <w:spacing w:after="0"/>
              <w:rPr>
                <w:sz w:val="11"/>
                <w:szCs w:val="11"/>
                <w:color w:val="auto"/>
              </w:rPr>
            </w:pPr>
          </w:p>
        </w:tc>
        <w:tc>
          <w:tcPr>
            <w:tcW w:w="3100" w:type="dxa"/>
            <w:vAlign w:val="bottom"/>
          </w:tcPr>
          <w:p>
            <w:pPr>
              <w:spacing w:after="0" w:line="133" w:lineRule="exact"/>
              <w:rPr>
                <w:sz w:val="20"/>
                <w:szCs w:val="20"/>
                <w:color w:val="auto"/>
              </w:rPr>
            </w:pPr>
            <w:r>
              <w:rPr>
                <w:rFonts w:ascii="Arial" w:cs="Arial" w:eastAsia="Arial" w:hAnsi="Arial"/>
                <w:sz w:val="12"/>
                <w:szCs w:val="12"/>
                <w:color w:val="auto"/>
              </w:rPr>
              <w:t>Interim paid on December 12, 2007:</w:t>
            </w:r>
          </w:p>
        </w:tc>
        <w:tc>
          <w:tcPr>
            <w:tcW w:w="3420" w:type="dxa"/>
            <w:vAlign w:val="bottom"/>
          </w:tcPr>
          <w:p>
            <w:pPr>
              <w:ind w:left="260"/>
              <w:spacing w:after="0" w:line="133" w:lineRule="exact"/>
              <w:rPr>
                <w:sz w:val="20"/>
                <w:szCs w:val="20"/>
                <w:color w:val="auto"/>
              </w:rPr>
            </w:pPr>
            <w:r>
              <w:rPr>
                <w:rFonts w:ascii="Arial" w:cs="Arial" w:eastAsia="Arial" w:hAnsi="Arial"/>
                <w:sz w:val="12"/>
                <w:szCs w:val="12"/>
                <w:color w:val="auto"/>
              </w:rPr>
              <w:t>$0.36 per Class A share</w:t>
            </w:r>
          </w:p>
        </w:tc>
        <w:tc>
          <w:tcPr>
            <w:tcW w:w="2240" w:type="dxa"/>
            <w:vAlign w:val="bottom"/>
          </w:tcPr>
          <w:p>
            <w:pPr>
              <w:jc w:val="right"/>
              <w:ind w:right="18"/>
              <w:spacing w:after="0" w:line="133" w:lineRule="exact"/>
              <w:rPr>
                <w:sz w:val="20"/>
                <w:szCs w:val="20"/>
                <w:color w:val="auto"/>
              </w:rPr>
            </w:pPr>
            <w:r>
              <w:rPr>
                <w:rFonts w:ascii="Arial" w:cs="Arial" w:eastAsia="Arial" w:hAnsi="Arial"/>
                <w:sz w:val="12"/>
                <w:szCs w:val="12"/>
                <w:color w:val="auto"/>
              </w:rPr>
              <w:t>1,325</w:t>
            </w:r>
          </w:p>
        </w:tc>
        <w:tc>
          <w:tcPr>
            <w:tcW w:w="0" w:type="dxa"/>
            <w:vAlign w:val="bottom"/>
          </w:tcPr>
          <w:p>
            <w:pPr>
              <w:spacing w:after="0"/>
              <w:rPr>
                <w:sz w:val="1"/>
                <w:szCs w:val="1"/>
                <w:color w:val="auto"/>
              </w:rPr>
            </w:pPr>
          </w:p>
        </w:tc>
      </w:tr>
      <w:tr>
        <w:trPr>
          <w:trHeight w:val="139"/>
        </w:trPr>
        <w:tc>
          <w:tcPr>
            <w:tcW w:w="2200" w:type="dxa"/>
            <w:vAlign w:val="bottom"/>
          </w:tcPr>
          <w:p>
            <w:pPr>
              <w:spacing w:after="0"/>
              <w:rPr>
                <w:sz w:val="12"/>
                <w:szCs w:val="12"/>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Interim paid on December 12, 2007:</w:t>
            </w:r>
          </w:p>
        </w:tc>
        <w:tc>
          <w:tcPr>
            <w:tcW w:w="3420" w:type="dxa"/>
            <w:vAlign w:val="bottom"/>
            <w:tcBorders>
              <w:bottom w:val="single" w:sz="8" w:color="auto"/>
            </w:tcBorders>
          </w:tcPr>
          <w:p>
            <w:pPr>
              <w:ind w:left="260"/>
              <w:spacing w:after="0"/>
              <w:rPr>
                <w:sz w:val="20"/>
                <w:szCs w:val="20"/>
                <w:color w:val="auto"/>
              </w:rPr>
            </w:pPr>
            <w:r>
              <w:rPr>
                <w:rFonts w:ascii="Arial" w:cs="Arial" w:eastAsia="Arial" w:hAnsi="Arial"/>
                <w:sz w:val="12"/>
                <w:szCs w:val="12"/>
                <w:color w:val="auto"/>
              </w:rPr>
              <w:t>$0.36 per Class B share</w:t>
            </w:r>
          </w:p>
        </w:tc>
        <w:tc>
          <w:tcPr>
            <w:tcW w:w="22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992</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3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paid in 2007</w:t>
            </w:r>
          </w:p>
        </w:tc>
        <w:tc>
          <w:tcPr>
            <w:tcW w:w="342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9,001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-1758315</wp:posOffset>
            </wp:positionV>
            <wp:extent cx="17145" cy="258826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7145" cy="2588260"/>
                    </a:xfrm>
                    <a:prstGeom prst="rect">
                      <a:avLst/>
                    </a:prstGeom>
                    <a:noFill/>
                  </pic:spPr>
                </pic:pic>
              </a:graphicData>
            </a:graphic>
          </wp:anchor>
        </w:drawing>
      </w:r>
    </w:p>
    <w:p>
      <w:pPr>
        <w:spacing w:after="0" w:line="41" w:lineRule="exact"/>
        <w:rPr>
          <w:sz w:val="20"/>
          <w:szCs w:val="20"/>
          <w:color w:val="auto"/>
        </w:rPr>
      </w:pPr>
    </w:p>
    <w:p>
      <w:pPr>
        <w:ind w:left="2540" w:right="400" w:hanging="342"/>
        <w:spacing w:after="0" w:line="249" w:lineRule="auto"/>
        <w:tabs>
          <w:tab w:leader="none" w:pos="2540" w:val="left"/>
        </w:tabs>
        <w:numPr>
          <w:ilvl w:val="0"/>
          <w:numId w:val="166"/>
        </w:numPr>
        <w:rPr>
          <w:rFonts w:ascii="Arial" w:cs="Arial" w:eastAsia="Arial" w:hAnsi="Arial"/>
          <w:sz w:val="12"/>
          <w:szCs w:val="12"/>
          <w:color w:val="auto"/>
        </w:rPr>
      </w:pPr>
      <w:r>
        <w:rPr>
          <w:rFonts w:ascii="Arial" w:cs="Arial" w:eastAsia="Arial" w:hAnsi="Arial"/>
          <w:sz w:val="12"/>
          <w:szCs w:val="12"/>
          <w:color w:val="auto"/>
        </w:rPr>
        <w:t>Dividends for 2006 were declared in euro and have been translated, for comparison purposes, to US dollars (based on the conversion of US dollar dividend in respect of American Depositary Receipts (ADR) in the applicable period; one ADR is equal to two ordinary shares).</w:t>
      </w:r>
    </w:p>
    <w:p>
      <w:pPr>
        <w:spacing w:after="0" w:line="74" w:lineRule="exact"/>
        <w:rPr>
          <w:sz w:val="20"/>
          <w:szCs w:val="20"/>
          <w:color w:val="auto"/>
        </w:rPr>
      </w:pPr>
    </w:p>
    <w:p>
      <w:pPr>
        <w:ind w:left="2200"/>
        <w:spacing w:after="0" w:line="235" w:lineRule="auto"/>
        <w:rPr>
          <w:sz w:val="20"/>
          <w:szCs w:val="20"/>
          <w:color w:val="auto"/>
        </w:rPr>
      </w:pPr>
      <w:r>
        <w:rPr>
          <w:rFonts w:ascii="Arial" w:cs="Arial" w:eastAsia="Arial" w:hAnsi="Arial"/>
          <w:sz w:val="14"/>
          <w:szCs w:val="14"/>
          <w:color w:val="auto"/>
        </w:rPr>
        <w:t>In addition, on January 31, 2008, the Directors proposed a further interim dividend in respect of 2007 of $0.36 per Class A share and $0.36 per Class B share, payable on March 12, 2008, which will absorb an estimated $2,283 million of shareholders’ funds. The dividends on the Class B shares are paid via the Dividend Access Trust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192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530860</wp:posOffset>
            </wp:positionV>
            <wp:extent cx="7252970" cy="209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type w:val="continuous"/>
        </w:sectPr>
      </w:pPr>
    </w:p>
    <w:bookmarkStart w:id="198" w:name="page199"/>
    <w:bookmarkEnd w:id="19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14</w:t>
      </w:r>
    </w:p>
    <w:p>
      <w:pPr>
        <w:spacing w:after="0" w:line="17" w:lineRule="exact"/>
        <w:rPr>
          <w:sz w:val="20"/>
          <w:szCs w:val="20"/>
          <w:color w:val="auto"/>
        </w:rPr>
      </w:pPr>
    </w:p>
    <w:p>
      <w:pPr>
        <w:ind w:right="460"/>
        <w:spacing w:after="0" w:line="252" w:lineRule="auto"/>
        <w:rPr>
          <w:sz w:val="20"/>
          <w:szCs w:val="20"/>
          <w:color w:val="auto"/>
        </w:rPr>
      </w:pPr>
      <w:r>
        <w:rPr>
          <w:rFonts w:ascii="Arial" w:cs="Arial" w:eastAsia="Arial" w:hAnsi="Arial"/>
          <w:sz w:val="14"/>
          <w:szCs w:val="14"/>
          <w:b w:val="1"/>
          <w:bCs w:val="1"/>
          <w:color w:val="auto"/>
        </w:rPr>
        <w:t>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15</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w:t>
      </w:r>
    </w:p>
    <w:p>
      <w:pPr>
        <w:spacing w:after="0"/>
        <w:rPr>
          <w:sz w:val="20"/>
          <w:szCs w:val="20"/>
          <w:color w:val="auto"/>
        </w:rPr>
      </w:pPr>
      <w:r>
        <w:rPr>
          <w:rFonts w:ascii="Arial" w:cs="Arial" w:eastAsia="Arial" w:hAnsi="Arial"/>
          <w:sz w:val="14"/>
          <w:szCs w:val="14"/>
          <w:b w:val="1"/>
          <w:bCs w:val="1"/>
          <w:color w:val="auto"/>
        </w:rPr>
        <w:t>PROCEEDINGS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16</w:t>
      </w:r>
    </w:p>
    <w:p>
      <w:pPr>
        <w:spacing w:after="0" w:line="17" w:lineRule="exact"/>
        <w:rPr>
          <w:sz w:val="20"/>
          <w:szCs w:val="20"/>
          <w:color w:val="auto"/>
        </w:rPr>
      </w:pPr>
    </w:p>
    <w:p>
      <w:pPr>
        <w:spacing w:after="0" w:line="252" w:lineRule="auto"/>
        <w:rPr>
          <w:sz w:val="20"/>
          <w:szCs w:val="20"/>
          <w:color w:val="auto"/>
        </w:rPr>
      </w:pPr>
      <w:r>
        <w:rPr>
          <w:rFonts w:ascii="Arial" w:cs="Arial" w:eastAsia="Arial" w:hAnsi="Arial"/>
          <w:sz w:val="14"/>
          <w:szCs w:val="14"/>
          <w:b w:val="1"/>
          <w:bCs w:val="1"/>
          <w:color w:val="auto"/>
        </w:rPr>
        <w:t>POST BALANCE SHEET EVENTS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The Company deposited cash balances with Shell Treasury Centre Limited, a subsidiary. The Company earned interest on these balances of $31 million in 2007 (2006: $35 million). At December 31, 2007 the balance deposited was $657 million (2006: $648 million), consisting of sterling, euro and dollar balances. These balances are shown within cash and cash equivalents. Interest on the euro balance is calculated at Euribor less 0.0625%, on the sterling balance at LIBOR and on the dollar balance at US LIBOR less 0.125%.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-364490</wp:posOffset>
            </wp:positionV>
            <wp:extent cx="17145" cy="33997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145" cy="3399790"/>
                    </a:xfrm>
                    <a:prstGeom prst="rect">
                      <a:avLst/>
                    </a:prstGeom>
                    <a:noFill/>
                  </pic:spPr>
                </pic:pic>
              </a:graphicData>
            </a:graphic>
          </wp:anchor>
        </w:drawing>
        <w:drawing>
          <wp:anchor simplePos="0" relativeHeight="251657728" behindDoc="1" locked="0" layoutInCell="0" allowOverlap="1">
            <wp:simplePos x="0" y="0"/>
            <wp:positionH relativeFrom="column">
              <wp:posOffset>5635625</wp:posOffset>
            </wp:positionH>
            <wp:positionV relativeFrom="paragraph">
              <wp:posOffset>-448945</wp:posOffset>
            </wp:positionV>
            <wp:extent cx="282575" cy="55060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2575" cy="5506085"/>
                    </a:xfrm>
                    <a:prstGeom prst="rect">
                      <a:avLst/>
                    </a:prstGeom>
                    <a:noFill/>
                  </pic:spPr>
                </pic:pic>
              </a:graphicData>
            </a:graphic>
          </wp:anchor>
        </w:drawing>
      </w:r>
    </w:p>
    <w:p>
      <w:pPr>
        <w:spacing w:after="0" w:line="53" w:lineRule="exact"/>
        <w:rPr>
          <w:sz w:val="20"/>
          <w:szCs w:val="20"/>
          <w:color w:val="auto"/>
        </w:rPr>
      </w:pPr>
    </w:p>
    <w:p>
      <w:pPr>
        <w:ind w:right="100"/>
        <w:spacing w:after="0" w:line="251" w:lineRule="auto"/>
        <w:rPr>
          <w:sz w:val="20"/>
          <w:szCs w:val="20"/>
          <w:color w:val="auto"/>
        </w:rPr>
      </w:pPr>
      <w:r>
        <w:rPr>
          <w:rFonts w:ascii="Arial" w:cs="Arial" w:eastAsia="Arial" w:hAnsi="Arial"/>
          <w:sz w:val="13"/>
          <w:szCs w:val="13"/>
          <w:color w:val="auto"/>
        </w:rPr>
        <w:t>The Company has balances with Shell Treasury Luxembourg, a subsidiary. The Company paid interest on these balances of $11 million in 2007 (2006: $10 million). At December 31, 2007 the amount receivable from Shell Treasury Luxembourg was $69 million, consisting of sterling, euro and dollar balances, shown within amounts due from subsidiaries. In 2006, the company had a net payable to Shell Treasury Luxembourg of $3 million. Interest on the euro balance is calculated at Euribor less 0.0625%, on the sterling balance at LIBOR and on the dollar balance at US LIBOR.</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Dividends of $14,739 million in 2007 (2006: $17,174 million) were receivable from subsidiaries. At December 31, 2007 an amount of $7,414 million was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outstanding (2006: $5,709 million).</w:t>
      </w:r>
    </w:p>
    <w:p>
      <w:pPr>
        <w:spacing w:after="0" w:line="80"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At December 31, 2007 an amount of $601 million (2006: $254 million) was receivable from subsidiaries in respect of the fair value of share-based compensation granted to employees under the Company’s schemes.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auto"/>
        </w:rPr>
        <w:t>In 2007, Shell Petroleum settled balances with the Company in cash for an amount of $173 million (2006: nil). In 2007, the Company settled balances</w:t>
      </w:r>
    </w:p>
    <w:p>
      <w:pPr>
        <w:spacing w:after="0" w:line="9" w:lineRule="exact"/>
        <w:rPr>
          <w:sz w:val="20"/>
          <w:szCs w:val="20"/>
          <w:color w:val="auto"/>
        </w:rPr>
      </w:pPr>
    </w:p>
    <w:p>
      <w:pPr>
        <w:ind w:right="440"/>
        <w:spacing w:after="0" w:line="234" w:lineRule="auto"/>
        <w:rPr>
          <w:sz w:val="20"/>
          <w:szCs w:val="20"/>
          <w:color w:val="auto"/>
        </w:rPr>
      </w:pPr>
      <w:r>
        <w:rPr>
          <w:rFonts w:ascii="Arial" w:cs="Arial" w:eastAsia="Arial" w:hAnsi="Arial"/>
          <w:sz w:val="14"/>
          <w:szCs w:val="14"/>
          <w:color w:val="auto"/>
        </w:rPr>
        <w:t>with several subsidiaries amounting to $35 million (2006: nil). At December 31, 2007 a balance of $115 million (2006: $21 million) was due from subsidiaries in respect of these transactions.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recharged certain administrative expenses from subsidiaries, which amounted to $27 million in 2007 (2006: $24 million).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recharged certain administrative expenses to subsidiaries, which amounted to $3 million in 2007 (2006: $3 million).</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Invoices from third party suppliers were paid by Shell International B.V., a subsidiary, on behalf of the Company amounting to $7 million (2006:</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$4 million).</w:t>
      </w:r>
    </w:p>
    <w:p>
      <w:pPr>
        <w:spacing w:after="0" w:line="80" w:lineRule="exact"/>
        <w:rPr>
          <w:sz w:val="20"/>
          <w:szCs w:val="20"/>
          <w:color w:val="auto"/>
        </w:rPr>
      </w:pPr>
    </w:p>
    <w:p>
      <w:pPr>
        <w:ind w:right="120"/>
        <w:spacing w:after="0" w:line="328" w:lineRule="auto"/>
        <w:rPr>
          <w:sz w:val="20"/>
          <w:szCs w:val="20"/>
          <w:color w:val="auto"/>
        </w:rPr>
      </w:pPr>
      <w:r>
        <w:rPr>
          <w:rFonts w:ascii="Arial" w:cs="Arial" w:eastAsia="Arial" w:hAnsi="Arial"/>
          <w:sz w:val="12"/>
          <w:szCs w:val="12"/>
          <w:color w:val="auto"/>
        </w:rPr>
        <w:t>In 2007, the Dutch Fiscal Unit utilised all its deferred tax losses and as a result the tax payable position is transferred from Shell Petroleum to the parent of the fiscal unit. The total tax amount that was transferred between Shell Petroleum and the Company during 2007 was $304 million (2006: nil).</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enters into forward foreign exchange contracts or spot foreign exchange contracts with Treasury companies within Shell.</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2007 there were no open contracts with Treasury companies in respect of foreign exchange contracts.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guaranteed listed debt issued by subsidiaries amounting to $9,475 million (2006: $7,115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Note 32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-73025</wp:posOffset>
            </wp:positionV>
            <wp:extent cx="17145" cy="4229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80"/>
        <w:spacing w:after="0" w:line="260" w:lineRule="auto"/>
        <w:rPr>
          <w:sz w:val="20"/>
          <w:szCs w:val="20"/>
          <w:color w:val="auto"/>
        </w:rPr>
      </w:pPr>
      <w:r>
        <w:rPr>
          <w:rFonts w:ascii="Arial" w:cs="Arial" w:eastAsia="Arial" w:hAnsi="Arial"/>
          <w:sz w:val="13"/>
          <w:szCs w:val="13"/>
          <w:color w:val="auto"/>
        </w:rPr>
        <w:t>Since December 31, 2007, additional purchases of shares have been made under the Company’s buyback programme. At February 26, 2008, a further 21,280,000 Class A shares (representing 0.3% of Royal Dutch Shell’s issued ordinary share capital at December 31, 2007) had been purchased for cancellation at a total cost of $796 million including expenses, at an average price of €25.23 and 1,892.73 pence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-279400</wp:posOffset>
            </wp:positionV>
            <wp:extent cx="17145" cy="44831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 cy="448310"/>
                    </a:xfrm>
                    <a:prstGeom prst="rect">
                      <a:avLst/>
                    </a:prstGeom>
                    <a:noFill/>
                  </pic:spPr>
                </pic:pic>
              </a:graphicData>
            </a:graphic>
          </wp:anchor>
        </w:drawing>
      </w:r>
    </w:p>
    <w:p>
      <w:pPr>
        <w:spacing w:after="0" w:line="2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843915</wp:posOffset>
            </wp:positionV>
            <wp:extent cx="7252970" cy="209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640" w:space="560"/>
            <w:col w:w="8760"/>
          </w:cols>
          <w:pgMar w:left="240" w:top="415" w:right="6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NOTES TO THE PARENT COMPANY FINANCIAL STATEMENTS</w:t>
      </w:r>
    </w:p>
    <w:p>
      <w:pPr>
        <w:sectPr>
          <w:pgSz w:w="11900" w:h="16838" w:orient="portrait"/>
          <w:cols w:equalWidth="0" w:num="1">
            <w:col w:w="10960"/>
          </w:cols>
          <w:pgMar w:left="240" w:top="415" w:right="6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17</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ASSOCIATED</w:t>
      </w:r>
    </w:p>
    <w:p>
      <w:pPr>
        <w:spacing w:after="0" w:line="238" w:lineRule="auto"/>
        <w:rPr>
          <w:sz w:val="20"/>
          <w:szCs w:val="20"/>
          <w:color w:val="auto"/>
        </w:rPr>
      </w:pPr>
      <w:r>
        <w:rPr>
          <w:rFonts w:ascii="Arial" w:cs="Arial" w:eastAsia="Arial" w:hAnsi="Arial"/>
          <w:sz w:val="14"/>
          <w:szCs w:val="14"/>
          <w:b w:val="1"/>
          <w:bCs w:val="1"/>
          <w:color w:val="auto"/>
        </w:rPr>
        <w:t>COMPANIES</w:t>
      </w:r>
    </w:p>
    <w:p>
      <w:pPr>
        <w:spacing w:after="0"/>
        <w:rPr>
          <w:sz w:val="20"/>
          <w:szCs w:val="20"/>
          <w:color w:val="auto"/>
        </w:rPr>
      </w:pPr>
      <w:r>
        <w:rPr>
          <w:rFonts w:ascii="Arial" w:cs="Arial" w:eastAsia="Arial" w:hAnsi="Arial"/>
          <w:sz w:val="14"/>
          <w:szCs w:val="14"/>
          <w:b w:val="1"/>
          <w:bCs w:val="1"/>
          <w:color w:val="auto"/>
        </w:rPr>
        <w:t>AND JOINTLY</w:t>
      </w:r>
    </w:p>
    <w:p>
      <w:pPr>
        <w:spacing w:after="0" w:line="238" w:lineRule="auto"/>
        <w:rPr>
          <w:sz w:val="20"/>
          <w:szCs w:val="20"/>
          <w:color w:val="auto"/>
        </w:rPr>
      </w:pPr>
      <w:r>
        <w:rPr>
          <w:rFonts w:ascii="Arial" w:cs="Arial" w:eastAsia="Arial" w:hAnsi="Arial"/>
          <w:sz w:val="14"/>
          <w:szCs w:val="14"/>
          <w:b w:val="1"/>
          <w:bCs w:val="1"/>
          <w:color w:val="auto"/>
        </w:rPr>
        <w:t>CONTROLLED</w:t>
      </w:r>
    </w:p>
    <w:p>
      <w:pPr>
        <w:spacing w:after="0"/>
        <w:rPr>
          <w:sz w:val="20"/>
          <w:szCs w:val="20"/>
          <w:color w:val="auto"/>
        </w:rPr>
      </w:pPr>
      <w:r>
        <w:rPr>
          <w:rFonts w:ascii="Arial" w:cs="Arial" w:eastAsia="Arial" w:hAnsi="Arial"/>
          <w:sz w:val="14"/>
          <w:szCs w:val="14"/>
          <w:b w:val="1"/>
          <w:bCs w:val="1"/>
          <w:color w:val="auto"/>
        </w:rPr>
        <w:t>ENTITIES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Company has no direct interest in associated companies and jointly controlled entities. Shell’s major investments in associated companies and jointly controlled entities at December 31, 2007, and Shell’s percentage of share capital (to the nearest whole number) are set out below. A complete list of investments in subsidiary and associated companies and jointly controlled entities will be attached to the Company’s annual return made to the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-364490</wp:posOffset>
            </wp:positionV>
            <wp:extent cx="17145" cy="276606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 cy="2766060"/>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 w:type="dxa"/>
            <w:vAlign w:val="bottom"/>
            <w:vMerge w:val="restart"/>
          </w:tcPr>
          <w:p>
            <w:pPr>
              <w:spacing w:after="0"/>
              <w:rPr>
                <w:sz w:val="11"/>
                <w:szCs w:val="11"/>
                <w:color w:val="auto"/>
              </w:rPr>
            </w:pPr>
          </w:p>
        </w:tc>
        <w:tc>
          <w:tcPr>
            <w:tcW w:w="1540" w:type="dxa"/>
            <w:vAlign w:val="bottom"/>
            <w:shd w:val="clear" w:color="auto" w:fill="009AC9"/>
          </w:tcPr>
          <w:p>
            <w:pPr>
              <w:spacing w:after="0"/>
              <w:rPr>
                <w:sz w:val="11"/>
                <w:szCs w:val="11"/>
                <w:color w:val="auto"/>
              </w:rPr>
            </w:pPr>
          </w:p>
        </w:tc>
        <w:tc>
          <w:tcPr>
            <w:tcW w:w="2460" w:type="dxa"/>
            <w:vAlign w:val="bottom"/>
            <w:shd w:val="clear" w:color="auto" w:fill="009AC9"/>
          </w:tcPr>
          <w:p>
            <w:pPr>
              <w:spacing w:after="0"/>
              <w:rPr>
                <w:sz w:val="11"/>
                <w:szCs w:val="11"/>
                <w:color w:val="auto"/>
              </w:rPr>
            </w:pPr>
          </w:p>
        </w:tc>
        <w:tc>
          <w:tcPr>
            <w:tcW w:w="1900" w:type="dxa"/>
            <w:vAlign w:val="bottom"/>
            <w:shd w:val="clear" w:color="auto" w:fill="009AC9"/>
          </w:tcPr>
          <w:p>
            <w:pPr>
              <w:spacing w:after="0"/>
              <w:rPr>
                <w:sz w:val="11"/>
                <w:szCs w:val="11"/>
                <w:color w:val="auto"/>
              </w:rPr>
            </w:pPr>
          </w:p>
        </w:tc>
        <w:tc>
          <w:tcPr>
            <w:tcW w:w="1820" w:type="dxa"/>
            <w:vAlign w:val="bottom"/>
            <w:shd w:val="clear" w:color="auto" w:fill="009AC9"/>
          </w:tcPr>
          <w:p>
            <w:pPr>
              <w:spacing w:after="0"/>
              <w:rPr>
                <w:sz w:val="11"/>
                <w:szCs w:val="11"/>
                <w:color w:val="auto"/>
              </w:rPr>
            </w:pPr>
          </w:p>
        </w:tc>
        <w:tc>
          <w:tcPr>
            <w:tcW w:w="1020" w:type="dxa"/>
            <w:vAlign w:val="bottom"/>
            <w:shd w:val="clear" w:color="auto" w:fill="009AC9"/>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1540" w:type="dxa"/>
            <w:vAlign w:val="bottom"/>
            <w:shd w:val="clear" w:color="auto" w:fill="CECAC6"/>
          </w:tcPr>
          <w:p>
            <w:pPr>
              <w:spacing w:after="0" w:line="133" w:lineRule="exact"/>
              <w:rPr>
                <w:sz w:val="20"/>
                <w:szCs w:val="20"/>
                <w:color w:val="auto"/>
              </w:rPr>
            </w:pPr>
            <w:r>
              <w:rPr>
                <w:rFonts w:ascii="Arial" w:cs="Arial" w:eastAsia="Arial" w:hAnsi="Arial"/>
                <w:sz w:val="12"/>
                <w:szCs w:val="12"/>
                <w:color w:val="auto"/>
              </w:rPr>
              <w:t>Segment</w:t>
            </w:r>
          </w:p>
        </w:tc>
        <w:tc>
          <w:tcPr>
            <w:tcW w:w="2460" w:type="dxa"/>
            <w:vAlign w:val="bottom"/>
            <w:shd w:val="clear" w:color="auto" w:fill="CECAC6"/>
          </w:tcPr>
          <w:p>
            <w:pPr>
              <w:ind w:left="200"/>
              <w:spacing w:after="0" w:line="133" w:lineRule="exact"/>
              <w:rPr>
                <w:sz w:val="20"/>
                <w:szCs w:val="20"/>
                <w:color w:val="auto"/>
              </w:rPr>
            </w:pPr>
            <w:r>
              <w:rPr>
                <w:rFonts w:ascii="Arial" w:cs="Arial" w:eastAsia="Arial" w:hAnsi="Arial"/>
                <w:sz w:val="12"/>
                <w:szCs w:val="12"/>
                <w:color w:val="auto"/>
              </w:rPr>
              <w:t>Name</w:t>
            </w:r>
          </w:p>
        </w:tc>
        <w:tc>
          <w:tcPr>
            <w:tcW w:w="1900" w:type="dxa"/>
            <w:vAlign w:val="bottom"/>
            <w:shd w:val="clear" w:color="auto" w:fill="CECAC6"/>
          </w:tcPr>
          <w:p>
            <w:pPr>
              <w:jc w:val="right"/>
              <w:ind w:right="198"/>
              <w:spacing w:after="0" w:line="133" w:lineRule="exact"/>
              <w:rPr>
                <w:sz w:val="20"/>
                <w:szCs w:val="20"/>
                <w:color w:val="auto"/>
              </w:rPr>
            </w:pPr>
            <w:r>
              <w:rPr>
                <w:rFonts w:ascii="Arial" w:cs="Arial" w:eastAsia="Arial" w:hAnsi="Arial"/>
                <w:sz w:val="12"/>
                <w:szCs w:val="12"/>
                <w:color w:val="auto"/>
              </w:rPr>
              <w:t>Description</w:t>
            </w:r>
          </w:p>
        </w:tc>
        <w:tc>
          <w:tcPr>
            <w:tcW w:w="1820" w:type="dxa"/>
            <w:vAlign w:val="bottom"/>
            <w:shd w:val="clear" w:color="auto" w:fill="CECAC6"/>
          </w:tcPr>
          <w:p>
            <w:pPr>
              <w:jc w:val="right"/>
              <w:ind w:right="238"/>
              <w:spacing w:after="0" w:line="133" w:lineRule="exact"/>
              <w:rPr>
                <w:sz w:val="20"/>
                <w:szCs w:val="20"/>
                <w:color w:val="auto"/>
              </w:rPr>
            </w:pPr>
            <w:r>
              <w:rPr>
                <w:rFonts w:ascii="Arial" w:cs="Arial" w:eastAsia="Arial" w:hAnsi="Arial"/>
                <w:sz w:val="12"/>
                <w:szCs w:val="12"/>
                <w:color w:val="auto"/>
              </w:rPr>
              <w:t>Country of incorportion</w:t>
            </w:r>
          </w:p>
        </w:tc>
        <w:tc>
          <w:tcPr>
            <w:tcW w:w="10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Shell interest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40" w:type="dxa"/>
            <w:vAlign w:val="bottom"/>
          </w:tcPr>
          <w:p>
            <w:pPr>
              <w:spacing w:after="0"/>
              <w:rPr>
                <w:sz w:val="20"/>
                <w:szCs w:val="20"/>
                <w:color w:val="auto"/>
              </w:rPr>
            </w:pPr>
            <w:r>
              <w:rPr>
                <w:rFonts w:ascii="Arial" w:cs="Arial" w:eastAsia="Arial" w:hAnsi="Arial"/>
                <w:sz w:val="12"/>
                <w:szCs w:val="12"/>
                <w:color w:val="auto"/>
              </w:rPr>
              <w:t>Exploration &amp; Production</w:t>
            </w:r>
          </w:p>
        </w:tc>
        <w:tc>
          <w:tcPr>
            <w:tcW w:w="2460" w:type="dxa"/>
            <w:vAlign w:val="bottom"/>
            <w:vMerge w:val="restart"/>
          </w:tcPr>
          <w:p>
            <w:pPr>
              <w:ind w:left="200"/>
              <w:spacing w:after="0"/>
              <w:rPr>
                <w:sz w:val="20"/>
                <w:szCs w:val="20"/>
                <w:color w:val="auto"/>
              </w:rPr>
            </w:pPr>
            <w:r>
              <w:rPr>
                <w:rFonts w:ascii="Arial" w:cs="Arial" w:eastAsia="Arial" w:hAnsi="Arial"/>
                <w:sz w:val="12"/>
                <w:szCs w:val="12"/>
                <w:color w:val="auto"/>
              </w:rPr>
              <w:t>Aera</w:t>
            </w:r>
          </w:p>
        </w:tc>
        <w:tc>
          <w:tcPr>
            <w:tcW w:w="1900" w:type="dxa"/>
            <w:vAlign w:val="bottom"/>
            <w:vMerge w:val="restart"/>
          </w:tcPr>
          <w:p>
            <w:pPr>
              <w:jc w:val="right"/>
              <w:ind w:right="198"/>
              <w:spacing w:after="0"/>
              <w:rPr>
                <w:sz w:val="20"/>
                <w:szCs w:val="20"/>
                <w:color w:val="auto"/>
              </w:rPr>
            </w:pPr>
            <w:r>
              <w:rPr>
                <w:rFonts w:ascii="Arial" w:cs="Arial" w:eastAsia="Arial" w:hAnsi="Arial"/>
                <w:sz w:val="12"/>
                <w:szCs w:val="12"/>
                <w:color w:val="auto"/>
              </w:rPr>
              <w:t>Jointly controlled entity</w:t>
            </w:r>
          </w:p>
        </w:tc>
        <w:tc>
          <w:tcPr>
            <w:tcW w:w="1820" w:type="dxa"/>
            <w:vAlign w:val="bottom"/>
            <w:vMerge w:val="restart"/>
          </w:tcPr>
          <w:p>
            <w:pPr>
              <w:jc w:val="right"/>
              <w:ind w:right="238"/>
              <w:spacing w:after="0"/>
              <w:rPr>
                <w:sz w:val="20"/>
                <w:szCs w:val="20"/>
                <w:color w:val="auto"/>
              </w:rPr>
            </w:pPr>
            <w:r>
              <w:rPr>
                <w:rFonts w:ascii="Arial" w:cs="Arial" w:eastAsia="Arial" w:hAnsi="Arial"/>
                <w:sz w:val="12"/>
                <w:szCs w:val="12"/>
                <w:color w:val="auto"/>
              </w:rPr>
              <w:t>USA</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46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Brunei Shell</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Brunei</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NAM</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the Netherlands</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Sakhalin Energy</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Associated company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Bermuda</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28%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Woodside</w:t>
            </w:r>
          </w:p>
        </w:tc>
        <w:tc>
          <w:tcPr>
            <w:tcW w:w="1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Associated company</w:t>
            </w:r>
          </w:p>
        </w:tc>
        <w:tc>
          <w:tcPr>
            <w:tcW w:w="18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Australia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2"/>
                <w:szCs w:val="12"/>
                <w:color w:val="auto"/>
              </w:rPr>
              <w:t>Gas &amp; Power</w:t>
            </w:r>
          </w:p>
        </w:tc>
        <w:tc>
          <w:tcPr>
            <w:tcW w:w="2460" w:type="dxa"/>
            <w:vAlign w:val="bottom"/>
            <w:vMerge w:val="restart"/>
          </w:tcPr>
          <w:p>
            <w:pPr>
              <w:ind w:left="200"/>
              <w:spacing w:after="0"/>
              <w:rPr>
                <w:sz w:val="20"/>
                <w:szCs w:val="20"/>
                <w:color w:val="auto"/>
              </w:rPr>
            </w:pPr>
            <w:r>
              <w:rPr>
                <w:rFonts w:ascii="Arial" w:cs="Arial" w:eastAsia="Arial" w:hAnsi="Arial"/>
                <w:sz w:val="12"/>
                <w:szCs w:val="12"/>
                <w:color w:val="auto"/>
              </w:rPr>
              <w:t>Nigeria LNG</w:t>
            </w:r>
          </w:p>
        </w:tc>
        <w:tc>
          <w:tcPr>
            <w:tcW w:w="1900" w:type="dxa"/>
            <w:vAlign w:val="bottom"/>
            <w:vMerge w:val="restart"/>
          </w:tcPr>
          <w:p>
            <w:pPr>
              <w:jc w:val="right"/>
              <w:ind w:right="198"/>
              <w:spacing w:after="0"/>
              <w:rPr>
                <w:sz w:val="20"/>
                <w:szCs w:val="20"/>
                <w:color w:val="auto"/>
              </w:rPr>
            </w:pPr>
            <w:r>
              <w:rPr>
                <w:rFonts w:ascii="Arial" w:cs="Arial" w:eastAsia="Arial" w:hAnsi="Arial"/>
                <w:sz w:val="12"/>
                <w:szCs w:val="12"/>
                <w:color w:val="auto"/>
              </w:rPr>
              <w:t>Associated company</w:t>
            </w:r>
          </w:p>
        </w:tc>
        <w:tc>
          <w:tcPr>
            <w:tcW w:w="1820" w:type="dxa"/>
            <w:vAlign w:val="bottom"/>
            <w:vMerge w:val="restart"/>
          </w:tcPr>
          <w:p>
            <w:pPr>
              <w:jc w:val="right"/>
              <w:ind w:right="238"/>
              <w:spacing w:after="0"/>
              <w:rPr>
                <w:sz w:val="20"/>
                <w:szCs w:val="20"/>
                <w:color w:val="auto"/>
              </w:rPr>
            </w:pPr>
            <w:r>
              <w:rPr>
                <w:rFonts w:ascii="Arial" w:cs="Arial" w:eastAsia="Arial" w:hAnsi="Arial"/>
                <w:sz w:val="12"/>
                <w:szCs w:val="12"/>
                <w:color w:val="auto"/>
              </w:rPr>
              <w:t>Nigeria</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Oman LNG</w:t>
            </w:r>
          </w:p>
        </w:tc>
        <w:tc>
          <w:tcPr>
            <w:tcW w:w="1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Associated company</w:t>
            </w:r>
          </w:p>
        </w:tc>
        <w:tc>
          <w:tcPr>
            <w:tcW w:w="18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Oman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2"/>
                <w:szCs w:val="12"/>
                <w:color w:val="auto"/>
              </w:rPr>
              <w:t>Oil Products</w:t>
            </w:r>
          </w:p>
        </w:tc>
        <w:tc>
          <w:tcPr>
            <w:tcW w:w="2460" w:type="dxa"/>
            <w:vAlign w:val="bottom"/>
            <w:vMerge w:val="restart"/>
          </w:tcPr>
          <w:p>
            <w:pPr>
              <w:ind w:left="200"/>
              <w:spacing w:after="0"/>
              <w:rPr>
                <w:sz w:val="20"/>
                <w:szCs w:val="20"/>
                <w:color w:val="auto"/>
              </w:rPr>
            </w:pPr>
            <w:r>
              <w:rPr>
                <w:rFonts w:ascii="Arial" w:cs="Arial" w:eastAsia="Arial" w:hAnsi="Arial"/>
                <w:sz w:val="12"/>
                <w:szCs w:val="12"/>
                <w:color w:val="auto"/>
              </w:rPr>
              <w:t>Motiva</w:t>
            </w:r>
          </w:p>
        </w:tc>
        <w:tc>
          <w:tcPr>
            <w:tcW w:w="1900" w:type="dxa"/>
            <w:vAlign w:val="bottom"/>
            <w:vMerge w:val="restart"/>
          </w:tcPr>
          <w:p>
            <w:pPr>
              <w:jc w:val="right"/>
              <w:ind w:right="198"/>
              <w:spacing w:after="0"/>
              <w:rPr>
                <w:sz w:val="20"/>
                <w:szCs w:val="20"/>
                <w:color w:val="auto"/>
              </w:rPr>
            </w:pPr>
            <w:r>
              <w:rPr>
                <w:rFonts w:ascii="Arial" w:cs="Arial" w:eastAsia="Arial" w:hAnsi="Arial"/>
                <w:sz w:val="12"/>
                <w:szCs w:val="12"/>
                <w:color w:val="auto"/>
              </w:rPr>
              <w:t>Jointly controlled entity</w:t>
            </w:r>
          </w:p>
        </w:tc>
        <w:tc>
          <w:tcPr>
            <w:tcW w:w="1820" w:type="dxa"/>
            <w:vAlign w:val="bottom"/>
            <w:vMerge w:val="restart"/>
          </w:tcPr>
          <w:p>
            <w:pPr>
              <w:jc w:val="right"/>
              <w:ind w:right="238"/>
              <w:spacing w:after="0"/>
              <w:rPr>
                <w:sz w:val="20"/>
                <w:szCs w:val="20"/>
                <w:color w:val="auto"/>
              </w:rPr>
            </w:pPr>
            <w:r>
              <w:rPr>
                <w:rFonts w:ascii="Arial" w:cs="Arial" w:eastAsia="Arial" w:hAnsi="Arial"/>
                <w:sz w:val="12"/>
                <w:szCs w:val="12"/>
                <w:color w:val="auto"/>
              </w:rPr>
              <w:t>USA</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900" w:type="dxa"/>
            <w:vAlign w:val="bottom"/>
            <w:vMerge w:val="continue"/>
          </w:tcPr>
          <w:p>
            <w:pPr>
              <w:spacing w:after="0"/>
              <w:rPr>
                <w:sz w:val="10"/>
                <w:szCs w:val="10"/>
                <w:color w:val="auto"/>
              </w:rPr>
            </w:pPr>
          </w:p>
        </w:tc>
        <w:tc>
          <w:tcPr>
            <w:tcW w:w="18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Deer Park</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USA</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Saudi Arabia Refinery</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Saudi Arabia</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Showa Shell</w:t>
            </w:r>
          </w:p>
        </w:tc>
        <w:tc>
          <w:tcPr>
            <w:tcW w:w="1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Associated company</w:t>
            </w:r>
          </w:p>
        </w:tc>
        <w:tc>
          <w:tcPr>
            <w:tcW w:w="18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Japan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0" w:type="dxa"/>
            <w:vAlign w:val="bottom"/>
          </w:tcPr>
          <w:p>
            <w:pPr>
              <w:spacing w:after="0"/>
              <w:rPr>
                <w:sz w:val="1"/>
                <w:szCs w:val="1"/>
                <w:color w:val="auto"/>
              </w:rPr>
            </w:pPr>
          </w:p>
        </w:tc>
      </w:tr>
      <w:tr>
        <w:trPr>
          <w:trHeight w:val="149"/>
        </w:trPr>
        <w:tc>
          <w:tcPr>
            <w:tcW w:w="1560" w:type="dxa"/>
            <w:vAlign w:val="bottom"/>
            <w:gridSpan w:val="2"/>
          </w:tcPr>
          <w:p>
            <w:pPr>
              <w:spacing w:after="0"/>
              <w:rPr>
                <w:sz w:val="20"/>
                <w:szCs w:val="20"/>
                <w:color w:val="auto"/>
              </w:rPr>
            </w:pPr>
            <w:r>
              <w:rPr>
                <w:rFonts w:ascii="Arial" w:cs="Arial" w:eastAsia="Arial" w:hAnsi="Arial"/>
                <w:sz w:val="12"/>
                <w:szCs w:val="12"/>
                <w:color w:val="auto"/>
              </w:rPr>
              <w:t>Chemicals</w:t>
            </w:r>
          </w:p>
        </w:tc>
        <w:tc>
          <w:tcPr>
            <w:tcW w:w="2460" w:type="dxa"/>
            <w:vAlign w:val="bottom"/>
            <w:vMerge w:val="restart"/>
          </w:tcPr>
          <w:p>
            <w:pPr>
              <w:ind w:left="200"/>
              <w:spacing w:after="0"/>
              <w:rPr>
                <w:sz w:val="20"/>
                <w:szCs w:val="20"/>
                <w:color w:val="auto"/>
              </w:rPr>
            </w:pPr>
            <w:r>
              <w:rPr>
                <w:rFonts w:ascii="Arial" w:cs="Arial" w:eastAsia="Arial" w:hAnsi="Arial"/>
                <w:sz w:val="12"/>
                <w:szCs w:val="12"/>
                <w:color w:val="auto"/>
              </w:rPr>
              <w:t>CNOOC and Shell Petrochemicals</w:t>
            </w:r>
          </w:p>
        </w:tc>
        <w:tc>
          <w:tcPr>
            <w:tcW w:w="19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460" w:type="dxa"/>
            <w:vAlign w:val="bottom"/>
            <w:vMerge w:val="continue"/>
          </w:tcPr>
          <w:p>
            <w:pPr>
              <w:spacing w:after="0"/>
              <w:rPr>
                <w:sz w:val="10"/>
                <w:szCs w:val="10"/>
                <w:color w:val="auto"/>
              </w:rPr>
            </w:pPr>
          </w:p>
        </w:tc>
        <w:tc>
          <w:tcPr>
            <w:tcW w:w="19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(Nanhai)</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China</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60" w:type="dxa"/>
            <w:vAlign w:val="bottom"/>
          </w:tcPr>
          <w:p>
            <w:pPr>
              <w:ind w:left="200"/>
              <w:spacing w:after="0" w:line="133" w:lineRule="exact"/>
              <w:rPr>
                <w:sz w:val="20"/>
                <w:szCs w:val="20"/>
                <w:color w:val="auto"/>
              </w:rPr>
            </w:pPr>
            <w:r>
              <w:rPr>
                <w:rFonts w:ascii="Arial" w:cs="Arial" w:eastAsia="Arial" w:hAnsi="Arial"/>
                <w:sz w:val="12"/>
                <w:szCs w:val="12"/>
                <w:color w:val="auto"/>
              </w:rPr>
              <w:t>Infineum</w:t>
            </w:r>
          </w:p>
        </w:tc>
        <w:tc>
          <w:tcPr>
            <w:tcW w:w="1900" w:type="dxa"/>
            <w:vAlign w:val="bottom"/>
          </w:tcPr>
          <w:p>
            <w:pPr>
              <w:jc w:val="right"/>
              <w:ind w:right="198"/>
              <w:spacing w:after="0" w:line="133" w:lineRule="exact"/>
              <w:rPr>
                <w:sz w:val="20"/>
                <w:szCs w:val="20"/>
                <w:color w:val="auto"/>
              </w:rPr>
            </w:pPr>
            <w:r>
              <w:rPr>
                <w:rFonts w:ascii="Arial" w:cs="Arial" w:eastAsia="Arial" w:hAnsi="Arial"/>
                <w:sz w:val="12"/>
                <w:szCs w:val="12"/>
                <w:color w:val="auto"/>
              </w:rPr>
              <w:t>Jointly controlled entity</w:t>
            </w:r>
          </w:p>
        </w:tc>
        <w:tc>
          <w:tcPr>
            <w:tcW w:w="1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the Netherlands</w:t>
            </w:r>
          </w:p>
        </w:tc>
        <w:tc>
          <w:tcPr>
            <w:tcW w:w="1020" w:type="dxa"/>
            <w:vAlign w:val="bottom"/>
          </w:tcPr>
          <w:p>
            <w:pPr>
              <w:jc w:val="right"/>
              <w:spacing w:after="0" w:line="133" w:lineRule="exact"/>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54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Saudi Petrochemical</w:t>
            </w:r>
          </w:p>
        </w:tc>
        <w:tc>
          <w:tcPr>
            <w:tcW w:w="190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Jointly controlled entity</w:t>
            </w:r>
          </w:p>
        </w:tc>
        <w:tc>
          <w:tcPr>
            <w:tcW w:w="18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Saudi Arabia</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All shareholdings in the above entities are in ordinary shares or the equivalent.</w:t>
      </w:r>
    </w:p>
    <w:p>
      <w:pPr>
        <w:spacing w:after="0" w:line="200" w:lineRule="exact"/>
        <w:rPr>
          <w:sz w:val="20"/>
          <w:szCs w:val="20"/>
          <w:color w:val="auto"/>
        </w:rPr>
      </w:pPr>
    </w:p>
    <w:p>
      <w:pPr>
        <w:sectPr>
          <w:pgSz w:w="11900" w:h="16838" w:orient="portrait"/>
          <w:cols w:equalWidth="0" w:num="2">
            <w:col w:w="1480" w:space="720"/>
            <w:col w:w="8760"/>
          </w:cols>
          <w:pgMar w:left="240" w:top="41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4"/>
          <w:szCs w:val="14"/>
          <w:b w:val="1"/>
          <w:bCs w:val="1"/>
          <w:color w:val="0066A5"/>
        </w:rPr>
        <w:t>18</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80"/>
        <w:spacing w:after="0" w:line="231" w:lineRule="auto"/>
        <w:rPr>
          <w:sz w:val="20"/>
          <w:szCs w:val="20"/>
          <w:color w:val="auto"/>
        </w:rPr>
      </w:pPr>
      <w:r>
        <w:rPr>
          <w:rFonts w:ascii="Arial" w:cs="Arial" w:eastAsia="Arial" w:hAnsi="Arial"/>
          <w:sz w:val="14"/>
          <w:szCs w:val="14"/>
          <w:color w:val="auto"/>
        </w:rPr>
        <w:t>The significant subsidiary undertakings of the Company at December 31, 2007, and Shell’s percentage of share capital (to the nearest whole number) are set out in Exhibit 8. All of these subsidiaries have been included in the Consolidated Financial Statements of Shell on pages 112 to 161. Those held directly by the Company are marked with an asterisk (*). A complete list of investments in subsidiary and associated companies and jointly controlled entities will be attached to the Company’s annual return made to the Registrar of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-372745</wp:posOffset>
            </wp:positionV>
            <wp:extent cx="17145" cy="45656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145" cy="4565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80" w:space="720"/>
            <w:col w:w="8760"/>
          </w:cols>
          <w:pgMar w:left="240" w:top="415" w:right="69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194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537845</wp:posOffset>
            </wp:positionV>
            <wp:extent cx="7252970"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type w:val="continuous"/>
        </w:sectPr>
      </w:pPr>
    </w:p>
    <w:bookmarkStart w:id="200" w:name="page201"/>
    <w:bookmarkEnd w:id="20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ind w:left="460"/>
        <w:spacing w:after="0"/>
        <w:rPr>
          <w:sz w:val="20"/>
          <w:szCs w:val="20"/>
          <w:color w:val="auto"/>
        </w:rPr>
      </w:pPr>
      <w:r>
        <w:rPr>
          <w:rFonts w:ascii="Arial" w:cs="Arial" w:eastAsia="Arial" w:hAnsi="Arial"/>
          <w:sz w:val="32"/>
          <w:szCs w:val="32"/>
          <w:color w:val="auto"/>
        </w:rPr>
        <w:t>Reports of the Independent Auditors</w:t>
      </w:r>
    </w:p>
    <w:p>
      <w:pPr>
        <w:sectPr>
          <w:pgSz w:w="11900" w:h="16838" w:orient="portrait"/>
          <w:cols w:equalWidth="0" w:num="1">
            <w:col w:w="10620"/>
          </w:cols>
          <w:pgMar w:left="240" w:top="415" w:right="1039" w:bottom="736" w:gutter="0" w:footer="0" w:header="0"/>
        </w:sectPr>
      </w:pPr>
    </w:p>
    <w:p>
      <w:pPr>
        <w:spacing w:after="0" w:line="200" w:lineRule="exact"/>
        <w:rPr>
          <w:sz w:val="20"/>
          <w:szCs w:val="20"/>
          <w:color w:val="auto"/>
        </w:rPr>
      </w:pPr>
    </w:p>
    <w:p>
      <w:pPr>
        <w:spacing w:after="0" w:line="378"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REPORT ON THE ANNUAL REPORT AND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41275</wp:posOffset>
            </wp:positionV>
            <wp:extent cx="31635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3163570" cy="8255"/>
                    </a:xfrm>
                    <a:prstGeom prst="rect">
                      <a:avLst/>
                    </a:prstGeom>
                    <a:noFill/>
                  </pic:spPr>
                </pic:pic>
              </a:graphicData>
            </a:graphic>
          </wp:anchor>
        </w:drawing>
      </w:r>
    </w:p>
    <w:p>
      <w:pPr>
        <w:spacing w:after="0" w:line="152" w:lineRule="exact"/>
        <w:rPr>
          <w:sz w:val="20"/>
          <w:szCs w:val="20"/>
          <w:color w:val="auto"/>
        </w:rPr>
      </w:pPr>
    </w:p>
    <w:p>
      <w:pPr>
        <w:jc w:val="both"/>
        <w:ind w:left="240"/>
        <w:spacing w:after="0" w:line="241" w:lineRule="auto"/>
        <w:rPr>
          <w:sz w:val="20"/>
          <w:szCs w:val="20"/>
          <w:color w:val="auto"/>
        </w:rPr>
      </w:pPr>
      <w:r>
        <w:rPr>
          <w:rFonts w:ascii="Arial" w:cs="Arial" w:eastAsia="Arial" w:hAnsi="Arial"/>
          <w:sz w:val="14"/>
          <w:szCs w:val="14"/>
          <w:b w:val="1"/>
          <w:bCs w:val="1"/>
          <w:color w:val="auto"/>
        </w:rPr>
        <w:t>INDEPENDENT AUDITORS’ REPORT TO LLOYDS TSB OFFSHORE TRUST COMPANY LIMITED, TRUSTEE OF THE ROYAL DUTCH SHELL DIVIDEND ACCESS TRUST</w:t>
      </w:r>
    </w:p>
    <w:p>
      <w:pPr>
        <w:spacing w:after="0" w:line="1" w:lineRule="exact"/>
        <w:rPr>
          <w:sz w:val="20"/>
          <w:szCs w:val="20"/>
          <w:color w:val="auto"/>
        </w:rPr>
      </w:pPr>
    </w:p>
    <w:p>
      <w:pPr>
        <w:ind w:left="240" w:right="40"/>
        <w:spacing w:after="0" w:line="224" w:lineRule="auto"/>
        <w:rPr>
          <w:sz w:val="20"/>
          <w:szCs w:val="20"/>
          <w:color w:val="auto"/>
        </w:rPr>
      </w:pPr>
      <w:r>
        <w:rPr>
          <w:rFonts w:ascii="Arial" w:cs="Arial" w:eastAsia="Arial" w:hAnsi="Arial"/>
          <w:sz w:val="14"/>
          <w:szCs w:val="14"/>
          <w:color w:val="auto"/>
        </w:rPr>
        <w:t>We have audited the financial statements of the Royal Dutch Shell Dividend Access Trust for the year ended December 31, 2007, which comprise the Statement of Income, the Balance Sheet, the Statement of Changes in Equity, the Statement of Cash Flows and the related notes. These financial statements have been prepared under the accounting policies set out therein.</w:t>
      </w:r>
    </w:p>
    <w:p>
      <w:pPr>
        <w:spacing w:after="0" w:line="188" w:lineRule="exact"/>
        <w:rPr>
          <w:sz w:val="20"/>
          <w:szCs w:val="20"/>
          <w:color w:val="auto"/>
        </w:rPr>
      </w:pPr>
    </w:p>
    <w:p>
      <w:pPr>
        <w:ind w:left="240" w:right="100"/>
        <w:spacing w:after="0" w:line="234" w:lineRule="auto"/>
        <w:rPr>
          <w:sz w:val="20"/>
          <w:szCs w:val="20"/>
          <w:color w:val="auto"/>
        </w:rPr>
      </w:pPr>
      <w:r>
        <w:rPr>
          <w:rFonts w:ascii="Arial" w:cs="Arial" w:eastAsia="Arial" w:hAnsi="Arial"/>
          <w:sz w:val="14"/>
          <w:szCs w:val="14"/>
          <w:b w:val="1"/>
          <w:bCs w:val="1"/>
          <w:color w:val="auto"/>
        </w:rPr>
        <w:t xml:space="preserve">RESPECTIVE RESPONSIBILITIES OF DIRECTORS AND AUDITORS </w:t>
      </w:r>
      <w:r>
        <w:rPr>
          <w:rFonts w:ascii="Arial" w:cs="Arial" w:eastAsia="Arial" w:hAnsi="Arial"/>
          <w:sz w:val="14"/>
          <w:szCs w:val="14"/>
          <w:color w:val="auto"/>
        </w:rPr>
        <w:t>The Trustee is responsible for preparing the financial statements in accordance with applicable law and International Financial Reporting Standards (IFRSs) as adopted by the European Union.</w:t>
      </w:r>
    </w:p>
    <w:p>
      <w:pPr>
        <w:spacing w:after="0" w:line="73" w:lineRule="exact"/>
        <w:rPr>
          <w:sz w:val="20"/>
          <w:szCs w:val="20"/>
          <w:color w:val="auto"/>
        </w:rPr>
      </w:pPr>
    </w:p>
    <w:p>
      <w:pPr>
        <w:ind w:left="240" w:right="20"/>
        <w:spacing w:after="0" w:line="224" w:lineRule="auto"/>
        <w:rPr>
          <w:sz w:val="20"/>
          <w:szCs w:val="20"/>
          <w:color w:val="auto"/>
        </w:rPr>
      </w:pPr>
      <w:r>
        <w:rPr>
          <w:rFonts w:ascii="Arial" w:cs="Arial" w:eastAsia="Arial" w:hAnsi="Arial"/>
          <w:sz w:val="14"/>
          <w:szCs w:val="14"/>
          <w:color w:val="auto"/>
        </w:rPr>
        <w:t>Our responsibility is to audit the financial statements in accordance with relevant legal and regulatory requirements and International Standards on Auditing (UK and Ireland). This report, including the opinion, has been prepared for the Trustee and the Royal Dutch Shell plc Class B shareholders as a group in accordance with clause 9.4 of the Trust Deed, and for no other purpose. We do not, in giving this opinion, accept or assume responsibility for any other purpose or to any other person to whom this report is shown or into whose hands it may come save where expressly agreed by our prior consent in writing.</w:t>
      </w:r>
    </w:p>
    <w:p>
      <w:pPr>
        <w:spacing w:after="0" w:line="77" w:lineRule="exact"/>
        <w:rPr>
          <w:sz w:val="20"/>
          <w:szCs w:val="20"/>
          <w:color w:val="auto"/>
        </w:rPr>
      </w:pPr>
    </w:p>
    <w:p>
      <w:pPr>
        <w:jc w:val="both"/>
        <w:ind w:left="240" w:right="60"/>
        <w:spacing w:after="0" w:line="231" w:lineRule="auto"/>
        <w:rPr>
          <w:sz w:val="20"/>
          <w:szCs w:val="20"/>
          <w:color w:val="auto"/>
        </w:rPr>
      </w:pPr>
      <w:r>
        <w:rPr>
          <w:rFonts w:ascii="Arial" w:cs="Arial" w:eastAsia="Arial" w:hAnsi="Arial"/>
          <w:sz w:val="14"/>
          <w:szCs w:val="14"/>
          <w:color w:val="auto"/>
        </w:rPr>
        <w:t>We report to you our opinion as to whether the financial statements give a true and fair view. We also report to you if, in our opinion the Trust has not kept proper accounting records, or if we have not received all the information and explanations we require for our audit.</w:t>
      </w:r>
    </w:p>
    <w:p>
      <w:pPr>
        <w:spacing w:after="0" w:line="73" w:lineRule="exact"/>
        <w:rPr>
          <w:sz w:val="20"/>
          <w:szCs w:val="20"/>
          <w:color w:val="auto"/>
        </w:rPr>
      </w:pPr>
    </w:p>
    <w:p>
      <w:pPr>
        <w:ind w:left="240"/>
        <w:spacing w:after="0" w:line="269" w:lineRule="auto"/>
        <w:rPr>
          <w:sz w:val="20"/>
          <w:szCs w:val="20"/>
          <w:color w:val="auto"/>
        </w:rPr>
      </w:pPr>
      <w:r>
        <w:rPr>
          <w:rFonts w:ascii="Arial" w:cs="Arial" w:eastAsia="Arial" w:hAnsi="Arial"/>
          <w:sz w:val="12"/>
          <w:szCs w:val="12"/>
          <w:color w:val="auto"/>
        </w:rPr>
        <w:t>We read the other information contained in the Royal Dutch Shell Annual Report, and consider whether it is consistent with the audited financial statements. This other information comprises the other sections of the Royal Dutch Shell Annual Report and Accounts and Annual Report on Form 20-F. We consider the implications for our report if we become aware of any apparent misstatements or material inconsistencies with the financial statements. Our responsibilities do not extend to any other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AUDIT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-93345</wp:posOffset>
            </wp:positionV>
            <wp:extent cx="282575" cy="941578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2575" cy="9415780"/>
                    </a:xfrm>
                    <a:prstGeom prst="rect">
                      <a:avLst/>
                    </a:prstGeom>
                    <a:noFill/>
                  </pic:spPr>
                </pic:pic>
              </a:graphicData>
            </a:graphic>
          </wp:anchor>
        </w:drawing>
      </w:r>
    </w:p>
    <w:p>
      <w:pPr>
        <w:ind w:right="20"/>
        <w:spacing w:after="0"/>
        <w:rPr>
          <w:sz w:val="20"/>
          <w:szCs w:val="20"/>
          <w:color w:val="auto"/>
        </w:rPr>
      </w:pPr>
      <w:r>
        <w:rPr>
          <w:rFonts w:ascii="Arial" w:cs="Arial" w:eastAsia="Arial" w:hAnsi="Arial"/>
          <w:sz w:val="13"/>
          <w:szCs w:val="13"/>
          <w:color w:val="auto"/>
        </w:rPr>
        <w:t>We conducted our audit in accordance with International Standards on Auditing (UK and Ireland) issued by the Auditing Practices Board. An audit includes examination, on a test basis, of evidence relevant to the amounts and disclosures in the financial statements. It also includes an assessment of the significant estimates and judgments made by the Trustee in the preparation of the financial statements, and of whether the accounting policies are in accordance with the requirements of the Trust Deed, consistently applied and adequately disclosed.</w:t>
      </w:r>
    </w:p>
    <w:p>
      <w:pPr>
        <w:spacing w:after="0" w:line="74" w:lineRule="exact"/>
        <w:rPr>
          <w:sz w:val="20"/>
          <w:szCs w:val="20"/>
          <w:color w:val="auto"/>
        </w:rPr>
      </w:pPr>
    </w:p>
    <w:p>
      <w:pPr>
        <w:ind w:right="340"/>
        <w:spacing w:after="0" w:line="245" w:lineRule="auto"/>
        <w:rPr>
          <w:sz w:val="20"/>
          <w:szCs w:val="20"/>
          <w:color w:val="auto"/>
        </w:rPr>
      </w:pPr>
      <w:r>
        <w:rPr>
          <w:rFonts w:ascii="Arial" w:cs="Arial" w:eastAsia="Arial" w:hAnsi="Arial"/>
          <w:sz w:val="13"/>
          <w:szCs w:val="13"/>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w:t>
      </w:r>
    </w:p>
    <w:p>
      <w:pPr>
        <w:spacing w:after="0" w:line="6" w:lineRule="exact"/>
        <w:rPr>
          <w:sz w:val="20"/>
          <w:szCs w:val="20"/>
          <w:color w:val="auto"/>
        </w:rPr>
      </w:pPr>
    </w:p>
    <w:p>
      <w:pPr>
        <w:ind w:right="240"/>
        <w:spacing w:after="0" w:line="250" w:lineRule="auto"/>
        <w:rPr>
          <w:sz w:val="20"/>
          <w:szCs w:val="20"/>
          <w:color w:val="auto"/>
        </w:rPr>
      </w:pPr>
      <w:r>
        <w:rPr>
          <w:rFonts w:ascii="Arial" w:cs="Arial" w:eastAsia="Arial" w:hAnsi="Arial"/>
          <w:sz w:val="13"/>
          <w:szCs w:val="13"/>
          <w:color w:val="auto"/>
        </w:rPr>
        <w:t>In our opinion the financial statements give a true and fair view, in accordance with IFRSs as adopted by the European Union, of the state of the Trust’s affairs as at December 31, 2007, and of its result and cash flows for the year then ended.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0" w:lineRule="auto"/>
        <w:rPr>
          <w:sz w:val="20"/>
          <w:szCs w:val="20"/>
          <w:color w:val="auto"/>
        </w:rPr>
      </w:pPr>
      <w:r>
        <w:rPr>
          <w:rFonts w:ascii="Arial" w:cs="Arial" w:eastAsia="Arial" w:hAnsi="Arial"/>
          <w:sz w:val="14"/>
          <w:szCs w:val="14"/>
          <w:color w:val="auto"/>
        </w:rPr>
        <w:t>Chartered Accountants and Registered Auditors</w:t>
      </w:r>
    </w:p>
    <w:p>
      <w:pPr>
        <w:spacing w:after="0" w:line="219" w:lineRule="auto"/>
        <w:rPr>
          <w:sz w:val="20"/>
          <w:szCs w:val="20"/>
          <w:color w:val="auto"/>
        </w:rPr>
      </w:pPr>
      <w:r>
        <w:rPr>
          <w:rFonts w:ascii="Arial" w:cs="Arial" w:eastAsia="Arial" w:hAnsi="Arial"/>
          <w:sz w:val="14"/>
          <w:szCs w:val="14"/>
          <w:color w:val="auto"/>
        </w:rPr>
        <w:t>London</w:t>
      </w:r>
    </w:p>
    <w:p>
      <w:pPr>
        <w:spacing w:after="0"/>
        <w:rPr>
          <w:sz w:val="20"/>
          <w:szCs w:val="20"/>
          <w:color w:val="auto"/>
        </w:rPr>
      </w:pPr>
      <w:r>
        <w:rPr>
          <w:rFonts w:ascii="Arial" w:cs="Arial" w:eastAsia="Arial" w:hAnsi="Arial"/>
          <w:sz w:val="14"/>
          <w:szCs w:val="14"/>
          <w:color w:val="auto"/>
        </w:rPr>
        <w:t>March 12, 2008</w:t>
      </w:r>
    </w:p>
    <w:p>
      <w:pPr>
        <w:spacing w:after="0" w:line="1234" w:lineRule="exact"/>
        <w:rPr>
          <w:sz w:val="20"/>
          <w:szCs w:val="20"/>
          <w:color w:val="auto"/>
        </w:rPr>
      </w:pPr>
    </w:p>
    <w:p>
      <w:pPr>
        <w:sectPr>
          <w:pgSz w:w="11900" w:h="16838" w:orient="portrait"/>
          <w:cols w:equalWidth="0" w:num="2">
            <w:col w:w="5220" w:space="420"/>
            <w:col w:w="4980"/>
          </w:cols>
          <w:pgMar w:left="240" w:top="415" w:right="1039" w:bottom="73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180"/>
        <w:spacing w:after="0"/>
        <w:tabs>
          <w:tab w:leader="none" w:pos="104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195</w:t>
      </w:r>
    </w:p>
    <w:p>
      <w:pPr>
        <w:sectPr>
          <w:pgSz w:w="11900" w:h="16838" w:orient="portrait"/>
          <w:cols w:equalWidth="0" w:num="1">
            <w:col w:w="10620"/>
          </w:cols>
          <w:pgMar w:left="240" w:top="415" w:right="1039" w:bottom="736" w:gutter="0" w:footer="0" w:header="0"/>
          <w:type w:val="continuous"/>
        </w:sectPr>
      </w:pPr>
    </w:p>
    <w:bookmarkStart w:id="201" w:name="page202"/>
    <w:bookmarkEnd w:id="201"/>
    <w:p>
      <w:pPr>
        <w:spacing w:after="0"/>
        <w:tabs>
          <w:tab w:leader="none" w:pos="10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687070</wp:posOffset>
            </wp:positionV>
            <wp:extent cx="7252970" cy="209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2970" cy="20955"/>
                    </a:xfrm>
                    <a:prstGeom prst="rect">
                      <a:avLst/>
                    </a:prstGeom>
                    <a:noFill/>
                  </pic:spPr>
                </pic:pic>
              </a:graphicData>
            </a:graphic>
          </wp:anchor>
        </w:drawing>
        <w:drawing>
          <wp:anchor simplePos="0" relativeHeight="251657728" behindDoc="1" locked="0" layoutInCell="0" allowOverlap="1">
            <wp:simplePos x="0" y="0"/>
            <wp:positionH relativeFrom="page">
              <wp:posOffset>7185025</wp:posOffset>
            </wp:positionH>
            <wp:positionV relativeFrom="page">
              <wp:posOffset>88900</wp:posOffset>
            </wp:positionV>
            <wp:extent cx="282575" cy="762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2575" cy="76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REPORTS OF THE INDEPENDENT AUDITORS</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ON THE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34759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475990"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05" w:lineRule="exact"/>
        <w:rPr>
          <w:sz w:val="20"/>
          <w:szCs w:val="20"/>
          <w:color w:val="auto"/>
        </w:rPr>
      </w:pPr>
    </w:p>
    <w:p>
      <w:pPr>
        <w:ind w:right="300"/>
        <w:spacing w:after="0" w:line="241" w:lineRule="auto"/>
        <w:rPr>
          <w:sz w:val="20"/>
          <w:szCs w:val="20"/>
          <w:color w:val="auto"/>
        </w:rPr>
      </w:pPr>
      <w:r>
        <w:rPr>
          <w:rFonts w:ascii="Arial" w:cs="Arial" w:eastAsia="Arial" w:hAnsi="Arial"/>
          <w:sz w:val="14"/>
          <w:szCs w:val="14"/>
          <w:b w:val="1"/>
          <w:bCs w:val="1"/>
          <w:color w:val="auto"/>
        </w:rPr>
        <w:t>TO LLOYDS TSB OFFSHORE TRUST COMPANY LIMITED, TRUSTEE OF THE ROYAL DUTCH SHELL DIVIDEND ACCESS TRUST AND THE BOARD OF DIRECTORS AND SHAREHOLDERS OF ROYAL DUTCH SHELL PLC</w:t>
      </w:r>
    </w:p>
    <w:p>
      <w:pPr>
        <w:spacing w:after="0" w:line="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In our opinion, the accompanying Statement of Income and the related Balance Sheet, Statement of Changes in Equity and Statement of Cash Flows present fairly, in all material respects, the financial position of the Royal Dutch Shell Dividend Access Trust at December 31, 2007, and December 31, 2006, and the results of its operations and cash flows for each of the three periods ended December 31, 2007, in conformity with International Financial Reporting Standards (IFRSs) as issued by the International Accounting Standards Board. Also, in our opinion the Trust maintained, in all material respects, effective internal control over financial reporting as of December 31, 2007,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Integrated Framework</w:t>
      </w:r>
      <w:r>
        <w:rPr>
          <w:rFonts w:ascii="Arial" w:cs="Arial" w:eastAsia="Arial" w:hAnsi="Arial"/>
          <w:sz w:val="12"/>
          <w:szCs w:val="12"/>
          <w:color w:val="auto"/>
        </w:rPr>
        <w:t>” issued by the COSO. The Trustee and the management of Royal Dutch</w:t>
      </w:r>
      <w:r>
        <w:rPr>
          <w:rFonts w:ascii="Arial" w:cs="Arial" w:eastAsia="Arial" w:hAnsi="Arial"/>
          <w:sz w:val="12"/>
          <w:szCs w:val="12"/>
          <w:i w:val="1"/>
          <w:iCs w:val="1"/>
          <w:color w:val="auto"/>
        </w:rPr>
        <w:t xml:space="preserve"> </w:t>
      </w:r>
      <w:r>
        <w:rPr>
          <w:rFonts w:ascii="Arial" w:cs="Arial" w:eastAsia="Arial" w:hAnsi="Arial"/>
          <w:sz w:val="12"/>
          <w:szCs w:val="12"/>
          <w:color w:val="auto"/>
        </w:rPr>
        <w:t>Shell plc are responsible for these financial statements, for maintaining effective internal control over financial reporting and for the assessment of the effectiveness of internal control over financial reporting, included in the accompanying Corporate Governance Report as set out on page 91. Our responsibility is to express opinions on these financial statements and on the Trust’s internal control over financial reporting based on our audits which were integrated audits in 2007 and 2006.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196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(iii) provide reasonable assurance regarding prevention or timely detection of unauthorised acquisition, use, or disposition of the company’s assets that could have a material effect on the financial statements.</w:t>
      </w:r>
    </w:p>
    <w:p>
      <w:pPr>
        <w:spacing w:after="0" w:line="214"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20" w:lineRule="auto"/>
        <w:rPr>
          <w:sz w:val="20"/>
          <w:szCs w:val="20"/>
          <w:color w:val="auto"/>
        </w:rPr>
      </w:pPr>
      <w:r>
        <w:rPr>
          <w:rFonts w:ascii="Arial" w:cs="Arial" w:eastAsia="Arial" w:hAnsi="Arial"/>
          <w:sz w:val="14"/>
          <w:szCs w:val="14"/>
          <w:color w:val="auto"/>
        </w:rPr>
        <w:t>London</w:t>
      </w: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b w:val="1"/>
          <w:bCs w:val="1"/>
          <w:color w:val="auto"/>
        </w:rPr>
        <w:t>Note that the report set out above is included for the purpose of Royal Dutch Shell’s Annual Report on Form 20-F for 2007 only and does not form part of Royal Dutch Shell’s Annual Report and Accounts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1646555</wp:posOffset>
            </wp:positionV>
            <wp:extent cx="7252970" cy="209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80" w:space="460"/>
            <w:col w:w="5460"/>
          </w:cols>
          <w:pgMar w:left="240" w:top="415"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7040880</wp:posOffset>
            </wp:positionH>
            <wp:positionV relativeFrom="paragraph">
              <wp:posOffset>285750</wp:posOffset>
            </wp:positionV>
            <wp:extent cx="211455" cy="93294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11455" cy="93294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color w:val="auto"/>
        </w:rPr>
        <w:t>Index to the Royal Dutch Shell</w:t>
      </w:r>
    </w:p>
    <w:p>
      <w:pPr>
        <w:spacing w:after="0" w:line="29" w:lineRule="exact"/>
        <w:rPr>
          <w:sz w:val="20"/>
          <w:szCs w:val="20"/>
          <w:color w:val="auto"/>
        </w:rPr>
      </w:pPr>
    </w:p>
    <w:p>
      <w:pPr>
        <w:spacing w:after="0"/>
        <w:rPr>
          <w:sz w:val="20"/>
          <w:szCs w:val="20"/>
          <w:color w:val="auto"/>
        </w:rPr>
      </w:pPr>
      <w:r>
        <w:rPr>
          <w:rFonts w:ascii="Arial" w:cs="Arial" w:eastAsia="Arial" w:hAnsi="Arial"/>
          <w:sz w:val="36"/>
          <w:szCs w:val="36"/>
          <w:color w:val="auto"/>
        </w:rPr>
        <w:t>Dividend Access Trust Financial Statements</w:t>
      </w:r>
    </w:p>
    <w:p>
      <w:pPr>
        <w:spacing w:after="0" w:line="200" w:lineRule="exact"/>
        <w:rPr>
          <w:sz w:val="20"/>
          <w:szCs w:val="20"/>
          <w:color w:val="auto"/>
        </w:rPr>
      </w:pPr>
    </w:p>
    <w:p>
      <w:pPr>
        <w:spacing w:after="0" w:line="337" w:lineRule="exact"/>
        <w:rPr>
          <w:sz w:val="20"/>
          <w:szCs w:val="20"/>
          <w:color w:val="auto"/>
        </w:rPr>
      </w:pPr>
    </w:p>
    <w:tbl>
      <w:tblPr>
        <w:tblLayout w:type="fixed"/>
        <w:tblInd w:w="10" w:type="dxa"/>
        <w:tblCellMar>
          <w:top w:w="0" w:type="dxa"/>
          <w:left w:w="0" w:type="dxa"/>
          <w:bottom w:w="0" w:type="dxa"/>
          <w:right w:w="0" w:type="dxa"/>
        </w:tblCellMar>
      </w:tblPr>
      <w:tr>
        <w:trPr>
          <w:trHeight w:val="145"/>
        </w:trPr>
        <w:tc>
          <w:tcPr>
            <w:tcW w:w="1160" w:type="dxa"/>
            <w:vAlign w:val="bottom"/>
            <w:tcBorders>
              <w:bottom w:val="single" w:sz="8" w:color="0000EE"/>
            </w:tcBorders>
            <w:gridSpan w:val="4"/>
          </w:tcPr>
          <w:p>
            <w:pPr>
              <w:ind w:left="20"/>
              <w:spacing w:after="0"/>
              <w:rPr>
                <w:rFonts w:ascii="Arial" w:cs="Arial" w:eastAsia="Arial" w:hAnsi="Arial"/>
                <w:sz w:val="12"/>
                <w:szCs w:val="12"/>
                <w:color w:val="0000EE"/>
              </w:rPr>
            </w:pPr>
            <w:hyperlink w:anchor="page205">
              <w:r>
                <w:rPr>
                  <w:rFonts w:ascii="Arial" w:cs="Arial" w:eastAsia="Arial" w:hAnsi="Arial"/>
                  <w:sz w:val="12"/>
                  <w:szCs w:val="12"/>
                  <w:color w:val="0000EE"/>
                </w:rPr>
                <w:t>Statement of Income</w:t>
              </w:r>
            </w:hyperlink>
          </w:p>
        </w:tc>
        <w:tc>
          <w:tcPr>
            <w:tcW w:w="3400" w:type="dxa"/>
            <w:vAlign w:val="bottom"/>
            <w:tcBorders>
              <w:bottom w:val="single" w:sz="8" w:color="E4E3E1"/>
            </w:tcBorders>
            <w:gridSpan w:val="7"/>
          </w:tcPr>
          <w:p>
            <w:pPr>
              <w:spacing w:after="0"/>
              <w:rPr>
                <w:sz w:val="12"/>
                <w:szCs w:val="12"/>
                <w:color w:val="auto"/>
              </w:rPr>
            </w:pPr>
          </w:p>
        </w:tc>
        <w:tc>
          <w:tcPr>
            <w:tcW w:w="700" w:type="dxa"/>
            <w:vAlign w:val="bottom"/>
            <w:tcBorders>
              <w:bottom w:val="single" w:sz="8" w:color="E4E3E1"/>
            </w:tcBorders>
          </w:tcPr>
          <w:p>
            <w:pPr>
              <w:jc w:val="right"/>
              <w:ind w:right="38"/>
              <w:spacing w:after="0"/>
              <w:rPr>
                <w:sz w:val="20"/>
                <w:szCs w:val="20"/>
                <w:color w:val="auto"/>
              </w:rPr>
            </w:pPr>
            <w:r>
              <w:rPr>
                <w:rFonts w:ascii="Arial" w:cs="Arial" w:eastAsia="Arial" w:hAnsi="Arial"/>
                <w:sz w:val="12"/>
                <w:szCs w:val="12"/>
                <w:color w:val="auto"/>
              </w:rPr>
              <w:t>198</w:t>
            </w:r>
          </w:p>
        </w:tc>
      </w:tr>
      <w:tr>
        <w:trPr>
          <w:trHeight w:val="133"/>
        </w:trPr>
        <w:tc>
          <w:tcPr>
            <w:tcW w:w="4560" w:type="dxa"/>
            <w:vAlign w:val="bottom"/>
            <w:gridSpan w:val="11"/>
          </w:tcPr>
          <w:p>
            <w:pPr>
              <w:ind w:left="20"/>
              <w:spacing w:after="0" w:line="133" w:lineRule="exact"/>
              <w:rPr>
                <w:rFonts w:ascii="Arial" w:cs="Arial" w:eastAsia="Arial" w:hAnsi="Arial"/>
                <w:sz w:val="12"/>
                <w:szCs w:val="12"/>
                <w:color w:val="0000EE"/>
              </w:rPr>
            </w:pPr>
            <w:hyperlink w:anchor="page206">
              <w:r>
                <w:rPr>
                  <w:rFonts w:ascii="Arial" w:cs="Arial" w:eastAsia="Arial" w:hAnsi="Arial"/>
                  <w:sz w:val="12"/>
                  <w:szCs w:val="12"/>
                  <w:color w:val="0000EE"/>
                </w:rPr>
                <w:t>Balance Sheet</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199</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400" w:type="dxa"/>
            <w:vAlign w:val="bottom"/>
            <w:tcBorders>
              <w:right w:val="single" w:sz="8" w:color="0000EE"/>
            </w:tcBorders>
            <w:gridSpan w:val="2"/>
            <w:shd w:val="clear" w:color="auto" w:fill="0000EE"/>
          </w:tcPr>
          <w:p>
            <w:pPr>
              <w:spacing w:after="0"/>
              <w:rPr>
                <w:sz w:val="2"/>
                <w:szCs w:val="2"/>
                <w:color w:val="auto"/>
              </w:rPr>
            </w:pPr>
          </w:p>
        </w:tc>
        <w:tc>
          <w:tcPr>
            <w:tcW w:w="340" w:type="dxa"/>
            <w:vAlign w:val="bottom"/>
            <w:shd w:val="clear" w:color="auto" w:fill="E4E3E1"/>
          </w:tcPr>
          <w:p>
            <w:pPr>
              <w:spacing w:after="0"/>
              <w:rPr>
                <w:sz w:val="2"/>
                <w:szCs w:val="2"/>
                <w:color w:val="auto"/>
              </w:rPr>
            </w:pPr>
          </w:p>
        </w:tc>
        <w:tc>
          <w:tcPr>
            <w:tcW w:w="140" w:type="dxa"/>
            <w:vAlign w:val="bottom"/>
            <w:tcBorders>
              <w:right w:val="single" w:sz="8" w:color="E4E3E1"/>
            </w:tcBorders>
            <w:shd w:val="clear" w:color="auto" w:fill="E4E3E1"/>
          </w:tcPr>
          <w:p>
            <w:pPr>
              <w:spacing w:after="0"/>
              <w:rPr>
                <w:sz w:val="2"/>
                <w:szCs w:val="2"/>
                <w:color w:val="auto"/>
              </w:rPr>
            </w:pPr>
          </w:p>
        </w:tc>
        <w:tc>
          <w:tcPr>
            <w:tcW w:w="100" w:type="dxa"/>
            <w:vAlign w:val="bottom"/>
            <w:shd w:val="clear" w:color="auto" w:fill="E4E3E1"/>
          </w:tcPr>
          <w:p>
            <w:pPr>
              <w:spacing w:after="0"/>
              <w:rPr>
                <w:sz w:val="2"/>
                <w:szCs w:val="2"/>
                <w:color w:val="auto"/>
              </w:rPr>
            </w:pPr>
          </w:p>
        </w:tc>
        <w:tc>
          <w:tcPr>
            <w:tcW w:w="220" w:type="dxa"/>
            <w:vAlign w:val="bottom"/>
            <w:shd w:val="clear" w:color="auto" w:fill="E4E3E1"/>
          </w:tcPr>
          <w:p>
            <w:pPr>
              <w:spacing w:after="0"/>
              <w:rPr>
                <w:sz w:val="2"/>
                <w:szCs w:val="2"/>
                <w:color w:val="auto"/>
              </w:rPr>
            </w:pPr>
          </w:p>
        </w:tc>
        <w:tc>
          <w:tcPr>
            <w:tcW w:w="320" w:type="dxa"/>
            <w:vAlign w:val="bottom"/>
            <w:tcBorders>
              <w:right w:val="single" w:sz="8" w:color="E4E3E1"/>
            </w:tcBorders>
            <w:shd w:val="clear" w:color="auto" w:fill="E4E3E1"/>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40"/>
        </w:trPr>
        <w:tc>
          <w:tcPr>
            <w:tcW w:w="1940" w:type="dxa"/>
            <w:vAlign w:val="bottom"/>
            <w:tcBorders>
              <w:bottom w:val="single" w:sz="8" w:color="0000EE"/>
            </w:tcBorders>
            <w:gridSpan w:val="8"/>
          </w:tcPr>
          <w:p>
            <w:pPr>
              <w:ind w:left="20"/>
              <w:spacing w:after="0" w:line="133" w:lineRule="exact"/>
              <w:rPr>
                <w:rFonts w:ascii="Arial" w:cs="Arial" w:eastAsia="Arial" w:hAnsi="Arial"/>
                <w:sz w:val="12"/>
                <w:szCs w:val="12"/>
                <w:color w:val="0000EE"/>
              </w:rPr>
            </w:pPr>
            <w:hyperlink w:anchor="page207">
              <w:r>
                <w:rPr>
                  <w:rFonts w:ascii="Arial" w:cs="Arial" w:eastAsia="Arial" w:hAnsi="Arial"/>
                  <w:sz w:val="12"/>
                  <w:szCs w:val="12"/>
                  <w:color w:val="0000EE"/>
                </w:rPr>
                <w:t>Statement of Changes in Equity</w:t>
              </w:r>
            </w:hyperlink>
          </w:p>
        </w:tc>
        <w:tc>
          <w:tcPr>
            <w:tcW w:w="2620" w:type="dxa"/>
            <w:vAlign w:val="bottom"/>
            <w:tcBorders>
              <w:bottom w:val="single" w:sz="8" w:color="E4E3E1"/>
            </w:tcBorders>
            <w:gridSpan w:val="3"/>
          </w:tcPr>
          <w:p>
            <w:pPr>
              <w:spacing w:after="0"/>
              <w:rPr>
                <w:sz w:val="12"/>
                <w:szCs w:val="12"/>
                <w:color w:val="auto"/>
              </w:rPr>
            </w:pPr>
          </w:p>
        </w:tc>
        <w:tc>
          <w:tcPr>
            <w:tcW w:w="700" w:type="dxa"/>
            <w:vAlign w:val="bottom"/>
            <w:tcBorders>
              <w:bottom w:val="single" w:sz="8" w:color="E4E3E1"/>
            </w:tcBorders>
          </w:tcPr>
          <w:p>
            <w:pPr>
              <w:jc w:val="right"/>
              <w:ind w:right="38"/>
              <w:spacing w:after="0" w:line="133" w:lineRule="exact"/>
              <w:rPr>
                <w:sz w:val="20"/>
                <w:szCs w:val="20"/>
                <w:color w:val="auto"/>
              </w:rPr>
            </w:pPr>
            <w:r>
              <w:rPr>
                <w:rFonts w:ascii="Arial" w:cs="Arial" w:eastAsia="Arial" w:hAnsi="Arial"/>
                <w:sz w:val="12"/>
                <w:szCs w:val="12"/>
                <w:color w:val="auto"/>
              </w:rPr>
              <w:t>200</w:t>
            </w:r>
          </w:p>
        </w:tc>
      </w:tr>
      <w:tr>
        <w:trPr>
          <w:trHeight w:val="133"/>
        </w:trPr>
        <w:tc>
          <w:tcPr>
            <w:tcW w:w="4560" w:type="dxa"/>
            <w:vAlign w:val="bottom"/>
            <w:gridSpan w:val="11"/>
          </w:tcPr>
          <w:p>
            <w:pPr>
              <w:ind w:left="20"/>
              <w:spacing w:after="0" w:line="133" w:lineRule="exact"/>
              <w:rPr>
                <w:rFonts w:ascii="Arial" w:cs="Arial" w:eastAsia="Arial" w:hAnsi="Arial"/>
                <w:sz w:val="12"/>
                <w:szCs w:val="12"/>
                <w:color w:val="0000EE"/>
              </w:rPr>
            </w:pPr>
            <w:hyperlink w:anchor="page208">
              <w:r>
                <w:rPr>
                  <w:rFonts w:ascii="Arial" w:cs="Arial" w:eastAsia="Arial" w:hAnsi="Arial"/>
                  <w:sz w:val="12"/>
                  <w:szCs w:val="12"/>
                  <w:color w:val="0000EE"/>
                </w:rPr>
                <w:t>Statement of Cash Flows</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201</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400" w:type="dxa"/>
            <w:vAlign w:val="bottom"/>
            <w:tcBorders>
              <w:right w:val="single" w:sz="8" w:color="0000EE"/>
            </w:tcBorders>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E4E3E1"/>
          </w:tcPr>
          <w:p>
            <w:pPr>
              <w:spacing w:after="0"/>
              <w:rPr>
                <w:sz w:val="2"/>
                <w:szCs w:val="2"/>
                <w:color w:val="auto"/>
              </w:rPr>
            </w:pPr>
          </w:p>
        </w:tc>
        <w:tc>
          <w:tcPr>
            <w:tcW w:w="320" w:type="dxa"/>
            <w:vAlign w:val="bottom"/>
            <w:tcBorders>
              <w:right w:val="single" w:sz="8" w:color="E4E3E1"/>
            </w:tcBorders>
            <w:shd w:val="clear" w:color="auto" w:fill="E4E3E1"/>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40"/>
        </w:trPr>
        <w:tc>
          <w:tcPr>
            <w:tcW w:w="4560" w:type="dxa"/>
            <w:vAlign w:val="bottom"/>
            <w:gridSpan w:val="11"/>
          </w:tcPr>
          <w:p>
            <w:pPr>
              <w:ind w:left="20"/>
              <w:spacing w:after="0" w:line="133" w:lineRule="exact"/>
              <w:rPr>
                <w:rFonts w:ascii="Arial" w:cs="Arial" w:eastAsia="Arial" w:hAnsi="Arial"/>
                <w:sz w:val="12"/>
                <w:szCs w:val="12"/>
                <w:color w:val="0000EE"/>
              </w:rPr>
            </w:pPr>
            <w:hyperlink w:anchor="page209">
              <w:r>
                <w:rPr>
                  <w:rFonts w:ascii="Arial" w:cs="Arial" w:eastAsia="Arial" w:hAnsi="Arial"/>
                  <w:sz w:val="12"/>
                  <w:szCs w:val="12"/>
                  <w:color w:val="0000EE"/>
                </w:rPr>
                <w:t>Notes to the Royal Dutch Shell Dividend Access Trust Financial Statements</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202</w:t>
            </w:r>
          </w:p>
        </w:tc>
      </w:tr>
      <w:tr>
        <w:trPr>
          <w:trHeight w:val="133"/>
        </w:trPr>
        <w:tc>
          <w:tcPr>
            <w:tcW w:w="420" w:type="dxa"/>
            <w:vAlign w:val="bottom"/>
            <w:tcBorders>
              <w:top w:val="single" w:sz="8" w:color="0000EE"/>
            </w:tcBorders>
          </w:tcPr>
          <w:p>
            <w:pPr>
              <w:ind w:left="20"/>
              <w:spacing w:after="0" w:line="133" w:lineRule="exact"/>
              <w:rPr>
                <w:rFonts w:ascii="Arial" w:cs="Arial" w:eastAsia="Arial" w:hAnsi="Arial"/>
                <w:sz w:val="12"/>
                <w:szCs w:val="12"/>
                <w:color w:val="0000EE"/>
                <w:w w:val="98"/>
              </w:rPr>
            </w:pPr>
            <w:hyperlink w:anchor="page209">
              <w:r>
                <w:rPr>
                  <w:rFonts w:ascii="Arial" w:cs="Arial" w:eastAsia="Arial" w:hAnsi="Arial"/>
                  <w:sz w:val="12"/>
                  <w:szCs w:val="12"/>
                  <w:color w:val="0000EE"/>
                  <w:w w:val="98"/>
                </w:rPr>
                <w:t>Note 1:</w:t>
              </w:r>
            </w:hyperlink>
          </w:p>
        </w:tc>
        <w:tc>
          <w:tcPr>
            <w:tcW w:w="180" w:type="dxa"/>
            <w:vAlign w:val="bottom"/>
            <w:tcBorders>
              <w:top w:val="single" w:sz="8" w:color="0000EE"/>
            </w:tcBorders>
          </w:tcPr>
          <w:p>
            <w:pPr>
              <w:spacing w:after="0"/>
              <w:rPr>
                <w:sz w:val="11"/>
                <w:szCs w:val="11"/>
                <w:color w:val="auto"/>
              </w:rPr>
            </w:pPr>
          </w:p>
        </w:tc>
        <w:tc>
          <w:tcPr>
            <w:tcW w:w="3560" w:type="dxa"/>
            <w:vAlign w:val="bottom"/>
            <w:tcBorders>
              <w:top w:val="single" w:sz="8" w:color="0000EE"/>
            </w:tcBorders>
            <w:gridSpan w:val="8"/>
          </w:tcPr>
          <w:p>
            <w:pPr>
              <w:ind w:left="180"/>
              <w:spacing w:after="0" w:line="133" w:lineRule="exact"/>
              <w:rPr>
                <w:rFonts w:ascii="Arial" w:cs="Arial" w:eastAsia="Arial" w:hAnsi="Arial"/>
                <w:sz w:val="12"/>
                <w:szCs w:val="12"/>
                <w:color w:val="0000EE"/>
              </w:rPr>
            </w:pPr>
            <w:hyperlink w:anchor="page209">
              <w:r>
                <w:rPr>
                  <w:rFonts w:ascii="Arial" w:cs="Arial" w:eastAsia="Arial" w:hAnsi="Arial"/>
                  <w:sz w:val="12"/>
                  <w:szCs w:val="12"/>
                  <w:color w:val="0000EE"/>
                </w:rPr>
                <w:t>The Trust</w:t>
              </w:r>
            </w:hyperlink>
          </w:p>
        </w:tc>
        <w:tc>
          <w:tcPr>
            <w:tcW w:w="400" w:type="dxa"/>
            <w:vAlign w:val="bottom"/>
            <w:tcBorders>
              <w:top w:val="single" w:sz="8" w:color="E4E3E1"/>
            </w:tcBorders>
          </w:tcPr>
          <w:p>
            <w:pPr>
              <w:spacing w:after="0"/>
              <w:rPr>
                <w:sz w:val="11"/>
                <w:szCs w:val="11"/>
                <w:color w:val="auto"/>
              </w:rPr>
            </w:pPr>
          </w:p>
        </w:tc>
        <w:tc>
          <w:tcPr>
            <w:tcW w:w="700" w:type="dxa"/>
            <w:vAlign w:val="bottom"/>
            <w:tcBorders>
              <w:top w:val="single" w:sz="8" w:color="E4E3E1"/>
            </w:tcBorders>
          </w:tcPr>
          <w:p>
            <w:pPr>
              <w:jc w:val="right"/>
              <w:ind w:right="38"/>
              <w:spacing w:after="0" w:line="133" w:lineRule="exact"/>
              <w:rPr>
                <w:sz w:val="20"/>
                <w:szCs w:val="20"/>
                <w:color w:val="auto"/>
              </w:rPr>
            </w:pPr>
            <w:r>
              <w:rPr>
                <w:rFonts w:ascii="Arial" w:cs="Arial" w:eastAsia="Arial" w:hAnsi="Arial"/>
                <w:sz w:val="12"/>
                <w:szCs w:val="12"/>
                <w:color w:val="auto"/>
              </w:rPr>
              <w:t>202</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4E3E1"/>
          </w:tcPr>
          <w:p>
            <w:pPr>
              <w:spacing w:after="0"/>
              <w:rPr>
                <w:sz w:val="2"/>
                <w:szCs w:val="2"/>
                <w:color w:val="auto"/>
              </w:rPr>
            </w:pPr>
          </w:p>
        </w:tc>
        <w:tc>
          <w:tcPr>
            <w:tcW w:w="220" w:type="dxa"/>
            <w:vAlign w:val="bottom"/>
            <w:shd w:val="clear" w:color="auto" w:fill="E4E3E1"/>
          </w:tcPr>
          <w:p>
            <w:pPr>
              <w:spacing w:after="0"/>
              <w:rPr>
                <w:sz w:val="2"/>
                <w:szCs w:val="2"/>
                <w:color w:val="auto"/>
              </w:rPr>
            </w:pPr>
          </w:p>
        </w:tc>
        <w:tc>
          <w:tcPr>
            <w:tcW w:w="320" w:type="dxa"/>
            <w:vAlign w:val="bottom"/>
            <w:tcBorders>
              <w:right w:val="single" w:sz="8" w:color="E4E3E1"/>
            </w:tcBorders>
            <w:shd w:val="clear" w:color="auto" w:fill="E4E3E1"/>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09">
              <w:r>
                <w:rPr>
                  <w:rFonts w:ascii="Arial" w:cs="Arial" w:eastAsia="Arial" w:hAnsi="Arial"/>
                  <w:sz w:val="12"/>
                  <w:szCs w:val="12"/>
                  <w:color w:val="0000EE"/>
                  <w:w w:val="98"/>
                </w:rPr>
                <w:t>Note 2:</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09">
              <w:r>
                <w:rPr>
                  <w:rFonts w:ascii="Arial" w:cs="Arial" w:eastAsia="Arial" w:hAnsi="Arial"/>
                  <w:sz w:val="12"/>
                  <w:szCs w:val="12"/>
                  <w:color w:val="0000EE"/>
                </w:rPr>
                <w:t>Basis of preparation</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202</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09">
              <w:r>
                <w:rPr>
                  <w:rFonts w:ascii="Arial" w:cs="Arial" w:eastAsia="Arial" w:hAnsi="Arial"/>
                  <w:sz w:val="12"/>
                  <w:szCs w:val="12"/>
                  <w:color w:val="0000EE"/>
                  <w:w w:val="98"/>
                </w:rPr>
                <w:t>Note 3:</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09">
              <w:r>
                <w:rPr>
                  <w:rFonts w:ascii="Arial" w:cs="Arial" w:eastAsia="Arial" w:hAnsi="Arial"/>
                  <w:sz w:val="12"/>
                  <w:szCs w:val="12"/>
                  <w:color w:val="0000EE"/>
                </w:rPr>
                <w:t>Accounting policies</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202</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10">
              <w:r>
                <w:rPr>
                  <w:rFonts w:ascii="Arial" w:cs="Arial" w:eastAsia="Arial" w:hAnsi="Arial"/>
                  <w:sz w:val="12"/>
                  <w:szCs w:val="12"/>
                  <w:color w:val="0000EE"/>
                  <w:w w:val="98"/>
                </w:rPr>
                <w:t>Note 4:</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10">
              <w:r>
                <w:rPr>
                  <w:rFonts w:ascii="Arial" w:cs="Arial" w:eastAsia="Arial" w:hAnsi="Arial"/>
                  <w:sz w:val="12"/>
                  <w:szCs w:val="12"/>
                  <w:color w:val="0000EE"/>
                </w:rPr>
                <w:t>Capital account</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E4E3E1"/>
            </w:tcBorders>
            <w:shd w:val="clear" w:color="auto" w:fill="E4E3E1"/>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10">
              <w:r>
                <w:rPr>
                  <w:rFonts w:ascii="Arial" w:cs="Arial" w:eastAsia="Arial" w:hAnsi="Arial"/>
                  <w:sz w:val="12"/>
                  <w:szCs w:val="12"/>
                  <w:color w:val="0000EE"/>
                  <w:w w:val="98"/>
                </w:rPr>
                <w:t>Note 5:</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10">
              <w:r>
                <w:rPr>
                  <w:rFonts w:ascii="Arial" w:cs="Arial" w:eastAsia="Arial" w:hAnsi="Arial"/>
                  <w:sz w:val="12"/>
                  <w:szCs w:val="12"/>
                  <w:color w:val="0000EE"/>
                </w:rPr>
                <w:t>Distributions made</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10">
              <w:r>
                <w:rPr>
                  <w:rFonts w:ascii="Arial" w:cs="Arial" w:eastAsia="Arial" w:hAnsi="Arial"/>
                  <w:sz w:val="12"/>
                  <w:szCs w:val="12"/>
                  <w:color w:val="0000EE"/>
                  <w:w w:val="98"/>
                </w:rPr>
                <w:t>Note 6:</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10">
              <w:r>
                <w:rPr>
                  <w:rFonts w:ascii="Arial" w:cs="Arial" w:eastAsia="Arial" w:hAnsi="Arial"/>
                  <w:sz w:val="12"/>
                  <w:szCs w:val="12"/>
                  <w:color w:val="0000EE"/>
                </w:rPr>
                <w:t>Audit fee</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E4E3E1"/>
            </w:tcBorders>
            <w:shd w:val="clear" w:color="auto" w:fill="0000EE"/>
          </w:tcPr>
          <w:p>
            <w:pPr>
              <w:spacing w:after="0"/>
              <w:rPr>
                <w:sz w:val="2"/>
                <w:szCs w:val="2"/>
                <w:color w:val="auto"/>
              </w:rPr>
            </w:pPr>
          </w:p>
        </w:tc>
        <w:tc>
          <w:tcPr>
            <w:tcW w:w="100" w:type="dxa"/>
            <w:vAlign w:val="bottom"/>
            <w:shd w:val="clear" w:color="auto" w:fill="E4E3E1"/>
          </w:tcPr>
          <w:p>
            <w:pPr>
              <w:spacing w:after="0"/>
              <w:rPr>
                <w:sz w:val="2"/>
                <w:szCs w:val="2"/>
                <w:color w:val="auto"/>
              </w:rPr>
            </w:pPr>
          </w:p>
        </w:tc>
        <w:tc>
          <w:tcPr>
            <w:tcW w:w="220" w:type="dxa"/>
            <w:vAlign w:val="bottom"/>
            <w:shd w:val="clear" w:color="auto" w:fill="E4E3E1"/>
          </w:tcPr>
          <w:p>
            <w:pPr>
              <w:spacing w:after="0"/>
              <w:rPr>
                <w:sz w:val="2"/>
                <w:szCs w:val="2"/>
                <w:color w:val="auto"/>
              </w:rPr>
            </w:pPr>
          </w:p>
        </w:tc>
        <w:tc>
          <w:tcPr>
            <w:tcW w:w="320" w:type="dxa"/>
            <w:vAlign w:val="bottom"/>
            <w:tcBorders>
              <w:right w:val="single" w:sz="8" w:color="E4E3E1"/>
            </w:tcBorders>
            <w:shd w:val="clear" w:color="auto" w:fill="E4E3E1"/>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10">
              <w:r>
                <w:rPr>
                  <w:rFonts w:ascii="Arial" w:cs="Arial" w:eastAsia="Arial" w:hAnsi="Arial"/>
                  <w:sz w:val="12"/>
                  <w:szCs w:val="12"/>
                  <w:color w:val="0000EE"/>
                  <w:w w:val="98"/>
                </w:rPr>
                <w:t>Note 7:</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10">
              <w:r>
                <w:rPr>
                  <w:rFonts w:ascii="Arial" w:cs="Arial" w:eastAsia="Arial" w:hAnsi="Arial"/>
                  <w:sz w:val="12"/>
                  <w:szCs w:val="12"/>
                  <w:color w:val="0000EE"/>
                </w:rPr>
                <w:t>Financial instruments</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E4E3E1"/>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r>
        <w:trPr>
          <w:trHeight w:val="133"/>
        </w:trPr>
        <w:tc>
          <w:tcPr>
            <w:tcW w:w="420" w:type="dxa"/>
            <w:vAlign w:val="bottom"/>
          </w:tcPr>
          <w:p>
            <w:pPr>
              <w:ind w:left="20"/>
              <w:spacing w:after="0" w:line="133" w:lineRule="exact"/>
              <w:rPr>
                <w:rFonts w:ascii="Arial" w:cs="Arial" w:eastAsia="Arial" w:hAnsi="Arial"/>
                <w:sz w:val="12"/>
                <w:szCs w:val="12"/>
                <w:color w:val="0000EE"/>
                <w:w w:val="98"/>
              </w:rPr>
            </w:pPr>
            <w:hyperlink w:anchor="page210">
              <w:r>
                <w:rPr>
                  <w:rFonts w:ascii="Arial" w:cs="Arial" w:eastAsia="Arial" w:hAnsi="Arial"/>
                  <w:sz w:val="12"/>
                  <w:szCs w:val="12"/>
                  <w:color w:val="0000EE"/>
                  <w:w w:val="98"/>
                </w:rPr>
                <w:t>Note 8:</w:t>
              </w:r>
            </w:hyperlink>
          </w:p>
        </w:tc>
        <w:tc>
          <w:tcPr>
            <w:tcW w:w="180" w:type="dxa"/>
            <w:vAlign w:val="bottom"/>
          </w:tcPr>
          <w:p>
            <w:pPr>
              <w:spacing w:after="0"/>
              <w:rPr>
                <w:sz w:val="11"/>
                <w:szCs w:val="11"/>
                <w:color w:val="auto"/>
              </w:rPr>
            </w:pPr>
          </w:p>
        </w:tc>
        <w:tc>
          <w:tcPr>
            <w:tcW w:w="3960" w:type="dxa"/>
            <w:vAlign w:val="bottom"/>
            <w:gridSpan w:val="9"/>
          </w:tcPr>
          <w:p>
            <w:pPr>
              <w:ind w:left="180"/>
              <w:spacing w:after="0" w:line="133" w:lineRule="exact"/>
              <w:rPr>
                <w:rFonts w:ascii="Arial" w:cs="Arial" w:eastAsia="Arial" w:hAnsi="Arial"/>
                <w:sz w:val="12"/>
                <w:szCs w:val="12"/>
                <w:color w:val="0000EE"/>
              </w:rPr>
            </w:pPr>
            <w:hyperlink w:anchor="page210">
              <w:r>
                <w:rPr>
                  <w:rFonts w:ascii="Arial" w:cs="Arial" w:eastAsia="Arial" w:hAnsi="Arial"/>
                  <w:sz w:val="12"/>
                  <w:szCs w:val="12"/>
                  <w:color w:val="0000EE"/>
                </w:rPr>
                <w:t>Related party transactions</w:t>
              </w:r>
            </w:hyperlink>
          </w:p>
        </w:tc>
        <w:tc>
          <w:tcPr>
            <w:tcW w:w="700" w:type="dxa"/>
            <w:vAlign w:val="bottom"/>
          </w:tcPr>
          <w:p>
            <w:pPr>
              <w:jc w:val="right"/>
              <w:ind w:right="38"/>
              <w:spacing w:after="0" w:line="133" w:lineRule="exact"/>
              <w:rPr>
                <w:sz w:val="20"/>
                <w:szCs w:val="20"/>
                <w:color w:val="auto"/>
              </w:rPr>
            </w:pPr>
            <w:r>
              <w:rPr>
                <w:rFonts w:ascii="Arial" w:cs="Arial" w:eastAsia="Arial" w:hAnsi="Arial"/>
                <w:sz w:val="12"/>
                <w:szCs w:val="12"/>
                <w:color w:val="auto"/>
              </w:rPr>
              <w:t>203</w:t>
            </w:r>
          </w:p>
        </w:tc>
      </w:tr>
      <w:tr>
        <w:trPr>
          <w:trHeight w:val="27"/>
        </w:trPr>
        <w:tc>
          <w:tcPr>
            <w:tcW w:w="420" w:type="dxa"/>
            <w:vAlign w:val="bottom"/>
            <w:tcBorders>
              <w:left w:val="single" w:sz="8" w:color="E4E3E1"/>
            </w:tcBorders>
            <w:shd w:val="clear" w:color="auto" w:fill="0000EE"/>
          </w:tcPr>
          <w:p>
            <w:pPr>
              <w:spacing w:after="0"/>
              <w:rPr>
                <w:sz w:val="2"/>
                <w:szCs w:val="2"/>
                <w:color w:val="auto"/>
              </w:rPr>
            </w:pPr>
          </w:p>
        </w:tc>
        <w:tc>
          <w:tcPr>
            <w:tcW w:w="180" w:type="dxa"/>
            <w:vAlign w:val="bottom"/>
            <w:shd w:val="clear" w:color="auto" w:fill="E4E3E1"/>
          </w:tcPr>
          <w:p>
            <w:pPr>
              <w:spacing w:after="0"/>
              <w:rPr>
                <w:sz w:val="2"/>
                <w:szCs w:val="2"/>
                <w:color w:val="auto"/>
              </w:rPr>
            </w:pPr>
          </w:p>
        </w:tc>
        <w:tc>
          <w:tcPr>
            <w:tcW w:w="220" w:type="dxa"/>
            <w:vAlign w:val="bottom"/>
            <w:tcBorders>
              <w:right w:val="single" w:sz="8" w:color="0000EE"/>
            </w:tcBorders>
            <w:shd w:val="clear" w:color="auto" w:fill="E4E3E1"/>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940" w:type="dxa"/>
            <w:vAlign w:val="bottom"/>
            <w:shd w:val="clear" w:color="auto" w:fill="E4E3E1"/>
          </w:tcPr>
          <w:p>
            <w:pPr>
              <w:spacing w:after="0"/>
              <w:rPr>
                <w:sz w:val="2"/>
                <w:szCs w:val="2"/>
                <w:color w:val="auto"/>
              </w:rPr>
            </w:pPr>
          </w:p>
        </w:tc>
        <w:tc>
          <w:tcPr>
            <w:tcW w:w="400" w:type="dxa"/>
            <w:vAlign w:val="bottom"/>
            <w:shd w:val="clear" w:color="auto" w:fill="E4E3E1"/>
          </w:tcPr>
          <w:p>
            <w:pPr>
              <w:spacing w:after="0"/>
              <w:rPr>
                <w:sz w:val="2"/>
                <w:szCs w:val="2"/>
                <w:color w:val="auto"/>
              </w:rPr>
            </w:pPr>
          </w:p>
        </w:tc>
        <w:tc>
          <w:tcPr>
            <w:tcW w:w="700" w:type="dxa"/>
            <w:vAlign w:val="bottom"/>
            <w:shd w:val="clear" w:color="auto" w:fill="E4E3E1"/>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202 to 203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725170</wp:posOffset>
            </wp:positionV>
            <wp:extent cx="7252970" cy="209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817"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6"/>
          <w:szCs w:val="36"/>
          <w:color w:val="auto"/>
        </w:rPr>
        <w:t>Royal Dutch Shell Dividend Access Trust Financial Statements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7340" w:type="dxa"/>
            <w:vAlign w:val="bottom"/>
            <w:gridSpan w:val="2"/>
            <w:shd w:val="clear" w:color="auto" w:fill="C7AAD0"/>
          </w:tcPr>
          <w:p>
            <w:pPr>
              <w:ind w:left="20"/>
              <w:spacing w:after="0"/>
              <w:rPr>
                <w:sz w:val="20"/>
                <w:szCs w:val="20"/>
                <w:color w:val="auto"/>
              </w:rPr>
            </w:pPr>
            <w:r>
              <w:rPr>
                <w:rFonts w:ascii="Arial" w:cs="Arial" w:eastAsia="Arial" w:hAnsi="Arial"/>
                <w:sz w:val="12"/>
                <w:szCs w:val="12"/>
                <w:b w:val="1"/>
                <w:bCs w:val="1"/>
                <w:color w:val="auto"/>
              </w:rPr>
              <w:t>STATEMENT OF INCOME</w:t>
            </w:r>
          </w:p>
        </w:tc>
        <w:tc>
          <w:tcPr>
            <w:tcW w:w="760" w:type="dxa"/>
            <w:vAlign w:val="bottom"/>
            <w:shd w:val="clear" w:color="auto" w:fill="C7AAD0"/>
          </w:tcPr>
          <w:p>
            <w:pPr>
              <w:spacing w:after="0"/>
              <w:rPr>
                <w:sz w:val="12"/>
                <w:szCs w:val="12"/>
                <w:color w:val="auto"/>
              </w:rPr>
            </w:pPr>
          </w:p>
        </w:tc>
        <w:tc>
          <w:tcPr>
            <w:tcW w:w="1500" w:type="dxa"/>
            <w:vAlign w:val="bottom"/>
            <w:shd w:val="clear" w:color="auto" w:fill="C7AAD0"/>
          </w:tcPr>
          <w:p>
            <w:pPr>
              <w:spacing w:after="0"/>
              <w:rPr>
                <w:sz w:val="12"/>
                <w:szCs w:val="12"/>
                <w:color w:val="auto"/>
              </w:rPr>
            </w:pPr>
          </w:p>
        </w:tc>
        <w:tc>
          <w:tcPr>
            <w:tcW w:w="1360" w:type="dxa"/>
            <w:vAlign w:val="bottom"/>
            <w:shd w:val="clear" w:color="auto" w:fill="C7AAD0"/>
          </w:tcPr>
          <w:p>
            <w:pPr>
              <w:jc w:val="right"/>
              <w:ind w:right="3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5500" w:type="dxa"/>
            <w:vAlign w:val="bottom"/>
            <w:shd w:val="clear" w:color="auto" w:fill="CECAC6"/>
          </w:tcPr>
          <w:p>
            <w:pPr>
              <w:spacing w:after="0"/>
              <w:rPr>
                <w:sz w:val="11"/>
                <w:szCs w:val="11"/>
                <w:color w:val="auto"/>
              </w:rPr>
            </w:pPr>
          </w:p>
        </w:tc>
        <w:tc>
          <w:tcPr>
            <w:tcW w:w="1840" w:type="dxa"/>
            <w:vAlign w:val="bottom"/>
            <w:vMerge w:val="restart"/>
            <w:shd w:val="clear" w:color="auto" w:fill="CECAC6"/>
          </w:tcPr>
          <w:p>
            <w:pPr>
              <w:ind w:left="760"/>
              <w:spacing w:after="0"/>
              <w:rPr>
                <w:sz w:val="20"/>
                <w:szCs w:val="20"/>
                <w:color w:val="auto"/>
              </w:rPr>
            </w:pPr>
            <w:r>
              <w:rPr>
                <w:rFonts w:ascii="Arial" w:cs="Arial" w:eastAsia="Arial" w:hAnsi="Arial"/>
                <w:sz w:val="12"/>
                <w:szCs w:val="12"/>
                <w:i w:val="1"/>
                <w:iCs w:val="1"/>
                <w:color w:val="auto"/>
              </w:rPr>
              <w:t>NOTES</w:t>
            </w:r>
          </w:p>
        </w:tc>
        <w:tc>
          <w:tcPr>
            <w:tcW w:w="760" w:type="dxa"/>
            <w:vAlign w:val="bottom"/>
            <w:shd w:val="clear" w:color="auto" w:fill="CECAC6"/>
          </w:tcPr>
          <w:p>
            <w:pPr>
              <w:spacing w:after="0"/>
              <w:rPr>
                <w:sz w:val="11"/>
                <w:szCs w:val="11"/>
                <w:color w:val="auto"/>
              </w:rPr>
            </w:pPr>
          </w:p>
        </w:tc>
        <w:tc>
          <w:tcPr>
            <w:tcW w:w="1500" w:type="dxa"/>
            <w:vAlign w:val="bottom"/>
            <w:shd w:val="clear" w:color="auto" w:fill="CECAC6"/>
          </w:tcPr>
          <w:p>
            <w:pPr>
              <w:spacing w:after="0"/>
              <w:rPr>
                <w:sz w:val="11"/>
                <w:szCs w:val="11"/>
                <w:color w:val="auto"/>
              </w:rPr>
            </w:pPr>
          </w:p>
        </w:tc>
        <w:tc>
          <w:tcPr>
            <w:tcW w:w="136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Period May 19 to</w:t>
            </w:r>
          </w:p>
        </w:tc>
        <w:tc>
          <w:tcPr>
            <w:tcW w:w="0" w:type="dxa"/>
            <w:vAlign w:val="bottom"/>
          </w:tcPr>
          <w:p>
            <w:pPr>
              <w:spacing w:after="0"/>
              <w:rPr>
                <w:sz w:val="1"/>
                <w:szCs w:val="1"/>
                <w:color w:val="auto"/>
              </w:rPr>
            </w:pPr>
          </w:p>
        </w:tc>
      </w:tr>
      <w:tr>
        <w:trPr>
          <w:trHeight w:val="139"/>
        </w:trPr>
        <w:tc>
          <w:tcPr>
            <w:tcW w:w="5500" w:type="dxa"/>
            <w:vAlign w:val="bottom"/>
            <w:shd w:val="clear" w:color="auto" w:fill="CECAC6"/>
          </w:tcPr>
          <w:p>
            <w:pPr>
              <w:spacing w:after="0"/>
              <w:rPr>
                <w:sz w:val="12"/>
                <w:szCs w:val="12"/>
                <w:color w:val="auto"/>
              </w:rPr>
            </w:pPr>
          </w:p>
        </w:tc>
        <w:tc>
          <w:tcPr>
            <w:tcW w:w="1840" w:type="dxa"/>
            <w:vAlign w:val="bottom"/>
            <w:vMerge w:val="continue"/>
            <w:shd w:val="clear" w:color="auto" w:fill="CECAC6"/>
          </w:tcPr>
          <w:p>
            <w:pPr>
              <w:spacing w:after="0"/>
              <w:rPr>
                <w:sz w:val="12"/>
                <w:szCs w:val="12"/>
                <w:color w:val="auto"/>
              </w:rPr>
            </w:pPr>
          </w:p>
        </w:tc>
        <w:tc>
          <w:tcPr>
            <w:tcW w:w="7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2007</w:t>
            </w:r>
          </w:p>
        </w:tc>
        <w:tc>
          <w:tcPr>
            <w:tcW w:w="150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2006</w:t>
            </w:r>
          </w:p>
        </w:tc>
        <w:tc>
          <w:tcPr>
            <w:tcW w:w="13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Dec 31, 2005</w:t>
            </w:r>
          </w:p>
        </w:tc>
        <w:tc>
          <w:tcPr>
            <w:tcW w:w="0" w:type="dxa"/>
            <w:vAlign w:val="bottom"/>
          </w:tcPr>
          <w:p>
            <w:pPr>
              <w:spacing w:after="0"/>
              <w:rPr>
                <w:sz w:val="1"/>
                <w:szCs w:val="1"/>
                <w:color w:val="auto"/>
              </w:rPr>
            </w:pPr>
          </w:p>
        </w:tc>
      </w:tr>
      <w:tr>
        <w:trPr>
          <w:trHeight w:val="260"/>
        </w:trPr>
        <w:tc>
          <w:tcPr>
            <w:tcW w:w="7340" w:type="dxa"/>
            <w:vAlign w:val="bottom"/>
            <w:gridSpan w:val="2"/>
          </w:tcPr>
          <w:p>
            <w:pPr>
              <w:ind w:left="20"/>
              <w:spacing w:after="0"/>
              <w:rPr>
                <w:sz w:val="20"/>
                <w:szCs w:val="20"/>
                <w:color w:val="auto"/>
              </w:rPr>
            </w:pPr>
            <w:r>
              <w:rPr>
                <w:rFonts w:ascii="Arial" w:cs="Arial" w:eastAsia="Arial" w:hAnsi="Arial"/>
                <w:sz w:val="12"/>
                <w:szCs w:val="12"/>
                <w:color w:val="auto"/>
              </w:rPr>
              <w:t>Dividend income</w:t>
            </w:r>
          </w:p>
        </w:tc>
        <w:tc>
          <w:tcPr>
            <w:tcW w:w="76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1,930</w:t>
            </w:r>
          </w:p>
        </w:tc>
        <w:tc>
          <w:tcPr>
            <w:tcW w:w="1500" w:type="dxa"/>
            <w:vAlign w:val="bottom"/>
          </w:tcPr>
          <w:p>
            <w:pPr>
              <w:jc w:val="right"/>
              <w:ind w:right="258"/>
              <w:spacing w:after="0"/>
              <w:rPr>
                <w:sz w:val="20"/>
                <w:szCs w:val="20"/>
                <w:color w:val="auto"/>
              </w:rPr>
            </w:pPr>
            <w:r>
              <w:rPr>
                <w:rFonts w:ascii="Arial" w:cs="Arial" w:eastAsia="Arial" w:hAnsi="Arial"/>
                <w:sz w:val="12"/>
                <w:szCs w:val="12"/>
                <w:color w:val="auto"/>
              </w:rPr>
              <w:t>1,837</w:t>
            </w:r>
          </w:p>
        </w:tc>
        <w:tc>
          <w:tcPr>
            <w:tcW w:w="1360" w:type="dxa"/>
            <w:vAlign w:val="bottom"/>
          </w:tcPr>
          <w:p>
            <w:pPr>
              <w:jc w:val="right"/>
              <w:ind w:right="38"/>
              <w:spacing w:after="0"/>
              <w:rPr>
                <w:sz w:val="20"/>
                <w:szCs w:val="20"/>
                <w:color w:val="auto"/>
              </w:rPr>
            </w:pPr>
            <w:r>
              <w:rPr>
                <w:rFonts w:ascii="Arial" w:cs="Arial" w:eastAsia="Arial" w:hAnsi="Arial"/>
                <w:sz w:val="12"/>
                <w:szCs w:val="12"/>
                <w:color w:val="auto"/>
              </w:rPr>
              <w:t>870</w:t>
            </w:r>
          </w:p>
        </w:tc>
        <w:tc>
          <w:tcPr>
            <w:tcW w:w="0" w:type="dxa"/>
            <w:vAlign w:val="bottom"/>
          </w:tcPr>
          <w:p>
            <w:pPr>
              <w:spacing w:after="0"/>
              <w:rPr>
                <w:sz w:val="1"/>
                <w:szCs w:val="1"/>
                <w:color w:val="auto"/>
              </w:rPr>
            </w:pPr>
          </w:p>
        </w:tc>
      </w:tr>
      <w:tr>
        <w:trPr>
          <w:trHeight w:val="139"/>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Finance costs</w:t>
            </w:r>
          </w:p>
        </w:tc>
        <w:tc>
          <w:tcPr>
            <w:tcW w:w="760" w:type="dxa"/>
            <w:vAlign w:val="bottom"/>
            <w:tcBorders>
              <w:bottom w:val="single" w:sz="8" w:color="auto"/>
            </w:tcBorders>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15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46"/>
        </w:trPr>
        <w:tc>
          <w:tcPr>
            <w:tcW w:w="73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Income before taxation and for the period</w:t>
            </w:r>
          </w:p>
        </w:tc>
        <w:tc>
          <w:tcPr>
            <w:tcW w:w="760" w:type="dxa"/>
            <w:vAlign w:val="bottom"/>
            <w:tcBorders>
              <w:bottom w:val="single" w:sz="8" w:color="auto"/>
            </w:tcBorders>
            <w:shd w:val="clear" w:color="auto" w:fill="CECAC6"/>
          </w:tcPr>
          <w:p>
            <w:pPr>
              <w:jc w:val="right"/>
              <w:ind w:right="38"/>
              <w:spacing w:after="0"/>
              <w:rPr>
                <w:sz w:val="20"/>
                <w:szCs w:val="20"/>
                <w:color w:val="auto"/>
              </w:rPr>
            </w:pPr>
            <w:r>
              <w:rPr>
                <w:rFonts w:ascii="Arial" w:cs="Arial" w:eastAsia="Arial" w:hAnsi="Arial"/>
                <w:sz w:val="12"/>
                <w:szCs w:val="12"/>
                <w:color w:val="auto"/>
              </w:rPr>
              <w:t>1,930</w:t>
            </w:r>
          </w:p>
        </w:tc>
        <w:tc>
          <w:tcPr>
            <w:tcW w:w="150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1,837</w:t>
            </w: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All results are from continuing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202 to 203 are an integral part of these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198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530860</wp:posOffset>
            </wp:positionV>
            <wp:extent cx="7252970" cy="209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7040880</wp:posOffset>
            </wp:positionH>
            <wp:positionV relativeFrom="paragraph">
              <wp:posOffset>201295</wp:posOffset>
            </wp:positionV>
            <wp:extent cx="211455" cy="91090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11455" cy="910907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80" w:type="dxa"/>
            <w:vAlign w:val="bottom"/>
            <w:shd w:val="clear" w:color="auto" w:fill="C7AAD0"/>
          </w:tcPr>
          <w:p>
            <w:pPr>
              <w:ind w:left="20"/>
              <w:spacing w:after="0"/>
              <w:rPr>
                <w:sz w:val="20"/>
                <w:szCs w:val="20"/>
                <w:color w:val="auto"/>
              </w:rPr>
            </w:pPr>
            <w:r>
              <w:rPr>
                <w:rFonts w:ascii="Arial" w:cs="Arial" w:eastAsia="Arial" w:hAnsi="Arial"/>
                <w:sz w:val="12"/>
                <w:szCs w:val="12"/>
                <w:b w:val="1"/>
                <w:bCs w:val="1"/>
                <w:color w:val="auto"/>
              </w:rPr>
              <w:t>BALANCE SHEET</w:t>
            </w:r>
          </w:p>
        </w:tc>
        <w:tc>
          <w:tcPr>
            <w:tcW w:w="4160" w:type="dxa"/>
            <w:vAlign w:val="bottom"/>
            <w:shd w:val="clear" w:color="auto" w:fill="C7AAD0"/>
          </w:tcPr>
          <w:p>
            <w:pPr>
              <w:spacing w:after="0"/>
              <w:rPr>
                <w:sz w:val="12"/>
                <w:szCs w:val="12"/>
                <w:color w:val="auto"/>
              </w:rPr>
            </w:pPr>
          </w:p>
        </w:tc>
        <w:tc>
          <w:tcPr>
            <w:tcW w:w="840" w:type="dxa"/>
            <w:vAlign w:val="bottom"/>
            <w:shd w:val="clear" w:color="auto" w:fill="C7AAD0"/>
          </w:tcPr>
          <w:p>
            <w:pPr>
              <w:spacing w:after="0"/>
              <w:rPr>
                <w:sz w:val="12"/>
                <w:szCs w:val="12"/>
                <w:color w:val="auto"/>
              </w:rPr>
            </w:pPr>
          </w:p>
        </w:tc>
        <w:tc>
          <w:tcPr>
            <w:tcW w:w="1380" w:type="dxa"/>
            <w:vAlign w:val="bottom"/>
            <w:shd w:val="clear" w:color="auto" w:fill="C7AAD0"/>
          </w:tcPr>
          <w:p>
            <w:pPr>
              <w:jc w:val="right"/>
              <w:ind w:right="38"/>
              <w:spacing w:after="0"/>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33"/>
        </w:trPr>
        <w:tc>
          <w:tcPr>
            <w:tcW w:w="4580" w:type="dxa"/>
            <w:vAlign w:val="bottom"/>
            <w:shd w:val="clear" w:color="auto" w:fill="CECAC6"/>
          </w:tcPr>
          <w:p>
            <w:pPr>
              <w:spacing w:after="0"/>
              <w:rPr>
                <w:sz w:val="11"/>
                <w:szCs w:val="11"/>
                <w:color w:val="auto"/>
              </w:rPr>
            </w:pPr>
          </w:p>
        </w:tc>
        <w:tc>
          <w:tcPr>
            <w:tcW w:w="4160" w:type="dxa"/>
            <w:vAlign w:val="bottom"/>
            <w:shd w:val="clear" w:color="auto" w:fill="CECAC6"/>
          </w:tcPr>
          <w:p>
            <w:pPr>
              <w:jc w:val="right"/>
              <w:ind w:right="598"/>
              <w:spacing w:after="0" w:line="133" w:lineRule="exact"/>
              <w:rPr>
                <w:sz w:val="20"/>
                <w:szCs w:val="20"/>
                <w:color w:val="auto"/>
              </w:rPr>
            </w:pPr>
            <w:r>
              <w:rPr>
                <w:rFonts w:ascii="Arial" w:cs="Arial" w:eastAsia="Arial" w:hAnsi="Arial"/>
                <w:sz w:val="12"/>
                <w:szCs w:val="12"/>
                <w:i w:val="1"/>
                <w:iCs w:val="1"/>
                <w:color w:val="auto"/>
              </w:rPr>
              <w:t>NOTES</w:t>
            </w:r>
          </w:p>
        </w:tc>
        <w:tc>
          <w:tcPr>
            <w:tcW w:w="840" w:type="dxa"/>
            <w:vAlign w:val="bottom"/>
            <w:shd w:val="clear" w:color="auto" w:fill="CECAC6"/>
          </w:tcPr>
          <w:p>
            <w:pPr>
              <w:spacing w:after="0" w:line="133" w:lineRule="exact"/>
              <w:rPr>
                <w:sz w:val="20"/>
                <w:szCs w:val="20"/>
                <w:color w:val="auto"/>
              </w:rPr>
            </w:pPr>
            <w:r>
              <w:rPr>
                <w:rFonts w:ascii="Arial" w:cs="Arial" w:eastAsia="Arial" w:hAnsi="Arial"/>
                <w:sz w:val="12"/>
                <w:szCs w:val="12"/>
                <w:color w:val="auto"/>
              </w:rPr>
              <w:t>Dec 31, 2007</w:t>
            </w:r>
          </w:p>
        </w:tc>
        <w:tc>
          <w:tcPr>
            <w:tcW w:w="138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Dec 31, 2006</w:t>
            </w:r>
          </w:p>
        </w:tc>
        <w:tc>
          <w:tcPr>
            <w:tcW w:w="0" w:type="dxa"/>
            <w:vAlign w:val="bottom"/>
          </w:tcPr>
          <w:p>
            <w:pPr>
              <w:spacing w:after="0"/>
              <w:rPr>
                <w:sz w:val="1"/>
                <w:szCs w:val="1"/>
                <w:color w:val="auto"/>
              </w:rPr>
            </w:pPr>
          </w:p>
        </w:tc>
      </w:tr>
      <w:tr>
        <w:trPr>
          <w:trHeight w:val="260"/>
        </w:trPr>
        <w:tc>
          <w:tcPr>
            <w:tcW w:w="4580" w:type="dxa"/>
            <w:vAlign w:val="bottom"/>
          </w:tcPr>
          <w:p>
            <w:pPr>
              <w:ind w:left="20"/>
              <w:spacing w:after="0"/>
              <w:rPr>
                <w:sz w:val="20"/>
                <w:szCs w:val="20"/>
                <w:color w:val="auto"/>
              </w:rPr>
            </w:pPr>
            <w:r>
              <w:rPr>
                <w:rFonts w:ascii="Arial" w:cs="Arial" w:eastAsia="Arial" w:hAnsi="Arial"/>
                <w:sz w:val="12"/>
                <w:szCs w:val="12"/>
                <w:b w:val="1"/>
                <w:bCs w:val="1"/>
                <w:color w:val="auto"/>
              </w:rPr>
              <w:t>Current assets</w:t>
            </w:r>
          </w:p>
        </w:tc>
        <w:tc>
          <w:tcPr>
            <w:tcW w:w="4160" w:type="dxa"/>
            <w:vAlign w:val="bottom"/>
          </w:tcPr>
          <w:p>
            <w:pPr>
              <w:spacing w:after="0"/>
              <w:rPr>
                <w:sz w:val="22"/>
                <w:szCs w:val="22"/>
                <w:color w:val="auto"/>
              </w:rPr>
            </w:pPr>
          </w:p>
        </w:tc>
        <w:tc>
          <w:tcPr>
            <w:tcW w:w="840" w:type="dxa"/>
            <w:vAlign w:val="bottom"/>
            <w:shd w:val="clear" w:color="auto" w:fill="CECAC6"/>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Cash and cash equivalents</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assets</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7"/>
        </w:trPr>
        <w:tc>
          <w:tcPr>
            <w:tcW w:w="4580" w:type="dxa"/>
            <w:vAlign w:val="bottom"/>
          </w:tcPr>
          <w:p>
            <w:pPr>
              <w:ind w:left="20"/>
              <w:spacing w:after="0"/>
              <w:rPr>
                <w:sz w:val="20"/>
                <w:szCs w:val="20"/>
                <w:color w:val="auto"/>
              </w:rPr>
            </w:pPr>
            <w:r>
              <w:rPr>
                <w:rFonts w:ascii="Arial" w:cs="Arial" w:eastAsia="Arial" w:hAnsi="Arial"/>
                <w:sz w:val="12"/>
                <w:szCs w:val="12"/>
                <w:b w:val="1"/>
                <w:bCs w:val="1"/>
                <w:color w:val="auto"/>
              </w:rPr>
              <w:t>Current liabilities</w:t>
            </w:r>
          </w:p>
        </w:tc>
        <w:tc>
          <w:tcPr>
            <w:tcW w:w="4160" w:type="dxa"/>
            <w:vAlign w:val="bottom"/>
          </w:tcPr>
          <w:p>
            <w:pPr>
              <w:spacing w:after="0"/>
              <w:rPr>
                <w:sz w:val="23"/>
                <w:szCs w:val="23"/>
                <w:color w:val="auto"/>
              </w:rPr>
            </w:pPr>
          </w:p>
        </w:tc>
        <w:tc>
          <w:tcPr>
            <w:tcW w:w="840" w:type="dxa"/>
            <w:vAlign w:val="bottom"/>
            <w:shd w:val="clear" w:color="auto" w:fill="CECAC6"/>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Other liabilities</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67"/>
        </w:trPr>
        <w:tc>
          <w:tcPr>
            <w:tcW w:w="4580" w:type="dxa"/>
            <w:vAlign w:val="bottom"/>
          </w:tcPr>
          <w:p>
            <w:pPr>
              <w:ind w:left="20"/>
              <w:spacing w:after="0"/>
              <w:rPr>
                <w:sz w:val="20"/>
                <w:szCs w:val="20"/>
                <w:color w:val="auto"/>
              </w:rPr>
            </w:pPr>
            <w:r>
              <w:rPr>
                <w:rFonts w:ascii="Arial" w:cs="Arial" w:eastAsia="Arial" w:hAnsi="Arial"/>
                <w:sz w:val="12"/>
                <w:szCs w:val="12"/>
                <w:b w:val="1"/>
                <w:bCs w:val="1"/>
                <w:color w:val="auto"/>
              </w:rPr>
              <w:t>Equity</w:t>
            </w:r>
          </w:p>
        </w:tc>
        <w:tc>
          <w:tcPr>
            <w:tcW w:w="4160" w:type="dxa"/>
            <w:vAlign w:val="bottom"/>
            <w:vMerge w:val="restart"/>
          </w:tcPr>
          <w:p>
            <w:pPr>
              <w:jc w:val="right"/>
              <w:ind w:right="598"/>
              <w:spacing w:after="0"/>
              <w:rPr>
                <w:sz w:val="20"/>
                <w:szCs w:val="20"/>
                <w:color w:val="auto"/>
              </w:rPr>
            </w:pPr>
            <w:r>
              <w:rPr>
                <w:rFonts w:ascii="Arial" w:cs="Arial" w:eastAsia="Arial" w:hAnsi="Arial"/>
                <w:sz w:val="12"/>
                <w:szCs w:val="12"/>
                <w:i w:val="1"/>
                <w:iCs w:val="1"/>
                <w:color w:val="auto"/>
              </w:rPr>
              <w:t>4</w:t>
            </w:r>
          </w:p>
        </w:tc>
        <w:tc>
          <w:tcPr>
            <w:tcW w:w="840" w:type="dxa"/>
            <w:vAlign w:val="bottom"/>
            <w:shd w:val="clear" w:color="auto" w:fill="CECAC6"/>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4580" w:type="dxa"/>
            <w:vAlign w:val="bottom"/>
          </w:tcPr>
          <w:p>
            <w:pPr>
              <w:ind w:left="20"/>
              <w:spacing w:after="0" w:line="133" w:lineRule="exact"/>
              <w:rPr>
                <w:sz w:val="20"/>
                <w:szCs w:val="20"/>
                <w:color w:val="auto"/>
              </w:rPr>
            </w:pPr>
            <w:r>
              <w:rPr>
                <w:rFonts w:ascii="Arial" w:cs="Arial" w:eastAsia="Arial" w:hAnsi="Arial"/>
                <w:sz w:val="12"/>
                <w:szCs w:val="12"/>
                <w:color w:val="auto"/>
              </w:rPr>
              <w:t>Capital account</w:t>
            </w:r>
          </w:p>
        </w:tc>
        <w:tc>
          <w:tcPr>
            <w:tcW w:w="4160" w:type="dxa"/>
            <w:vAlign w:val="bottom"/>
            <w:vMerge w:val="continue"/>
          </w:tcPr>
          <w:p>
            <w:pPr>
              <w:spacing w:after="0"/>
              <w:rPr>
                <w:sz w:val="11"/>
                <w:szCs w:val="11"/>
                <w:color w:val="auto"/>
              </w:rPr>
            </w:pPr>
          </w:p>
        </w:tc>
        <w:tc>
          <w:tcPr>
            <w:tcW w:w="840" w:type="dxa"/>
            <w:vAlign w:val="bottom"/>
            <w:shd w:val="clear" w:color="auto" w:fill="CECAC6"/>
          </w:tcPr>
          <w:p>
            <w:pPr>
              <w:ind w:left="660"/>
              <w:spacing w:after="0" w:line="133" w:lineRule="exact"/>
              <w:rPr>
                <w:sz w:val="20"/>
                <w:szCs w:val="20"/>
                <w:color w:val="auto"/>
              </w:rPr>
            </w:pPr>
            <w:r>
              <w:rPr>
                <w:rFonts w:ascii="Arial" w:cs="Arial" w:eastAsia="Arial" w:hAnsi="Arial"/>
                <w:sz w:val="12"/>
                <w:szCs w:val="12"/>
                <w:color w:val="auto"/>
              </w:rPr>
              <w:t>–</w:t>
            </w:r>
          </w:p>
        </w:tc>
        <w:tc>
          <w:tcPr>
            <w:tcW w:w="1380" w:type="dxa"/>
            <w:vAlign w:val="bottom"/>
          </w:tcPr>
          <w:p>
            <w:pPr>
              <w:jc w:val="right"/>
              <w:ind w:right="38"/>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Revenue account</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equity</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4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shd w:val="clear" w:color="auto" w:fill="CECAC6"/>
          </w:tcPr>
          <w:p>
            <w:pPr>
              <w:ind w:left="660"/>
              <w:spacing w:after="0"/>
              <w:rPr>
                <w:sz w:val="20"/>
                <w:szCs w:val="20"/>
                <w:color w:val="auto"/>
              </w:rPr>
            </w:pPr>
            <w:r>
              <w:rPr>
                <w:rFonts w:ascii="Arial" w:cs="Arial" w:eastAsia="Arial" w:hAnsi="Arial"/>
                <w:sz w:val="12"/>
                <w:szCs w:val="12"/>
                <w:color w:val="auto"/>
              </w:rPr>
              <w:t>–</w:t>
            </w: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60"/>
          </w:cols>
          <w:pgMar w:left="240" w:top="415" w:right="699" w:bottom="1440" w:gutter="0" w:footer="0" w:header="0"/>
        </w:sectPr>
      </w:pPr>
    </w:p>
    <w:p>
      <w:pPr>
        <w:spacing w:after="0" w:line="1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 Jeremy Le Maistre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308737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Jeremy Le Maistre</w:t>
      </w:r>
    </w:p>
    <w:p>
      <w:pPr>
        <w:ind w:left="20"/>
        <w:spacing w:after="0" w:line="237" w:lineRule="auto"/>
        <w:rPr>
          <w:sz w:val="20"/>
          <w:szCs w:val="20"/>
          <w:color w:val="auto"/>
        </w:rPr>
      </w:pPr>
      <w:r>
        <w:rPr>
          <w:rFonts w:ascii="Arial" w:cs="Arial" w:eastAsia="Arial" w:hAnsi="Arial"/>
          <w:sz w:val="13"/>
          <w:szCs w:val="13"/>
          <w:color w:val="auto"/>
        </w:rPr>
        <w:t>Director, for and on behalf of Lloyds TSB Offshore</w:t>
      </w:r>
    </w:p>
    <w:p>
      <w:pPr>
        <w:ind w:left="20"/>
        <w:spacing w:after="0"/>
        <w:rPr>
          <w:sz w:val="20"/>
          <w:szCs w:val="20"/>
          <w:color w:val="auto"/>
        </w:rPr>
      </w:pPr>
      <w:r>
        <w:rPr>
          <w:rFonts w:ascii="Arial" w:cs="Arial" w:eastAsia="Arial" w:hAnsi="Arial"/>
          <w:sz w:val="14"/>
          <w:szCs w:val="14"/>
          <w:color w:val="auto"/>
        </w:rPr>
        <w:t>Trust Company Limited</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March 12, 2008</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Michael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30956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095625"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Richards</w:t>
      </w:r>
    </w:p>
    <w:p>
      <w:pPr>
        <w:spacing w:after="0" w:line="237" w:lineRule="auto"/>
        <w:rPr>
          <w:sz w:val="20"/>
          <w:szCs w:val="20"/>
          <w:color w:val="auto"/>
        </w:rPr>
      </w:pPr>
      <w:r>
        <w:rPr>
          <w:rFonts w:ascii="Arial" w:cs="Arial" w:eastAsia="Arial" w:hAnsi="Arial"/>
          <w:sz w:val="13"/>
          <w:szCs w:val="13"/>
          <w:color w:val="auto"/>
        </w:rPr>
        <w:t>Director, for and on behalf of Lloyds TSB Offshore</w:t>
      </w:r>
    </w:p>
    <w:p>
      <w:pPr>
        <w:spacing w:after="0"/>
        <w:rPr>
          <w:sz w:val="20"/>
          <w:szCs w:val="20"/>
          <w:color w:val="auto"/>
        </w:rPr>
      </w:pPr>
      <w:r>
        <w:rPr>
          <w:rFonts w:ascii="Arial" w:cs="Arial" w:eastAsia="Arial" w:hAnsi="Arial"/>
          <w:sz w:val="14"/>
          <w:szCs w:val="14"/>
          <w:color w:val="auto"/>
        </w:rPr>
        <w:t>Trust Company Limited</w:t>
      </w:r>
    </w:p>
    <w:p>
      <w:pPr>
        <w:spacing w:after="0" w:line="481" w:lineRule="exact"/>
        <w:rPr>
          <w:sz w:val="20"/>
          <w:szCs w:val="20"/>
          <w:color w:val="auto"/>
        </w:rPr>
      </w:pPr>
    </w:p>
    <w:p>
      <w:pPr>
        <w:sectPr>
          <w:pgSz w:w="11900" w:h="16838" w:orient="portrait"/>
          <w:cols w:equalWidth="0" w:num="2">
            <w:col w:w="5360" w:space="720"/>
            <w:col w:w="4880"/>
          </w:cols>
          <w:pgMar w:left="240" w:top="415"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202 to 203 are an integral part of these Financial Statements.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767715</wp:posOffset>
            </wp:positionV>
            <wp:extent cx="7252970" cy="209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type w:val="continuous"/>
        </w:sectPr>
      </w:pPr>
    </w:p>
    <w:bookmarkStart w:id="206" w:name="page207"/>
    <w:bookmarkEnd w:id="20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700" w:type="dxa"/>
            <w:vAlign w:val="bottom"/>
          </w:tcPr>
          <w:p>
            <w:pPr>
              <w:spacing w:after="0"/>
              <w:rPr>
                <w:sz w:val="20"/>
                <w:szCs w:val="20"/>
                <w:color w:val="auto"/>
              </w:rPr>
            </w:pPr>
            <w:r>
              <w:rPr>
                <w:rFonts w:ascii="Arial" w:cs="Arial" w:eastAsia="Arial" w:hAnsi="Arial"/>
                <w:sz w:val="12"/>
                <w:szCs w:val="12"/>
                <w:color w:val="auto"/>
              </w:rPr>
              <w:t>ROYAL DUTCH SHELL DIVIDEND ACCESS TRUST FINANCIAL STATEMENTS</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5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700" w:type="dxa"/>
            <w:vAlign w:val="bottom"/>
            <w:shd w:val="clear" w:color="auto" w:fill="C7AAD0"/>
          </w:tcPr>
          <w:p>
            <w:pPr>
              <w:ind w:left="20"/>
              <w:spacing w:after="0" w:line="133" w:lineRule="exact"/>
              <w:rPr>
                <w:sz w:val="20"/>
                <w:szCs w:val="20"/>
                <w:color w:val="auto"/>
              </w:rPr>
            </w:pPr>
            <w:r>
              <w:rPr>
                <w:rFonts w:ascii="Arial" w:cs="Arial" w:eastAsia="Arial" w:hAnsi="Arial"/>
                <w:sz w:val="12"/>
                <w:szCs w:val="12"/>
                <w:b w:val="1"/>
                <w:bCs w:val="1"/>
                <w:color w:val="auto"/>
              </w:rPr>
              <w:t>STATEMENT OF CHANGES IN EQUITY</w:t>
            </w:r>
          </w:p>
        </w:tc>
        <w:tc>
          <w:tcPr>
            <w:tcW w:w="1680" w:type="dxa"/>
            <w:vAlign w:val="bottom"/>
            <w:shd w:val="clear" w:color="auto" w:fill="C7AAD0"/>
          </w:tcPr>
          <w:p>
            <w:pPr>
              <w:spacing w:after="0"/>
              <w:rPr>
                <w:sz w:val="11"/>
                <w:szCs w:val="11"/>
                <w:color w:val="auto"/>
              </w:rPr>
            </w:pPr>
          </w:p>
        </w:tc>
        <w:tc>
          <w:tcPr>
            <w:tcW w:w="1260" w:type="dxa"/>
            <w:vAlign w:val="bottom"/>
            <w:shd w:val="clear" w:color="auto" w:fill="C7AAD0"/>
          </w:tcPr>
          <w:p>
            <w:pPr>
              <w:spacing w:after="0"/>
              <w:rPr>
                <w:sz w:val="11"/>
                <w:szCs w:val="11"/>
                <w:color w:val="auto"/>
              </w:rPr>
            </w:pPr>
          </w:p>
        </w:tc>
        <w:tc>
          <w:tcPr>
            <w:tcW w:w="1320" w:type="dxa"/>
            <w:vAlign w:val="bottom"/>
            <w:shd w:val="clear" w:color="auto" w:fill="C7AAD0"/>
          </w:tcPr>
          <w:p>
            <w:pPr>
              <w:spacing w:after="0"/>
              <w:rPr>
                <w:sz w:val="11"/>
                <w:szCs w:val="11"/>
                <w:color w:val="auto"/>
              </w:rPr>
            </w:pPr>
          </w:p>
        </w:tc>
        <w:tc>
          <w:tcPr>
            <w:tcW w:w="1000" w:type="dxa"/>
            <w:vAlign w:val="bottom"/>
            <w:shd w:val="clear" w:color="auto" w:fill="C7AAD0"/>
          </w:tcPr>
          <w:p>
            <w:pPr>
              <w:jc w:val="right"/>
              <w:ind w:right="38"/>
              <w:spacing w:after="0" w:line="133" w:lineRule="exact"/>
              <w:rPr>
                <w:sz w:val="20"/>
                <w:szCs w:val="20"/>
                <w:color w:val="auto"/>
              </w:rPr>
            </w:pPr>
            <w:r>
              <w:rPr>
                <w:rFonts w:ascii="Arial" w:cs="Arial" w:eastAsia="Arial" w:hAnsi="Arial"/>
                <w:sz w:val="12"/>
                <w:szCs w:val="12"/>
                <w:b w:val="1"/>
                <w:bCs w:val="1"/>
                <w:color w:val="auto"/>
              </w:rPr>
              <w:t>£ million</w:t>
            </w:r>
          </w:p>
        </w:tc>
        <w:tc>
          <w:tcPr>
            <w:tcW w:w="0" w:type="dxa"/>
            <w:vAlign w:val="bottom"/>
          </w:tcPr>
          <w:p>
            <w:pPr>
              <w:spacing w:after="0"/>
              <w:rPr>
                <w:sz w:val="1"/>
                <w:szCs w:val="1"/>
                <w:color w:val="auto"/>
              </w:rPr>
            </w:pPr>
          </w:p>
        </w:tc>
      </w:tr>
      <w:tr>
        <w:trPr>
          <w:trHeight w:val="127"/>
        </w:trPr>
        <w:tc>
          <w:tcPr>
            <w:tcW w:w="5700" w:type="dxa"/>
            <w:vAlign w:val="bottom"/>
            <w:shd w:val="clear" w:color="auto" w:fill="CECAC6"/>
          </w:tcPr>
          <w:p>
            <w:pPr>
              <w:spacing w:after="0"/>
              <w:rPr>
                <w:sz w:val="11"/>
                <w:szCs w:val="11"/>
                <w:color w:val="auto"/>
              </w:rPr>
            </w:pPr>
          </w:p>
        </w:tc>
        <w:tc>
          <w:tcPr>
            <w:tcW w:w="1680" w:type="dxa"/>
            <w:vAlign w:val="bottom"/>
            <w:vMerge w:val="restart"/>
            <w:shd w:val="clear" w:color="auto" w:fill="CECAC6"/>
          </w:tcPr>
          <w:p>
            <w:pPr>
              <w:jc w:val="right"/>
              <w:ind w:right="378"/>
              <w:spacing w:after="0"/>
              <w:rPr>
                <w:sz w:val="20"/>
                <w:szCs w:val="20"/>
                <w:color w:val="auto"/>
              </w:rPr>
            </w:pPr>
            <w:r>
              <w:rPr>
                <w:rFonts w:ascii="Arial" w:cs="Arial" w:eastAsia="Arial" w:hAnsi="Arial"/>
                <w:sz w:val="12"/>
                <w:szCs w:val="12"/>
                <w:i w:val="1"/>
                <w:iCs w:val="1"/>
                <w:color w:val="auto"/>
              </w:rPr>
              <w:t>NOTES</w:t>
            </w:r>
          </w:p>
        </w:tc>
        <w:tc>
          <w:tcPr>
            <w:tcW w:w="1260" w:type="dxa"/>
            <w:vAlign w:val="bottom"/>
            <w:shd w:val="clear" w:color="auto" w:fill="CECAC6"/>
          </w:tcPr>
          <w:p>
            <w:pPr>
              <w:jc w:val="right"/>
              <w:ind w:right="338"/>
              <w:spacing w:after="0" w:line="128" w:lineRule="exact"/>
              <w:rPr>
                <w:sz w:val="20"/>
                <w:szCs w:val="20"/>
                <w:color w:val="auto"/>
              </w:rPr>
            </w:pPr>
            <w:r>
              <w:rPr>
                <w:rFonts w:ascii="Arial" w:cs="Arial" w:eastAsia="Arial" w:hAnsi="Arial"/>
                <w:sz w:val="12"/>
                <w:szCs w:val="12"/>
                <w:color w:val="auto"/>
              </w:rPr>
              <w:t>Capital</w:t>
            </w:r>
          </w:p>
        </w:tc>
        <w:tc>
          <w:tcPr>
            <w:tcW w:w="1320" w:type="dxa"/>
            <w:vAlign w:val="bottom"/>
            <w:shd w:val="clear" w:color="auto" w:fill="CECAC6"/>
          </w:tcPr>
          <w:p>
            <w:pPr>
              <w:jc w:val="right"/>
              <w:ind w:right="358"/>
              <w:spacing w:after="0" w:line="128" w:lineRule="exact"/>
              <w:rPr>
                <w:sz w:val="20"/>
                <w:szCs w:val="20"/>
                <w:color w:val="auto"/>
              </w:rPr>
            </w:pPr>
            <w:r>
              <w:rPr>
                <w:rFonts w:ascii="Arial" w:cs="Arial" w:eastAsia="Arial" w:hAnsi="Arial"/>
                <w:sz w:val="12"/>
                <w:szCs w:val="12"/>
                <w:color w:val="auto"/>
              </w:rPr>
              <w:t>Revenue</w:t>
            </w:r>
          </w:p>
        </w:tc>
        <w:tc>
          <w:tcPr>
            <w:tcW w:w="100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9"/>
        </w:trPr>
        <w:tc>
          <w:tcPr>
            <w:tcW w:w="5700" w:type="dxa"/>
            <w:vAlign w:val="bottom"/>
            <w:shd w:val="clear" w:color="auto" w:fill="CECAC6"/>
          </w:tcPr>
          <w:p>
            <w:pPr>
              <w:spacing w:after="0"/>
              <w:rPr>
                <w:sz w:val="12"/>
                <w:szCs w:val="12"/>
                <w:color w:val="auto"/>
              </w:rPr>
            </w:pPr>
          </w:p>
        </w:tc>
        <w:tc>
          <w:tcPr>
            <w:tcW w:w="1680" w:type="dxa"/>
            <w:vAlign w:val="bottom"/>
            <w:vMerge w:val="continue"/>
            <w:shd w:val="clear" w:color="auto" w:fill="CECAC6"/>
          </w:tcPr>
          <w:p>
            <w:pPr>
              <w:spacing w:after="0"/>
              <w:rPr>
                <w:sz w:val="12"/>
                <w:szCs w:val="12"/>
                <w:color w:val="auto"/>
              </w:rPr>
            </w:pPr>
          </w:p>
        </w:tc>
        <w:tc>
          <w:tcPr>
            <w:tcW w:w="1260" w:type="dxa"/>
            <w:vAlign w:val="bottom"/>
            <w:shd w:val="clear" w:color="auto" w:fill="CECAC6"/>
          </w:tcPr>
          <w:p>
            <w:pPr>
              <w:jc w:val="right"/>
              <w:ind w:right="338"/>
              <w:spacing w:after="0"/>
              <w:rPr>
                <w:sz w:val="20"/>
                <w:szCs w:val="20"/>
                <w:color w:val="auto"/>
              </w:rPr>
            </w:pPr>
            <w:r>
              <w:rPr>
                <w:rFonts w:ascii="Arial" w:cs="Arial" w:eastAsia="Arial" w:hAnsi="Arial"/>
                <w:sz w:val="12"/>
                <w:szCs w:val="12"/>
                <w:color w:val="auto"/>
              </w:rPr>
              <w:t>account</w:t>
            </w:r>
          </w:p>
        </w:tc>
        <w:tc>
          <w:tcPr>
            <w:tcW w:w="1320" w:type="dxa"/>
            <w:vAlign w:val="bottom"/>
            <w:shd w:val="clear" w:color="auto" w:fill="CECAC6"/>
          </w:tcPr>
          <w:p>
            <w:pPr>
              <w:jc w:val="right"/>
              <w:ind w:right="358"/>
              <w:spacing w:after="0"/>
              <w:rPr>
                <w:sz w:val="20"/>
                <w:szCs w:val="20"/>
                <w:color w:val="auto"/>
              </w:rPr>
            </w:pPr>
            <w:r>
              <w:rPr>
                <w:rFonts w:ascii="Arial" w:cs="Arial" w:eastAsia="Arial" w:hAnsi="Arial"/>
                <w:sz w:val="12"/>
                <w:szCs w:val="12"/>
                <w:color w:val="auto"/>
              </w:rPr>
              <w:t>account</w:t>
            </w:r>
          </w:p>
        </w:tc>
        <w:tc>
          <w:tcPr>
            <w:tcW w:w="100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260"/>
        </w:trPr>
        <w:tc>
          <w:tcPr>
            <w:tcW w:w="5700" w:type="dxa"/>
            <w:vAlign w:val="bottom"/>
          </w:tcPr>
          <w:p>
            <w:pPr>
              <w:ind w:left="20"/>
              <w:spacing w:after="0"/>
              <w:rPr>
                <w:sz w:val="20"/>
                <w:szCs w:val="20"/>
                <w:color w:val="auto"/>
              </w:rPr>
            </w:pPr>
            <w:r>
              <w:rPr>
                <w:rFonts w:ascii="Arial" w:cs="Arial" w:eastAsia="Arial" w:hAnsi="Arial"/>
                <w:sz w:val="12"/>
                <w:szCs w:val="12"/>
                <w:b w:val="1"/>
                <w:bCs w:val="1"/>
                <w:color w:val="auto"/>
              </w:rPr>
              <w:t>At May 19, 2005</w:t>
            </w:r>
          </w:p>
        </w:tc>
        <w:tc>
          <w:tcPr>
            <w:tcW w:w="1680" w:type="dxa"/>
            <w:vAlign w:val="bottom"/>
          </w:tcPr>
          <w:p>
            <w:pPr>
              <w:spacing w:after="0"/>
              <w:rPr>
                <w:sz w:val="22"/>
                <w:szCs w:val="22"/>
                <w:color w:val="auto"/>
              </w:rPr>
            </w:pPr>
          </w:p>
        </w:tc>
        <w:tc>
          <w:tcPr>
            <w:tcW w:w="126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Income for the period</w:t>
            </w:r>
          </w:p>
        </w:tc>
        <w:tc>
          <w:tcPr>
            <w:tcW w:w="1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869</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34"/>
        </w:trPr>
        <w:tc>
          <w:tcPr>
            <w:tcW w:w="5700" w:type="dxa"/>
            <w:vAlign w:val="bottom"/>
          </w:tcPr>
          <w:p>
            <w:pPr>
              <w:ind w:left="20"/>
              <w:spacing w:after="0" w:line="134" w:lineRule="exact"/>
              <w:rPr>
                <w:sz w:val="20"/>
                <w:szCs w:val="20"/>
                <w:color w:val="auto"/>
              </w:rPr>
            </w:pPr>
            <w:r>
              <w:rPr>
                <w:rFonts w:ascii="Arial" w:cs="Arial" w:eastAsia="Arial" w:hAnsi="Arial"/>
                <w:sz w:val="12"/>
                <w:szCs w:val="12"/>
                <w:color w:val="auto"/>
              </w:rPr>
              <w:t>Total recognised income for the period</w:t>
            </w:r>
          </w:p>
        </w:tc>
        <w:tc>
          <w:tcPr>
            <w:tcW w:w="1680" w:type="dxa"/>
            <w:vAlign w:val="bottom"/>
            <w:vMerge w:val="restart"/>
          </w:tcPr>
          <w:p>
            <w:pPr>
              <w:jc w:val="right"/>
              <w:ind w:right="378"/>
              <w:spacing w:after="0"/>
              <w:rPr>
                <w:sz w:val="20"/>
                <w:szCs w:val="20"/>
                <w:color w:val="auto"/>
              </w:rPr>
            </w:pPr>
            <w:r>
              <w:rPr>
                <w:rFonts w:ascii="Arial" w:cs="Arial" w:eastAsia="Arial" w:hAnsi="Arial"/>
                <w:sz w:val="12"/>
                <w:szCs w:val="12"/>
                <w:i w:val="1"/>
                <w:iCs w:val="1"/>
                <w:color w:val="auto"/>
              </w:rPr>
              <w:t>5</w:t>
            </w:r>
          </w:p>
        </w:tc>
        <w:tc>
          <w:tcPr>
            <w:tcW w:w="126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869</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Distributions made</w:t>
            </w:r>
          </w:p>
        </w:tc>
        <w:tc>
          <w:tcPr>
            <w:tcW w:w="168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(869)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w:t>
            </w:r>
          </w:p>
        </w:tc>
        <w:tc>
          <w:tcPr>
            <w:tcW w:w="0" w:type="dxa"/>
            <w:vAlign w:val="bottom"/>
          </w:tcPr>
          <w:p>
            <w:pPr>
              <w:spacing w:after="0"/>
              <w:rPr>
                <w:sz w:val="1"/>
                <w:szCs w:val="1"/>
                <w:color w:val="auto"/>
              </w:rPr>
            </w:pPr>
          </w:p>
        </w:tc>
      </w:tr>
      <w:tr>
        <w:trPr>
          <w:trHeight w:val="134"/>
        </w:trPr>
        <w:tc>
          <w:tcPr>
            <w:tcW w:w="5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At December 31, 2005</w:t>
            </w:r>
          </w:p>
        </w:tc>
        <w:tc>
          <w:tcPr>
            <w:tcW w:w="1680" w:type="dxa"/>
            <w:vAlign w:val="bottom"/>
          </w:tcPr>
          <w:p>
            <w:pPr>
              <w:spacing w:after="0"/>
              <w:rPr>
                <w:sz w:val="11"/>
                <w:szCs w:val="11"/>
                <w:color w:val="auto"/>
              </w:rPr>
            </w:pPr>
          </w:p>
        </w:tc>
        <w:tc>
          <w:tcPr>
            <w:tcW w:w="126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Income for the period</w:t>
            </w:r>
          </w:p>
        </w:tc>
        <w:tc>
          <w:tcPr>
            <w:tcW w:w="1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1,837</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1,837</w:t>
            </w:r>
          </w:p>
        </w:tc>
        <w:tc>
          <w:tcPr>
            <w:tcW w:w="0" w:type="dxa"/>
            <w:vAlign w:val="bottom"/>
          </w:tcPr>
          <w:p>
            <w:pPr>
              <w:spacing w:after="0"/>
              <w:rPr>
                <w:sz w:val="1"/>
                <w:szCs w:val="1"/>
                <w:color w:val="auto"/>
              </w:rPr>
            </w:pPr>
          </w:p>
        </w:tc>
      </w:tr>
      <w:tr>
        <w:trPr>
          <w:trHeight w:val="134"/>
        </w:trPr>
        <w:tc>
          <w:tcPr>
            <w:tcW w:w="5700" w:type="dxa"/>
            <w:vAlign w:val="bottom"/>
          </w:tcPr>
          <w:p>
            <w:pPr>
              <w:ind w:left="20"/>
              <w:spacing w:after="0" w:line="134" w:lineRule="exact"/>
              <w:rPr>
                <w:sz w:val="20"/>
                <w:szCs w:val="20"/>
                <w:color w:val="auto"/>
              </w:rPr>
            </w:pPr>
            <w:r>
              <w:rPr>
                <w:rFonts w:ascii="Arial" w:cs="Arial" w:eastAsia="Arial" w:hAnsi="Arial"/>
                <w:sz w:val="12"/>
                <w:szCs w:val="12"/>
                <w:color w:val="auto"/>
              </w:rPr>
              <w:t>Total recognised income for the period</w:t>
            </w:r>
          </w:p>
        </w:tc>
        <w:tc>
          <w:tcPr>
            <w:tcW w:w="1680" w:type="dxa"/>
            <w:vAlign w:val="bottom"/>
            <w:vMerge w:val="restart"/>
          </w:tcPr>
          <w:p>
            <w:pPr>
              <w:jc w:val="right"/>
              <w:ind w:right="378"/>
              <w:spacing w:after="0"/>
              <w:rPr>
                <w:sz w:val="20"/>
                <w:szCs w:val="20"/>
                <w:color w:val="auto"/>
              </w:rPr>
            </w:pPr>
            <w:r>
              <w:rPr>
                <w:rFonts w:ascii="Arial" w:cs="Arial" w:eastAsia="Arial" w:hAnsi="Arial"/>
                <w:sz w:val="12"/>
                <w:szCs w:val="12"/>
                <w:i w:val="1"/>
                <w:iCs w:val="1"/>
                <w:color w:val="auto"/>
              </w:rPr>
              <w:t>5</w:t>
            </w:r>
          </w:p>
        </w:tc>
        <w:tc>
          <w:tcPr>
            <w:tcW w:w="126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1,837</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1,837</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Distributions made</w:t>
            </w:r>
          </w:p>
        </w:tc>
        <w:tc>
          <w:tcPr>
            <w:tcW w:w="168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(1,837)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(1,837)</w:t>
            </w:r>
          </w:p>
        </w:tc>
        <w:tc>
          <w:tcPr>
            <w:tcW w:w="0" w:type="dxa"/>
            <w:vAlign w:val="bottom"/>
          </w:tcPr>
          <w:p>
            <w:pPr>
              <w:spacing w:after="0"/>
              <w:rPr>
                <w:sz w:val="1"/>
                <w:szCs w:val="1"/>
                <w:color w:val="auto"/>
              </w:rPr>
            </w:pPr>
          </w:p>
        </w:tc>
      </w:tr>
      <w:tr>
        <w:trPr>
          <w:trHeight w:val="134"/>
        </w:trPr>
        <w:tc>
          <w:tcPr>
            <w:tcW w:w="5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At December 31, 2006</w:t>
            </w:r>
          </w:p>
        </w:tc>
        <w:tc>
          <w:tcPr>
            <w:tcW w:w="1680" w:type="dxa"/>
            <w:vAlign w:val="bottom"/>
          </w:tcPr>
          <w:p>
            <w:pPr>
              <w:spacing w:after="0"/>
              <w:rPr>
                <w:sz w:val="11"/>
                <w:szCs w:val="11"/>
                <w:color w:val="auto"/>
              </w:rPr>
            </w:pPr>
          </w:p>
        </w:tc>
        <w:tc>
          <w:tcPr>
            <w:tcW w:w="126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Income for the period</w:t>
            </w:r>
          </w:p>
        </w:tc>
        <w:tc>
          <w:tcPr>
            <w:tcW w:w="1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1,930</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1,930</w:t>
            </w:r>
          </w:p>
        </w:tc>
        <w:tc>
          <w:tcPr>
            <w:tcW w:w="0" w:type="dxa"/>
            <w:vAlign w:val="bottom"/>
          </w:tcPr>
          <w:p>
            <w:pPr>
              <w:spacing w:after="0"/>
              <w:rPr>
                <w:sz w:val="1"/>
                <w:szCs w:val="1"/>
                <w:color w:val="auto"/>
              </w:rPr>
            </w:pPr>
          </w:p>
        </w:tc>
      </w:tr>
      <w:tr>
        <w:trPr>
          <w:trHeight w:val="134"/>
        </w:trPr>
        <w:tc>
          <w:tcPr>
            <w:tcW w:w="5700" w:type="dxa"/>
            <w:vAlign w:val="bottom"/>
          </w:tcPr>
          <w:p>
            <w:pPr>
              <w:ind w:left="20"/>
              <w:spacing w:after="0" w:line="134" w:lineRule="exact"/>
              <w:rPr>
                <w:sz w:val="20"/>
                <w:szCs w:val="20"/>
                <w:color w:val="auto"/>
              </w:rPr>
            </w:pPr>
            <w:r>
              <w:rPr>
                <w:rFonts w:ascii="Arial" w:cs="Arial" w:eastAsia="Arial" w:hAnsi="Arial"/>
                <w:sz w:val="12"/>
                <w:szCs w:val="12"/>
                <w:color w:val="auto"/>
              </w:rPr>
              <w:t>Total recognised income for the period</w:t>
            </w:r>
          </w:p>
        </w:tc>
        <w:tc>
          <w:tcPr>
            <w:tcW w:w="1680" w:type="dxa"/>
            <w:vAlign w:val="bottom"/>
            <w:vMerge w:val="restart"/>
          </w:tcPr>
          <w:p>
            <w:pPr>
              <w:jc w:val="right"/>
              <w:ind w:right="378"/>
              <w:spacing w:after="0"/>
              <w:rPr>
                <w:sz w:val="20"/>
                <w:szCs w:val="20"/>
                <w:color w:val="auto"/>
              </w:rPr>
            </w:pPr>
            <w:r>
              <w:rPr>
                <w:rFonts w:ascii="Arial" w:cs="Arial" w:eastAsia="Arial" w:hAnsi="Arial"/>
                <w:sz w:val="12"/>
                <w:szCs w:val="12"/>
                <w:i w:val="1"/>
                <w:iCs w:val="1"/>
                <w:color w:val="auto"/>
              </w:rPr>
              <w:t>5</w:t>
            </w:r>
          </w:p>
        </w:tc>
        <w:tc>
          <w:tcPr>
            <w:tcW w:w="1260" w:type="dxa"/>
            <w:vAlign w:val="bottom"/>
          </w:tcPr>
          <w:p>
            <w:pPr>
              <w:jc w:val="right"/>
              <w:ind w:right="338"/>
              <w:spacing w:after="0" w:line="134" w:lineRule="exact"/>
              <w:rPr>
                <w:sz w:val="20"/>
                <w:szCs w:val="20"/>
                <w:color w:val="auto"/>
              </w:rPr>
            </w:pPr>
            <w:r>
              <w:rPr>
                <w:rFonts w:ascii="Arial" w:cs="Arial" w:eastAsia="Arial" w:hAnsi="Arial"/>
                <w:sz w:val="12"/>
                <w:szCs w:val="12"/>
                <w:color w:val="auto"/>
              </w:rPr>
              <w:t>–</w:t>
            </w:r>
          </w:p>
        </w:tc>
        <w:tc>
          <w:tcPr>
            <w:tcW w:w="1320" w:type="dxa"/>
            <w:vAlign w:val="bottom"/>
          </w:tcPr>
          <w:p>
            <w:pPr>
              <w:jc w:val="right"/>
              <w:ind w:right="358"/>
              <w:spacing w:after="0" w:line="134" w:lineRule="exact"/>
              <w:rPr>
                <w:sz w:val="20"/>
                <w:szCs w:val="20"/>
                <w:color w:val="auto"/>
              </w:rPr>
            </w:pPr>
            <w:r>
              <w:rPr>
                <w:rFonts w:ascii="Arial" w:cs="Arial" w:eastAsia="Arial" w:hAnsi="Arial"/>
                <w:sz w:val="12"/>
                <w:szCs w:val="12"/>
                <w:color w:val="auto"/>
              </w:rPr>
              <w:t>1,930</w:t>
            </w:r>
          </w:p>
        </w:tc>
        <w:tc>
          <w:tcPr>
            <w:tcW w:w="100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1,930</w:t>
            </w:r>
          </w:p>
        </w:tc>
        <w:tc>
          <w:tcPr>
            <w:tcW w:w="0" w:type="dxa"/>
            <w:vAlign w:val="bottom"/>
          </w:tcPr>
          <w:p>
            <w:pPr>
              <w:spacing w:after="0"/>
              <w:rPr>
                <w:sz w:val="1"/>
                <w:szCs w:val="1"/>
                <w:color w:val="auto"/>
              </w:rPr>
            </w:pPr>
          </w:p>
        </w:tc>
      </w:tr>
      <w:tr>
        <w:trPr>
          <w:trHeight w:val="139"/>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Distributions made</w:t>
            </w:r>
          </w:p>
        </w:tc>
        <w:tc>
          <w:tcPr>
            <w:tcW w:w="168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(1,930)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(1,930)</w:t>
            </w:r>
          </w:p>
        </w:tc>
        <w:tc>
          <w:tcPr>
            <w:tcW w:w="0" w:type="dxa"/>
            <w:vAlign w:val="bottom"/>
          </w:tcPr>
          <w:p>
            <w:pPr>
              <w:spacing w:after="0"/>
              <w:rPr>
                <w:sz w:val="1"/>
                <w:szCs w:val="1"/>
                <w:color w:val="auto"/>
              </w:rPr>
            </w:pPr>
          </w:p>
        </w:tc>
      </w:tr>
      <w:tr>
        <w:trPr>
          <w:trHeight w:val="146"/>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At December 31, 2007</w:t>
            </w:r>
          </w:p>
        </w:tc>
        <w:tc>
          <w:tcPr>
            <w:tcW w:w="16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202 to 203 are an integral part of these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200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530860</wp:posOffset>
            </wp:positionV>
            <wp:extent cx="7252970" cy="209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7040880</wp:posOffset>
            </wp:positionH>
            <wp:positionV relativeFrom="paragraph">
              <wp:posOffset>201295</wp:posOffset>
            </wp:positionV>
            <wp:extent cx="211455" cy="844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211455" cy="844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800" w:type="dxa"/>
            <w:vAlign w:val="bottom"/>
            <w:shd w:val="clear" w:color="auto" w:fill="C7AAD0"/>
          </w:tcPr>
          <w:p>
            <w:pPr>
              <w:ind w:left="20"/>
              <w:spacing w:after="0"/>
              <w:rPr>
                <w:sz w:val="20"/>
                <w:szCs w:val="20"/>
                <w:color w:val="auto"/>
              </w:rPr>
            </w:pPr>
            <w:r>
              <w:rPr>
                <w:rFonts w:ascii="Arial" w:cs="Arial" w:eastAsia="Arial" w:hAnsi="Arial"/>
                <w:sz w:val="12"/>
                <w:szCs w:val="12"/>
                <w:b w:val="1"/>
                <w:bCs w:val="1"/>
                <w:color w:val="auto"/>
              </w:rPr>
              <w:t>STATEMENT OF CASH FLOWS</w:t>
            </w:r>
          </w:p>
        </w:tc>
        <w:tc>
          <w:tcPr>
            <w:tcW w:w="540" w:type="dxa"/>
            <w:vAlign w:val="bottom"/>
            <w:shd w:val="clear" w:color="auto" w:fill="C7AAD0"/>
          </w:tcPr>
          <w:p>
            <w:pPr>
              <w:spacing w:after="0"/>
              <w:rPr>
                <w:sz w:val="12"/>
                <w:szCs w:val="12"/>
                <w:color w:val="auto"/>
              </w:rPr>
            </w:pPr>
          </w:p>
        </w:tc>
        <w:tc>
          <w:tcPr>
            <w:tcW w:w="760" w:type="dxa"/>
            <w:vAlign w:val="bottom"/>
            <w:shd w:val="clear" w:color="auto" w:fill="C7AAD0"/>
          </w:tcPr>
          <w:p>
            <w:pPr>
              <w:spacing w:after="0"/>
              <w:rPr>
                <w:sz w:val="12"/>
                <w:szCs w:val="12"/>
                <w:color w:val="auto"/>
              </w:rPr>
            </w:pPr>
          </w:p>
        </w:tc>
        <w:tc>
          <w:tcPr>
            <w:tcW w:w="1520" w:type="dxa"/>
            <w:vAlign w:val="bottom"/>
            <w:shd w:val="clear" w:color="auto" w:fill="C7AAD0"/>
          </w:tcPr>
          <w:p>
            <w:pPr>
              <w:spacing w:after="0"/>
              <w:rPr>
                <w:sz w:val="12"/>
                <w:szCs w:val="12"/>
                <w:color w:val="auto"/>
              </w:rPr>
            </w:pPr>
          </w:p>
        </w:tc>
        <w:tc>
          <w:tcPr>
            <w:tcW w:w="1340" w:type="dxa"/>
            <w:vAlign w:val="bottom"/>
            <w:shd w:val="clear" w:color="auto" w:fill="C7AAD0"/>
          </w:tcPr>
          <w:p>
            <w:pPr>
              <w:jc w:val="right"/>
              <w:ind w:right="38"/>
              <w:spacing w:after="0"/>
              <w:rPr>
                <w:sz w:val="20"/>
                <w:szCs w:val="20"/>
                <w:color w:val="auto"/>
              </w:rPr>
            </w:pPr>
            <w:r>
              <w:rPr>
                <w:rFonts w:ascii="Arial" w:cs="Arial" w:eastAsia="Arial" w:hAnsi="Arial"/>
                <w:sz w:val="12"/>
                <w:szCs w:val="12"/>
                <w:b w:val="1"/>
                <w:bCs w:val="1"/>
                <w:color w:val="auto"/>
              </w:rPr>
              <w:t>£ million</w:t>
            </w:r>
          </w:p>
        </w:tc>
      </w:tr>
      <w:tr>
        <w:trPr>
          <w:trHeight w:val="127"/>
        </w:trPr>
        <w:tc>
          <w:tcPr>
            <w:tcW w:w="6800" w:type="dxa"/>
            <w:vAlign w:val="bottom"/>
            <w:shd w:val="clear" w:color="auto" w:fill="CECAC6"/>
          </w:tcPr>
          <w:p>
            <w:pPr>
              <w:spacing w:after="0"/>
              <w:rPr>
                <w:sz w:val="11"/>
                <w:szCs w:val="11"/>
                <w:color w:val="auto"/>
              </w:rPr>
            </w:pPr>
          </w:p>
        </w:tc>
        <w:tc>
          <w:tcPr>
            <w:tcW w:w="540" w:type="dxa"/>
            <w:vAlign w:val="bottom"/>
            <w:shd w:val="clear" w:color="auto" w:fill="CECAC6"/>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1520" w:type="dxa"/>
            <w:vAlign w:val="bottom"/>
            <w:shd w:val="clear" w:color="auto" w:fill="CECAC6"/>
          </w:tcPr>
          <w:p>
            <w:pPr>
              <w:spacing w:after="0"/>
              <w:rPr>
                <w:sz w:val="11"/>
                <w:szCs w:val="11"/>
                <w:color w:val="auto"/>
              </w:rPr>
            </w:pPr>
          </w:p>
        </w:tc>
        <w:tc>
          <w:tcPr>
            <w:tcW w:w="1340" w:type="dxa"/>
            <w:vAlign w:val="bottom"/>
            <w:shd w:val="clear" w:color="auto" w:fill="CECAC6"/>
          </w:tcPr>
          <w:p>
            <w:pPr>
              <w:jc w:val="right"/>
              <w:ind w:right="38"/>
              <w:spacing w:after="0" w:line="128" w:lineRule="exact"/>
              <w:rPr>
                <w:sz w:val="20"/>
                <w:szCs w:val="20"/>
                <w:color w:val="auto"/>
              </w:rPr>
            </w:pPr>
            <w:r>
              <w:rPr>
                <w:rFonts w:ascii="Arial" w:cs="Arial" w:eastAsia="Arial" w:hAnsi="Arial"/>
                <w:sz w:val="12"/>
                <w:szCs w:val="12"/>
                <w:color w:val="auto"/>
              </w:rPr>
              <w:t>Period May 19 to</w:t>
            </w:r>
          </w:p>
        </w:tc>
      </w:tr>
      <w:tr>
        <w:trPr>
          <w:trHeight w:val="139"/>
        </w:trPr>
        <w:tc>
          <w:tcPr>
            <w:tcW w:w="6800" w:type="dxa"/>
            <w:vAlign w:val="bottom"/>
            <w:shd w:val="clear" w:color="auto" w:fill="CECAC6"/>
          </w:tcPr>
          <w:p>
            <w:pPr>
              <w:spacing w:after="0"/>
              <w:rPr>
                <w:sz w:val="12"/>
                <w:szCs w:val="12"/>
                <w:color w:val="auto"/>
              </w:rPr>
            </w:pPr>
          </w:p>
        </w:tc>
        <w:tc>
          <w:tcPr>
            <w:tcW w:w="1300" w:type="dxa"/>
            <w:vAlign w:val="bottom"/>
            <w:gridSpan w:val="2"/>
            <w:shd w:val="clear" w:color="auto" w:fill="CECAC6"/>
          </w:tcPr>
          <w:p>
            <w:pPr>
              <w:jc w:val="right"/>
              <w:ind w:right="58"/>
              <w:spacing w:after="0"/>
              <w:rPr>
                <w:sz w:val="20"/>
                <w:szCs w:val="20"/>
                <w:color w:val="auto"/>
              </w:rPr>
            </w:pPr>
            <w:r>
              <w:rPr>
                <w:rFonts w:ascii="Arial" w:cs="Arial" w:eastAsia="Arial" w:hAnsi="Arial"/>
                <w:sz w:val="12"/>
                <w:szCs w:val="12"/>
                <w:color w:val="auto"/>
              </w:rPr>
              <w:t>2007</w:t>
            </w:r>
          </w:p>
        </w:tc>
        <w:tc>
          <w:tcPr>
            <w:tcW w:w="1520" w:type="dxa"/>
            <w:vAlign w:val="bottom"/>
            <w:shd w:val="clear" w:color="auto" w:fill="CECAC6"/>
          </w:tcPr>
          <w:p>
            <w:pPr>
              <w:jc w:val="right"/>
              <w:ind w:right="278"/>
              <w:spacing w:after="0"/>
              <w:rPr>
                <w:sz w:val="20"/>
                <w:szCs w:val="20"/>
                <w:color w:val="auto"/>
              </w:rPr>
            </w:pPr>
            <w:r>
              <w:rPr>
                <w:rFonts w:ascii="Arial" w:cs="Arial" w:eastAsia="Arial" w:hAnsi="Arial"/>
                <w:sz w:val="12"/>
                <w:szCs w:val="12"/>
                <w:color w:val="auto"/>
              </w:rPr>
              <w:t>2006</w:t>
            </w:r>
          </w:p>
        </w:tc>
        <w:tc>
          <w:tcPr>
            <w:tcW w:w="1340" w:type="dxa"/>
            <w:vAlign w:val="bottom"/>
            <w:shd w:val="clear" w:color="auto" w:fill="CECAC6"/>
          </w:tcPr>
          <w:p>
            <w:pPr>
              <w:jc w:val="right"/>
              <w:ind w:right="38"/>
              <w:spacing w:after="0"/>
              <w:rPr>
                <w:sz w:val="20"/>
                <w:szCs w:val="20"/>
                <w:color w:val="auto"/>
              </w:rPr>
            </w:pPr>
            <w:r>
              <w:rPr>
                <w:rFonts w:ascii="Arial" w:cs="Arial" w:eastAsia="Arial" w:hAnsi="Arial"/>
                <w:sz w:val="12"/>
                <w:szCs w:val="12"/>
                <w:color w:val="auto"/>
              </w:rPr>
              <w:t>Dec 31, 2005</w:t>
            </w:r>
          </w:p>
        </w:tc>
      </w:tr>
      <w:tr>
        <w:trPr>
          <w:trHeight w:val="246"/>
        </w:trPr>
        <w:tc>
          <w:tcPr>
            <w:tcW w:w="6800" w:type="dxa"/>
            <w:vAlign w:val="bottom"/>
          </w:tcPr>
          <w:p>
            <w:pPr>
              <w:ind w:left="20"/>
              <w:spacing w:after="0"/>
              <w:rPr>
                <w:sz w:val="20"/>
                <w:szCs w:val="20"/>
                <w:color w:val="auto"/>
              </w:rPr>
            </w:pPr>
            <w:r>
              <w:rPr>
                <w:rFonts w:ascii="Arial" w:cs="Arial" w:eastAsia="Arial" w:hAnsi="Arial"/>
                <w:sz w:val="12"/>
                <w:szCs w:val="12"/>
                <w:b w:val="1"/>
                <w:bCs w:val="1"/>
                <w:color w:val="auto"/>
              </w:rPr>
              <w:t>Cash flow from operating activities:</w:t>
            </w:r>
          </w:p>
        </w:tc>
        <w:tc>
          <w:tcPr>
            <w:tcW w:w="540" w:type="dxa"/>
            <w:vAlign w:val="bottom"/>
          </w:tcPr>
          <w:p>
            <w:pPr>
              <w:spacing w:after="0"/>
              <w:rPr>
                <w:sz w:val="21"/>
                <w:szCs w:val="21"/>
                <w:color w:val="auto"/>
              </w:rPr>
            </w:pPr>
          </w:p>
        </w:tc>
        <w:tc>
          <w:tcPr>
            <w:tcW w:w="760" w:type="dxa"/>
            <w:vAlign w:val="bottom"/>
            <w:shd w:val="clear" w:color="auto" w:fill="CECAC6"/>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147"/>
        </w:trPr>
        <w:tc>
          <w:tcPr>
            <w:tcW w:w="6800" w:type="dxa"/>
            <w:vAlign w:val="bottom"/>
          </w:tcPr>
          <w:p>
            <w:pPr>
              <w:ind w:left="20"/>
              <w:spacing w:after="0"/>
              <w:rPr>
                <w:sz w:val="20"/>
                <w:szCs w:val="20"/>
                <w:color w:val="auto"/>
              </w:rPr>
            </w:pPr>
            <w:r>
              <w:rPr>
                <w:rFonts w:ascii="Arial" w:cs="Arial" w:eastAsia="Arial" w:hAnsi="Arial"/>
                <w:sz w:val="12"/>
                <w:szCs w:val="12"/>
                <w:b w:val="1"/>
                <w:bCs w:val="1"/>
                <w:color w:val="auto"/>
              </w:rPr>
              <w:t>Income for the period</w:t>
            </w:r>
          </w:p>
        </w:tc>
        <w:tc>
          <w:tcPr>
            <w:tcW w:w="540" w:type="dxa"/>
            <w:vAlign w:val="bottom"/>
          </w:tcPr>
          <w:p>
            <w:pPr>
              <w:spacing w:after="0"/>
              <w:rPr>
                <w:sz w:val="12"/>
                <w:szCs w:val="12"/>
                <w:color w:val="auto"/>
              </w:rPr>
            </w:pPr>
          </w:p>
        </w:tc>
        <w:tc>
          <w:tcPr>
            <w:tcW w:w="76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1,930</w:t>
            </w:r>
          </w:p>
        </w:tc>
        <w:tc>
          <w:tcPr>
            <w:tcW w:w="1520" w:type="dxa"/>
            <w:vAlign w:val="bottom"/>
          </w:tcPr>
          <w:p>
            <w:pPr>
              <w:jc w:val="right"/>
              <w:ind w:right="278"/>
              <w:spacing w:after="0"/>
              <w:rPr>
                <w:sz w:val="20"/>
                <w:szCs w:val="20"/>
                <w:color w:val="auto"/>
              </w:rPr>
            </w:pPr>
            <w:r>
              <w:rPr>
                <w:rFonts w:ascii="Arial" w:cs="Arial" w:eastAsia="Arial" w:hAnsi="Arial"/>
                <w:sz w:val="12"/>
                <w:szCs w:val="12"/>
                <w:color w:val="auto"/>
              </w:rPr>
              <w:t>1,837</w:t>
            </w:r>
          </w:p>
        </w:tc>
        <w:tc>
          <w:tcPr>
            <w:tcW w:w="1340" w:type="dxa"/>
            <w:vAlign w:val="bottom"/>
          </w:tcPr>
          <w:p>
            <w:pPr>
              <w:jc w:val="right"/>
              <w:ind w:right="38"/>
              <w:spacing w:after="0"/>
              <w:rPr>
                <w:sz w:val="20"/>
                <w:szCs w:val="20"/>
                <w:color w:val="auto"/>
              </w:rPr>
            </w:pPr>
            <w:r>
              <w:rPr>
                <w:rFonts w:ascii="Arial" w:cs="Arial" w:eastAsia="Arial" w:hAnsi="Arial"/>
                <w:sz w:val="12"/>
                <w:szCs w:val="12"/>
                <w:color w:val="auto"/>
              </w:rPr>
              <w:t>869</w:t>
            </w:r>
          </w:p>
        </w:tc>
      </w:tr>
      <w:tr>
        <w:trPr>
          <w:trHeight w:val="133"/>
        </w:trPr>
        <w:tc>
          <w:tcPr>
            <w:tcW w:w="6800" w:type="dxa"/>
            <w:vAlign w:val="bottom"/>
          </w:tcPr>
          <w:p>
            <w:pPr>
              <w:ind w:left="20"/>
              <w:spacing w:after="0" w:line="133" w:lineRule="exact"/>
              <w:rPr>
                <w:sz w:val="20"/>
                <w:szCs w:val="20"/>
                <w:color w:val="auto"/>
              </w:rPr>
            </w:pPr>
            <w:r>
              <w:rPr>
                <w:rFonts w:ascii="Arial" w:cs="Arial" w:eastAsia="Arial" w:hAnsi="Arial"/>
                <w:sz w:val="12"/>
                <w:szCs w:val="12"/>
                <w:color w:val="auto"/>
              </w:rPr>
              <w:t>Adjustment for:</w:t>
            </w:r>
          </w:p>
        </w:tc>
        <w:tc>
          <w:tcPr>
            <w:tcW w:w="540" w:type="dxa"/>
            <w:vAlign w:val="bottom"/>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Dividends received</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ind w:right="58"/>
              <w:spacing w:after="0"/>
              <w:rPr>
                <w:sz w:val="20"/>
                <w:szCs w:val="20"/>
                <w:color w:val="auto"/>
              </w:rPr>
            </w:pPr>
            <w:r>
              <w:rPr>
                <w:rFonts w:ascii="Arial" w:cs="Arial" w:eastAsia="Arial" w:hAnsi="Arial"/>
                <w:sz w:val="12"/>
                <w:szCs w:val="12"/>
                <w:color w:val="auto"/>
              </w:rPr>
              <w:t>(1,930)</w:t>
            </w:r>
          </w:p>
        </w:tc>
        <w:tc>
          <w:tcPr>
            <w:tcW w:w="15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(1,837)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w:t>
            </w:r>
          </w:p>
        </w:tc>
      </w:tr>
      <w:tr>
        <w:trPr>
          <w:trHeight w:val="14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operating activities</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34"/>
        </w:trPr>
        <w:tc>
          <w:tcPr>
            <w:tcW w:w="6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Cash flow from investing activities:</w:t>
            </w:r>
          </w:p>
        </w:tc>
        <w:tc>
          <w:tcPr>
            <w:tcW w:w="540" w:type="dxa"/>
            <w:vAlign w:val="bottom"/>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Dividends received</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ind w:right="38"/>
              <w:spacing w:after="0"/>
              <w:rPr>
                <w:sz w:val="20"/>
                <w:szCs w:val="20"/>
                <w:color w:val="auto"/>
              </w:rPr>
            </w:pPr>
            <w:r>
              <w:rPr>
                <w:rFonts w:ascii="Arial" w:cs="Arial" w:eastAsia="Arial" w:hAnsi="Arial"/>
                <w:sz w:val="12"/>
                <w:szCs w:val="12"/>
                <w:color w:val="auto"/>
              </w:rPr>
              <w:t>1,930</w:t>
            </w:r>
          </w:p>
        </w:tc>
        <w:tc>
          <w:tcPr>
            <w:tcW w:w="15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1,837</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869</w:t>
            </w:r>
          </w:p>
        </w:tc>
      </w:tr>
      <w:tr>
        <w:trPr>
          <w:trHeight w:val="14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investing activities</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ind w:right="38"/>
              <w:spacing w:after="0"/>
              <w:rPr>
                <w:sz w:val="20"/>
                <w:szCs w:val="20"/>
                <w:color w:val="auto"/>
              </w:rPr>
            </w:pPr>
            <w:r>
              <w:rPr>
                <w:rFonts w:ascii="Arial" w:cs="Arial" w:eastAsia="Arial" w:hAnsi="Arial"/>
                <w:sz w:val="12"/>
                <w:szCs w:val="12"/>
                <w:color w:val="auto"/>
              </w:rPr>
              <w:t>1,930</w:t>
            </w:r>
          </w:p>
        </w:tc>
        <w:tc>
          <w:tcPr>
            <w:tcW w:w="15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1,837</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869</w:t>
            </w:r>
          </w:p>
        </w:tc>
      </w:tr>
      <w:tr>
        <w:trPr>
          <w:trHeight w:val="134"/>
        </w:trPr>
        <w:tc>
          <w:tcPr>
            <w:tcW w:w="6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Cash flow from financing activities:</w:t>
            </w:r>
          </w:p>
        </w:tc>
        <w:tc>
          <w:tcPr>
            <w:tcW w:w="540" w:type="dxa"/>
            <w:vAlign w:val="bottom"/>
          </w:tcPr>
          <w:p>
            <w:pPr>
              <w:spacing w:after="0"/>
              <w:rPr>
                <w:sz w:val="11"/>
                <w:szCs w:val="11"/>
                <w:color w:val="auto"/>
              </w:rPr>
            </w:pPr>
          </w:p>
        </w:tc>
        <w:tc>
          <w:tcPr>
            <w:tcW w:w="760" w:type="dxa"/>
            <w:vAlign w:val="bottom"/>
            <w:shd w:val="clear" w:color="auto" w:fill="CECAC6"/>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9"/>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Distributions made</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spacing w:after="0"/>
              <w:rPr>
                <w:sz w:val="20"/>
                <w:szCs w:val="20"/>
                <w:color w:val="auto"/>
              </w:rPr>
            </w:pPr>
            <w:r>
              <w:rPr>
                <w:rFonts w:ascii="Arial" w:cs="Arial" w:eastAsia="Arial" w:hAnsi="Arial"/>
                <w:sz w:val="12"/>
                <w:szCs w:val="12"/>
                <w:color w:val="auto"/>
              </w:rPr>
              <w:t>(1,930)</w:t>
            </w:r>
          </w:p>
        </w:tc>
        <w:tc>
          <w:tcPr>
            <w:tcW w:w="15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(1,837)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w:t>
            </w:r>
          </w:p>
        </w:tc>
      </w:tr>
      <w:tr>
        <w:trPr>
          <w:trHeight w:val="140"/>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flow from financing activities</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spacing w:after="0"/>
              <w:rPr>
                <w:sz w:val="20"/>
                <w:szCs w:val="20"/>
                <w:color w:val="auto"/>
              </w:rPr>
            </w:pPr>
            <w:r>
              <w:rPr>
                <w:rFonts w:ascii="Arial" w:cs="Arial" w:eastAsia="Arial" w:hAnsi="Arial"/>
                <w:sz w:val="12"/>
                <w:szCs w:val="12"/>
                <w:color w:val="auto"/>
              </w:rPr>
              <w:t>(1,930)</w:t>
            </w:r>
          </w:p>
        </w:tc>
        <w:tc>
          <w:tcPr>
            <w:tcW w:w="15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(1,837)</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w:t>
            </w:r>
          </w:p>
        </w:tc>
      </w:tr>
      <w:tr>
        <w:trPr>
          <w:trHeight w:val="120"/>
        </w:trPr>
        <w:tc>
          <w:tcPr>
            <w:tcW w:w="6800" w:type="dxa"/>
            <w:vAlign w:val="bottom"/>
          </w:tcPr>
          <w:p>
            <w:pPr>
              <w:ind w:left="20"/>
              <w:spacing w:after="0" w:line="120" w:lineRule="exact"/>
              <w:rPr>
                <w:sz w:val="20"/>
                <w:szCs w:val="20"/>
                <w:color w:val="auto"/>
              </w:rPr>
            </w:pPr>
            <w:r>
              <w:rPr>
                <w:rFonts w:ascii="Arial" w:cs="Arial" w:eastAsia="Arial" w:hAnsi="Arial"/>
                <w:sz w:val="12"/>
                <w:szCs w:val="12"/>
                <w:b w:val="1"/>
                <w:bCs w:val="1"/>
                <w:color w:val="auto"/>
              </w:rPr>
              <w:t>Increase in cash and cash equivalents</w:t>
            </w:r>
          </w:p>
        </w:tc>
        <w:tc>
          <w:tcPr>
            <w:tcW w:w="540" w:type="dxa"/>
            <w:vAlign w:val="bottom"/>
          </w:tcPr>
          <w:p>
            <w:pPr>
              <w:spacing w:after="0"/>
              <w:rPr>
                <w:sz w:val="10"/>
                <w:szCs w:val="10"/>
                <w:color w:val="auto"/>
              </w:rPr>
            </w:pPr>
          </w:p>
        </w:tc>
        <w:tc>
          <w:tcPr>
            <w:tcW w:w="760" w:type="dxa"/>
            <w:vAlign w:val="bottom"/>
            <w:shd w:val="clear" w:color="auto" w:fill="CECAC6"/>
          </w:tcPr>
          <w:p>
            <w:pPr>
              <w:jc w:val="right"/>
              <w:ind w:right="58"/>
              <w:spacing w:after="0" w:line="120" w:lineRule="exact"/>
              <w:rPr>
                <w:sz w:val="20"/>
                <w:szCs w:val="20"/>
                <w:color w:val="auto"/>
              </w:rPr>
            </w:pPr>
            <w:r>
              <w:rPr>
                <w:rFonts w:ascii="Arial" w:cs="Arial" w:eastAsia="Arial" w:hAnsi="Arial"/>
                <w:sz w:val="12"/>
                <w:szCs w:val="12"/>
                <w:color w:val="auto"/>
              </w:rPr>
              <w:t>–</w:t>
            </w:r>
          </w:p>
        </w:tc>
        <w:tc>
          <w:tcPr>
            <w:tcW w:w="1520" w:type="dxa"/>
            <w:vAlign w:val="bottom"/>
          </w:tcPr>
          <w:p>
            <w:pPr>
              <w:jc w:val="right"/>
              <w:ind w:right="278"/>
              <w:spacing w:after="0" w:line="120" w:lineRule="exact"/>
              <w:rPr>
                <w:sz w:val="20"/>
                <w:szCs w:val="20"/>
                <w:color w:val="auto"/>
              </w:rPr>
            </w:pPr>
            <w:r>
              <w:rPr>
                <w:rFonts w:ascii="Arial" w:cs="Arial" w:eastAsia="Arial" w:hAnsi="Arial"/>
                <w:sz w:val="12"/>
                <w:szCs w:val="12"/>
                <w:color w:val="auto"/>
              </w:rPr>
              <w:t>–</w:t>
            </w:r>
          </w:p>
        </w:tc>
        <w:tc>
          <w:tcPr>
            <w:tcW w:w="1340" w:type="dxa"/>
            <w:vAlign w:val="bottom"/>
          </w:tcPr>
          <w:p>
            <w:pPr>
              <w:jc w:val="right"/>
              <w:ind w:right="38"/>
              <w:spacing w:after="0" w:line="120" w:lineRule="exact"/>
              <w:rPr>
                <w:sz w:val="20"/>
                <w:szCs w:val="20"/>
                <w:color w:val="auto"/>
              </w:rPr>
            </w:pPr>
            <w:r>
              <w:rPr>
                <w:rFonts w:ascii="Arial" w:cs="Arial" w:eastAsia="Arial" w:hAnsi="Arial"/>
                <w:sz w:val="12"/>
                <w:szCs w:val="12"/>
                <w:color w:val="auto"/>
              </w:rPr>
              <w:t>–</w:t>
            </w:r>
          </w:p>
        </w:tc>
      </w:tr>
      <w:tr>
        <w:trPr>
          <w:trHeight w:val="153"/>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at January 1</w:t>
            </w: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r>
        <w:trPr>
          <w:trHeight w:val="146"/>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Cash and cash equivalents at December 31</w:t>
            </w:r>
          </w:p>
        </w:tc>
        <w:tc>
          <w:tcPr>
            <w:tcW w:w="5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shd w:val="clear" w:color="auto" w:fill="CECAC6"/>
          </w:tcPr>
          <w:p>
            <w:pPr>
              <w:jc w:val="right"/>
              <w:ind w:right="58"/>
              <w:spacing w:after="0"/>
              <w:rPr>
                <w:sz w:val="20"/>
                <w:szCs w:val="20"/>
                <w:color w:val="auto"/>
              </w:rPr>
            </w:pPr>
            <w:r>
              <w:rPr>
                <w:rFonts w:ascii="Arial" w:cs="Arial" w:eastAsia="Arial" w:hAnsi="Arial"/>
                <w:sz w:val="12"/>
                <w:szCs w:val="12"/>
                <w:color w:val="auto"/>
              </w:rPr>
              <w:t>–</w:t>
            </w:r>
          </w:p>
        </w:tc>
        <w:tc>
          <w:tcPr>
            <w:tcW w:w="15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color w:val="auto"/>
              </w:rPr>
              <w:t>–</w:t>
            </w:r>
          </w:p>
        </w:tc>
        <w:tc>
          <w:tcPr>
            <w:tcW w:w="13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The Notes on pages 202 to 203 are an integral part of these Financial Statements.</w:t>
      </w:r>
    </w:p>
    <w:p>
      <w:pPr>
        <w:spacing w:after="0" w:line="9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539115</wp:posOffset>
            </wp:positionV>
            <wp:extent cx="7252970" cy="209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136"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32"/>
          <w:szCs w:val="32"/>
          <w:color w:val="auto"/>
        </w:rPr>
        <w:t>Notes to the Royal Dutch Shell Dividend Access Trust Financial Statements</w:t>
      </w:r>
    </w:p>
    <w:p>
      <w:pPr>
        <w:sectPr>
          <w:pgSz w:w="11900" w:h="16838" w:orient="portrait"/>
          <w:cols w:equalWidth="0" w:num="1">
            <w:col w:w="10940"/>
          </w:cols>
          <w:pgMar w:left="240" w:top="415" w:right="719" w:bottom="1440" w:gutter="0" w:footer="0" w:header="0"/>
        </w:sect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1</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2</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w:t>
      </w:r>
    </w:p>
    <w:p>
      <w:pPr>
        <w:spacing w:after="0"/>
        <w:rPr>
          <w:sz w:val="20"/>
          <w:szCs w:val="20"/>
          <w:color w:val="auto"/>
        </w:rPr>
      </w:pPr>
      <w:r>
        <w:rPr>
          <w:rFonts w:ascii="Arial" w:cs="Arial" w:eastAsia="Arial" w:hAnsi="Arial"/>
          <w:sz w:val="14"/>
          <w:szCs w:val="14"/>
          <w:b w:val="1"/>
          <w:bCs w:val="1"/>
          <w:color w:val="auto"/>
        </w:rPr>
        <w:t>PREPARATION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3</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ACCOUNTING</w:t>
      </w:r>
    </w:p>
    <w:p>
      <w:pPr>
        <w:spacing w:after="0"/>
        <w:rPr>
          <w:sz w:val="20"/>
          <w:szCs w:val="20"/>
          <w:color w:val="auto"/>
        </w:rPr>
      </w:pPr>
      <w:r>
        <w:rPr>
          <w:rFonts w:ascii="Arial" w:cs="Arial" w:eastAsia="Arial" w:hAnsi="Arial"/>
          <w:sz w:val="14"/>
          <w:szCs w:val="14"/>
          <w:b w:val="1"/>
          <w:bCs w:val="1"/>
          <w:color w:val="auto"/>
        </w:rPr>
        <w:t>POLICIES</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The Royal Dutch Shell Dividend Access Trust (the “Trust”) was established on May 19, 2005, by The Shell Transport and Trading Company Limited (previously known as The “Shell” Transport and Trading Company, plc (“Shell Transport”)) and Royal Dutch Shell plc (“Royal Dutch Shell”). The Trust is governed by the applicable laws of England and Wales and resident in Jersey. The Trustee of the Trust was Hill Samuel Offshore Trust Company Limited, 7 Bond Street, St Helier, Jersey, JE4 8PH. On January 1, 2007, the Trustee changed its name and registered office to Lloyds TSB Offshore Trust Company Limited, 25 New Street, St Helier, Jersey, JE4 8RG. The Trust was established as part of a dividend access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-476250</wp:posOffset>
            </wp:positionV>
            <wp:extent cx="17145" cy="15728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7145" cy="1572895"/>
                    </a:xfrm>
                    <a:prstGeom prst="rect">
                      <a:avLst/>
                    </a:prstGeom>
                    <a:noFill/>
                  </pic:spPr>
                </pic:pic>
              </a:graphicData>
            </a:graphic>
          </wp:anchor>
        </w:drawing>
      </w:r>
    </w:p>
    <w:p>
      <w:pPr>
        <w:spacing w:after="0" w:line="50" w:lineRule="exact"/>
        <w:rPr>
          <w:sz w:val="20"/>
          <w:szCs w:val="20"/>
          <w:color w:val="auto"/>
        </w:rPr>
      </w:pPr>
    </w:p>
    <w:p>
      <w:pPr>
        <w:ind w:right="300"/>
        <w:spacing w:after="0" w:line="235" w:lineRule="auto"/>
        <w:rPr>
          <w:sz w:val="20"/>
          <w:szCs w:val="20"/>
          <w:color w:val="auto"/>
        </w:rPr>
      </w:pPr>
      <w:r>
        <w:rPr>
          <w:rFonts w:ascii="Arial" w:cs="Arial" w:eastAsia="Arial" w:hAnsi="Arial"/>
          <w:sz w:val="14"/>
          <w:szCs w:val="14"/>
          <w:color w:val="auto"/>
        </w:rPr>
        <w:t>A Dividend Access Share was issued by Shell Transport, a company in the Royal Dutch Shell Group, to the Trustee of the Dividend Access Trust. Following the declaration of a dividend by Royal Dutch Shell on the Class B shares, Shell Transport may declare a dividend on the Dividend Access Share.</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4"/>
          <w:szCs w:val="14"/>
          <w:color w:val="auto"/>
        </w:rPr>
        <w:t>The primary purpose of the Trust is for the Trustee to receive, as Trustee for the Class B shareholders of Royal Dutch Shell and in accordance with their respective holdings of Class B shares in Royal Dutch Shell, any amounts paid by way of dividend on the Dividend Access Share and to pay such amounts to the Class B shareholders on the same pro rata basis.</w:t>
      </w:r>
    </w:p>
    <w:p>
      <w:pPr>
        <w:spacing w:after="0" w:line="73" w:lineRule="exact"/>
        <w:rPr>
          <w:sz w:val="20"/>
          <w:szCs w:val="20"/>
          <w:color w:val="auto"/>
        </w:rPr>
      </w:pPr>
    </w:p>
    <w:p>
      <w:pPr>
        <w:ind w:right="1900"/>
        <w:spacing w:after="0" w:line="247" w:lineRule="auto"/>
        <w:rPr>
          <w:sz w:val="20"/>
          <w:szCs w:val="20"/>
          <w:color w:val="auto"/>
        </w:rPr>
      </w:pPr>
      <w:r>
        <w:rPr>
          <w:rFonts w:ascii="Arial" w:cs="Arial" w:eastAsia="Arial" w:hAnsi="Arial"/>
          <w:sz w:val="14"/>
          <w:szCs w:val="14"/>
          <w:color w:val="auto"/>
        </w:rPr>
        <w:t>The Trust shall not endure for a period in excess of 80 years from May 19, 2005, being the date on which the Trust Deed was executed.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spacing w:after="0" w:line="243" w:lineRule="auto"/>
        <w:rPr>
          <w:sz w:val="20"/>
          <w:szCs w:val="20"/>
          <w:color w:val="auto"/>
        </w:rPr>
      </w:pPr>
      <w:r>
        <w:rPr>
          <w:rFonts w:ascii="Arial" w:cs="Arial" w:eastAsia="Arial" w:hAnsi="Arial"/>
          <w:sz w:val="13"/>
          <w:szCs w:val="13"/>
          <w:color w:val="auto"/>
        </w:rPr>
        <w:t>The Financial Statements of the Trust have been prepared in accordance with International Financial Reporting Standards (IFRS) as adopted by the European Union. As applied to the Royal Dutch Shell Dividend Access Trust, there are no material differences with IFRS as issued by the International Accounting Standards Board. The accounting policies are set out in Note 3. The Financial Statements have been prepared under the historical cost convention. The preparation of Financial Statements in conformity with IFRS requires the use of certain accounting estimates. It also requires management to exercise its judgement in the process of applying the Trust’s accounting policies. Actual results may differ from these estimates. The financial results of the Trust are included in the Consolidated and Parent Company Financial Statements of Royal Dutch Shell. The Financial Statements were approved and authorised for issue on March 12, 2008, by the Directors of Lloyds TSB Offshore Trust Company Limited,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-660400</wp:posOffset>
            </wp:positionV>
            <wp:extent cx="17145" cy="76136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7145" cy="76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420"/>
        <w:spacing w:after="0" w:line="247" w:lineRule="auto"/>
        <w:rPr>
          <w:sz w:val="20"/>
          <w:szCs w:val="20"/>
          <w:color w:val="auto"/>
        </w:rPr>
      </w:pPr>
      <w:r>
        <w:rPr>
          <w:rFonts w:ascii="Arial" w:cs="Arial" w:eastAsia="Arial" w:hAnsi="Arial"/>
          <w:sz w:val="14"/>
          <w:szCs w:val="14"/>
          <w:color w:val="auto"/>
        </w:rPr>
        <w:t>Accounting policies follow those of Shell as set out in Note 2 to the Consolidated Financial Statements on pages 117 to 121. The following are the principal accounting policies of the Royal Dutch Shell Dividend Access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-198120</wp:posOffset>
            </wp:positionV>
            <wp:extent cx="17145" cy="202120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7145" cy="202120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FUNCTIONAL CURRENCY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 functional currency of the Trust is sterling. The Trust dividend income and dividends paid are principally in sterling.</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TRANSLATION</w:t>
      </w:r>
    </w:p>
    <w:p>
      <w:pPr>
        <w:spacing w:after="0" w:line="6" w:lineRule="exact"/>
        <w:rPr>
          <w:sz w:val="20"/>
          <w:szCs w:val="20"/>
          <w:color w:val="auto"/>
        </w:rPr>
      </w:pPr>
    </w:p>
    <w:p>
      <w:pPr>
        <w:ind w:right="200"/>
        <w:spacing w:after="0" w:line="281" w:lineRule="auto"/>
        <w:rPr>
          <w:sz w:val="20"/>
          <w:szCs w:val="20"/>
          <w:color w:val="auto"/>
        </w:rPr>
      </w:pPr>
      <w:r>
        <w:rPr>
          <w:rFonts w:ascii="Arial" w:cs="Arial" w:eastAsia="Arial" w:hAnsi="Arial"/>
          <w:sz w:val="12"/>
          <w:szCs w:val="12"/>
          <w:color w:val="auto"/>
        </w:rPr>
        <w:t>Income and expense items denominated in currencies other than the functional currency are translated into the functional currency at the rate ruling on their transaction date. Monetary assets and liabilities recorded in currencies other than the functional currency have been expressed in the functional currency at the rates of exchange ruling at the respective balance sheet dates. Differences on translation are included in the Statement of Income.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TAXATION</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The Trust is not subject to taxation.</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INCOME</w:t>
      </w:r>
    </w:p>
    <w:p>
      <w:pPr>
        <w:spacing w:after="0" w:line="6" w:lineRule="exact"/>
        <w:rPr>
          <w:sz w:val="20"/>
          <w:szCs w:val="20"/>
          <w:color w:val="auto"/>
        </w:rPr>
      </w:pPr>
    </w:p>
    <w:p>
      <w:pPr>
        <w:ind w:right="80"/>
        <w:spacing w:after="0" w:line="265" w:lineRule="auto"/>
        <w:rPr>
          <w:sz w:val="20"/>
          <w:szCs w:val="20"/>
          <w:color w:val="auto"/>
        </w:rPr>
      </w:pPr>
      <w:r>
        <w:rPr>
          <w:rFonts w:ascii="Arial" w:cs="Arial" w:eastAsia="Arial" w:hAnsi="Arial"/>
          <w:sz w:val="13"/>
          <w:szCs w:val="13"/>
          <w:color w:val="auto"/>
        </w:rPr>
        <w:t>Interim dividends declared on the Dividend Access Share are recognised on a paid basis unless the dividend has been confirmed by a general meeting of Shell Transport, in which case income is recognised based on the record date of the dividend by Royal Dutch Shell on its Class B shares.</w:t>
      </w:r>
    </w:p>
    <w:p>
      <w:pPr>
        <w:spacing w:after="0" w:line="200" w:lineRule="exact"/>
        <w:rPr>
          <w:sz w:val="20"/>
          <w:szCs w:val="20"/>
          <w:color w:val="auto"/>
        </w:rPr>
      </w:pPr>
    </w:p>
    <w:p>
      <w:pPr>
        <w:sectPr>
          <w:pgSz w:w="11900" w:h="16838" w:orient="portrait"/>
          <w:cols w:equalWidth="0" w:num="2">
            <w:col w:w="1480" w:space="720"/>
            <w:col w:w="8740"/>
          </w:cols>
          <w:pgMar w:left="240" w:top="415"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202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698500</wp:posOffset>
            </wp:positionV>
            <wp:extent cx="7252970" cy="209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40"/>
          </w:cols>
          <w:pgMar w:left="240" w:top="415" w:right="719" w:bottom="1440" w:gutter="0" w:footer="0" w:header="0"/>
          <w:type w:val="continuous"/>
        </w:sectPr>
      </w:pPr>
    </w:p>
    <w:bookmarkStart w:id="209" w:name="page210"/>
    <w:bookmarkEnd w:id="209"/>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4</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ACCOUNT</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5</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rPr>
          <w:sz w:val="20"/>
          <w:szCs w:val="20"/>
          <w:color w:val="auto"/>
        </w:rPr>
      </w:pPr>
      <w:r>
        <w:rPr>
          <w:rFonts w:ascii="Arial" w:cs="Arial" w:eastAsia="Arial" w:hAnsi="Arial"/>
          <w:sz w:val="14"/>
          <w:szCs w:val="14"/>
          <w:b w:val="1"/>
          <w:bCs w:val="1"/>
          <w:color w:val="auto"/>
        </w:rPr>
        <w:t>MADE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6</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7</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w:t>
      </w:r>
    </w:p>
    <w:p>
      <w:pPr>
        <w:spacing w:after="0"/>
        <w:rPr>
          <w:sz w:val="20"/>
          <w:szCs w:val="20"/>
          <w:color w:val="auto"/>
        </w:rPr>
      </w:pPr>
      <w:r>
        <w:rPr>
          <w:rFonts w:ascii="Arial" w:cs="Arial" w:eastAsia="Arial" w:hAnsi="Arial"/>
          <w:sz w:val="14"/>
          <w:szCs w:val="14"/>
          <w:b w:val="1"/>
          <w:bCs w:val="1"/>
          <w:color w:val="auto"/>
        </w:rPr>
        <w:t>INSTRUMENTS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C7AAD0"/>
        </w:rPr>
        <w:t>8</w:t>
      </w:r>
    </w:p>
    <w:p>
      <w:pPr>
        <w:spacing w:after="0" w:line="17" w:lineRule="exact"/>
        <w:rPr>
          <w:sz w:val="20"/>
          <w:szCs w:val="20"/>
          <w:color w:val="auto"/>
        </w:rPr>
      </w:pPr>
    </w:p>
    <w:p>
      <w:pPr>
        <w:ind w:right="300"/>
        <w:spacing w:after="0" w:line="252" w:lineRule="auto"/>
        <w:rPr>
          <w:sz w:val="20"/>
          <w:szCs w:val="20"/>
          <w:color w:val="auto"/>
        </w:rPr>
      </w:pPr>
      <w:r>
        <w:rPr>
          <w:rFonts w:ascii="Arial" w:cs="Arial" w:eastAsia="Arial" w:hAnsi="Arial"/>
          <w:sz w:val="14"/>
          <w:szCs w:val="14"/>
          <w:b w:val="1"/>
          <w:bCs w:val="1"/>
          <w:color w:val="auto"/>
        </w:rPr>
        <w:t>RELATED PARTY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The Capital account is represented by the Dividend Access Share of 25 pence settled in the Trust by Shell Transport.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-89535</wp:posOffset>
            </wp:positionV>
            <wp:extent cx="17145" cy="19431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145" cy="194310"/>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-292735</wp:posOffset>
            </wp:positionV>
            <wp:extent cx="211455" cy="3467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11455" cy="346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79" w:lineRule="auto"/>
        <w:rPr>
          <w:sz w:val="20"/>
          <w:szCs w:val="20"/>
          <w:color w:val="auto"/>
        </w:rPr>
      </w:pPr>
      <w:r>
        <w:rPr>
          <w:rFonts w:ascii="Arial" w:cs="Arial" w:eastAsia="Arial" w:hAnsi="Arial"/>
          <w:sz w:val="12"/>
          <w:szCs w:val="12"/>
          <w:color w:val="auto"/>
        </w:rPr>
        <w:t>Distributions are made to the Class B shareholders of Royal Dutch Shell in accordance with the Trust Deed. Unclaimed dividends amounted to £444,639 as at December 31, 2007 (2006: £27,465; 2005: nil), which are not included in distributions made. Amounts are recorded as distributed once a wire transfer or cheque is issued. All cheques are valid for one year from the date of issue. Any wire transfers that are not completed are replaced by cheques. To the extent that cheques expire or are returned unpresented, the Trust records a liability for unclaimed dividends and a corresponding amount of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-394970</wp:posOffset>
            </wp:positionV>
            <wp:extent cx="17145" cy="4654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 cy="46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Auditors’ remuneration for audit services during the year was £35,000 (2006: £35,000; 2005: £35,000).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-89535</wp:posOffset>
            </wp:positionV>
            <wp:extent cx="17145" cy="1943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 cy="19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180"/>
        <w:spacing w:after="0" w:line="247" w:lineRule="auto"/>
        <w:rPr>
          <w:sz w:val="20"/>
          <w:szCs w:val="20"/>
          <w:color w:val="auto"/>
        </w:rPr>
      </w:pPr>
      <w:r>
        <w:rPr>
          <w:rFonts w:ascii="Arial" w:cs="Arial" w:eastAsia="Arial" w:hAnsi="Arial"/>
          <w:sz w:val="14"/>
          <w:szCs w:val="14"/>
          <w:color w:val="auto"/>
        </w:rPr>
        <w:t>The Trust, in its normal course of business, is not subject to market risk, credit risk or liquidity risk. The Trustees do not consider that any foreign exchange exposures will materially affect the operations of the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-198120</wp:posOffset>
            </wp:positionV>
            <wp:extent cx="17145" cy="3130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0"/>
        <w:spacing w:after="0" w:line="260" w:lineRule="auto"/>
        <w:rPr>
          <w:sz w:val="20"/>
          <w:szCs w:val="20"/>
          <w:color w:val="auto"/>
        </w:rPr>
      </w:pPr>
      <w:r>
        <w:rPr>
          <w:rFonts w:ascii="Arial" w:cs="Arial" w:eastAsia="Arial" w:hAnsi="Arial"/>
          <w:sz w:val="13"/>
          <w:szCs w:val="13"/>
          <w:color w:val="auto"/>
        </w:rPr>
        <w:t>Shell Transport, a signatory to the Trust Deed, issued a Dividend Access Share to the Trustee of the Trust. The Trust received dividend income of £1,930 million (2006: £1,837 million; 2005: £870 million) in respect of the Dividend Access Share. The Trust made distributions of £1,930 million (2006: £1,837 million; 2005: £869 million) to the Class B shareholders of Royal Dutch Shell, a signatory to the Trust Deed.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-295910</wp:posOffset>
            </wp:positionV>
            <wp:extent cx="17145" cy="3638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363855"/>
                    </a:xfrm>
                    <a:prstGeom prst="rect">
                      <a:avLst/>
                    </a:prstGeom>
                    <a:noFill/>
                  </pic:spPr>
                </pic:pic>
              </a:graphicData>
            </a:graphic>
          </wp:anchor>
        </w:drawing>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767715</wp:posOffset>
            </wp:positionV>
            <wp:extent cx="7252970" cy="209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1480" w:space="720"/>
            <w:col w:w="8760"/>
          </w:cols>
          <w:pgMar w:left="240" w:top="415" w:right="6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2"/>
          <w:szCs w:val="32"/>
          <w:color w:val="auto"/>
        </w:rPr>
        <w:t>Additional shareholder information (unaudited)</w:t>
      </w:r>
    </w:p>
    <w:p>
      <w:pPr>
        <w:sectPr>
          <w:pgSz w:w="11900" w:h="16838" w:orient="portrait"/>
          <w:cols w:equalWidth="0" w:num="1">
            <w:col w:w="11420"/>
          </w:cols>
          <w:pgMar w:left="240" w:top="415" w:right="239" w:bottom="1440" w:gutter="0" w:footer="0" w:header="0"/>
        </w:sect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GENERAL MEETING</w:t>
      </w:r>
    </w:p>
    <w:p>
      <w:pPr>
        <w:spacing w:after="0" w:line="6" w:lineRule="exact"/>
        <w:rPr>
          <w:sz w:val="20"/>
          <w:szCs w:val="20"/>
          <w:color w:val="auto"/>
        </w:rPr>
      </w:pPr>
    </w:p>
    <w:p>
      <w:pPr>
        <w:ind w:right="40"/>
        <w:spacing w:after="0" w:line="226" w:lineRule="auto"/>
        <w:rPr>
          <w:sz w:val="20"/>
          <w:szCs w:val="20"/>
          <w:color w:val="auto"/>
        </w:rPr>
      </w:pPr>
      <w:r>
        <w:rPr>
          <w:rFonts w:ascii="Arial" w:cs="Arial" w:eastAsia="Arial" w:hAnsi="Arial"/>
          <w:sz w:val="14"/>
          <w:szCs w:val="14"/>
          <w:color w:val="auto"/>
        </w:rPr>
        <w:t>The Annual General Meeting of Royal Dutch Shell plc will be held at the Circustheater, Circusstraat 4 in The Hague, The Netherlands at 11 a.m. (Dutch time) on May 20, 2008, with an audio-visual link to a satellite meeting place at The Barbican Centre, London UK at 10 a.m. (UK time).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A AND CLASS B SHARES</w:t>
      </w:r>
    </w:p>
    <w:p>
      <w:pPr>
        <w:spacing w:after="0" w:line="6" w:lineRule="exact"/>
        <w:rPr>
          <w:sz w:val="20"/>
          <w:szCs w:val="20"/>
          <w:color w:val="auto"/>
        </w:rPr>
      </w:pPr>
    </w:p>
    <w:p>
      <w:pPr>
        <w:ind w:right="160"/>
        <w:spacing w:after="0" w:line="272" w:lineRule="auto"/>
        <w:rPr>
          <w:sz w:val="20"/>
          <w:szCs w:val="20"/>
          <w:color w:val="auto"/>
        </w:rPr>
      </w:pPr>
      <w:r>
        <w:rPr>
          <w:rFonts w:ascii="Arial" w:cs="Arial" w:eastAsia="Arial" w:hAnsi="Arial"/>
          <w:sz w:val="12"/>
          <w:szCs w:val="12"/>
          <w:color w:val="auto"/>
        </w:rPr>
        <w:t>Royal Dutch Shell has two classes of shares – Class A shares and Class B shares. The Class A shares and Class B shares have identical rights except in relation to the dividend source. Dividends having a Dutch source are intended to be paid to holders of Class A shares and dividends having a UK source are intended to be paid to holders of Class B shares.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 DUTCH SHELL LISTING INFORMATION</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940" w:type="dxa"/>
            <w:vAlign w:val="bottom"/>
            <w:shd w:val="clear" w:color="auto" w:fill="711470"/>
          </w:tcPr>
          <w:p>
            <w:pPr>
              <w:spacing w:after="0"/>
              <w:rPr>
                <w:sz w:val="12"/>
                <w:szCs w:val="12"/>
                <w:color w:val="auto"/>
              </w:rPr>
            </w:pPr>
          </w:p>
        </w:tc>
        <w:tc>
          <w:tcPr>
            <w:tcW w:w="1440" w:type="dxa"/>
            <w:vAlign w:val="bottom"/>
            <w:shd w:val="clear" w:color="auto" w:fill="711470"/>
          </w:tcPr>
          <w:p>
            <w:pPr>
              <w:jc w:val="right"/>
              <w:ind w:right="138"/>
              <w:spacing w:after="0"/>
              <w:rPr>
                <w:sz w:val="20"/>
                <w:szCs w:val="20"/>
                <w:color w:val="auto"/>
              </w:rPr>
            </w:pPr>
            <w:r>
              <w:rPr>
                <w:rFonts w:ascii="Arial" w:cs="Arial" w:eastAsia="Arial" w:hAnsi="Arial"/>
                <w:sz w:val="12"/>
                <w:szCs w:val="12"/>
                <w:b w:val="1"/>
                <w:bCs w:val="1"/>
                <w:color w:val="FFFFFF"/>
              </w:rPr>
              <w:t>Class A shares</w:t>
            </w:r>
          </w:p>
        </w:tc>
        <w:tc>
          <w:tcPr>
            <w:tcW w:w="1100" w:type="dxa"/>
            <w:vAlign w:val="bottom"/>
            <w:shd w:val="clear" w:color="auto" w:fill="711470"/>
          </w:tcPr>
          <w:p>
            <w:pPr>
              <w:jc w:val="right"/>
              <w:ind w:right="38"/>
              <w:spacing w:after="0"/>
              <w:rPr>
                <w:sz w:val="20"/>
                <w:szCs w:val="20"/>
                <w:color w:val="auto"/>
              </w:rPr>
            </w:pPr>
            <w:r>
              <w:rPr>
                <w:rFonts w:ascii="Arial" w:cs="Arial" w:eastAsia="Arial" w:hAnsi="Arial"/>
                <w:sz w:val="12"/>
                <w:szCs w:val="12"/>
                <w:b w:val="1"/>
                <w:bCs w:val="1"/>
                <w:color w:val="FFFFFF"/>
              </w:rPr>
              <w:t>Class B shares</w:t>
            </w:r>
          </w:p>
        </w:tc>
      </w:tr>
      <w:tr>
        <w:trPr>
          <w:trHeight w:val="133"/>
        </w:trPr>
        <w:tc>
          <w:tcPr>
            <w:tcW w:w="29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Ticker symbol – London</w:t>
            </w:r>
          </w:p>
        </w:tc>
        <w:tc>
          <w:tcPr>
            <w:tcW w:w="1440" w:type="dxa"/>
            <w:vAlign w:val="bottom"/>
            <w:tcBorders>
              <w:bottom w:val="single" w:sz="8" w:color="auto"/>
            </w:tcBorders>
          </w:tcPr>
          <w:p>
            <w:pPr>
              <w:jc w:val="right"/>
              <w:ind w:right="38"/>
              <w:spacing w:after="0" w:line="133" w:lineRule="exact"/>
              <w:rPr>
                <w:sz w:val="20"/>
                <w:szCs w:val="20"/>
                <w:color w:val="auto"/>
              </w:rPr>
            </w:pPr>
            <w:r>
              <w:rPr>
                <w:rFonts w:ascii="Arial" w:cs="Arial" w:eastAsia="Arial" w:hAnsi="Arial"/>
                <w:sz w:val="12"/>
                <w:szCs w:val="12"/>
                <w:color w:val="auto"/>
              </w:rPr>
              <w:t>RDSA</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RDSB</w:t>
            </w:r>
          </w:p>
        </w:tc>
      </w:tr>
      <w:tr>
        <w:trPr>
          <w:trHeight w:val="140"/>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Ticker symbol – Amsterdam</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RDSA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RDSB</w:t>
            </w:r>
          </w:p>
        </w:tc>
      </w:tr>
      <w:tr>
        <w:trPr>
          <w:trHeight w:val="140"/>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Ticker symbol -– New York (ADR</w:t>
            </w:r>
            <w:r>
              <w:rPr>
                <w:rFonts w:ascii="Arial" w:cs="Arial" w:eastAsia="Arial" w:hAnsi="Arial"/>
                <w:sz w:val="12"/>
                <w:szCs w:val="12"/>
                <w:b w:val="1"/>
                <w:bCs w:val="1"/>
                <w:color w:val="auto"/>
              </w:rPr>
              <w:t>[A]</w:t>
            </w:r>
            <w:r>
              <w:rPr>
                <w:rFonts w:ascii="Arial" w:cs="Arial" w:eastAsia="Arial" w:hAnsi="Arial"/>
                <w:sz w:val="12"/>
                <w:szCs w:val="12"/>
                <w:color w:val="auto"/>
              </w:rPr>
              <w:t>)</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RDS.A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RDS.B</w:t>
            </w:r>
          </w:p>
        </w:tc>
      </w:tr>
      <w:tr>
        <w:trPr>
          <w:trHeight w:val="140"/>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ISIN Code</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GB00B03MLX29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GB00B03MM408</w:t>
            </w:r>
          </w:p>
        </w:tc>
      </w:tr>
      <w:tr>
        <w:trPr>
          <w:trHeight w:val="140"/>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CUSIP</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G7690A100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G7690A118</w:t>
            </w:r>
          </w:p>
        </w:tc>
      </w:tr>
      <w:tr>
        <w:trPr>
          <w:trHeight w:val="134"/>
        </w:trPr>
        <w:tc>
          <w:tcPr>
            <w:tcW w:w="2940" w:type="dxa"/>
            <w:vAlign w:val="bottom"/>
          </w:tcPr>
          <w:p>
            <w:pPr>
              <w:spacing w:after="0" w:line="134" w:lineRule="exact"/>
              <w:rPr>
                <w:sz w:val="20"/>
                <w:szCs w:val="20"/>
                <w:color w:val="auto"/>
              </w:rPr>
            </w:pPr>
            <w:r>
              <w:rPr>
                <w:rFonts w:ascii="Arial" w:cs="Arial" w:eastAsia="Arial" w:hAnsi="Arial"/>
                <w:sz w:val="12"/>
                <w:szCs w:val="12"/>
                <w:color w:val="auto"/>
              </w:rPr>
              <w:t>SEDOL Number – London</w:t>
            </w:r>
          </w:p>
        </w:tc>
        <w:tc>
          <w:tcPr>
            <w:tcW w:w="1440" w:type="dxa"/>
            <w:vAlign w:val="bottom"/>
          </w:tcPr>
          <w:p>
            <w:pPr>
              <w:jc w:val="right"/>
              <w:ind w:right="38"/>
              <w:spacing w:after="0" w:line="134" w:lineRule="exact"/>
              <w:rPr>
                <w:sz w:val="20"/>
                <w:szCs w:val="20"/>
                <w:color w:val="auto"/>
              </w:rPr>
            </w:pPr>
            <w:r>
              <w:rPr>
                <w:rFonts w:ascii="Arial" w:cs="Arial" w:eastAsia="Arial" w:hAnsi="Arial"/>
                <w:sz w:val="12"/>
                <w:szCs w:val="12"/>
                <w:color w:val="auto"/>
              </w:rPr>
              <w:t>B03MLX2</w:t>
            </w:r>
          </w:p>
        </w:tc>
        <w:tc>
          <w:tcPr>
            <w:tcW w:w="1100" w:type="dxa"/>
            <w:vAlign w:val="bottom"/>
          </w:tcPr>
          <w:p>
            <w:pPr>
              <w:jc w:val="right"/>
              <w:spacing w:after="0" w:line="134" w:lineRule="exact"/>
              <w:rPr>
                <w:sz w:val="20"/>
                <w:szCs w:val="20"/>
                <w:color w:val="auto"/>
              </w:rPr>
            </w:pPr>
            <w:r>
              <w:rPr>
                <w:rFonts w:ascii="Arial" w:cs="Arial" w:eastAsia="Arial" w:hAnsi="Arial"/>
                <w:sz w:val="12"/>
                <w:szCs w:val="12"/>
                <w:color w:val="auto"/>
              </w:rPr>
              <w:t>B03MM40</w:t>
            </w: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2"/>
                <w:szCs w:val="12"/>
                <w:color w:val="auto"/>
              </w:rPr>
              <w:t>SEDOL Number – Euronext</w:t>
            </w:r>
          </w:p>
        </w:tc>
        <w:tc>
          <w:tcPr>
            <w:tcW w:w="14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B09CBL4</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B09CBN6</w:t>
            </w:r>
          </w:p>
        </w:tc>
      </w:tr>
      <w:tr>
        <w:trPr>
          <w:trHeight w:val="133"/>
        </w:trPr>
        <w:tc>
          <w:tcPr>
            <w:tcW w:w="2940" w:type="dxa"/>
            <w:vAlign w:val="bottom"/>
          </w:tcPr>
          <w:p>
            <w:pPr>
              <w:spacing w:after="0" w:line="133" w:lineRule="exact"/>
              <w:rPr>
                <w:sz w:val="20"/>
                <w:szCs w:val="20"/>
                <w:color w:val="auto"/>
              </w:rPr>
            </w:pPr>
            <w:r>
              <w:rPr>
                <w:rFonts w:ascii="Arial" w:cs="Arial" w:eastAsia="Arial" w:hAnsi="Arial"/>
                <w:sz w:val="12"/>
                <w:szCs w:val="12"/>
                <w:color w:val="auto"/>
              </w:rPr>
              <w:t>Weighting on FTSE as at 31/12/07</w:t>
            </w:r>
          </w:p>
        </w:tc>
        <w:tc>
          <w:tcPr>
            <w:tcW w:w="144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4.953%</w:t>
            </w:r>
          </w:p>
        </w:tc>
        <w:tc>
          <w:tcPr>
            <w:tcW w:w="1100" w:type="dxa"/>
            <w:vAlign w:val="bottom"/>
          </w:tcPr>
          <w:p>
            <w:pPr>
              <w:jc w:val="right"/>
              <w:spacing w:after="0" w:line="133" w:lineRule="exact"/>
              <w:rPr>
                <w:sz w:val="20"/>
                <w:szCs w:val="20"/>
                <w:color w:val="auto"/>
              </w:rPr>
            </w:pPr>
            <w:r>
              <w:rPr>
                <w:rFonts w:ascii="Arial" w:cs="Arial" w:eastAsia="Arial" w:hAnsi="Arial"/>
                <w:sz w:val="12"/>
                <w:szCs w:val="12"/>
                <w:color w:val="auto"/>
              </w:rPr>
              <w:t>3.777%</w:t>
            </w:r>
          </w:p>
        </w:tc>
      </w:tr>
      <w:tr>
        <w:trPr>
          <w:trHeight w:val="146"/>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Weighting on AEX as at 31/12/07</w:t>
            </w:r>
          </w:p>
        </w:tc>
        <w:tc>
          <w:tcPr>
            <w:tcW w:w="14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18.897%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not included</w:t>
            </w:r>
          </w:p>
        </w:tc>
      </w:tr>
      <w:tr>
        <w:trPr>
          <w:trHeight w:val="209"/>
        </w:trPr>
        <w:tc>
          <w:tcPr>
            <w:tcW w:w="2940" w:type="dxa"/>
            <w:vAlign w:val="bottom"/>
          </w:tcPr>
          <w:p>
            <w:pPr>
              <w:spacing w:after="0"/>
              <w:rPr>
                <w:sz w:val="20"/>
                <w:szCs w:val="20"/>
                <w:color w:val="auto"/>
              </w:rPr>
            </w:pPr>
            <w:r>
              <w:rPr>
                <w:rFonts w:ascii="Arial" w:cs="Arial" w:eastAsia="Arial" w:hAnsi="Arial"/>
                <w:sz w:val="12"/>
                <w:szCs w:val="12"/>
                <w:color w:val="auto"/>
              </w:rPr>
              <w:t>[A] One ADR is equal to two underlying shares.</w:t>
            </w: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 PRICES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240" w:type="dxa"/>
            <w:vAlign w:val="bottom"/>
            <w:gridSpan w:val="8"/>
            <w:shd w:val="clear" w:color="auto" w:fill="711470"/>
          </w:tcPr>
          <w:p>
            <w:pPr>
              <w:spacing w:after="0"/>
              <w:rPr>
                <w:sz w:val="20"/>
                <w:szCs w:val="20"/>
                <w:color w:val="auto"/>
              </w:rPr>
            </w:pPr>
            <w:r>
              <w:rPr>
                <w:rFonts w:ascii="Arial" w:cs="Arial" w:eastAsia="Arial" w:hAnsi="Arial"/>
                <w:sz w:val="12"/>
                <w:szCs w:val="12"/>
                <w:b w:val="1"/>
                <w:bCs w:val="1"/>
                <w:color w:val="FFFFFF"/>
              </w:rPr>
              <w:t>RDSA AND ROYAL DUTCH ORDINARY SHARES – AMSTERDAM[A]</w:t>
            </w:r>
          </w:p>
        </w:tc>
        <w:tc>
          <w:tcPr>
            <w:tcW w:w="660" w:type="dxa"/>
            <w:vAlign w:val="bottom"/>
            <w:shd w:val="clear" w:color="auto" w:fill="711470"/>
          </w:tcPr>
          <w:p>
            <w:pPr>
              <w:spacing w:after="0"/>
              <w:rPr>
                <w:sz w:val="12"/>
                <w:szCs w:val="12"/>
                <w:color w:val="auto"/>
              </w:rPr>
            </w:pPr>
          </w:p>
        </w:tc>
        <w:tc>
          <w:tcPr>
            <w:tcW w:w="580" w:type="dxa"/>
            <w:vAlign w:val="bottom"/>
            <w:shd w:val="clear" w:color="auto" w:fill="711470"/>
          </w:tcPr>
          <w:p>
            <w:pPr>
              <w:jc w:val="right"/>
              <w:spacing w:after="0"/>
              <w:rPr>
                <w:sz w:val="20"/>
                <w:szCs w:val="20"/>
                <w:color w:val="auto"/>
              </w:rPr>
            </w:pPr>
            <w:r>
              <w:rPr>
                <w:rFonts w:ascii="Arial" w:cs="Arial" w:eastAsia="Arial" w:hAnsi="Arial"/>
                <w:sz w:val="12"/>
                <w:szCs w:val="12"/>
                <w:b w:val="1"/>
                <w:bCs w:val="1"/>
                <w:color w:val="FFFFFF"/>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80" w:type="dxa"/>
            <w:vAlign w:val="bottom"/>
            <w:shd w:val="clear" w:color="auto" w:fill="CECAC6"/>
          </w:tcPr>
          <w:p>
            <w:pPr>
              <w:spacing w:after="0"/>
              <w:rPr>
                <w:sz w:val="11"/>
                <w:szCs w:val="11"/>
                <w:color w:val="auto"/>
              </w:rPr>
            </w:pPr>
          </w:p>
        </w:tc>
        <w:tc>
          <w:tcPr>
            <w:tcW w:w="160" w:type="dxa"/>
            <w:vAlign w:val="bottom"/>
            <w:shd w:val="clear" w:color="auto" w:fill="CECAC6"/>
          </w:tcPr>
          <w:p>
            <w:pPr>
              <w:spacing w:after="0"/>
              <w:rPr>
                <w:sz w:val="11"/>
                <w:szCs w:val="11"/>
                <w:color w:val="auto"/>
              </w:rPr>
            </w:pPr>
          </w:p>
        </w:tc>
        <w:tc>
          <w:tcPr>
            <w:tcW w:w="360" w:type="dxa"/>
            <w:vAlign w:val="bottom"/>
            <w:shd w:val="clear" w:color="auto" w:fill="CECAC6"/>
          </w:tcPr>
          <w:p>
            <w:pPr>
              <w:spacing w:after="0"/>
              <w:rPr>
                <w:sz w:val="11"/>
                <w:szCs w:val="11"/>
                <w:color w:val="auto"/>
              </w:rPr>
            </w:pPr>
          </w:p>
        </w:tc>
        <w:tc>
          <w:tcPr>
            <w:tcW w:w="6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98"/>
              <w:spacing w:after="0" w:line="127" w:lineRule="exact"/>
              <w:rPr>
                <w:sz w:val="20"/>
                <w:szCs w:val="20"/>
                <w:color w:val="auto"/>
              </w:rPr>
            </w:pPr>
            <w:r>
              <w:rPr>
                <w:rFonts w:ascii="Arial" w:cs="Arial" w:eastAsia="Arial" w:hAnsi="Arial"/>
                <w:sz w:val="12"/>
                <w:szCs w:val="12"/>
                <w:color w:val="auto"/>
              </w:rPr>
              <w:t>RDSA</w:t>
            </w:r>
          </w:p>
        </w:tc>
        <w:tc>
          <w:tcPr>
            <w:tcW w:w="2060" w:type="dxa"/>
            <w:vAlign w:val="bottom"/>
            <w:gridSpan w:val="3"/>
            <w:shd w:val="clear" w:color="auto" w:fill="CECAC6"/>
          </w:tcPr>
          <w:p>
            <w:pPr>
              <w:jc w:val="right"/>
              <w:spacing w:after="0" w:line="127" w:lineRule="exact"/>
              <w:rPr>
                <w:sz w:val="20"/>
                <w:szCs w:val="20"/>
                <w:color w:val="auto"/>
              </w:rPr>
            </w:pPr>
            <w:r>
              <w:rPr>
                <w:rFonts w:ascii="Arial" w:cs="Arial" w:eastAsia="Arial" w:hAnsi="Arial"/>
                <w:sz w:val="12"/>
                <w:szCs w:val="12"/>
                <w:color w:val="auto"/>
              </w:rPr>
              <w:t>Royal Dutch ordinary shares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380" w:type="dxa"/>
            <w:vAlign w:val="bottom"/>
            <w:shd w:val="clear" w:color="auto" w:fill="CECAC6"/>
          </w:tcPr>
          <w:p>
            <w:pPr>
              <w:spacing w:after="0"/>
              <w:rPr>
                <w:sz w:val="12"/>
                <w:szCs w:val="12"/>
                <w:color w:val="auto"/>
              </w:rPr>
            </w:pPr>
          </w:p>
        </w:tc>
        <w:tc>
          <w:tcPr>
            <w:tcW w:w="52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2007</w:t>
            </w:r>
          </w:p>
        </w:tc>
        <w:tc>
          <w:tcPr>
            <w:tcW w:w="60" w:type="dxa"/>
            <w:vAlign w:val="bottom"/>
            <w:shd w:val="clear" w:color="auto" w:fill="CECAC6"/>
          </w:tcPr>
          <w:p>
            <w:pPr>
              <w:spacing w:after="0"/>
              <w:rPr>
                <w:sz w:val="12"/>
                <w:szCs w:val="12"/>
                <w:color w:val="auto"/>
              </w:rPr>
            </w:pPr>
          </w:p>
        </w:tc>
        <w:tc>
          <w:tcPr>
            <w:tcW w:w="680" w:type="dxa"/>
            <w:vAlign w:val="bottom"/>
            <w:gridSpan w:val="2"/>
            <w:shd w:val="clear" w:color="auto" w:fill="CECAC6"/>
          </w:tcPr>
          <w:p>
            <w:pPr>
              <w:jc w:val="right"/>
              <w:ind w:right="98"/>
              <w:spacing w:after="0"/>
              <w:rPr>
                <w:sz w:val="20"/>
                <w:szCs w:val="20"/>
                <w:color w:val="auto"/>
              </w:rPr>
            </w:pPr>
            <w:r>
              <w:rPr>
                <w:rFonts w:ascii="Arial" w:cs="Arial" w:eastAsia="Arial" w:hAnsi="Arial"/>
                <w:sz w:val="12"/>
                <w:szCs w:val="12"/>
                <w:color w:val="auto"/>
              </w:rPr>
              <w:t>2006</w:t>
            </w:r>
          </w:p>
        </w:tc>
        <w:tc>
          <w:tcPr>
            <w:tcW w:w="7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2005</w:t>
            </w:r>
          </w:p>
        </w:tc>
        <w:tc>
          <w:tcPr>
            <w:tcW w:w="82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2005</w:t>
            </w:r>
            <w:r>
              <w:rPr>
                <w:rFonts w:ascii="Arial" w:cs="Arial" w:eastAsia="Arial" w:hAnsi="Arial"/>
                <w:sz w:val="12"/>
                <w:szCs w:val="12"/>
                <w:b w:val="1"/>
                <w:bCs w:val="1"/>
                <w:color w:val="auto"/>
              </w:rPr>
              <w:t>[B]</w:t>
            </w:r>
          </w:p>
        </w:tc>
        <w:tc>
          <w:tcPr>
            <w:tcW w:w="660" w:type="dxa"/>
            <w:vAlign w:val="bottom"/>
            <w:shd w:val="clear" w:color="auto" w:fill="CECAC6"/>
          </w:tcPr>
          <w:p>
            <w:pPr>
              <w:jc w:val="right"/>
              <w:ind w:right="158"/>
              <w:spacing w:after="0"/>
              <w:rPr>
                <w:sz w:val="20"/>
                <w:szCs w:val="20"/>
                <w:color w:val="auto"/>
              </w:rPr>
            </w:pPr>
            <w:r>
              <w:rPr>
                <w:rFonts w:ascii="Arial" w:cs="Arial" w:eastAsia="Arial" w:hAnsi="Arial"/>
                <w:sz w:val="12"/>
                <w:szCs w:val="12"/>
                <w:color w:val="auto"/>
              </w:rPr>
              <w:t>2004</w:t>
            </w:r>
          </w:p>
        </w:tc>
        <w:tc>
          <w:tcPr>
            <w:tcW w:w="5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ECAC6"/>
          </w:tcPr>
          <w:p>
            <w:pPr>
              <w:spacing w:after="0"/>
              <w:rPr>
                <w:sz w:val="11"/>
                <w:szCs w:val="11"/>
                <w:color w:val="auto"/>
              </w:rPr>
            </w:pPr>
          </w:p>
        </w:tc>
        <w:tc>
          <w:tcPr>
            <w:tcW w:w="160" w:type="dxa"/>
            <w:vAlign w:val="bottom"/>
            <w:shd w:val="clear" w:color="auto" w:fill="CECAC6"/>
          </w:tcPr>
          <w:p>
            <w:pPr>
              <w:spacing w:after="0"/>
              <w:rPr>
                <w:sz w:val="11"/>
                <w:szCs w:val="11"/>
                <w:color w:val="auto"/>
              </w:rPr>
            </w:pPr>
          </w:p>
        </w:tc>
        <w:tc>
          <w:tcPr>
            <w:tcW w:w="360" w:type="dxa"/>
            <w:vAlign w:val="bottom"/>
            <w:shd w:val="clear" w:color="auto" w:fill="CECAC6"/>
          </w:tcPr>
          <w:p>
            <w:pPr>
              <w:spacing w:after="0"/>
              <w:rPr>
                <w:sz w:val="11"/>
                <w:szCs w:val="11"/>
                <w:color w:val="auto"/>
              </w:rPr>
            </w:pPr>
          </w:p>
        </w:tc>
        <w:tc>
          <w:tcPr>
            <w:tcW w:w="6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(Jul 20 to</w:t>
            </w:r>
          </w:p>
        </w:tc>
        <w:tc>
          <w:tcPr>
            <w:tcW w:w="820" w:type="dxa"/>
            <w:vAlign w:val="bottom"/>
            <w:shd w:val="clear" w:color="auto" w:fill="CECAC6"/>
          </w:tcPr>
          <w:p>
            <w:pPr>
              <w:ind w:left="180"/>
              <w:spacing w:after="0" w:line="133" w:lineRule="exact"/>
              <w:rPr>
                <w:sz w:val="20"/>
                <w:szCs w:val="20"/>
                <w:color w:val="auto"/>
              </w:rPr>
            </w:pPr>
            <w:r>
              <w:rPr>
                <w:rFonts w:ascii="Arial" w:cs="Arial" w:eastAsia="Arial" w:hAnsi="Arial"/>
                <w:sz w:val="12"/>
                <w:szCs w:val="12"/>
                <w:color w:val="auto"/>
              </w:rPr>
              <w:t>(Jan 1</w:t>
            </w:r>
          </w:p>
        </w:tc>
        <w:tc>
          <w:tcPr>
            <w:tcW w:w="66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ECAC6"/>
          </w:tcPr>
          <w:p>
            <w:pPr>
              <w:spacing w:after="0"/>
              <w:rPr>
                <w:sz w:val="12"/>
                <w:szCs w:val="12"/>
                <w:color w:val="auto"/>
              </w:rPr>
            </w:pPr>
          </w:p>
        </w:tc>
        <w:tc>
          <w:tcPr>
            <w:tcW w:w="160" w:type="dxa"/>
            <w:vAlign w:val="bottom"/>
            <w:shd w:val="clear" w:color="auto" w:fill="CECAC6"/>
          </w:tcPr>
          <w:p>
            <w:pPr>
              <w:spacing w:after="0"/>
              <w:rPr>
                <w:sz w:val="12"/>
                <w:szCs w:val="12"/>
                <w:color w:val="auto"/>
              </w:rPr>
            </w:pPr>
          </w:p>
        </w:tc>
        <w:tc>
          <w:tcPr>
            <w:tcW w:w="360" w:type="dxa"/>
            <w:vAlign w:val="bottom"/>
            <w:shd w:val="clear" w:color="auto" w:fill="CECAC6"/>
          </w:tcPr>
          <w:p>
            <w:pPr>
              <w:spacing w:after="0"/>
              <w:rPr>
                <w:sz w:val="12"/>
                <w:szCs w:val="12"/>
                <w:color w:val="auto"/>
              </w:rPr>
            </w:pPr>
          </w:p>
        </w:tc>
        <w:tc>
          <w:tcPr>
            <w:tcW w:w="6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80" w:type="dxa"/>
            <w:vAlign w:val="bottom"/>
            <w:shd w:val="clear" w:color="auto" w:fill="CECAC6"/>
          </w:tcPr>
          <w:p>
            <w:pPr>
              <w:jc w:val="right"/>
              <w:ind w:right="98"/>
              <w:spacing w:after="0"/>
              <w:rPr>
                <w:sz w:val="20"/>
                <w:szCs w:val="20"/>
                <w:color w:val="auto"/>
              </w:rPr>
            </w:pPr>
            <w:r>
              <w:rPr>
                <w:rFonts w:ascii="Arial" w:cs="Arial" w:eastAsia="Arial" w:hAnsi="Arial"/>
                <w:sz w:val="12"/>
                <w:szCs w:val="12"/>
                <w:color w:val="auto"/>
              </w:rPr>
              <w:t>Dec 31)</w:t>
            </w:r>
          </w:p>
        </w:tc>
        <w:tc>
          <w:tcPr>
            <w:tcW w:w="820" w:type="dxa"/>
            <w:vAlign w:val="bottom"/>
            <w:shd w:val="clear" w:color="auto" w:fill="CECAC6"/>
          </w:tcPr>
          <w:p>
            <w:pPr>
              <w:jc w:val="right"/>
              <w:ind w:right="238"/>
              <w:spacing w:after="0"/>
              <w:rPr>
                <w:sz w:val="20"/>
                <w:szCs w:val="20"/>
                <w:color w:val="auto"/>
              </w:rPr>
            </w:pPr>
            <w:r>
              <w:rPr>
                <w:rFonts w:ascii="Arial" w:cs="Arial" w:eastAsia="Arial" w:hAnsi="Arial"/>
                <w:sz w:val="12"/>
                <w:szCs w:val="12"/>
                <w:color w:val="auto"/>
              </w:rPr>
              <w:t>Sep 30)</w:t>
            </w:r>
          </w:p>
        </w:tc>
        <w:tc>
          <w:tcPr>
            <w:tcW w:w="660" w:type="dxa"/>
            <w:vAlign w:val="bottom"/>
            <w:shd w:val="clear" w:color="auto" w:fill="CECAC6"/>
          </w:tcPr>
          <w:p>
            <w:pPr>
              <w:spacing w:after="0"/>
              <w:rPr>
                <w:sz w:val="12"/>
                <w:szCs w:val="12"/>
                <w:color w:val="auto"/>
              </w:rPr>
            </w:pPr>
          </w:p>
        </w:tc>
        <w:tc>
          <w:tcPr>
            <w:tcW w:w="580" w:type="dxa"/>
            <w:vAlign w:val="bottom"/>
            <w:shd w:val="clear" w:color="auto" w:fill="CECAC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8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520" w:type="dxa"/>
            <w:vAlign w:val="bottom"/>
            <w:gridSpan w:val="2"/>
            <w:shd w:val="clear" w:color="auto" w:fill="E4E3E1"/>
          </w:tcPr>
          <w:p>
            <w:pPr>
              <w:jc w:val="right"/>
              <w:spacing w:after="0" w:line="128" w:lineRule="exact"/>
              <w:rPr>
                <w:sz w:val="20"/>
                <w:szCs w:val="20"/>
                <w:color w:val="auto"/>
              </w:rPr>
            </w:pPr>
            <w:r>
              <w:rPr>
                <w:rFonts w:ascii="Arial" w:cs="Arial" w:eastAsia="Arial" w:hAnsi="Arial"/>
                <w:sz w:val="12"/>
                <w:szCs w:val="12"/>
                <w:color w:val="auto"/>
              </w:rPr>
              <w:t>31.35</w:t>
            </w:r>
          </w:p>
        </w:tc>
        <w:tc>
          <w:tcPr>
            <w:tcW w:w="60" w:type="dxa"/>
            <w:vAlign w:val="bottom"/>
          </w:tcPr>
          <w:p>
            <w:pPr>
              <w:spacing w:after="0"/>
              <w:rPr>
                <w:sz w:val="11"/>
                <w:szCs w:val="11"/>
                <w:color w:val="auto"/>
              </w:rPr>
            </w:pPr>
          </w:p>
        </w:tc>
        <w:tc>
          <w:tcPr>
            <w:tcW w:w="680" w:type="dxa"/>
            <w:vAlign w:val="bottom"/>
            <w:gridSpan w:val="2"/>
          </w:tcPr>
          <w:p>
            <w:pPr>
              <w:jc w:val="right"/>
              <w:ind w:right="98"/>
              <w:spacing w:after="0" w:line="128" w:lineRule="exact"/>
              <w:rPr>
                <w:sz w:val="20"/>
                <w:szCs w:val="20"/>
                <w:color w:val="auto"/>
              </w:rPr>
            </w:pPr>
            <w:r>
              <w:rPr>
                <w:rFonts w:ascii="Arial" w:cs="Arial" w:eastAsia="Arial" w:hAnsi="Arial"/>
                <w:sz w:val="12"/>
                <w:szCs w:val="12"/>
                <w:color w:val="auto"/>
              </w:rPr>
              <w:t>28.53</w:t>
            </w:r>
          </w:p>
        </w:tc>
        <w:tc>
          <w:tcPr>
            <w:tcW w:w="780" w:type="dxa"/>
            <w:vAlign w:val="bottom"/>
          </w:tcPr>
          <w:p>
            <w:pPr>
              <w:jc w:val="right"/>
              <w:ind w:right="98"/>
              <w:spacing w:after="0" w:line="128" w:lineRule="exact"/>
              <w:rPr>
                <w:sz w:val="20"/>
                <w:szCs w:val="20"/>
                <w:color w:val="auto"/>
              </w:rPr>
            </w:pPr>
            <w:r>
              <w:rPr>
                <w:rFonts w:ascii="Arial" w:cs="Arial" w:eastAsia="Arial" w:hAnsi="Arial"/>
                <w:sz w:val="12"/>
                <w:szCs w:val="12"/>
                <w:color w:val="auto"/>
              </w:rPr>
              <w:t>27.67</w:t>
            </w:r>
          </w:p>
        </w:tc>
        <w:tc>
          <w:tcPr>
            <w:tcW w:w="820" w:type="dxa"/>
            <w:vAlign w:val="bottom"/>
          </w:tcPr>
          <w:p>
            <w:pPr>
              <w:jc w:val="right"/>
              <w:ind w:right="238"/>
              <w:spacing w:after="0" w:line="128" w:lineRule="exact"/>
              <w:rPr>
                <w:sz w:val="20"/>
                <w:szCs w:val="20"/>
                <w:color w:val="auto"/>
              </w:rPr>
            </w:pPr>
            <w:r>
              <w:rPr>
                <w:rFonts w:ascii="Arial" w:cs="Arial" w:eastAsia="Arial" w:hAnsi="Arial"/>
                <w:sz w:val="12"/>
                <w:szCs w:val="12"/>
                <w:color w:val="auto"/>
              </w:rPr>
              <w:t>28.38</w:t>
            </w:r>
          </w:p>
        </w:tc>
        <w:tc>
          <w:tcPr>
            <w:tcW w:w="660" w:type="dxa"/>
            <w:vAlign w:val="bottom"/>
          </w:tcPr>
          <w:p>
            <w:pPr>
              <w:jc w:val="right"/>
              <w:ind w:right="158"/>
              <w:spacing w:after="0" w:line="128" w:lineRule="exact"/>
              <w:rPr>
                <w:sz w:val="20"/>
                <w:szCs w:val="20"/>
                <w:color w:val="auto"/>
              </w:rPr>
            </w:pPr>
            <w:r>
              <w:rPr>
                <w:rFonts w:ascii="Arial" w:cs="Arial" w:eastAsia="Arial" w:hAnsi="Arial"/>
                <w:sz w:val="12"/>
                <w:szCs w:val="12"/>
                <w:color w:val="auto"/>
              </w:rPr>
              <w:t>22.02</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22.29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520" w:type="dxa"/>
            <w:vAlign w:val="bottom"/>
            <w:gridSpan w:val="2"/>
            <w:shd w:val="clear" w:color="auto" w:fill="E4E3E1"/>
          </w:tcPr>
          <w:p>
            <w:pPr>
              <w:jc w:val="right"/>
              <w:spacing w:after="0" w:line="133" w:lineRule="exact"/>
              <w:rPr>
                <w:sz w:val="20"/>
                <w:szCs w:val="20"/>
                <w:color w:val="auto"/>
              </w:rPr>
            </w:pPr>
            <w:r>
              <w:rPr>
                <w:rFonts w:ascii="Arial" w:cs="Arial" w:eastAsia="Arial" w:hAnsi="Arial"/>
                <w:sz w:val="12"/>
                <w:szCs w:val="12"/>
                <w:color w:val="auto"/>
              </w:rPr>
              <w:t>23.72</w:t>
            </w:r>
          </w:p>
        </w:tc>
        <w:tc>
          <w:tcPr>
            <w:tcW w:w="60" w:type="dxa"/>
            <w:vAlign w:val="bottom"/>
          </w:tcPr>
          <w:p>
            <w:pPr>
              <w:spacing w:after="0"/>
              <w:rPr>
                <w:sz w:val="11"/>
                <w:szCs w:val="11"/>
                <w:color w:val="auto"/>
              </w:rPr>
            </w:pPr>
          </w:p>
        </w:tc>
        <w:tc>
          <w:tcPr>
            <w:tcW w:w="680" w:type="dxa"/>
            <w:vAlign w:val="bottom"/>
            <w:gridSpan w:val="2"/>
          </w:tcPr>
          <w:p>
            <w:pPr>
              <w:jc w:val="right"/>
              <w:ind w:right="98"/>
              <w:spacing w:after="0" w:line="133" w:lineRule="exact"/>
              <w:rPr>
                <w:sz w:val="20"/>
                <w:szCs w:val="20"/>
                <w:color w:val="auto"/>
              </w:rPr>
            </w:pPr>
            <w:r>
              <w:rPr>
                <w:rFonts w:ascii="Arial" w:cs="Arial" w:eastAsia="Arial" w:hAnsi="Arial"/>
                <w:sz w:val="12"/>
                <w:szCs w:val="12"/>
                <w:color w:val="auto"/>
              </w:rPr>
              <w:t>24.32</w:t>
            </w:r>
          </w:p>
        </w:tc>
        <w:tc>
          <w:tcPr>
            <w:tcW w:w="7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24.12</w:t>
            </w:r>
          </w:p>
        </w:tc>
        <w:tc>
          <w:tcPr>
            <w:tcW w:w="820" w:type="dxa"/>
            <w:vAlign w:val="bottom"/>
          </w:tcPr>
          <w:p>
            <w:pPr>
              <w:jc w:val="right"/>
              <w:ind w:right="238"/>
              <w:spacing w:after="0" w:line="133" w:lineRule="exact"/>
              <w:rPr>
                <w:sz w:val="20"/>
                <w:szCs w:val="20"/>
                <w:color w:val="auto"/>
              </w:rPr>
            </w:pPr>
            <w:r>
              <w:rPr>
                <w:rFonts w:ascii="Arial" w:cs="Arial" w:eastAsia="Arial" w:hAnsi="Arial"/>
                <w:sz w:val="12"/>
                <w:szCs w:val="12"/>
                <w:color w:val="auto"/>
              </w:rPr>
              <w:t>20.92</w:t>
            </w:r>
          </w:p>
        </w:tc>
        <w:tc>
          <w:tcPr>
            <w:tcW w:w="660" w:type="dxa"/>
            <w:vAlign w:val="bottom"/>
          </w:tcPr>
          <w:p>
            <w:pPr>
              <w:jc w:val="right"/>
              <w:ind w:right="158"/>
              <w:spacing w:after="0" w:line="133" w:lineRule="exact"/>
              <w:rPr>
                <w:sz w:val="20"/>
                <w:szCs w:val="20"/>
                <w:color w:val="auto"/>
              </w:rPr>
            </w:pPr>
            <w:r>
              <w:rPr>
                <w:rFonts w:ascii="Arial" w:cs="Arial" w:eastAsia="Arial" w:hAnsi="Arial"/>
                <w:sz w:val="12"/>
                <w:szCs w:val="12"/>
                <w:color w:val="auto"/>
              </w:rPr>
              <w:t>18.30</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16.68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w:t>
            </w:r>
          </w:p>
        </w:tc>
        <w:tc>
          <w:tcPr>
            <w:tcW w:w="520" w:type="dxa"/>
            <w:vAlign w:val="bottom"/>
            <w:tcBorders>
              <w:bottom w:val="single" w:sz="8" w:color="auto"/>
            </w:tcBorders>
            <w:gridSpan w:val="2"/>
            <w:shd w:val="clear" w:color="auto" w:fill="E4E3E1"/>
          </w:tcPr>
          <w:p>
            <w:pPr>
              <w:jc w:val="right"/>
              <w:spacing w:after="0"/>
              <w:rPr>
                <w:sz w:val="20"/>
                <w:szCs w:val="20"/>
                <w:color w:val="auto"/>
              </w:rPr>
            </w:pPr>
            <w:r>
              <w:rPr>
                <w:rFonts w:ascii="Arial" w:cs="Arial" w:eastAsia="Arial" w:hAnsi="Arial"/>
                <w:sz w:val="12"/>
                <w:szCs w:val="12"/>
                <w:color w:val="auto"/>
                <w:shd w:val="clear" w:color="auto" w:fill="E4E3E1"/>
              </w:rPr>
              <w:t>28.75</w:t>
            </w: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98"/>
              <w:spacing w:after="0"/>
              <w:rPr>
                <w:sz w:val="20"/>
                <w:szCs w:val="20"/>
                <w:color w:val="auto"/>
              </w:rPr>
            </w:pPr>
            <w:r>
              <w:rPr>
                <w:rFonts w:ascii="Arial" w:cs="Arial" w:eastAsia="Arial" w:hAnsi="Arial"/>
                <w:sz w:val="12"/>
                <w:szCs w:val="12"/>
                <w:color w:val="auto"/>
              </w:rPr>
              <w:t>26.72</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25.78</w:t>
            </w:r>
          </w:p>
        </w:tc>
        <w:tc>
          <w:tcPr>
            <w:tcW w:w="82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color w:val="auto"/>
              </w:rPr>
              <w:t>25.80</w:t>
            </w: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21.18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1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711470"/>
          </w:tcPr>
          <w:p>
            <w:pPr>
              <w:spacing w:after="0" w:line="133" w:lineRule="exact"/>
              <w:rPr>
                <w:sz w:val="20"/>
                <w:szCs w:val="20"/>
                <w:color w:val="auto"/>
              </w:rPr>
            </w:pPr>
            <w:r>
              <w:rPr>
                <w:rFonts w:ascii="Arial" w:cs="Arial" w:eastAsia="Arial" w:hAnsi="Arial"/>
                <w:sz w:val="12"/>
                <w:szCs w:val="12"/>
                <w:b w:val="1"/>
                <w:bCs w:val="1"/>
                <w:color w:val="FFFFFF"/>
              </w:rPr>
              <w:t>RDSA – LONDON</w:t>
            </w:r>
          </w:p>
        </w:tc>
        <w:tc>
          <w:tcPr>
            <w:tcW w:w="160" w:type="dxa"/>
            <w:vAlign w:val="bottom"/>
            <w:shd w:val="clear" w:color="auto" w:fill="711470"/>
          </w:tcPr>
          <w:p>
            <w:pPr>
              <w:spacing w:after="0"/>
              <w:rPr>
                <w:sz w:val="11"/>
                <w:szCs w:val="11"/>
                <w:color w:val="auto"/>
              </w:rPr>
            </w:pPr>
          </w:p>
        </w:tc>
        <w:tc>
          <w:tcPr>
            <w:tcW w:w="360" w:type="dxa"/>
            <w:vAlign w:val="bottom"/>
            <w:shd w:val="clear" w:color="auto" w:fill="711470"/>
          </w:tcPr>
          <w:p>
            <w:pPr>
              <w:spacing w:after="0"/>
              <w:rPr>
                <w:sz w:val="11"/>
                <w:szCs w:val="11"/>
                <w:color w:val="auto"/>
              </w:rPr>
            </w:pPr>
          </w:p>
        </w:tc>
        <w:tc>
          <w:tcPr>
            <w:tcW w:w="60" w:type="dxa"/>
            <w:vAlign w:val="bottom"/>
            <w:shd w:val="clear" w:color="auto" w:fill="711470"/>
          </w:tcPr>
          <w:p>
            <w:pPr>
              <w:spacing w:after="0"/>
              <w:rPr>
                <w:sz w:val="11"/>
                <w:szCs w:val="11"/>
                <w:color w:val="auto"/>
              </w:rPr>
            </w:pPr>
          </w:p>
        </w:tc>
        <w:tc>
          <w:tcPr>
            <w:tcW w:w="260" w:type="dxa"/>
            <w:vAlign w:val="bottom"/>
            <w:shd w:val="clear" w:color="auto" w:fill="711470"/>
          </w:tcPr>
          <w:p>
            <w:pPr>
              <w:spacing w:after="0"/>
              <w:rPr>
                <w:sz w:val="11"/>
                <w:szCs w:val="11"/>
                <w:color w:val="auto"/>
              </w:rPr>
            </w:pPr>
          </w:p>
        </w:tc>
        <w:tc>
          <w:tcPr>
            <w:tcW w:w="420" w:type="dxa"/>
            <w:vAlign w:val="bottom"/>
            <w:shd w:val="clear" w:color="auto" w:fill="711470"/>
          </w:tcPr>
          <w:p>
            <w:pPr>
              <w:spacing w:after="0"/>
              <w:rPr>
                <w:sz w:val="11"/>
                <w:szCs w:val="11"/>
                <w:color w:val="auto"/>
              </w:rPr>
            </w:pPr>
          </w:p>
        </w:tc>
        <w:tc>
          <w:tcPr>
            <w:tcW w:w="780" w:type="dxa"/>
            <w:vAlign w:val="bottom"/>
            <w:shd w:val="clear" w:color="auto" w:fill="711470"/>
          </w:tcPr>
          <w:p>
            <w:pPr>
              <w:spacing w:after="0"/>
              <w:rPr>
                <w:sz w:val="11"/>
                <w:szCs w:val="11"/>
                <w:color w:val="auto"/>
              </w:rPr>
            </w:pPr>
          </w:p>
        </w:tc>
        <w:tc>
          <w:tcPr>
            <w:tcW w:w="820" w:type="dxa"/>
            <w:vAlign w:val="bottom"/>
            <w:shd w:val="clear" w:color="auto" w:fill="711470"/>
          </w:tcPr>
          <w:p>
            <w:pPr>
              <w:spacing w:after="0"/>
              <w:rPr>
                <w:sz w:val="11"/>
                <w:szCs w:val="11"/>
                <w:color w:val="auto"/>
              </w:rPr>
            </w:pPr>
          </w:p>
        </w:tc>
        <w:tc>
          <w:tcPr>
            <w:tcW w:w="660" w:type="dxa"/>
            <w:vAlign w:val="bottom"/>
            <w:shd w:val="clear" w:color="auto" w:fill="711470"/>
          </w:tcPr>
          <w:p>
            <w:pPr>
              <w:spacing w:after="0"/>
              <w:rPr>
                <w:sz w:val="11"/>
                <w:szCs w:val="11"/>
                <w:color w:val="auto"/>
              </w:rPr>
            </w:pPr>
          </w:p>
        </w:tc>
        <w:tc>
          <w:tcPr>
            <w:tcW w:w="580" w:type="dxa"/>
            <w:vAlign w:val="bottom"/>
            <w:shd w:val="clear" w:color="auto" w:fill="711470"/>
          </w:tcPr>
          <w:p>
            <w:pPr>
              <w:jc w:val="right"/>
              <w:spacing w:after="0" w:line="133" w:lineRule="exact"/>
              <w:rPr>
                <w:sz w:val="20"/>
                <w:szCs w:val="20"/>
                <w:color w:val="auto"/>
              </w:rPr>
            </w:pPr>
            <w:r>
              <w:rPr>
                <w:rFonts w:ascii="Arial" w:cs="Arial" w:eastAsia="Arial" w:hAnsi="Arial"/>
                <w:sz w:val="12"/>
                <w:szCs w:val="12"/>
                <w:b w:val="1"/>
                <w:bCs w:val="1"/>
                <w:color w:val="FFFFFF"/>
              </w:rPr>
              <w:t>pence</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380" w:type="dxa"/>
            <w:vAlign w:val="bottom"/>
            <w:shd w:val="clear" w:color="auto" w:fill="CECAC6"/>
          </w:tcPr>
          <w:p>
            <w:pPr>
              <w:spacing w:after="0"/>
              <w:rPr>
                <w:sz w:val="11"/>
                <w:szCs w:val="11"/>
                <w:color w:val="auto"/>
              </w:rPr>
            </w:pPr>
          </w:p>
        </w:tc>
        <w:tc>
          <w:tcPr>
            <w:tcW w:w="160" w:type="dxa"/>
            <w:vAlign w:val="bottom"/>
            <w:shd w:val="clear" w:color="auto" w:fill="CECAC6"/>
          </w:tcPr>
          <w:p>
            <w:pPr>
              <w:spacing w:after="0"/>
              <w:rPr>
                <w:sz w:val="11"/>
                <w:szCs w:val="11"/>
                <w:color w:val="auto"/>
              </w:rPr>
            </w:pPr>
          </w:p>
        </w:tc>
        <w:tc>
          <w:tcPr>
            <w:tcW w:w="360" w:type="dxa"/>
            <w:vAlign w:val="bottom"/>
            <w:shd w:val="clear" w:color="auto" w:fill="CECAC6"/>
          </w:tcPr>
          <w:p>
            <w:pPr>
              <w:spacing w:after="0"/>
              <w:rPr>
                <w:sz w:val="11"/>
                <w:szCs w:val="11"/>
                <w:color w:val="auto"/>
              </w:rPr>
            </w:pPr>
          </w:p>
        </w:tc>
        <w:tc>
          <w:tcPr>
            <w:tcW w:w="60" w:type="dxa"/>
            <w:vAlign w:val="bottom"/>
            <w:shd w:val="clear" w:color="auto" w:fill="CECAC6"/>
          </w:tcPr>
          <w:p>
            <w:pPr>
              <w:spacing w:after="0"/>
              <w:rPr>
                <w:sz w:val="11"/>
                <w:szCs w:val="11"/>
                <w:color w:val="auto"/>
              </w:rPr>
            </w:pPr>
          </w:p>
        </w:tc>
        <w:tc>
          <w:tcPr>
            <w:tcW w:w="680" w:type="dxa"/>
            <w:vAlign w:val="bottom"/>
            <w:gridSpan w:val="2"/>
            <w:shd w:val="clear" w:color="auto" w:fill="CECAC6"/>
          </w:tcPr>
          <w:p>
            <w:pPr>
              <w:jc w:val="right"/>
              <w:spacing w:after="0" w:line="128" w:lineRule="exact"/>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ind w:right="78"/>
              <w:spacing w:after="0" w:line="128" w:lineRule="exact"/>
              <w:rPr>
                <w:sz w:val="20"/>
                <w:szCs w:val="20"/>
                <w:color w:val="auto"/>
              </w:rPr>
            </w:pPr>
            <w:r>
              <w:rPr>
                <w:rFonts w:ascii="Arial" w:cs="Arial" w:eastAsia="Arial" w:hAnsi="Arial"/>
                <w:sz w:val="12"/>
                <w:szCs w:val="12"/>
                <w:color w:val="auto"/>
              </w:rPr>
              <w:t>2006</w:t>
            </w:r>
          </w:p>
        </w:tc>
        <w:tc>
          <w:tcPr>
            <w:tcW w:w="820" w:type="dxa"/>
            <w:vAlign w:val="bottom"/>
            <w:shd w:val="clear" w:color="auto" w:fill="CECAC6"/>
          </w:tcPr>
          <w:p>
            <w:pPr>
              <w:jc w:val="right"/>
              <w:ind w:right="98"/>
              <w:spacing w:after="0" w:line="128" w:lineRule="exact"/>
              <w:rPr>
                <w:sz w:val="20"/>
                <w:szCs w:val="20"/>
                <w:color w:val="auto"/>
              </w:rPr>
            </w:pPr>
            <w:r>
              <w:rPr>
                <w:rFonts w:ascii="Arial" w:cs="Arial" w:eastAsia="Arial" w:hAnsi="Arial"/>
                <w:sz w:val="12"/>
                <w:szCs w:val="12"/>
                <w:color w:val="auto"/>
              </w:rPr>
              <w:t>2005</w:t>
            </w:r>
          </w:p>
        </w:tc>
        <w:tc>
          <w:tcPr>
            <w:tcW w:w="66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2004</w:t>
            </w:r>
          </w:p>
        </w:tc>
        <w:tc>
          <w:tcPr>
            <w:tcW w:w="58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2003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ECAC6"/>
          </w:tcPr>
          <w:p>
            <w:pPr>
              <w:spacing w:after="0"/>
              <w:rPr>
                <w:sz w:val="11"/>
                <w:szCs w:val="11"/>
                <w:color w:val="auto"/>
              </w:rPr>
            </w:pPr>
          </w:p>
        </w:tc>
        <w:tc>
          <w:tcPr>
            <w:tcW w:w="160" w:type="dxa"/>
            <w:vAlign w:val="bottom"/>
            <w:shd w:val="clear" w:color="auto" w:fill="CECAC6"/>
          </w:tcPr>
          <w:p>
            <w:pPr>
              <w:spacing w:after="0"/>
              <w:rPr>
                <w:sz w:val="11"/>
                <w:szCs w:val="11"/>
                <w:color w:val="auto"/>
              </w:rPr>
            </w:pPr>
          </w:p>
        </w:tc>
        <w:tc>
          <w:tcPr>
            <w:tcW w:w="360" w:type="dxa"/>
            <w:vAlign w:val="bottom"/>
            <w:shd w:val="clear" w:color="auto" w:fill="CECAC6"/>
          </w:tcPr>
          <w:p>
            <w:pPr>
              <w:spacing w:after="0"/>
              <w:rPr>
                <w:sz w:val="11"/>
                <w:szCs w:val="11"/>
                <w:color w:val="auto"/>
              </w:rPr>
            </w:pPr>
          </w:p>
        </w:tc>
        <w:tc>
          <w:tcPr>
            <w:tcW w:w="6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820" w:type="dxa"/>
            <w:vAlign w:val="bottom"/>
            <w:shd w:val="clear" w:color="auto" w:fill="CECAC6"/>
          </w:tcPr>
          <w:p>
            <w:pPr>
              <w:ind w:left="160"/>
              <w:spacing w:after="0" w:line="133" w:lineRule="exact"/>
              <w:rPr>
                <w:sz w:val="20"/>
                <w:szCs w:val="20"/>
                <w:color w:val="auto"/>
              </w:rPr>
            </w:pPr>
            <w:r>
              <w:rPr>
                <w:rFonts w:ascii="Arial" w:cs="Arial" w:eastAsia="Arial" w:hAnsi="Arial"/>
                <w:sz w:val="12"/>
                <w:szCs w:val="12"/>
                <w:color w:val="auto"/>
              </w:rPr>
              <w:t>(Jul 20 to</w:t>
            </w:r>
          </w:p>
        </w:tc>
        <w:tc>
          <w:tcPr>
            <w:tcW w:w="66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ECAC6"/>
          </w:tcPr>
          <w:p>
            <w:pPr>
              <w:spacing w:after="0"/>
              <w:rPr>
                <w:sz w:val="12"/>
                <w:szCs w:val="12"/>
                <w:color w:val="auto"/>
              </w:rPr>
            </w:pPr>
          </w:p>
        </w:tc>
        <w:tc>
          <w:tcPr>
            <w:tcW w:w="160" w:type="dxa"/>
            <w:vAlign w:val="bottom"/>
            <w:shd w:val="clear" w:color="auto" w:fill="CECAC6"/>
          </w:tcPr>
          <w:p>
            <w:pPr>
              <w:spacing w:after="0"/>
              <w:rPr>
                <w:sz w:val="12"/>
                <w:szCs w:val="12"/>
                <w:color w:val="auto"/>
              </w:rPr>
            </w:pPr>
          </w:p>
        </w:tc>
        <w:tc>
          <w:tcPr>
            <w:tcW w:w="360" w:type="dxa"/>
            <w:vAlign w:val="bottom"/>
            <w:shd w:val="clear" w:color="auto" w:fill="CECAC6"/>
          </w:tcPr>
          <w:p>
            <w:pPr>
              <w:spacing w:after="0"/>
              <w:rPr>
                <w:sz w:val="12"/>
                <w:szCs w:val="12"/>
                <w:color w:val="auto"/>
              </w:rPr>
            </w:pPr>
          </w:p>
        </w:tc>
        <w:tc>
          <w:tcPr>
            <w:tcW w:w="6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820" w:type="dxa"/>
            <w:vAlign w:val="bottom"/>
            <w:shd w:val="clear" w:color="auto" w:fill="CECAC6"/>
          </w:tcPr>
          <w:p>
            <w:pPr>
              <w:jc w:val="center"/>
              <w:spacing w:after="0"/>
              <w:rPr>
                <w:sz w:val="20"/>
                <w:szCs w:val="20"/>
                <w:color w:val="auto"/>
              </w:rPr>
            </w:pPr>
            <w:r>
              <w:rPr>
                <w:rFonts w:ascii="Arial" w:cs="Arial" w:eastAsia="Arial" w:hAnsi="Arial"/>
                <w:sz w:val="12"/>
                <w:szCs w:val="12"/>
                <w:color w:val="auto"/>
              </w:rPr>
              <w:t>Dec 31)</w:t>
            </w:r>
          </w:p>
        </w:tc>
        <w:tc>
          <w:tcPr>
            <w:tcW w:w="660" w:type="dxa"/>
            <w:vAlign w:val="bottom"/>
            <w:shd w:val="clear" w:color="auto" w:fill="CECAC6"/>
          </w:tcPr>
          <w:p>
            <w:pPr>
              <w:spacing w:after="0"/>
              <w:rPr>
                <w:sz w:val="12"/>
                <w:szCs w:val="12"/>
                <w:color w:val="auto"/>
              </w:rPr>
            </w:pPr>
          </w:p>
        </w:tc>
        <w:tc>
          <w:tcPr>
            <w:tcW w:w="580" w:type="dxa"/>
            <w:vAlign w:val="bottom"/>
            <w:shd w:val="clear" w:color="auto" w:fill="CECAC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8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2,152</w:t>
            </w:r>
          </w:p>
        </w:tc>
        <w:tc>
          <w:tcPr>
            <w:tcW w:w="780" w:type="dxa"/>
            <w:vAlign w:val="bottom"/>
          </w:tcPr>
          <w:p>
            <w:pPr>
              <w:jc w:val="right"/>
              <w:ind w:right="78"/>
              <w:spacing w:after="0" w:line="128" w:lineRule="exact"/>
              <w:rPr>
                <w:sz w:val="20"/>
                <w:szCs w:val="20"/>
                <w:color w:val="auto"/>
              </w:rPr>
            </w:pPr>
            <w:r>
              <w:rPr>
                <w:rFonts w:ascii="Arial" w:cs="Arial" w:eastAsia="Arial" w:hAnsi="Arial"/>
                <w:sz w:val="12"/>
                <w:szCs w:val="12"/>
                <w:color w:val="auto"/>
              </w:rPr>
              <w:t>1,974</w:t>
            </w:r>
          </w:p>
        </w:tc>
        <w:tc>
          <w:tcPr>
            <w:tcW w:w="82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1,894</w:t>
            </w:r>
          </w:p>
        </w:tc>
        <w:tc>
          <w:tcPr>
            <w:tcW w:w="6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1,611</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1,661</w:t>
            </w:r>
          </w:p>
        </w:tc>
        <w:tc>
          <w:tcPr>
            <w:tcW w:w="8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1,633</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380" w:type="dxa"/>
            <w:vAlign w:val="bottom"/>
          </w:tcPr>
          <w:p>
            <w:pPr>
              <w:spacing w:after="0"/>
              <w:rPr>
                <w:sz w:val="20"/>
                <w:szCs w:val="20"/>
                <w:color w:val="auto"/>
              </w:rPr>
            </w:pPr>
            <w:r>
              <w:rPr>
                <w:rFonts w:ascii="Arial" w:cs="Arial" w:eastAsia="Arial" w:hAnsi="Arial"/>
                <w:sz w:val="12"/>
                <w:szCs w:val="12"/>
                <w:color w:val="auto"/>
              </w:rPr>
              <w:t>Year end</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shd w:val="clear" w:color="auto" w:fill="E4E3E1"/>
          </w:tcPr>
          <w:p>
            <w:pPr>
              <w:jc w:val="right"/>
              <w:spacing w:after="0"/>
              <w:rPr>
                <w:sz w:val="20"/>
                <w:szCs w:val="20"/>
                <w:color w:val="auto"/>
              </w:rPr>
            </w:pPr>
            <w:r>
              <w:rPr>
                <w:rFonts w:ascii="Arial" w:cs="Arial" w:eastAsia="Arial" w:hAnsi="Arial"/>
                <w:sz w:val="12"/>
                <w:szCs w:val="12"/>
                <w:color w:val="auto"/>
              </w:rPr>
              <w:t>2,111</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1,785</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1,771</w:t>
            </w:r>
          </w:p>
        </w:tc>
        <w:tc>
          <w:tcPr>
            <w:tcW w:w="6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360"/>
        </w:trPr>
        <w:tc>
          <w:tcPr>
            <w:tcW w:w="1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gridSpan w:val="2"/>
          </w:tcPr>
          <w:p>
            <w:pPr>
              <w:spacing w:after="0"/>
              <w:rPr>
                <w:sz w:val="24"/>
                <w:szCs w:val="24"/>
                <w:color w:val="auto"/>
              </w:rPr>
            </w:pPr>
          </w:p>
        </w:tc>
        <w:tc>
          <w:tcPr>
            <w:tcW w:w="2940" w:type="dxa"/>
            <w:vAlign w:val="bottom"/>
            <w:tcBorders>
              <w:top w:val="single" w:sz="8" w:color="auto"/>
            </w:tcBorders>
            <w:gridSpan w:val="5"/>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900" w:type="dxa"/>
            <w:vAlign w:val="bottom"/>
            <w:gridSpan w:val="9"/>
            <w:shd w:val="clear" w:color="auto" w:fill="711470"/>
          </w:tcPr>
          <w:p>
            <w:pPr>
              <w:spacing w:after="0" w:line="133" w:lineRule="exact"/>
              <w:rPr>
                <w:sz w:val="20"/>
                <w:szCs w:val="20"/>
                <w:color w:val="auto"/>
              </w:rPr>
            </w:pPr>
            <w:r>
              <w:rPr>
                <w:rFonts w:ascii="Arial" w:cs="Arial" w:eastAsia="Arial" w:hAnsi="Arial"/>
                <w:sz w:val="12"/>
                <w:szCs w:val="12"/>
                <w:b w:val="1"/>
                <w:bCs w:val="1"/>
                <w:color w:val="FFFFFF"/>
              </w:rPr>
              <w:t>RDS CLASS A ADRs AND ROYAL DUTCH NEW YORK SHARES – NEW YORK[C]</w:t>
            </w:r>
          </w:p>
        </w:tc>
        <w:tc>
          <w:tcPr>
            <w:tcW w:w="580" w:type="dxa"/>
            <w:vAlign w:val="bottom"/>
            <w:shd w:val="clear" w:color="auto" w:fill="711470"/>
          </w:tcPr>
          <w:p>
            <w:pPr>
              <w:jc w:val="right"/>
              <w:spacing w:after="0" w:line="133" w:lineRule="exact"/>
              <w:rPr>
                <w:sz w:val="20"/>
                <w:szCs w:val="20"/>
                <w:color w:val="auto"/>
              </w:rPr>
            </w:pPr>
            <w:r>
              <w:rPr>
                <w:rFonts w:ascii="Arial" w:cs="Arial" w:eastAsia="Arial" w:hAnsi="Arial"/>
                <w:sz w:val="12"/>
                <w:szCs w:val="12"/>
                <w:b w:val="1"/>
                <w:bCs w:val="1"/>
                <w:color w:val="FFFFFF"/>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380" w:type="dxa"/>
            <w:vAlign w:val="bottom"/>
            <w:shd w:val="clear" w:color="auto" w:fill="CECAC6"/>
          </w:tcPr>
          <w:p>
            <w:pPr>
              <w:spacing w:after="0"/>
              <w:rPr>
                <w:sz w:val="12"/>
                <w:szCs w:val="12"/>
                <w:color w:val="auto"/>
              </w:rPr>
            </w:pPr>
          </w:p>
        </w:tc>
        <w:tc>
          <w:tcPr>
            <w:tcW w:w="160" w:type="dxa"/>
            <w:vAlign w:val="bottom"/>
            <w:shd w:val="clear" w:color="auto" w:fill="CECAC6"/>
          </w:tcPr>
          <w:p>
            <w:pPr>
              <w:spacing w:after="0"/>
              <w:rPr>
                <w:sz w:val="12"/>
                <w:szCs w:val="12"/>
                <w:color w:val="auto"/>
              </w:rPr>
            </w:pPr>
          </w:p>
        </w:tc>
        <w:tc>
          <w:tcPr>
            <w:tcW w:w="360" w:type="dxa"/>
            <w:vAlign w:val="bottom"/>
            <w:shd w:val="clear" w:color="auto" w:fill="CECAC6"/>
          </w:tcPr>
          <w:p>
            <w:pPr>
              <w:spacing w:after="0"/>
              <w:rPr>
                <w:sz w:val="12"/>
                <w:szCs w:val="12"/>
                <w:color w:val="auto"/>
              </w:rPr>
            </w:pPr>
          </w:p>
        </w:tc>
        <w:tc>
          <w:tcPr>
            <w:tcW w:w="6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120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RDS Class A ADRs</w:t>
            </w:r>
          </w:p>
        </w:tc>
        <w:tc>
          <w:tcPr>
            <w:tcW w:w="2060" w:type="dxa"/>
            <w:vAlign w:val="bottom"/>
            <w:gridSpan w:val="3"/>
            <w:shd w:val="clear" w:color="auto" w:fill="CECAC6"/>
          </w:tcPr>
          <w:p>
            <w:pPr>
              <w:jc w:val="right"/>
              <w:ind w:right="58"/>
              <w:spacing w:after="0"/>
              <w:rPr>
                <w:sz w:val="20"/>
                <w:szCs w:val="20"/>
                <w:color w:val="auto"/>
              </w:rPr>
            </w:pPr>
            <w:r>
              <w:rPr>
                <w:rFonts w:ascii="Arial" w:cs="Arial" w:eastAsia="Arial" w:hAnsi="Arial"/>
                <w:sz w:val="12"/>
                <w:szCs w:val="12"/>
                <w:color w:val="auto"/>
              </w:rPr>
              <w:t>Royal Dutch ordinary shares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ECAC6"/>
          </w:tcPr>
          <w:p>
            <w:pPr>
              <w:spacing w:after="0"/>
              <w:rPr>
                <w:sz w:val="11"/>
                <w:szCs w:val="11"/>
                <w:color w:val="auto"/>
              </w:rPr>
            </w:pPr>
          </w:p>
        </w:tc>
        <w:tc>
          <w:tcPr>
            <w:tcW w:w="580" w:type="dxa"/>
            <w:vAlign w:val="bottom"/>
            <w:gridSpan w:val="3"/>
            <w:shd w:val="clear" w:color="auto" w:fill="CECAC6"/>
          </w:tcPr>
          <w:p>
            <w:pPr>
              <w:jc w:val="right"/>
              <w:ind w:right="40"/>
              <w:spacing w:after="0" w:line="133" w:lineRule="exact"/>
              <w:rPr>
                <w:sz w:val="20"/>
                <w:szCs w:val="20"/>
                <w:color w:val="auto"/>
              </w:rPr>
            </w:pPr>
            <w:r>
              <w:rPr>
                <w:rFonts w:ascii="Arial" w:cs="Arial" w:eastAsia="Arial" w:hAnsi="Arial"/>
                <w:sz w:val="12"/>
                <w:szCs w:val="12"/>
                <w:color w:val="auto"/>
              </w:rPr>
              <w:t>2007</w:t>
            </w:r>
          </w:p>
        </w:tc>
        <w:tc>
          <w:tcPr>
            <w:tcW w:w="680" w:type="dxa"/>
            <w:vAlign w:val="bottom"/>
            <w:gridSpan w:val="2"/>
            <w:shd w:val="clear" w:color="auto" w:fill="CECAC6"/>
          </w:tcPr>
          <w:p>
            <w:pPr>
              <w:jc w:val="right"/>
              <w:ind w:right="18"/>
              <w:spacing w:after="0" w:line="133" w:lineRule="exact"/>
              <w:rPr>
                <w:sz w:val="20"/>
                <w:szCs w:val="20"/>
                <w:color w:val="auto"/>
              </w:rPr>
            </w:pPr>
            <w:r>
              <w:rPr>
                <w:rFonts w:ascii="Arial" w:cs="Arial" w:eastAsia="Arial" w:hAnsi="Arial"/>
                <w:sz w:val="12"/>
                <w:szCs w:val="12"/>
                <w:color w:val="auto"/>
              </w:rPr>
              <w:t>2006</w:t>
            </w:r>
          </w:p>
        </w:tc>
        <w:tc>
          <w:tcPr>
            <w:tcW w:w="7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c>
          <w:tcPr>
            <w:tcW w:w="820" w:type="dxa"/>
            <w:vAlign w:val="bottom"/>
            <w:shd w:val="clear" w:color="auto" w:fill="CECAC6"/>
          </w:tcPr>
          <w:p>
            <w:pPr>
              <w:ind w:left="180"/>
              <w:spacing w:after="0" w:line="133" w:lineRule="exact"/>
              <w:rPr>
                <w:sz w:val="20"/>
                <w:szCs w:val="20"/>
                <w:color w:val="auto"/>
              </w:rPr>
            </w:pPr>
            <w:r>
              <w:rPr>
                <w:rFonts w:ascii="Arial" w:cs="Arial" w:eastAsia="Arial" w:hAnsi="Arial"/>
                <w:sz w:val="12"/>
                <w:szCs w:val="12"/>
                <w:color w:val="auto"/>
              </w:rPr>
              <w:t>2005[D]</w:t>
            </w:r>
          </w:p>
        </w:tc>
        <w:tc>
          <w:tcPr>
            <w:tcW w:w="66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2004</w:t>
            </w:r>
          </w:p>
        </w:tc>
        <w:tc>
          <w:tcPr>
            <w:tcW w:w="5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shd w:val="clear" w:color="auto" w:fill="CECAC6"/>
          </w:tcPr>
          <w:p>
            <w:pPr>
              <w:spacing w:after="0"/>
              <w:rPr>
                <w:sz w:val="11"/>
                <w:szCs w:val="11"/>
                <w:color w:val="auto"/>
              </w:rPr>
            </w:pPr>
          </w:p>
        </w:tc>
        <w:tc>
          <w:tcPr>
            <w:tcW w:w="160" w:type="dxa"/>
            <w:vAlign w:val="bottom"/>
            <w:shd w:val="clear" w:color="auto" w:fill="CECAC6"/>
          </w:tcPr>
          <w:p>
            <w:pPr>
              <w:spacing w:after="0"/>
              <w:rPr>
                <w:sz w:val="11"/>
                <w:szCs w:val="11"/>
                <w:color w:val="auto"/>
              </w:rPr>
            </w:pPr>
          </w:p>
        </w:tc>
        <w:tc>
          <w:tcPr>
            <w:tcW w:w="360" w:type="dxa"/>
            <w:vAlign w:val="bottom"/>
            <w:shd w:val="clear" w:color="auto" w:fill="CECAC6"/>
          </w:tcPr>
          <w:p>
            <w:pPr>
              <w:spacing w:after="0"/>
              <w:rPr>
                <w:sz w:val="11"/>
                <w:szCs w:val="11"/>
                <w:color w:val="auto"/>
              </w:rPr>
            </w:pPr>
          </w:p>
        </w:tc>
        <w:tc>
          <w:tcPr>
            <w:tcW w:w="6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(Jul 20 to</w:t>
            </w:r>
          </w:p>
        </w:tc>
        <w:tc>
          <w:tcPr>
            <w:tcW w:w="820" w:type="dxa"/>
            <w:vAlign w:val="bottom"/>
            <w:shd w:val="clear" w:color="auto" w:fill="CECAC6"/>
          </w:tcPr>
          <w:p>
            <w:pPr>
              <w:jc w:val="center"/>
              <w:spacing w:after="0" w:line="133" w:lineRule="exact"/>
              <w:rPr>
                <w:sz w:val="20"/>
                <w:szCs w:val="20"/>
                <w:color w:val="auto"/>
              </w:rPr>
            </w:pPr>
            <w:r>
              <w:rPr>
                <w:rFonts w:ascii="Arial" w:cs="Arial" w:eastAsia="Arial" w:hAnsi="Arial"/>
                <w:sz w:val="12"/>
                <w:szCs w:val="12"/>
                <w:color w:val="auto"/>
              </w:rPr>
              <w:t>(Jan 1</w:t>
            </w:r>
          </w:p>
        </w:tc>
        <w:tc>
          <w:tcPr>
            <w:tcW w:w="660" w:type="dxa"/>
            <w:vAlign w:val="bottom"/>
            <w:shd w:val="clear" w:color="auto" w:fill="CECAC6"/>
          </w:tcPr>
          <w:p>
            <w:pPr>
              <w:spacing w:after="0"/>
              <w:rPr>
                <w:sz w:val="11"/>
                <w:szCs w:val="11"/>
                <w:color w:val="auto"/>
              </w:rPr>
            </w:pPr>
          </w:p>
        </w:tc>
        <w:tc>
          <w:tcPr>
            <w:tcW w:w="580" w:type="dxa"/>
            <w:vAlign w:val="bottom"/>
            <w:shd w:val="clear" w:color="auto" w:fill="CECAC6"/>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380" w:type="dxa"/>
            <w:vAlign w:val="bottom"/>
            <w:shd w:val="clear" w:color="auto" w:fill="CECAC6"/>
          </w:tcPr>
          <w:p>
            <w:pPr>
              <w:spacing w:after="0"/>
              <w:rPr>
                <w:sz w:val="12"/>
                <w:szCs w:val="12"/>
                <w:color w:val="auto"/>
              </w:rPr>
            </w:pPr>
          </w:p>
        </w:tc>
        <w:tc>
          <w:tcPr>
            <w:tcW w:w="160" w:type="dxa"/>
            <w:vAlign w:val="bottom"/>
            <w:shd w:val="clear" w:color="auto" w:fill="CECAC6"/>
          </w:tcPr>
          <w:p>
            <w:pPr>
              <w:spacing w:after="0"/>
              <w:rPr>
                <w:sz w:val="12"/>
                <w:szCs w:val="12"/>
                <w:color w:val="auto"/>
              </w:rPr>
            </w:pPr>
          </w:p>
        </w:tc>
        <w:tc>
          <w:tcPr>
            <w:tcW w:w="360" w:type="dxa"/>
            <w:vAlign w:val="bottom"/>
            <w:shd w:val="clear" w:color="auto" w:fill="CECAC6"/>
          </w:tcPr>
          <w:p>
            <w:pPr>
              <w:spacing w:after="0"/>
              <w:rPr>
                <w:sz w:val="12"/>
                <w:szCs w:val="12"/>
                <w:color w:val="auto"/>
              </w:rPr>
            </w:pPr>
          </w:p>
        </w:tc>
        <w:tc>
          <w:tcPr>
            <w:tcW w:w="6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Dec 31)</w:t>
            </w:r>
          </w:p>
        </w:tc>
        <w:tc>
          <w:tcPr>
            <w:tcW w:w="820" w:type="dxa"/>
            <w:vAlign w:val="bottom"/>
            <w:shd w:val="clear" w:color="auto" w:fill="CECAC6"/>
          </w:tcPr>
          <w:p>
            <w:pPr>
              <w:ind w:left="180"/>
              <w:spacing w:after="0"/>
              <w:rPr>
                <w:sz w:val="20"/>
                <w:szCs w:val="20"/>
                <w:color w:val="auto"/>
              </w:rPr>
            </w:pPr>
            <w:r>
              <w:rPr>
                <w:rFonts w:ascii="Arial" w:cs="Arial" w:eastAsia="Arial" w:hAnsi="Arial"/>
                <w:sz w:val="12"/>
                <w:szCs w:val="12"/>
                <w:color w:val="auto"/>
              </w:rPr>
              <w:t>Sep 30)</w:t>
            </w:r>
          </w:p>
        </w:tc>
        <w:tc>
          <w:tcPr>
            <w:tcW w:w="660" w:type="dxa"/>
            <w:vAlign w:val="bottom"/>
            <w:shd w:val="clear" w:color="auto" w:fill="CECAC6"/>
          </w:tcPr>
          <w:p>
            <w:pPr>
              <w:spacing w:after="0"/>
              <w:rPr>
                <w:sz w:val="12"/>
                <w:szCs w:val="12"/>
                <w:color w:val="auto"/>
              </w:rPr>
            </w:pPr>
          </w:p>
        </w:tc>
        <w:tc>
          <w:tcPr>
            <w:tcW w:w="580" w:type="dxa"/>
            <w:vAlign w:val="bottom"/>
            <w:shd w:val="clear" w:color="auto" w:fill="CECAC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38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160" w:type="dxa"/>
            <w:vAlign w:val="bottom"/>
          </w:tcPr>
          <w:p>
            <w:pPr>
              <w:spacing w:after="0"/>
              <w:rPr>
                <w:sz w:val="11"/>
                <w:szCs w:val="11"/>
                <w:color w:val="auto"/>
              </w:rPr>
            </w:pPr>
          </w:p>
        </w:tc>
        <w:tc>
          <w:tcPr>
            <w:tcW w:w="420" w:type="dxa"/>
            <w:vAlign w:val="bottom"/>
            <w:gridSpan w:val="2"/>
            <w:shd w:val="clear" w:color="auto" w:fill="E4E3E1"/>
          </w:tcPr>
          <w:p>
            <w:pPr>
              <w:jc w:val="right"/>
              <w:ind w:right="40"/>
              <w:spacing w:after="0" w:line="128" w:lineRule="exact"/>
              <w:rPr>
                <w:sz w:val="20"/>
                <w:szCs w:val="20"/>
                <w:color w:val="auto"/>
              </w:rPr>
            </w:pPr>
            <w:r>
              <w:rPr>
                <w:rFonts w:ascii="Arial" w:cs="Arial" w:eastAsia="Arial" w:hAnsi="Arial"/>
                <w:sz w:val="12"/>
                <w:szCs w:val="12"/>
                <w:color w:val="auto"/>
              </w:rPr>
              <w:t>88.31</w:t>
            </w:r>
          </w:p>
        </w:tc>
        <w:tc>
          <w:tcPr>
            <w:tcW w:w="680" w:type="dxa"/>
            <w:vAlign w:val="bottom"/>
            <w:gridSpan w:val="2"/>
          </w:tcPr>
          <w:p>
            <w:pPr>
              <w:jc w:val="right"/>
              <w:ind w:right="18"/>
              <w:spacing w:after="0" w:line="128" w:lineRule="exact"/>
              <w:rPr>
                <w:sz w:val="20"/>
                <w:szCs w:val="20"/>
                <w:color w:val="auto"/>
              </w:rPr>
            </w:pPr>
            <w:r>
              <w:rPr>
                <w:rFonts w:ascii="Arial" w:cs="Arial" w:eastAsia="Arial" w:hAnsi="Arial"/>
                <w:sz w:val="12"/>
                <w:szCs w:val="12"/>
                <w:color w:val="auto"/>
              </w:rPr>
              <w:t>72.38</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auto"/>
              </w:rPr>
              <w:t>68.08</w:t>
            </w:r>
          </w:p>
        </w:tc>
        <w:tc>
          <w:tcPr>
            <w:tcW w:w="820" w:type="dxa"/>
            <w:vAlign w:val="bottom"/>
          </w:tcPr>
          <w:p>
            <w:pPr>
              <w:jc w:val="center"/>
              <w:ind w:left="38"/>
              <w:spacing w:after="0" w:line="128" w:lineRule="exact"/>
              <w:rPr>
                <w:sz w:val="20"/>
                <w:szCs w:val="20"/>
                <w:color w:val="auto"/>
              </w:rPr>
            </w:pPr>
            <w:r>
              <w:rPr>
                <w:rFonts w:ascii="Arial" w:cs="Arial" w:eastAsia="Arial" w:hAnsi="Arial"/>
                <w:sz w:val="12"/>
                <w:szCs w:val="12"/>
                <w:color w:val="auto"/>
              </w:rPr>
              <w:t>67.45</w:t>
            </w:r>
          </w:p>
        </w:tc>
        <w:tc>
          <w:tcPr>
            <w:tcW w:w="66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57.79</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52.70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8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160" w:type="dxa"/>
            <w:vAlign w:val="bottom"/>
          </w:tcPr>
          <w:p>
            <w:pPr>
              <w:spacing w:after="0"/>
              <w:rPr>
                <w:sz w:val="11"/>
                <w:szCs w:val="11"/>
                <w:color w:val="auto"/>
              </w:rPr>
            </w:pPr>
          </w:p>
        </w:tc>
        <w:tc>
          <w:tcPr>
            <w:tcW w:w="420" w:type="dxa"/>
            <w:vAlign w:val="bottom"/>
            <w:gridSpan w:val="2"/>
            <w:shd w:val="clear" w:color="auto" w:fill="E4E3E1"/>
          </w:tcPr>
          <w:p>
            <w:pPr>
              <w:jc w:val="right"/>
              <w:ind w:right="40"/>
              <w:spacing w:after="0" w:line="133" w:lineRule="exact"/>
              <w:rPr>
                <w:sz w:val="20"/>
                <w:szCs w:val="20"/>
                <w:color w:val="auto"/>
              </w:rPr>
            </w:pPr>
            <w:r>
              <w:rPr>
                <w:rFonts w:ascii="Arial" w:cs="Arial" w:eastAsia="Arial" w:hAnsi="Arial"/>
                <w:sz w:val="12"/>
                <w:szCs w:val="12"/>
                <w:color w:val="auto"/>
                <w:shd w:val="clear" w:color="auto" w:fill="E4E3E1"/>
              </w:rPr>
              <w:t>62.71</w:t>
            </w:r>
          </w:p>
        </w:tc>
        <w:tc>
          <w:tcPr>
            <w:tcW w:w="680" w:type="dxa"/>
            <w:vAlign w:val="bottom"/>
            <w:gridSpan w:val="2"/>
          </w:tcPr>
          <w:p>
            <w:pPr>
              <w:jc w:val="right"/>
              <w:ind w:right="18"/>
              <w:spacing w:after="0" w:line="133" w:lineRule="exact"/>
              <w:rPr>
                <w:sz w:val="20"/>
                <w:szCs w:val="20"/>
                <w:color w:val="auto"/>
              </w:rPr>
            </w:pPr>
            <w:r>
              <w:rPr>
                <w:rFonts w:ascii="Arial" w:cs="Arial" w:eastAsia="Arial" w:hAnsi="Arial"/>
                <w:sz w:val="12"/>
                <w:szCs w:val="12"/>
                <w:color w:val="auto"/>
              </w:rPr>
              <w:t>60.17</w:t>
            </w:r>
          </w:p>
        </w:tc>
        <w:tc>
          <w:tcPr>
            <w:tcW w:w="780" w:type="dxa"/>
            <w:vAlign w:val="bottom"/>
          </w:tcPr>
          <w:p>
            <w:pPr>
              <w:jc w:val="right"/>
              <w:spacing w:after="0" w:line="133" w:lineRule="exact"/>
              <w:rPr>
                <w:sz w:val="20"/>
                <w:szCs w:val="20"/>
                <w:color w:val="auto"/>
              </w:rPr>
            </w:pPr>
            <w:r>
              <w:rPr>
                <w:rFonts w:ascii="Arial" w:cs="Arial" w:eastAsia="Arial" w:hAnsi="Arial"/>
                <w:sz w:val="12"/>
                <w:szCs w:val="12"/>
                <w:color w:val="auto"/>
              </w:rPr>
              <w:t>57.79</w:t>
            </w:r>
          </w:p>
        </w:tc>
        <w:tc>
          <w:tcPr>
            <w:tcW w:w="820" w:type="dxa"/>
            <w:vAlign w:val="bottom"/>
          </w:tcPr>
          <w:p>
            <w:pPr>
              <w:jc w:val="center"/>
              <w:ind w:left="38"/>
              <w:spacing w:after="0" w:line="133" w:lineRule="exact"/>
              <w:rPr>
                <w:sz w:val="20"/>
                <w:szCs w:val="20"/>
                <w:color w:val="auto"/>
              </w:rPr>
            </w:pPr>
            <w:r>
              <w:rPr>
                <w:rFonts w:ascii="Arial" w:cs="Arial" w:eastAsia="Arial" w:hAnsi="Arial"/>
                <w:sz w:val="12"/>
                <w:szCs w:val="12"/>
                <w:color w:val="auto"/>
              </w:rPr>
              <w:t>55.37</w:t>
            </w:r>
          </w:p>
        </w:tc>
        <w:tc>
          <w:tcPr>
            <w:tcW w:w="66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45.79</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36.69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shd w:val="clear" w:color="auto" w:fill="E4E3E1"/>
          </w:tcPr>
          <w:p>
            <w:pPr>
              <w:jc w:val="right"/>
              <w:ind w:right="40"/>
              <w:spacing w:after="0"/>
              <w:rPr>
                <w:sz w:val="20"/>
                <w:szCs w:val="20"/>
                <w:color w:val="auto"/>
              </w:rPr>
            </w:pPr>
            <w:r>
              <w:rPr>
                <w:rFonts w:ascii="Arial" w:cs="Arial" w:eastAsia="Arial" w:hAnsi="Arial"/>
                <w:sz w:val="12"/>
                <w:szCs w:val="12"/>
                <w:color w:val="auto"/>
              </w:rPr>
              <w:t>84.20</w:t>
            </w:r>
          </w:p>
        </w:tc>
        <w:tc>
          <w:tcPr>
            <w:tcW w:w="6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2"/>
                <w:szCs w:val="12"/>
                <w:color w:val="auto"/>
              </w:rPr>
              <w:t>70.79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61.49</w:t>
            </w:r>
          </w:p>
        </w:tc>
        <w:tc>
          <w:tcPr>
            <w:tcW w:w="820" w:type="dxa"/>
            <w:vAlign w:val="bottom"/>
            <w:tcBorders>
              <w:bottom w:val="single" w:sz="8" w:color="auto"/>
            </w:tcBorders>
          </w:tcPr>
          <w:p>
            <w:pPr>
              <w:jc w:val="center"/>
              <w:ind w:left="38"/>
              <w:spacing w:after="0"/>
              <w:rPr>
                <w:sz w:val="20"/>
                <w:szCs w:val="20"/>
                <w:color w:val="auto"/>
              </w:rPr>
            </w:pPr>
            <w:r>
              <w:rPr>
                <w:rFonts w:ascii="Arial" w:cs="Arial" w:eastAsia="Arial" w:hAnsi="Arial"/>
                <w:sz w:val="12"/>
                <w:szCs w:val="12"/>
                <w:color w:val="auto"/>
              </w:rPr>
              <w:t>62.80</w:t>
            </w: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57.38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875030</wp:posOffset>
            </wp:positionH>
            <wp:positionV relativeFrom="paragraph">
              <wp:posOffset>-2317115</wp:posOffset>
            </wp:positionV>
            <wp:extent cx="2604770" cy="3467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04770" cy="346710"/>
                    </a:xfrm>
                    <a:prstGeom prst="rect">
                      <a:avLst/>
                    </a:prstGeom>
                    <a:noFill/>
                  </pic:spPr>
                </pic:pic>
              </a:graphicData>
            </a:graphic>
          </wp:anchor>
        </w:drawing>
        <w:drawing>
          <wp:anchor simplePos="0" relativeHeight="251657728" behindDoc="1" locked="0" layoutInCell="0" allowOverlap="1">
            <wp:simplePos x="0" y="0"/>
            <wp:positionH relativeFrom="column">
              <wp:posOffset>976630</wp:posOffset>
            </wp:positionH>
            <wp:positionV relativeFrom="paragraph">
              <wp:posOffset>-616585</wp:posOffset>
            </wp:positionV>
            <wp:extent cx="2478405" cy="34671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478405" cy="346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2060" w:type="dxa"/>
            <w:vAlign w:val="bottom"/>
            <w:shd w:val="clear" w:color="auto" w:fill="711470"/>
          </w:tcPr>
          <w:p>
            <w:pPr>
              <w:spacing w:after="0"/>
              <w:rPr>
                <w:sz w:val="20"/>
                <w:szCs w:val="20"/>
                <w:color w:val="auto"/>
              </w:rPr>
            </w:pPr>
            <w:r>
              <w:rPr>
                <w:rFonts w:ascii="Arial" w:cs="Arial" w:eastAsia="Arial" w:hAnsi="Arial"/>
                <w:sz w:val="12"/>
                <w:szCs w:val="12"/>
                <w:b w:val="1"/>
                <w:bCs w:val="1"/>
                <w:color w:val="FFFFFF"/>
              </w:rPr>
              <w:t>RDSB – AMSTERDAM</w:t>
            </w:r>
          </w:p>
        </w:tc>
        <w:tc>
          <w:tcPr>
            <w:tcW w:w="260" w:type="dxa"/>
            <w:vAlign w:val="bottom"/>
            <w:shd w:val="clear" w:color="auto" w:fill="711470"/>
          </w:tcPr>
          <w:p>
            <w:pPr>
              <w:spacing w:after="0"/>
              <w:rPr>
                <w:sz w:val="12"/>
                <w:szCs w:val="12"/>
                <w:color w:val="auto"/>
              </w:rPr>
            </w:pPr>
          </w:p>
        </w:tc>
        <w:tc>
          <w:tcPr>
            <w:tcW w:w="420" w:type="dxa"/>
            <w:vAlign w:val="bottom"/>
            <w:shd w:val="clear" w:color="auto" w:fill="711470"/>
          </w:tcPr>
          <w:p>
            <w:pPr>
              <w:spacing w:after="0"/>
              <w:rPr>
                <w:sz w:val="12"/>
                <w:szCs w:val="12"/>
                <w:color w:val="auto"/>
              </w:rPr>
            </w:pPr>
          </w:p>
        </w:tc>
        <w:tc>
          <w:tcPr>
            <w:tcW w:w="780" w:type="dxa"/>
            <w:vAlign w:val="bottom"/>
            <w:shd w:val="clear" w:color="auto" w:fill="711470"/>
          </w:tcPr>
          <w:p>
            <w:pPr>
              <w:spacing w:after="0"/>
              <w:rPr>
                <w:sz w:val="12"/>
                <w:szCs w:val="12"/>
                <w:color w:val="auto"/>
              </w:rPr>
            </w:pPr>
          </w:p>
        </w:tc>
        <w:tc>
          <w:tcPr>
            <w:tcW w:w="840" w:type="dxa"/>
            <w:vAlign w:val="bottom"/>
            <w:shd w:val="clear" w:color="auto" w:fill="711470"/>
          </w:tcPr>
          <w:p>
            <w:pPr>
              <w:spacing w:after="0"/>
              <w:rPr>
                <w:sz w:val="12"/>
                <w:szCs w:val="12"/>
                <w:color w:val="auto"/>
              </w:rPr>
            </w:pPr>
          </w:p>
        </w:tc>
        <w:tc>
          <w:tcPr>
            <w:tcW w:w="620" w:type="dxa"/>
            <w:vAlign w:val="bottom"/>
            <w:shd w:val="clear" w:color="auto" w:fill="711470"/>
          </w:tcPr>
          <w:p>
            <w:pPr>
              <w:spacing w:after="0"/>
              <w:rPr>
                <w:sz w:val="12"/>
                <w:szCs w:val="12"/>
                <w:color w:val="auto"/>
              </w:rPr>
            </w:pPr>
          </w:p>
        </w:tc>
        <w:tc>
          <w:tcPr>
            <w:tcW w:w="500" w:type="dxa"/>
            <w:vAlign w:val="bottom"/>
            <w:shd w:val="clear" w:color="auto" w:fill="711470"/>
          </w:tcPr>
          <w:p>
            <w:pPr>
              <w:jc w:val="right"/>
              <w:spacing w:after="0"/>
              <w:rPr>
                <w:sz w:val="20"/>
                <w:szCs w:val="20"/>
                <w:color w:val="auto"/>
              </w:rPr>
            </w:pPr>
            <w:r>
              <w:rPr>
                <w:rFonts w:ascii="Arial" w:cs="Arial" w:eastAsia="Arial" w:hAnsi="Arial"/>
                <w:sz w:val="12"/>
                <w:szCs w:val="12"/>
                <w:b w:val="1"/>
                <w:bCs w:val="1"/>
                <w:color w:val="FFFFFF"/>
              </w:rPr>
              <w:t>€</w:t>
            </w:r>
          </w:p>
        </w:tc>
      </w:tr>
      <w:tr>
        <w:trPr>
          <w:trHeight w:val="127"/>
        </w:trPr>
        <w:tc>
          <w:tcPr>
            <w:tcW w:w="2060" w:type="dxa"/>
            <w:vAlign w:val="bottom"/>
            <w:shd w:val="clear" w:color="auto" w:fill="CECAC6"/>
          </w:tcPr>
          <w:p>
            <w:pPr>
              <w:spacing w:after="0"/>
              <w:rPr>
                <w:sz w:val="11"/>
                <w:szCs w:val="11"/>
                <w:color w:val="auto"/>
              </w:rPr>
            </w:pPr>
          </w:p>
        </w:tc>
        <w:tc>
          <w:tcPr>
            <w:tcW w:w="680" w:type="dxa"/>
            <w:vAlign w:val="bottom"/>
            <w:gridSpan w:val="2"/>
            <w:shd w:val="clear" w:color="auto" w:fill="CECAC6"/>
          </w:tcPr>
          <w:p>
            <w:pPr>
              <w:jc w:val="right"/>
              <w:spacing w:after="0" w:line="128" w:lineRule="exact"/>
              <w:rPr>
                <w:sz w:val="20"/>
                <w:szCs w:val="20"/>
                <w:color w:val="auto"/>
              </w:rPr>
            </w:pPr>
            <w:r>
              <w:rPr>
                <w:rFonts w:ascii="Arial" w:cs="Arial" w:eastAsia="Arial" w:hAnsi="Arial"/>
                <w:sz w:val="12"/>
                <w:szCs w:val="12"/>
                <w:color w:val="auto"/>
              </w:rPr>
              <w:t>2007</w:t>
            </w:r>
          </w:p>
        </w:tc>
        <w:tc>
          <w:tcPr>
            <w:tcW w:w="780" w:type="dxa"/>
            <w:vAlign w:val="bottom"/>
            <w:shd w:val="clear" w:color="auto" w:fill="CECAC6"/>
          </w:tcPr>
          <w:p>
            <w:pPr>
              <w:jc w:val="right"/>
              <w:ind w:right="98"/>
              <w:spacing w:after="0" w:line="128" w:lineRule="exact"/>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2005</w:t>
            </w:r>
          </w:p>
        </w:tc>
        <w:tc>
          <w:tcPr>
            <w:tcW w:w="62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2004</w:t>
            </w:r>
          </w:p>
        </w:tc>
        <w:tc>
          <w:tcPr>
            <w:tcW w:w="500" w:type="dxa"/>
            <w:vAlign w:val="bottom"/>
            <w:shd w:val="clear" w:color="auto" w:fill="CECAC6"/>
          </w:tcPr>
          <w:p>
            <w:pPr>
              <w:jc w:val="right"/>
              <w:spacing w:after="0" w:line="128" w:lineRule="exact"/>
              <w:rPr>
                <w:sz w:val="20"/>
                <w:szCs w:val="20"/>
                <w:color w:val="auto"/>
              </w:rPr>
            </w:pPr>
            <w:r>
              <w:rPr>
                <w:rFonts w:ascii="Arial" w:cs="Arial" w:eastAsia="Arial" w:hAnsi="Arial"/>
                <w:sz w:val="12"/>
                <w:szCs w:val="12"/>
                <w:color w:val="auto"/>
              </w:rPr>
              <w:t>2003</w:t>
            </w:r>
          </w:p>
        </w:tc>
      </w:tr>
      <w:tr>
        <w:trPr>
          <w:trHeight w:val="133"/>
        </w:trPr>
        <w:tc>
          <w:tcPr>
            <w:tcW w:w="2060" w:type="dxa"/>
            <w:vAlign w:val="bottom"/>
            <w:shd w:val="clear" w:color="auto" w:fill="CECAC6"/>
          </w:tcPr>
          <w:p>
            <w:pPr>
              <w:spacing w:after="0"/>
              <w:rPr>
                <w:sz w:val="11"/>
                <w:szCs w:val="11"/>
                <w:color w:val="auto"/>
              </w:rPr>
            </w:pPr>
          </w:p>
        </w:tc>
        <w:tc>
          <w:tcPr>
            <w:tcW w:w="2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80" w:type="dxa"/>
            <w:vAlign w:val="bottom"/>
            <w:shd w:val="clear" w:color="auto" w:fill="CECAC6"/>
          </w:tcPr>
          <w:p>
            <w:pPr>
              <w:spacing w:after="0"/>
              <w:rPr>
                <w:sz w:val="11"/>
                <w:szCs w:val="11"/>
                <w:color w:val="auto"/>
              </w:rPr>
            </w:pPr>
          </w:p>
        </w:tc>
        <w:tc>
          <w:tcPr>
            <w:tcW w:w="840" w:type="dxa"/>
            <w:vAlign w:val="bottom"/>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(Jul 20 to</w:t>
            </w:r>
          </w:p>
        </w:tc>
        <w:tc>
          <w:tcPr>
            <w:tcW w:w="620" w:type="dxa"/>
            <w:vAlign w:val="bottom"/>
            <w:shd w:val="clear" w:color="auto" w:fill="CECAC6"/>
          </w:tcPr>
          <w:p>
            <w:pPr>
              <w:spacing w:after="0"/>
              <w:rPr>
                <w:sz w:val="11"/>
                <w:szCs w:val="11"/>
                <w:color w:val="auto"/>
              </w:rPr>
            </w:pPr>
          </w:p>
        </w:tc>
        <w:tc>
          <w:tcPr>
            <w:tcW w:w="500" w:type="dxa"/>
            <w:vAlign w:val="bottom"/>
            <w:shd w:val="clear" w:color="auto" w:fill="CECAC6"/>
          </w:tcPr>
          <w:p>
            <w:pPr>
              <w:spacing w:after="0"/>
              <w:rPr>
                <w:sz w:val="11"/>
                <w:szCs w:val="11"/>
                <w:color w:val="auto"/>
              </w:rPr>
            </w:pPr>
          </w:p>
        </w:tc>
      </w:tr>
      <w:tr>
        <w:trPr>
          <w:trHeight w:val="139"/>
        </w:trPr>
        <w:tc>
          <w:tcPr>
            <w:tcW w:w="2060" w:type="dxa"/>
            <w:vAlign w:val="bottom"/>
            <w:shd w:val="clear" w:color="auto" w:fill="CECAC6"/>
          </w:tcPr>
          <w:p>
            <w:pPr>
              <w:spacing w:after="0"/>
              <w:rPr>
                <w:sz w:val="12"/>
                <w:szCs w:val="12"/>
                <w:color w:val="auto"/>
              </w:rPr>
            </w:pPr>
          </w:p>
        </w:tc>
        <w:tc>
          <w:tcPr>
            <w:tcW w:w="2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80" w:type="dxa"/>
            <w:vAlign w:val="bottom"/>
            <w:shd w:val="clear" w:color="auto" w:fill="CECAC6"/>
          </w:tcPr>
          <w:p>
            <w:pPr>
              <w:spacing w:after="0"/>
              <w:rPr>
                <w:sz w:val="12"/>
                <w:szCs w:val="12"/>
                <w:color w:val="auto"/>
              </w:rPr>
            </w:pPr>
          </w:p>
        </w:tc>
        <w:tc>
          <w:tcPr>
            <w:tcW w:w="84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Dec 31)</w:t>
            </w:r>
          </w:p>
        </w:tc>
        <w:tc>
          <w:tcPr>
            <w:tcW w:w="620" w:type="dxa"/>
            <w:vAlign w:val="bottom"/>
            <w:shd w:val="clear" w:color="auto" w:fill="CECAC6"/>
          </w:tcPr>
          <w:p>
            <w:pPr>
              <w:spacing w:after="0"/>
              <w:rPr>
                <w:sz w:val="12"/>
                <w:szCs w:val="12"/>
                <w:color w:val="auto"/>
              </w:rPr>
            </w:pPr>
          </w:p>
        </w:tc>
        <w:tc>
          <w:tcPr>
            <w:tcW w:w="500" w:type="dxa"/>
            <w:vAlign w:val="bottom"/>
            <w:shd w:val="clear" w:color="auto" w:fill="CECAC6"/>
          </w:tcPr>
          <w:p>
            <w:pPr>
              <w:spacing w:after="0"/>
              <w:rPr>
                <w:sz w:val="12"/>
                <w:szCs w:val="12"/>
                <w:color w:val="auto"/>
              </w:rPr>
            </w:pPr>
          </w:p>
        </w:tc>
      </w:tr>
      <w:tr>
        <w:trPr>
          <w:trHeight w:val="127"/>
        </w:trPr>
        <w:tc>
          <w:tcPr>
            <w:tcW w:w="206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260" w:type="dxa"/>
            <w:vAlign w:val="bottom"/>
          </w:tcPr>
          <w:p>
            <w:pPr>
              <w:spacing w:after="0"/>
              <w:rPr>
                <w:sz w:val="11"/>
                <w:szCs w:val="11"/>
                <w:color w:val="auto"/>
              </w:rPr>
            </w:pPr>
          </w:p>
        </w:tc>
        <w:tc>
          <w:tcPr>
            <w:tcW w:w="4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32.20</w:t>
            </w:r>
          </w:p>
        </w:tc>
        <w:tc>
          <w:tcPr>
            <w:tcW w:w="780" w:type="dxa"/>
            <w:vAlign w:val="bottom"/>
          </w:tcPr>
          <w:p>
            <w:pPr>
              <w:jc w:val="right"/>
              <w:ind w:right="98"/>
              <w:spacing w:after="0" w:line="128" w:lineRule="exact"/>
              <w:rPr>
                <w:sz w:val="20"/>
                <w:szCs w:val="20"/>
                <w:color w:val="auto"/>
              </w:rPr>
            </w:pPr>
            <w:r>
              <w:rPr>
                <w:rFonts w:ascii="Arial" w:cs="Arial" w:eastAsia="Arial" w:hAnsi="Arial"/>
                <w:sz w:val="12"/>
                <w:szCs w:val="12"/>
                <w:color w:val="auto"/>
              </w:rPr>
              <w:t>30.04</w:t>
            </w:r>
          </w:p>
        </w:tc>
        <w:tc>
          <w:tcPr>
            <w:tcW w:w="84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28.90</w:t>
            </w:r>
          </w:p>
        </w:tc>
        <w:tc>
          <w:tcPr>
            <w:tcW w:w="62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r>
      <w:tr>
        <w:trPr>
          <w:trHeight w:val="133"/>
        </w:trPr>
        <w:tc>
          <w:tcPr>
            <w:tcW w:w="206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260" w:type="dxa"/>
            <w:vAlign w:val="bottom"/>
          </w:tcPr>
          <w:p>
            <w:pPr>
              <w:spacing w:after="0"/>
              <w:rPr>
                <w:sz w:val="11"/>
                <w:szCs w:val="11"/>
                <w:color w:val="auto"/>
              </w:rPr>
            </w:pPr>
          </w:p>
        </w:tc>
        <w:tc>
          <w:tcPr>
            <w:tcW w:w="4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23.64</w:t>
            </w:r>
          </w:p>
        </w:tc>
        <w:tc>
          <w:tcPr>
            <w:tcW w:w="780" w:type="dxa"/>
            <w:vAlign w:val="bottom"/>
          </w:tcPr>
          <w:p>
            <w:pPr>
              <w:jc w:val="right"/>
              <w:ind w:right="98"/>
              <w:spacing w:after="0" w:line="133" w:lineRule="exact"/>
              <w:rPr>
                <w:sz w:val="20"/>
                <w:szCs w:val="20"/>
                <w:color w:val="auto"/>
              </w:rPr>
            </w:pPr>
            <w:r>
              <w:rPr>
                <w:rFonts w:ascii="Arial" w:cs="Arial" w:eastAsia="Arial" w:hAnsi="Arial"/>
                <w:sz w:val="12"/>
                <w:szCs w:val="12"/>
                <w:color w:val="auto"/>
              </w:rPr>
              <w:t>25.18</w:t>
            </w:r>
          </w:p>
        </w:tc>
        <w:tc>
          <w:tcPr>
            <w:tcW w:w="84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25.41</w:t>
            </w:r>
          </w:p>
        </w:tc>
        <w:tc>
          <w:tcPr>
            <w:tcW w:w="6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46"/>
        </w:trPr>
        <w:tc>
          <w:tcPr>
            <w:tcW w:w="2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28.46</w:t>
            </w:r>
          </w:p>
        </w:tc>
        <w:tc>
          <w:tcPr>
            <w:tcW w:w="7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26.66</w:t>
            </w:r>
          </w:p>
        </w:tc>
        <w:tc>
          <w:tcPr>
            <w:tcW w:w="84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27.08</w:t>
            </w: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180" w:type="dxa"/>
            <w:vAlign w:val="bottom"/>
            <w:gridSpan w:val="5"/>
            <w:shd w:val="clear" w:color="auto" w:fill="711470"/>
          </w:tcPr>
          <w:p>
            <w:pPr>
              <w:spacing w:after="0"/>
              <w:rPr>
                <w:sz w:val="20"/>
                <w:szCs w:val="20"/>
                <w:color w:val="auto"/>
              </w:rPr>
            </w:pPr>
            <w:r>
              <w:rPr>
                <w:rFonts w:ascii="Arial" w:cs="Arial" w:eastAsia="Arial" w:hAnsi="Arial"/>
                <w:sz w:val="12"/>
                <w:szCs w:val="12"/>
                <w:b w:val="1"/>
                <w:bCs w:val="1"/>
                <w:color w:val="FFFFFF"/>
              </w:rPr>
              <w:t>RDSB AND SHELL TRANSPORT ORDINARY SHARES – LONDON[E]</w:t>
            </w:r>
          </w:p>
        </w:tc>
        <w:tc>
          <w:tcPr>
            <w:tcW w:w="680" w:type="dxa"/>
            <w:vAlign w:val="bottom"/>
            <w:shd w:val="clear" w:color="auto" w:fill="711470"/>
          </w:tcPr>
          <w:p>
            <w:pPr>
              <w:spacing w:after="0"/>
              <w:rPr>
                <w:sz w:val="12"/>
                <w:szCs w:val="12"/>
                <w:color w:val="auto"/>
              </w:rPr>
            </w:pPr>
          </w:p>
        </w:tc>
        <w:tc>
          <w:tcPr>
            <w:tcW w:w="620" w:type="dxa"/>
            <w:vAlign w:val="bottom"/>
            <w:shd w:val="clear" w:color="auto" w:fill="711470"/>
          </w:tcPr>
          <w:p>
            <w:pPr>
              <w:jc w:val="right"/>
              <w:spacing w:after="0"/>
              <w:rPr>
                <w:sz w:val="20"/>
                <w:szCs w:val="20"/>
                <w:color w:val="auto"/>
              </w:rPr>
            </w:pPr>
            <w:r>
              <w:rPr>
                <w:rFonts w:ascii="Arial" w:cs="Arial" w:eastAsia="Arial" w:hAnsi="Arial"/>
                <w:sz w:val="12"/>
                <w:szCs w:val="12"/>
                <w:b w:val="1"/>
                <w:bCs w:val="1"/>
                <w:color w:val="FFFFFF"/>
              </w:rPr>
              <w:t>pence</w:t>
            </w:r>
          </w:p>
        </w:tc>
      </w:tr>
      <w:tr>
        <w:trPr>
          <w:trHeight w:val="141"/>
        </w:trPr>
        <w:tc>
          <w:tcPr>
            <w:tcW w:w="142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20" w:type="dxa"/>
            <w:vAlign w:val="bottom"/>
            <w:shd w:val="clear" w:color="auto" w:fill="CECAC6"/>
          </w:tcPr>
          <w:p>
            <w:pPr>
              <w:spacing w:after="0"/>
              <w:rPr>
                <w:sz w:val="12"/>
                <w:szCs w:val="12"/>
                <w:color w:val="auto"/>
              </w:rPr>
            </w:pPr>
          </w:p>
        </w:tc>
        <w:tc>
          <w:tcPr>
            <w:tcW w:w="7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RDSB</w:t>
            </w:r>
          </w:p>
        </w:tc>
        <w:tc>
          <w:tcPr>
            <w:tcW w:w="2140" w:type="dxa"/>
            <w:vAlign w:val="bottom"/>
            <w:gridSpan w:val="3"/>
            <w:shd w:val="clear" w:color="auto" w:fill="CECAC6"/>
          </w:tcPr>
          <w:p>
            <w:pPr>
              <w:jc w:val="right"/>
              <w:spacing w:after="0"/>
              <w:rPr>
                <w:sz w:val="20"/>
                <w:szCs w:val="20"/>
                <w:color w:val="auto"/>
              </w:rPr>
            </w:pPr>
            <w:r>
              <w:rPr>
                <w:rFonts w:ascii="Arial" w:cs="Arial" w:eastAsia="Arial" w:hAnsi="Arial"/>
                <w:sz w:val="12"/>
                <w:szCs w:val="12"/>
                <w:color w:val="auto"/>
              </w:rPr>
              <w:t>Shell Transport Ordinary Shares</w:t>
            </w:r>
          </w:p>
        </w:tc>
      </w:tr>
      <w:tr>
        <w:trPr>
          <w:trHeight w:val="133"/>
        </w:trPr>
        <w:tc>
          <w:tcPr>
            <w:tcW w:w="1420" w:type="dxa"/>
            <w:vAlign w:val="bottom"/>
            <w:shd w:val="clear" w:color="auto" w:fill="CECAC6"/>
          </w:tcPr>
          <w:p>
            <w:pPr>
              <w:spacing w:after="0"/>
              <w:rPr>
                <w:sz w:val="11"/>
                <w:szCs w:val="11"/>
                <w:color w:val="auto"/>
              </w:rPr>
            </w:pPr>
          </w:p>
        </w:tc>
        <w:tc>
          <w:tcPr>
            <w:tcW w:w="4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72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2006</w:t>
            </w: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2005</w:t>
            </w:r>
          </w:p>
        </w:tc>
        <w:tc>
          <w:tcPr>
            <w:tcW w:w="840" w:type="dxa"/>
            <w:vAlign w:val="bottom"/>
            <w:shd w:val="clear" w:color="auto" w:fill="CECAC6"/>
          </w:tcPr>
          <w:p>
            <w:pPr>
              <w:jc w:val="right"/>
              <w:ind w:right="178"/>
              <w:spacing w:after="0" w:line="133" w:lineRule="exact"/>
              <w:rPr>
                <w:sz w:val="20"/>
                <w:szCs w:val="20"/>
                <w:color w:val="auto"/>
              </w:rPr>
            </w:pPr>
            <w:r>
              <w:rPr>
                <w:rFonts w:ascii="Arial" w:cs="Arial" w:eastAsia="Arial" w:hAnsi="Arial"/>
                <w:sz w:val="12"/>
                <w:szCs w:val="12"/>
                <w:color w:val="auto"/>
              </w:rPr>
              <w:t>2005</w:t>
            </w:r>
          </w:p>
        </w:tc>
        <w:tc>
          <w:tcPr>
            <w:tcW w:w="680" w:type="dxa"/>
            <w:vAlign w:val="bottom"/>
            <w:shd w:val="clear" w:color="auto" w:fill="CECAC6"/>
          </w:tcPr>
          <w:p>
            <w:pPr>
              <w:jc w:val="right"/>
              <w:ind w:right="138"/>
              <w:spacing w:after="0" w:line="133" w:lineRule="exact"/>
              <w:rPr>
                <w:sz w:val="20"/>
                <w:szCs w:val="20"/>
                <w:color w:val="auto"/>
              </w:rPr>
            </w:pPr>
            <w:r>
              <w:rPr>
                <w:rFonts w:ascii="Arial" w:cs="Arial" w:eastAsia="Arial" w:hAnsi="Arial"/>
                <w:sz w:val="12"/>
                <w:szCs w:val="12"/>
                <w:color w:val="auto"/>
              </w:rPr>
              <w:t>2004</w:t>
            </w:r>
          </w:p>
        </w:tc>
        <w:tc>
          <w:tcPr>
            <w:tcW w:w="6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2003</w:t>
            </w:r>
          </w:p>
        </w:tc>
      </w:tr>
      <w:tr>
        <w:trPr>
          <w:trHeight w:val="133"/>
        </w:trPr>
        <w:tc>
          <w:tcPr>
            <w:tcW w:w="142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2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(Jul 20 to</w:t>
            </w:r>
          </w:p>
        </w:tc>
        <w:tc>
          <w:tcPr>
            <w:tcW w:w="840" w:type="dxa"/>
            <w:vAlign w:val="bottom"/>
            <w:shd w:val="clear" w:color="auto" w:fill="CECAC6"/>
          </w:tcPr>
          <w:p>
            <w:pPr>
              <w:jc w:val="right"/>
              <w:ind w:right="158"/>
              <w:spacing w:after="0" w:line="133" w:lineRule="exact"/>
              <w:rPr>
                <w:sz w:val="20"/>
                <w:szCs w:val="20"/>
                <w:color w:val="auto"/>
              </w:rPr>
            </w:pPr>
            <w:r>
              <w:rPr>
                <w:rFonts w:ascii="Arial" w:cs="Arial" w:eastAsia="Arial" w:hAnsi="Arial"/>
                <w:sz w:val="12"/>
                <w:szCs w:val="12"/>
                <w:color w:val="auto"/>
              </w:rPr>
              <w:t>(Jan 1 to</w:t>
            </w:r>
          </w:p>
        </w:tc>
        <w:tc>
          <w:tcPr>
            <w:tcW w:w="680" w:type="dxa"/>
            <w:vAlign w:val="bottom"/>
            <w:shd w:val="clear" w:color="auto" w:fill="CECAC6"/>
          </w:tcPr>
          <w:p>
            <w:pPr>
              <w:spacing w:after="0"/>
              <w:rPr>
                <w:sz w:val="11"/>
                <w:szCs w:val="11"/>
                <w:color w:val="auto"/>
              </w:rPr>
            </w:pPr>
          </w:p>
        </w:tc>
        <w:tc>
          <w:tcPr>
            <w:tcW w:w="620" w:type="dxa"/>
            <w:vAlign w:val="bottom"/>
            <w:shd w:val="clear" w:color="auto" w:fill="CECAC6"/>
          </w:tcPr>
          <w:p>
            <w:pPr>
              <w:spacing w:after="0"/>
              <w:rPr>
                <w:sz w:val="11"/>
                <w:szCs w:val="11"/>
                <w:color w:val="auto"/>
              </w:rPr>
            </w:pPr>
          </w:p>
        </w:tc>
      </w:tr>
      <w:tr>
        <w:trPr>
          <w:trHeight w:val="139"/>
        </w:trPr>
        <w:tc>
          <w:tcPr>
            <w:tcW w:w="142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20" w:type="dxa"/>
            <w:vAlign w:val="bottom"/>
            <w:shd w:val="clear" w:color="auto" w:fill="CECAC6"/>
          </w:tcPr>
          <w:p>
            <w:pPr>
              <w:spacing w:after="0"/>
              <w:rPr>
                <w:sz w:val="12"/>
                <w:szCs w:val="12"/>
                <w:color w:val="auto"/>
              </w:rPr>
            </w:pPr>
          </w:p>
        </w:tc>
        <w:tc>
          <w:tcPr>
            <w:tcW w:w="7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Dec 31)</w:t>
            </w:r>
          </w:p>
        </w:tc>
        <w:tc>
          <w:tcPr>
            <w:tcW w:w="840" w:type="dxa"/>
            <w:vAlign w:val="bottom"/>
            <w:shd w:val="clear" w:color="auto" w:fill="CECAC6"/>
          </w:tcPr>
          <w:p>
            <w:pPr>
              <w:jc w:val="right"/>
              <w:ind w:right="178"/>
              <w:spacing w:after="0"/>
              <w:rPr>
                <w:sz w:val="20"/>
                <w:szCs w:val="20"/>
                <w:color w:val="auto"/>
              </w:rPr>
            </w:pPr>
            <w:r>
              <w:rPr>
                <w:rFonts w:ascii="Arial" w:cs="Arial" w:eastAsia="Arial" w:hAnsi="Arial"/>
                <w:sz w:val="12"/>
                <w:szCs w:val="12"/>
                <w:color w:val="auto"/>
              </w:rPr>
              <w:t>Jul 19)</w:t>
            </w:r>
          </w:p>
        </w:tc>
        <w:tc>
          <w:tcPr>
            <w:tcW w:w="680" w:type="dxa"/>
            <w:vAlign w:val="bottom"/>
            <w:shd w:val="clear" w:color="auto" w:fill="CECAC6"/>
          </w:tcPr>
          <w:p>
            <w:pPr>
              <w:spacing w:after="0"/>
              <w:rPr>
                <w:sz w:val="12"/>
                <w:szCs w:val="12"/>
                <w:color w:val="auto"/>
              </w:rPr>
            </w:pPr>
          </w:p>
        </w:tc>
        <w:tc>
          <w:tcPr>
            <w:tcW w:w="620" w:type="dxa"/>
            <w:vAlign w:val="bottom"/>
            <w:shd w:val="clear" w:color="auto" w:fill="CECAC6"/>
          </w:tcPr>
          <w:p>
            <w:pPr>
              <w:spacing w:after="0"/>
              <w:rPr>
                <w:sz w:val="12"/>
                <w:szCs w:val="12"/>
                <w:color w:val="auto"/>
              </w:rPr>
            </w:pPr>
          </w:p>
        </w:tc>
      </w:tr>
      <w:tr>
        <w:trPr>
          <w:trHeight w:val="127"/>
        </w:trPr>
        <w:tc>
          <w:tcPr>
            <w:tcW w:w="142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4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2,173</w:t>
            </w:r>
          </w:p>
        </w:tc>
        <w:tc>
          <w:tcPr>
            <w:tcW w:w="720" w:type="dxa"/>
            <w:vAlign w:val="bottom"/>
          </w:tcPr>
          <w:p>
            <w:pPr>
              <w:jc w:val="right"/>
              <w:ind w:right="78"/>
              <w:spacing w:after="0" w:line="128" w:lineRule="exact"/>
              <w:rPr>
                <w:sz w:val="20"/>
                <w:szCs w:val="20"/>
                <w:color w:val="auto"/>
              </w:rPr>
            </w:pPr>
            <w:r>
              <w:rPr>
                <w:rFonts w:ascii="Arial" w:cs="Arial" w:eastAsia="Arial" w:hAnsi="Arial"/>
                <w:sz w:val="12"/>
                <w:szCs w:val="12"/>
                <w:color w:val="auto"/>
              </w:rPr>
              <w:t>2,071</w:t>
            </w:r>
          </w:p>
        </w:tc>
        <w:tc>
          <w:tcPr>
            <w:tcW w:w="780" w:type="dxa"/>
            <w:vAlign w:val="bottom"/>
          </w:tcPr>
          <w:p>
            <w:pPr>
              <w:jc w:val="right"/>
              <w:ind w:right="78"/>
              <w:spacing w:after="0" w:line="128" w:lineRule="exact"/>
              <w:rPr>
                <w:sz w:val="20"/>
                <w:szCs w:val="20"/>
                <w:color w:val="auto"/>
              </w:rPr>
            </w:pPr>
            <w:r>
              <w:rPr>
                <w:rFonts w:ascii="Arial" w:cs="Arial" w:eastAsia="Arial" w:hAnsi="Arial"/>
                <w:sz w:val="12"/>
                <w:szCs w:val="12"/>
                <w:color w:val="auto"/>
              </w:rPr>
              <w:t>1,968</w:t>
            </w:r>
          </w:p>
        </w:tc>
        <w:tc>
          <w:tcPr>
            <w:tcW w:w="840" w:type="dxa"/>
            <w:vAlign w:val="bottom"/>
          </w:tcPr>
          <w:p>
            <w:pPr>
              <w:jc w:val="right"/>
              <w:ind w:right="178"/>
              <w:spacing w:after="0" w:line="128" w:lineRule="exact"/>
              <w:rPr>
                <w:sz w:val="20"/>
                <w:szCs w:val="20"/>
                <w:color w:val="auto"/>
              </w:rPr>
            </w:pPr>
            <w:r>
              <w:rPr>
                <w:rFonts w:ascii="Arial" w:cs="Arial" w:eastAsia="Arial" w:hAnsi="Arial"/>
                <w:sz w:val="12"/>
                <w:szCs w:val="12"/>
                <w:color w:val="auto"/>
              </w:rPr>
              <w:t>1,991</w:t>
            </w:r>
          </w:p>
        </w:tc>
        <w:tc>
          <w:tcPr>
            <w:tcW w:w="680" w:type="dxa"/>
            <w:vAlign w:val="bottom"/>
          </w:tcPr>
          <w:p>
            <w:pPr>
              <w:jc w:val="right"/>
              <w:ind w:right="138"/>
              <w:spacing w:after="0" w:line="128" w:lineRule="exact"/>
              <w:rPr>
                <w:sz w:val="20"/>
                <w:szCs w:val="20"/>
                <w:color w:val="auto"/>
              </w:rPr>
            </w:pPr>
            <w:r>
              <w:rPr>
                <w:rFonts w:ascii="Arial" w:cs="Arial" w:eastAsia="Arial" w:hAnsi="Arial"/>
                <w:sz w:val="12"/>
                <w:szCs w:val="12"/>
                <w:color w:val="auto"/>
              </w:rPr>
              <w:t>1,570</w:t>
            </w:r>
          </w:p>
        </w:tc>
        <w:tc>
          <w:tcPr>
            <w:tcW w:w="620" w:type="dxa"/>
            <w:vAlign w:val="bottom"/>
          </w:tcPr>
          <w:p>
            <w:pPr>
              <w:jc w:val="right"/>
              <w:spacing w:after="0" w:line="128" w:lineRule="exact"/>
              <w:rPr>
                <w:sz w:val="20"/>
                <w:szCs w:val="20"/>
                <w:color w:val="auto"/>
              </w:rPr>
            </w:pPr>
            <w:r>
              <w:rPr>
                <w:rFonts w:ascii="Arial" w:cs="Arial" w:eastAsia="Arial" w:hAnsi="Arial"/>
                <w:sz w:val="12"/>
                <w:szCs w:val="12"/>
                <w:color w:val="auto"/>
              </w:rPr>
              <w:t>1,531</w:t>
            </w:r>
          </w:p>
        </w:tc>
      </w:tr>
      <w:tr>
        <w:trPr>
          <w:trHeight w:val="133"/>
        </w:trPr>
        <w:tc>
          <w:tcPr>
            <w:tcW w:w="142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4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1,600</w:t>
            </w:r>
          </w:p>
        </w:tc>
        <w:tc>
          <w:tcPr>
            <w:tcW w:w="7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1,686</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1,717</w:t>
            </w:r>
          </w:p>
        </w:tc>
        <w:tc>
          <w:tcPr>
            <w:tcW w:w="840" w:type="dxa"/>
            <w:vAlign w:val="bottom"/>
          </w:tcPr>
          <w:p>
            <w:pPr>
              <w:jc w:val="right"/>
              <w:ind w:right="178"/>
              <w:spacing w:after="0" w:line="133" w:lineRule="exact"/>
              <w:rPr>
                <w:sz w:val="20"/>
                <w:szCs w:val="20"/>
                <w:color w:val="auto"/>
              </w:rPr>
            </w:pPr>
            <w:r>
              <w:rPr>
                <w:rFonts w:ascii="Arial" w:cs="Arial" w:eastAsia="Arial" w:hAnsi="Arial"/>
                <w:sz w:val="12"/>
                <w:szCs w:val="12"/>
                <w:color w:val="auto"/>
              </w:rPr>
              <w:t>1,528</w:t>
            </w:r>
          </w:p>
        </w:tc>
        <w:tc>
          <w:tcPr>
            <w:tcW w:w="680" w:type="dxa"/>
            <w:vAlign w:val="bottom"/>
          </w:tcPr>
          <w:p>
            <w:pPr>
              <w:jc w:val="right"/>
              <w:ind w:right="138"/>
              <w:spacing w:after="0" w:line="133" w:lineRule="exact"/>
              <w:rPr>
                <w:sz w:val="20"/>
                <w:szCs w:val="20"/>
                <w:color w:val="auto"/>
              </w:rPr>
            </w:pPr>
            <w:r>
              <w:rPr>
                <w:rFonts w:ascii="Arial" w:cs="Arial" w:eastAsia="Arial" w:hAnsi="Arial"/>
                <w:sz w:val="12"/>
                <w:szCs w:val="12"/>
                <w:color w:val="auto"/>
              </w:rPr>
              <w:t>1,205</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1,154</w:t>
            </w:r>
          </w:p>
        </w:tc>
      </w:tr>
      <w:tr>
        <w:trPr>
          <w:trHeight w:val="146"/>
        </w:trPr>
        <w:tc>
          <w:tcPr>
            <w:tcW w:w="1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w:t>
            </w:r>
          </w:p>
        </w:tc>
        <w:tc>
          <w:tcPr>
            <w:tcW w:w="4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2,090</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1,790</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1,858</w:t>
            </w:r>
          </w:p>
        </w:tc>
        <w:tc>
          <w:tcPr>
            <w:tcW w:w="8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1,838</w:t>
            </w:r>
          </w:p>
        </w:tc>
        <w:tc>
          <w:tcPr>
            <w:tcW w:w="6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1,545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901065</wp:posOffset>
            </wp:positionH>
            <wp:positionV relativeFrom="paragraph">
              <wp:posOffset>-616585</wp:posOffset>
            </wp:positionV>
            <wp:extent cx="2579370" cy="34671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79370" cy="34671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180" w:type="dxa"/>
            <w:vAlign w:val="bottom"/>
            <w:gridSpan w:val="5"/>
            <w:shd w:val="clear" w:color="auto" w:fill="711470"/>
          </w:tcPr>
          <w:p>
            <w:pPr>
              <w:spacing w:after="0"/>
              <w:rPr>
                <w:sz w:val="20"/>
                <w:szCs w:val="20"/>
                <w:color w:val="auto"/>
              </w:rPr>
            </w:pPr>
            <w:r>
              <w:rPr>
                <w:rFonts w:ascii="Arial" w:cs="Arial" w:eastAsia="Arial" w:hAnsi="Arial"/>
                <w:sz w:val="12"/>
                <w:szCs w:val="12"/>
                <w:b w:val="1"/>
                <w:bCs w:val="1"/>
                <w:color w:val="FFFFFF"/>
              </w:rPr>
              <w:t>RDS CLASS B ADRs AND SHELL TRANSPORT ADRs – NEW YORK[F]</w:t>
            </w:r>
          </w:p>
        </w:tc>
        <w:tc>
          <w:tcPr>
            <w:tcW w:w="760" w:type="dxa"/>
            <w:vAlign w:val="bottom"/>
            <w:shd w:val="clear" w:color="auto" w:fill="711470"/>
          </w:tcPr>
          <w:p>
            <w:pPr>
              <w:spacing w:after="0"/>
              <w:rPr>
                <w:sz w:val="12"/>
                <w:szCs w:val="12"/>
                <w:color w:val="auto"/>
              </w:rPr>
            </w:pPr>
          </w:p>
        </w:tc>
        <w:tc>
          <w:tcPr>
            <w:tcW w:w="540" w:type="dxa"/>
            <w:vAlign w:val="bottom"/>
            <w:shd w:val="clear" w:color="auto" w:fill="711470"/>
          </w:tcPr>
          <w:p>
            <w:pPr>
              <w:jc w:val="right"/>
              <w:spacing w:after="0"/>
              <w:rPr>
                <w:sz w:val="20"/>
                <w:szCs w:val="20"/>
                <w:color w:val="auto"/>
              </w:rPr>
            </w:pPr>
            <w:r>
              <w:rPr>
                <w:rFonts w:ascii="Arial" w:cs="Arial" w:eastAsia="Arial" w:hAnsi="Arial"/>
                <w:sz w:val="12"/>
                <w:szCs w:val="12"/>
                <w:b w:val="1"/>
                <w:bCs w:val="1"/>
                <w:color w:val="FFFFFF"/>
              </w:rPr>
              <w:t>$</w:t>
            </w:r>
          </w:p>
        </w:tc>
      </w:tr>
      <w:tr>
        <w:trPr>
          <w:trHeight w:val="141"/>
        </w:trPr>
        <w:tc>
          <w:tcPr>
            <w:tcW w:w="15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1520" w:type="dxa"/>
            <w:vAlign w:val="bottom"/>
            <w:gridSpan w:val="2"/>
            <w:shd w:val="clear" w:color="auto" w:fill="CECAC6"/>
          </w:tcPr>
          <w:p>
            <w:pPr>
              <w:jc w:val="right"/>
              <w:ind w:right="78"/>
              <w:spacing w:after="0"/>
              <w:rPr>
                <w:sz w:val="20"/>
                <w:szCs w:val="20"/>
                <w:color w:val="auto"/>
              </w:rPr>
            </w:pPr>
            <w:r>
              <w:rPr>
                <w:rFonts w:ascii="Arial" w:cs="Arial" w:eastAsia="Arial" w:hAnsi="Arial"/>
                <w:sz w:val="12"/>
                <w:szCs w:val="12"/>
                <w:color w:val="auto"/>
              </w:rPr>
              <w:t>RDS Class B ADRs</w:t>
            </w:r>
          </w:p>
        </w:tc>
        <w:tc>
          <w:tcPr>
            <w:tcW w:w="680" w:type="dxa"/>
            <w:vAlign w:val="bottom"/>
            <w:shd w:val="clear" w:color="auto" w:fill="CECAC6"/>
          </w:tcPr>
          <w:p>
            <w:pPr>
              <w:spacing w:after="0"/>
              <w:rPr>
                <w:sz w:val="12"/>
                <w:szCs w:val="12"/>
                <w:color w:val="auto"/>
              </w:rPr>
            </w:pPr>
          </w:p>
        </w:tc>
        <w:tc>
          <w:tcPr>
            <w:tcW w:w="1300" w:type="dxa"/>
            <w:vAlign w:val="bottom"/>
            <w:gridSpan w:val="2"/>
            <w:shd w:val="clear" w:color="auto" w:fill="CECAC6"/>
          </w:tcPr>
          <w:p>
            <w:pPr>
              <w:jc w:val="right"/>
              <w:spacing w:after="0"/>
              <w:rPr>
                <w:sz w:val="20"/>
                <w:szCs w:val="20"/>
                <w:color w:val="auto"/>
              </w:rPr>
            </w:pPr>
            <w:r>
              <w:rPr>
                <w:rFonts w:ascii="Arial" w:cs="Arial" w:eastAsia="Arial" w:hAnsi="Arial"/>
                <w:sz w:val="12"/>
                <w:szCs w:val="12"/>
                <w:color w:val="auto"/>
              </w:rPr>
              <w:t>Shell Transport ADRs</w:t>
            </w:r>
          </w:p>
        </w:tc>
      </w:tr>
      <w:tr>
        <w:trPr>
          <w:trHeight w:val="133"/>
        </w:trPr>
        <w:tc>
          <w:tcPr>
            <w:tcW w:w="1560" w:type="dxa"/>
            <w:vAlign w:val="bottom"/>
            <w:shd w:val="clear" w:color="auto" w:fill="CECAC6"/>
          </w:tcPr>
          <w:p>
            <w:pPr>
              <w:spacing w:after="0"/>
              <w:rPr>
                <w:sz w:val="11"/>
                <w:szCs w:val="11"/>
                <w:color w:val="auto"/>
              </w:rPr>
            </w:pPr>
          </w:p>
        </w:tc>
        <w:tc>
          <w:tcPr>
            <w:tcW w:w="42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2007</w:t>
            </w:r>
          </w:p>
        </w:tc>
        <w:tc>
          <w:tcPr>
            <w:tcW w:w="74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2006</w:t>
            </w: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2005</w:t>
            </w:r>
          </w:p>
        </w:tc>
        <w:tc>
          <w:tcPr>
            <w:tcW w:w="6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2005</w:t>
            </w:r>
          </w:p>
        </w:tc>
        <w:tc>
          <w:tcPr>
            <w:tcW w:w="760" w:type="dxa"/>
            <w:vAlign w:val="bottom"/>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2004</w:t>
            </w:r>
          </w:p>
        </w:tc>
        <w:tc>
          <w:tcPr>
            <w:tcW w:w="54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2003</w:t>
            </w:r>
          </w:p>
        </w:tc>
      </w:tr>
      <w:tr>
        <w:trPr>
          <w:trHeight w:val="133"/>
        </w:trPr>
        <w:tc>
          <w:tcPr>
            <w:tcW w:w="1560" w:type="dxa"/>
            <w:vAlign w:val="bottom"/>
            <w:shd w:val="clear" w:color="auto" w:fill="CECAC6"/>
          </w:tcPr>
          <w:p>
            <w:pPr>
              <w:spacing w:after="0"/>
              <w:rPr>
                <w:sz w:val="11"/>
                <w:szCs w:val="11"/>
                <w:color w:val="auto"/>
              </w:rPr>
            </w:pPr>
          </w:p>
        </w:tc>
        <w:tc>
          <w:tcPr>
            <w:tcW w:w="420" w:type="dxa"/>
            <w:vAlign w:val="bottom"/>
            <w:shd w:val="clear" w:color="auto" w:fill="CECAC6"/>
          </w:tcPr>
          <w:p>
            <w:pPr>
              <w:spacing w:after="0"/>
              <w:rPr>
                <w:sz w:val="11"/>
                <w:szCs w:val="11"/>
                <w:color w:val="auto"/>
              </w:rPr>
            </w:pPr>
          </w:p>
        </w:tc>
        <w:tc>
          <w:tcPr>
            <w:tcW w:w="740" w:type="dxa"/>
            <w:vAlign w:val="bottom"/>
            <w:shd w:val="clear" w:color="auto" w:fill="CECAC6"/>
          </w:tcPr>
          <w:p>
            <w:pPr>
              <w:spacing w:after="0"/>
              <w:rPr>
                <w:sz w:val="11"/>
                <w:szCs w:val="11"/>
                <w:color w:val="auto"/>
              </w:rPr>
            </w:pPr>
          </w:p>
        </w:tc>
        <w:tc>
          <w:tcPr>
            <w:tcW w:w="780" w:type="dxa"/>
            <w:vAlign w:val="bottom"/>
            <w:shd w:val="clear" w:color="auto" w:fill="CECAC6"/>
          </w:tcPr>
          <w:p>
            <w:pPr>
              <w:jc w:val="right"/>
              <w:ind w:right="78"/>
              <w:spacing w:after="0" w:line="133" w:lineRule="exact"/>
              <w:rPr>
                <w:sz w:val="20"/>
                <w:szCs w:val="20"/>
                <w:color w:val="auto"/>
              </w:rPr>
            </w:pPr>
            <w:r>
              <w:rPr>
                <w:rFonts w:ascii="Arial" w:cs="Arial" w:eastAsia="Arial" w:hAnsi="Arial"/>
                <w:sz w:val="12"/>
                <w:szCs w:val="12"/>
                <w:color w:val="auto"/>
              </w:rPr>
              <w:t>(Jul 20 to</w:t>
            </w:r>
          </w:p>
        </w:tc>
        <w:tc>
          <w:tcPr>
            <w:tcW w:w="6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(Jan 1 to</w:t>
            </w:r>
          </w:p>
        </w:tc>
        <w:tc>
          <w:tcPr>
            <w:tcW w:w="760" w:type="dxa"/>
            <w:vAlign w:val="bottom"/>
            <w:shd w:val="clear" w:color="auto" w:fill="CECAC6"/>
          </w:tcPr>
          <w:p>
            <w:pPr>
              <w:spacing w:after="0"/>
              <w:rPr>
                <w:sz w:val="11"/>
                <w:szCs w:val="11"/>
                <w:color w:val="auto"/>
              </w:rPr>
            </w:pPr>
          </w:p>
        </w:tc>
        <w:tc>
          <w:tcPr>
            <w:tcW w:w="540" w:type="dxa"/>
            <w:vAlign w:val="bottom"/>
            <w:shd w:val="clear" w:color="auto" w:fill="CECAC6"/>
          </w:tcPr>
          <w:p>
            <w:pPr>
              <w:spacing w:after="0"/>
              <w:rPr>
                <w:sz w:val="11"/>
                <w:szCs w:val="11"/>
                <w:color w:val="auto"/>
              </w:rPr>
            </w:pPr>
          </w:p>
        </w:tc>
      </w:tr>
      <w:tr>
        <w:trPr>
          <w:trHeight w:val="139"/>
        </w:trPr>
        <w:tc>
          <w:tcPr>
            <w:tcW w:w="1560" w:type="dxa"/>
            <w:vAlign w:val="bottom"/>
            <w:shd w:val="clear" w:color="auto" w:fill="CECAC6"/>
          </w:tcPr>
          <w:p>
            <w:pPr>
              <w:spacing w:after="0"/>
              <w:rPr>
                <w:sz w:val="12"/>
                <w:szCs w:val="12"/>
                <w:color w:val="auto"/>
              </w:rPr>
            </w:pPr>
          </w:p>
        </w:tc>
        <w:tc>
          <w:tcPr>
            <w:tcW w:w="420" w:type="dxa"/>
            <w:vAlign w:val="bottom"/>
            <w:shd w:val="clear" w:color="auto" w:fill="CECAC6"/>
          </w:tcPr>
          <w:p>
            <w:pPr>
              <w:spacing w:after="0"/>
              <w:rPr>
                <w:sz w:val="12"/>
                <w:szCs w:val="12"/>
                <w:color w:val="auto"/>
              </w:rPr>
            </w:pPr>
          </w:p>
        </w:tc>
        <w:tc>
          <w:tcPr>
            <w:tcW w:w="740" w:type="dxa"/>
            <w:vAlign w:val="bottom"/>
            <w:shd w:val="clear" w:color="auto" w:fill="CECAC6"/>
          </w:tcPr>
          <w:p>
            <w:pPr>
              <w:spacing w:after="0"/>
              <w:rPr>
                <w:sz w:val="12"/>
                <w:szCs w:val="12"/>
                <w:color w:val="auto"/>
              </w:rPr>
            </w:pPr>
          </w:p>
        </w:tc>
        <w:tc>
          <w:tcPr>
            <w:tcW w:w="780" w:type="dxa"/>
            <w:vAlign w:val="bottom"/>
            <w:shd w:val="clear" w:color="auto" w:fill="CECAC6"/>
          </w:tcPr>
          <w:p>
            <w:pPr>
              <w:jc w:val="right"/>
              <w:ind w:right="78"/>
              <w:spacing w:after="0"/>
              <w:rPr>
                <w:sz w:val="20"/>
                <w:szCs w:val="20"/>
                <w:color w:val="auto"/>
              </w:rPr>
            </w:pPr>
            <w:r>
              <w:rPr>
                <w:rFonts w:ascii="Arial" w:cs="Arial" w:eastAsia="Arial" w:hAnsi="Arial"/>
                <w:sz w:val="12"/>
                <w:szCs w:val="12"/>
                <w:color w:val="auto"/>
              </w:rPr>
              <w:t>Dec 31)</w:t>
            </w:r>
          </w:p>
        </w:tc>
        <w:tc>
          <w:tcPr>
            <w:tcW w:w="6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Jul 19)</w:t>
            </w:r>
          </w:p>
        </w:tc>
        <w:tc>
          <w:tcPr>
            <w:tcW w:w="760" w:type="dxa"/>
            <w:vAlign w:val="bottom"/>
            <w:shd w:val="clear" w:color="auto" w:fill="CECAC6"/>
          </w:tcPr>
          <w:p>
            <w:pPr>
              <w:spacing w:after="0"/>
              <w:rPr>
                <w:sz w:val="12"/>
                <w:szCs w:val="12"/>
                <w:color w:val="auto"/>
              </w:rPr>
            </w:pPr>
          </w:p>
        </w:tc>
        <w:tc>
          <w:tcPr>
            <w:tcW w:w="540" w:type="dxa"/>
            <w:vAlign w:val="bottom"/>
            <w:shd w:val="clear" w:color="auto" w:fill="CECAC6"/>
          </w:tcPr>
          <w:p>
            <w:pPr>
              <w:spacing w:after="0"/>
              <w:rPr>
                <w:sz w:val="12"/>
                <w:szCs w:val="12"/>
                <w:color w:val="auto"/>
              </w:rPr>
            </w:pPr>
          </w:p>
        </w:tc>
      </w:tr>
      <w:tr>
        <w:trPr>
          <w:trHeight w:val="127"/>
        </w:trPr>
        <w:tc>
          <w:tcPr>
            <w:tcW w:w="1560" w:type="dxa"/>
            <w:vAlign w:val="bottom"/>
          </w:tcPr>
          <w:p>
            <w:pPr>
              <w:spacing w:after="0" w:line="128" w:lineRule="exact"/>
              <w:rPr>
                <w:sz w:val="20"/>
                <w:szCs w:val="20"/>
                <w:color w:val="auto"/>
              </w:rPr>
            </w:pPr>
            <w:r>
              <w:rPr>
                <w:rFonts w:ascii="Arial" w:cs="Arial" w:eastAsia="Arial" w:hAnsi="Arial"/>
                <w:sz w:val="12"/>
                <w:szCs w:val="12"/>
                <w:color w:val="auto"/>
              </w:rPr>
              <w:t>High</w:t>
            </w:r>
          </w:p>
        </w:tc>
        <w:tc>
          <w:tcPr>
            <w:tcW w:w="420" w:type="dxa"/>
            <w:vAlign w:val="bottom"/>
            <w:shd w:val="clear" w:color="auto" w:fill="E4E3E1"/>
          </w:tcPr>
          <w:p>
            <w:pPr>
              <w:jc w:val="right"/>
              <w:spacing w:after="0" w:line="128" w:lineRule="exact"/>
              <w:rPr>
                <w:sz w:val="20"/>
                <w:szCs w:val="20"/>
                <w:color w:val="auto"/>
              </w:rPr>
            </w:pPr>
            <w:r>
              <w:rPr>
                <w:rFonts w:ascii="Arial" w:cs="Arial" w:eastAsia="Arial" w:hAnsi="Arial"/>
                <w:sz w:val="12"/>
                <w:szCs w:val="12"/>
                <w:color w:val="auto"/>
              </w:rPr>
              <w:t>87.94</w:t>
            </w:r>
          </w:p>
        </w:tc>
        <w:tc>
          <w:tcPr>
            <w:tcW w:w="740" w:type="dxa"/>
            <w:vAlign w:val="bottom"/>
          </w:tcPr>
          <w:p>
            <w:pPr>
              <w:jc w:val="right"/>
              <w:ind w:right="78"/>
              <w:spacing w:after="0" w:line="128" w:lineRule="exact"/>
              <w:rPr>
                <w:sz w:val="20"/>
                <w:szCs w:val="20"/>
                <w:color w:val="auto"/>
              </w:rPr>
            </w:pPr>
            <w:r>
              <w:rPr>
                <w:rFonts w:ascii="Arial" w:cs="Arial" w:eastAsia="Arial" w:hAnsi="Arial"/>
                <w:sz w:val="12"/>
                <w:szCs w:val="12"/>
                <w:color w:val="auto"/>
              </w:rPr>
              <w:t>74.93</w:t>
            </w:r>
          </w:p>
        </w:tc>
        <w:tc>
          <w:tcPr>
            <w:tcW w:w="780" w:type="dxa"/>
            <w:vAlign w:val="bottom"/>
          </w:tcPr>
          <w:p>
            <w:pPr>
              <w:jc w:val="right"/>
              <w:ind w:right="78"/>
              <w:spacing w:after="0" w:line="128" w:lineRule="exact"/>
              <w:rPr>
                <w:sz w:val="20"/>
                <w:szCs w:val="20"/>
                <w:color w:val="auto"/>
              </w:rPr>
            </w:pPr>
            <w:r>
              <w:rPr>
                <w:rFonts w:ascii="Arial" w:cs="Arial" w:eastAsia="Arial" w:hAnsi="Arial"/>
                <w:sz w:val="12"/>
                <w:szCs w:val="12"/>
                <w:color w:val="auto"/>
              </w:rPr>
              <w:t>70.94</w:t>
            </w:r>
          </w:p>
        </w:tc>
        <w:tc>
          <w:tcPr>
            <w:tcW w:w="680" w:type="dxa"/>
            <w:vAlign w:val="bottom"/>
          </w:tcPr>
          <w:p>
            <w:pPr>
              <w:jc w:val="right"/>
              <w:spacing w:after="0" w:line="128" w:lineRule="exact"/>
              <w:rPr>
                <w:sz w:val="20"/>
                <w:szCs w:val="20"/>
                <w:color w:val="auto"/>
              </w:rPr>
            </w:pPr>
            <w:r>
              <w:rPr>
                <w:rFonts w:ascii="Arial" w:cs="Arial" w:eastAsia="Arial" w:hAnsi="Arial"/>
                <w:sz w:val="12"/>
                <w:szCs w:val="12"/>
                <w:color w:val="auto"/>
              </w:rPr>
              <w:t>69.86</w:t>
            </w:r>
          </w:p>
        </w:tc>
        <w:tc>
          <w:tcPr>
            <w:tcW w:w="760" w:type="dxa"/>
            <w:vAlign w:val="bottom"/>
          </w:tcPr>
          <w:p>
            <w:pPr>
              <w:jc w:val="right"/>
              <w:ind w:right="98"/>
              <w:spacing w:after="0" w:line="128" w:lineRule="exact"/>
              <w:rPr>
                <w:sz w:val="20"/>
                <w:szCs w:val="20"/>
                <w:color w:val="auto"/>
              </w:rPr>
            </w:pPr>
            <w:r>
              <w:rPr>
                <w:rFonts w:ascii="Arial" w:cs="Arial" w:eastAsia="Arial" w:hAnsi="Arial"/>
                <w:sz w:val="12"/>
                <w:szCs w:val="12"/>
                <w:color w:val="auto"/>
              </w:rPr>
              <w:t>59.98</w:t>
            </w:r>
          </w:p>
        </w:tc>
        <w:tc>
          <w:tcPr>
            <w:tcW w:w="540" w:type="dxa"/>
            <w:vAlign w:val="bottom"/>
          </w:tcPr>
          <w:p>
            <w:pPr>
              <w:jc w:val="right"/>
              <w:spacing w:after="0" w:line="128" w:lineRule="exact"/>
              <w:rPr>
                <w:sz w:val="20"/>
                <w:szCs w:val="20"/>
                <w:color w:val="auto"/>
              </w:rPr>
            </w:pPr>
            <w:r>
              <w:rPr>
                <w:rFonts w:ascii="Arial" w:cs="Arial" w:eastAsia="Arial" w:hAnsi="Arial"/>
                <w:sz w:val="12"/>
                <w:szCs w:val="12"/>
                <w:color w:val="auto"/>
              </w:rPr>
              <w:t>52.42</w:t>
            </w:r>
          </w:p>
        </w:tc>
      </w:tr>
      <w:tr>
        <w:trPr>
          <w:trHeight w:val="133"/>
        </w:trPr>
        <w:tc>
          <w:tcPr>
            <w:tcW w:w="1560" w:type="dxa"/>
            <w:vAlign w:val="bottom"/>
          </w:tcPr>
          <w:p>
            <w:pPr>
              <w:spacing w:after="0" w:line="133" w:lineRule="exact"/>
              <w:rPr>
                <w:sz w:val="20"/>
                <w:szCs w:val="20"/>
                <w:color w:val="auto"/>
              </w:rPr>
            </w:pPr>
            <w:r>
              <w:rPr>
                <w:rFonts w:ascii="Arial" w:cs="Arial" w:eastAsia="Arial" w:hAnsi="Arial"/>
                <w:sz w:val="12"/>
                <w:szCs w:val="12"/>
                <w:color w:val="auto"/>
              </w:rPr>
              <w:t>Low</w:t>
            </w:r>
          </w:p>
        </w:tc>
        <w:tc>
          <w:tcPr>
            <w:tcW w:w="420" w:type="dxa"/>
            <w:vAlign w:val="bottom"/>
            <w:shd w:val="clear" w:color="auto" w:fill="E4E3E1"/>
          </w:tcPr>
          <w:p>
            <w:pPr>
              <w:jc w:val="right"/>
              <w:spacing w:after="0" w:line="133" w:lineRule="exact"/>
              <w:rPr>
                <w:sz w:val="20"/>
                <w:szCs w:val="20"/>
                <w:color w:val="auto"/>
              </w:rPr>
            </w:pPr>
            <w:r>
              <w:rPr>
                <w:rFonts w:ascii="Arial" w:cs="Arial" w:eastAsia="Arial" w:hAnsi="Arial"/>
                <w:sz w:val="12"/>
                <w:szCs w:val="12"/>
                <w:color w:val="auto"/>
                <w:shd w:val="clear" w:color="auto" w:fill="E4E3E1"/>
              </w:rPr>
              <w:t>62.20</w:t>
            </w:r>
          </w:p>
        </w:tc>
        <w:tc>
          <w:tcPr>
            <w:tcW w:w="740" w:type="dxa"/>
            <w:vAlign w:val="bottom"/>
          </w:tcPr>
          <w:p>
            <w:pPr>
              <w:jc w:val="right"/>
              <w:ind w:right="78"/>
              <w:spacing w:after="0" w:line="133" w:lineRule="exact"/>
              <w:rPr>
                <w:sz w:val="20"/>
                <w:szCs w:val="20"/>
                <w:color w:val="auto"/>
              </w:rPr>
            </w:pPr>
            <w:r>
              <w:rPr>
                <w:rFonts w:ascii="Arial" w:cs="Arial" w:eastAsia="Arial" w:hAnsi="Arial"/>
                <w:sz w:val="12"/>
                <w:szCs w:val="12"/>
                <w:color w:val="auto"/>
              </w:rPr>
              <w:t>62.75</w:t>
            </w:r>
          </w:p>
        </w:tc>
        <w:tc>
          <w:tcPr>
            <w:tcW w:w="780" w:type="dxa"/>
            <w:vAlign w:val="bottom"/>
          </w:tcPr>
          <w:p>
            <w:pPr>
              <w:jc w:val="right"/>
              <w:ind w:right="78"/>
              <w:spacing w:after="0" w:line="133" w:lineRule="exact"/>
              <w:rPr>
                <w:sz w:val="20"/>
                <w:szCs w:val="20"/>
                <w:color w:val="auto"/>
              </w:rPr>
            </w:pPr>
            <w:r>
              <w:rPr>
                <w:rFonts w:ascii="Arial" w:cs="Arial" w:eastAsia="Arial" w:hAnsi="Arial"/>
                <w:sz w:val="12"/>
                <w:szCs w:val="12"/>
                <w:color w:val="auto"/>
              </w:rPr>
              <w:t>60.69</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57.75</w:t>
            </w:r>
          </w:p>
        </w:tc>
        <w:tc>
          <w:tcPr>
            <w:tcW w:w="7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45.38</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37.45</w:t>
            </w:r>
          </w:p>
        </w:tc>
      </w:tr>
      <w:tr>
        <w:trPr>
          <w:trHeight w:val="146"/>
        </w:trPr>
        <w:tc>
          <w:tcPr>
            <w:tcW w:w="15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Year end</w:t>
            </w:r>
          </w:p>
        </w:tc>
        <w:tc>
          <w:tcPr>
            <w:tcW w:w="420" w:type="dxa"/>
            <w:vAlign w:val="bottom"/>
            <w:tcBorders>
              <w:bottom w:val="single" w:sz="8" w:color="auto"/>
            </w:tcBorders>
            <w:shd w:val="clear" w:color="auto" w:fill="E4E3E1"/>
          </w:tcPr>
          <w:p>
            <w:pPr>
              <w:jc w:val="right"/>
              <w:spacing w:after="0"/>
              <w:rPr>
                <w:sz w:val="20"/>
                <w:szCs w:val="20"/>
                <w:color w:val="auto"/>
              </w:rPr>
            </w:pPr>
            <w:r>
              <w:rPr>
                <w:rFonts w:ascii="Arial" w:cs="Arial" w:eastAsia="Arial" w:hAnsi="Arial"/>
                <w:sz w:val="12"/>
                <w:szCs w:val="12"/>
                <w:color w:val="auto"/>
              </w:rPr>
              <w:t>83.00</w:t>
            </w:r>
          </w:p>
        </w:tc>
        <w:tc>
          <w:tcPr>
            <w:tcW w:w="74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71.15</w:t>
            </w:r>
          </w:p>
        </w:tc>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64.53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64.56</w:t>
            </w:r>
          </w:p>
        </w:tc>
        <w:tc>
          <w:tcPr>
            <w:tcW w:w="7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59.63</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-616585</wp:posOffset>
            </wp:positionV>
            <wp:extent cx="2494915" cy="34671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494915" cy="346710"/>
                    </a:xfrm>
                    <a:prstGeom prst="rect">
                      <a:avLst/>
                    </a:prstGeom>
                    <a:noFill/>
                  </pic:spPr>
                </pic:pic>
              </a:graphicData>
            </a:graphic>
          </wp:anchor>
        </w:drawing>
      </w:r>
    </w:p>
    <w:p>
      <w:pPr>
        <w:spacing w:after="0" w:line="41" w:lineRule="exact"/>
        <w:rPr>
          <w:sz w:val="20"/>
          <w:szCs w:val="20"/>
          <w:color w:val="auto"/>
        </w:rPr>
      </w:pPr>
    </w:p>
    <w:p>
      <w:pPr>
        <w:ind w:left="220" w:right="100" w:hanging="218"/>
        <w:spacing w:after="0" w:line="231" w:lineRule="auto"/>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Pursuant to the terms of the Unification, holders of Royal Dutch ordinary shares received two Royal Dutch Shell plc Class A ordinary shares for each Royal Dutch ordinary share. To assist comparison, the historical prices of the Royal Dutch ordinary shares have been divided by 2 to reflect such exchange ratio.</w:t>
      </w:r>
    </w:p>
    <w:p>
      <w:pPr>
        <w:spacing w:after="0" w:line="1" w:lineRule="exact"/>
        <w:rPr>
          <w:rFonts w:ascii="Arial" w:cs="Arial" w:eastAsia="Arial" w:hAnsi="Arial"/>
          <w:sz w:val="12"/>
          <w:szCs w:val="12"/>
          <w:color w:val="auto"/>
        </w:rPr>
      </w:pPr>
    </w:p>
    <w:p>
      <w:pPr>
        <w:jc w:val="both"/>
        <w:ind w:left="220" w:right="560" w:hanging="218"/>
        <w:spacing w:after="0" w:line="231" w:lineRule="auto"/>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Royal Dutch ordinary shares continued to trade on Euronext Amsterdam following the completion of the Unification until such shares were delisted on September 30, 2005.</w:t>
      </w:r>
    </w:p>
    <w:p>
      <w:pPr>
        <w:ind w:left="220" w:right="60" w:hanging="218"/>
        <w:spacing w:after="0" w:line="231" w:lineRule="auto"/>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Pursuant to the terms of the Unification, holders of Royal Dutch New York Shares received one Royal Dutch Shell plc Class A ADR for each Royal Dutch New York Share. Each Royal Dutch Shell plc Class A ADR represents two Royal Dutch Shell plc Class A ordinary shares.</w:t>
      </w:r>
    </w:p>
    <w:p>
      <w:pPr>
        <w:spacing w:after="0" w:line="1" w:lineRule="exact"/>
        <w:rPr>
          <w:rFonts w:ascii="Arial" w:cs="Arial" w:eastAsia="Arial" w:hAnsi="Arial"/>
          <w:sz w:val="12"/>
          <w:szCs w:val="12"/>
          <w:color w:val="auto"/>
        </w:rPr>
      </w:pPr>
    </w:p>
    <w:p>
      <w:pPr>
        <w:ind w:left="220" w:right="20" w:hanging="218"/>
        <w:spacing w:after="0"/>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The New York Stock Exchange halted trading in the Royal Dutch New York Shares on October 3, 2005, following delisting in Amsterdam, and resumed trading in the Royal Dutch New York Shares on October 31, 2005, following the joint public announcement by Royal Dutch Shell and Royal Dutch of the definitive terms of the legal merger between Royal Dutch and its wholly owned subsidiary Shell Petroleum N.V., in which all outstanding Royal Dutch shares were exchanged for €52.21 (or the equivalent in loan notes). The table excludes trading in Royal Dutch New York Shares for the period from October 3, 2005, through their delisting on November 21, 2005.</w:t>
      </w:r>
    </w:p>
    <w:p>
      <w:pPr>
        <w:spacing w:after="0" w:line="99" w:lineRule="exact"/>
        <w:rPr>
          <w:rFonts w:ascii="Arial" w:cs="Arial" w:eastAsia="Arial" w:hAnsi="Arial"/>
          <w:sz w:val="12"/>
          <w:szCs w:val="12"/>
          <w:color w:val="auto"/>
        </w:rPr>
      </w:pPr>
    </w:p>
    <w:p>
      <w:pPr>
        <w:ind w:left="220" w:right="120" w:hanging="218"/>
        <w:spacing w:after="0" w:line="231" w:lineRule="auto"/>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Pursuant to the terms of the Unification, holders of Shell Transport Ordinary Shares (including Shell Transport Ordinary Shares to which holders of Shell Transport bearer warrants were entitled) received 0.287333066 Royal Dutch Shell plc Class B ordinary shares for each Shell Transport Ordinary Share. To assist comparison, the historical prices of the Shell Transport Ordinary Shares have been divided by 0.287333066 to reflect such exchange ratio.</w:t>
      </w:r>
    </w:p>
    <w:p>
      <w:pPr>
        <w:spacing w:after="0" w:line="1" w:lineRule="exact"/>
        <w:rPr>
          <w:rFonts w:ascii="Arial" w:cs="Arial" w:eastAsia="Arial" w:hAnsi="Arial"/>
          <w:sz w:val="12"/>
          <w:szCs w:val="12"/>
          <w:color w:val="auto"/>
        </w:rPr>
      </w:pPr>
    </w:p>
    <w:p>
      <w:pPr>
        <w:ind w:left="220" w:hanging="218"/>
        <w:spacing w:after="0" w:line="236" w:lineRule="auto"/>
        <w:tabs>
          <w:tab w:leader="none" w:pos="2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Pursuant to the terms of the Unification, holders of Shell Transport ADRs received 0.861999198 Royal Dutch Shell plc Class B ADRs for each Shell Transport ADR. To assist comparison, the historical prices of the Shell Transport ADRs have been divided by 0.861999198 to reflect such exchange ratio. Each Royal Dutch Shell plc Class B ADR represents two Royal Dutch Shell plc Class B ordinary shares.</w:t>
      </w:r>
    </w:p>
    <w:p>
      <w:pPr>
        <w:spacing w:after="0" w:line="539" w:lineRule="exact"/>
        <w:rPr>
          <w:sz w:val="20"/>
          <w:szCs w:val="20"/>
          <w:color w:val="auto"/>
        </w:rPr>
      </w:pPr>
    </w:p>
    <w:p>
      <w:pPr>
        <w:sectPr>
          <w:pgSz w:w="11900" w:h="16838" w:orient="portrait"/>
          <w:cols w:equalWidth="0" w:num="2">
            <w:col w:w="5500" w:space="440"/>
            <w:col w:w="5480"/>
          </w:cols>
          <w:pgMar w:left="240" w:top="415" w:right="2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204 </w:t>
      </w:r>
      <w:r>
        <w:rPr>
          <w:rFonts w:ascii="Arial" w:cs="Arial" w:eastAsia="Arial" w:hAnsi="Arial"/>
          <w:sz w:val="11"/>
          <w:szCs w:val="11"/>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252970" cy="209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type w:val="continuous"/>
        </w:sectPr>
      </w:pPr>
    </w:p>
    <w:bookmarkStart w:id="211" w:name="page212"/>
    <w:bookmarkEnd w:id="211"/>
    <w:p>
      <w:pPr>
        <w:spacing w:after="0"/>
        <w:rPr>
          <w:rFonts w:ascii="Arial" w:cs="Arial" w:eastAsia="Arial" w:hAnsi="Arial"/>
          <w:sz w:val="15"/>
          <w:szCs w:val="15"/>
          <w:b w:val="1"/>
          <w:bCs w:val="1"/>
          <w:u w:val="single" w:color="auto"/>
          <w:color w:val="0000EE"/>
        </w:rPr>
      </w:pP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960"/>
          </w:cols>
          <w:pgMar w:left="240" w:top="415" w:right="69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CAPITAL GAINS TAX</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For the purposes of UK capital gains tax, the market values of the company’s shares were: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660" w:type="dxa"/>
            <w:vAlign w:val="bottom"/>
            <w:shd w:val="clear" w:color="auto" w:fill="711470"/>
          </w:tcPr>
          <w:p>
            <w:pPr>
              <w:ind w:left="20"/>
              <w:spacing w:after="0"/>
              <w:rPr>
                <w:sz w:val="20"/>
                <w:szCs w:val="20"/>
                <w:color w:val="auto"/>
              </w:rPr>
            </w:pPr>
            <w:r>
              <w:rPr>
                <w:rFonts w:ascii="Arial" w:cs="Arial" w:eastAsia="Arial" w:hAnsi="Arial"/>
                <w:sz w:val="12"/>
                <w:szCs w:val="12"/>
                <w:b w:val="1"/>
                <w:bCs w:val="1"/>
                <w:color w:val="FFFFFF"/>
              </w:rPr>
              <w:t>HISTORICAL INFORMATION RELATING TO:</w:t>
            </w:r>
          </w:p>
        </w:tc>
        <w:tc>
          <w:tcPr>
            <w:tcW w:w="1000" w:type="dxa"/>
            <w:vAlign w:val="bottom"/>
            <w:shd w:val="clear" w:color="auto" w:fill="711470"/>
          </w:tcPr>
          <w:p>
            <w:pPr>
              <w:spacing w:after="0"/>
              <w:rPr>
                <w:sz w:val="12"/>
                <w:szCs w:val="12"/>
                <w:color w:val="auto"/>
              </w:rPr>
            </w:pPr>
          </w:p>
        </w:tc>
        <w:tc>
          <w:tcPr>
            <w:tcW w:w="700" w:type="dxa"/>
            <w:vAlign w:val="bottom"/>
            <w:shd w:val="clear" w:color="auto" w:fill="711470"/>
          </w:tcPr>
          <w:p>
            <w:pPr>
              <w:jc w:val="right"/>
              <w:ind w:right="18"/>
              <w:spacing w:after="0"/>
              <w:rPr>
                <w:sz w:val="20"/>
                <w:szCs w:val="20"/>
                <w:color w:val="auto"/>
              </w:rPr>
            </w:pPr>
            <w:r>
              <w:rPr>
                <w:rFonts w:ascii="Arial" w:cs="Arial" w:eastAsia="Arial" w:hAnsi="Arial"/>
                <w:sz w:val="12"/>
                <w:szCs w:val="12"/>
                <w:b w:val="1"/>
                <w:bCs w:val="1"/>
                <w:color w:val="FFFFFF"/>
              </w:rPr>
              <w:t>£</w:t>
            </w:r>
          </w:p>
        </w:tc>
      </w:tr>
      <w:tr>
        <w:trPr>
          <w:trHeight w:val="127"/>
        </w:trPr>
        <w:tc>
          <w:tcPr>
            <w:tcW w:w="3660" w:type="dxa"/>
            <w:vAlign w:val="bottom"/>
            <w:shd w:val="clear" w:color="auto" w:fill="CECAC6"/>
          </w:tcPr>
          <w:p>
            <w:pPr>
              <w:spacing w:after="0"/>
              <w:rPr>
                <w:sz w:val="11"/>
                <w:szCs w:val="11"/>
                <w:color w:val="auto"/>
              </w:rPr>
            </w:pPr>
          </w:p>
        </w:tc>
        <w:tc>
          <w:tcPr>
            <w:tcW w:w="1000" w:type="dxa"/>
            <w:vAlign w:val="bottom"/>
            <w:shd w:val="clear" w:color="auto" w:fill="CECAC6"/>
          </w:tcPr>
          <w:p>
            <w:pPr>
              <w:jc w:val="right"/>
              <w:ind w:right="118"/>
              <w:spacing w:after="0" w:line="128" w:lineRule="exact"/>
              <w:rPr>
                <w:sz w:val="20"/>
                <w:szCs w:val="20"/>
                <w:color w:val="auto"/>
              </w:rPr>
            </w:pPr>
            <w:r>
              <w:rPr>
                <w:rFonts w:ascii="Arial" w:cs="Arial" w:eastAsia="Arial" w:hAnsi="Arial"/>
                <w:sz w:val="12"/>
                <w:szCs w:val="12"/>
                <w:color w:val="auto"/>
              </w:rPr>
              <w:t>March 31,</w:t>
            </w:r>
          </w:p>
        </w:tc>
        <w:tc>
          <w:tcPr>
            <w:tcW w:w="700" w:type="dxa"/>
            <w:vAlign w:val="bottom"/>
            <w:shd w:val="clear" w:color="auto" w:fill="CECAC6"/>
          </w:tcPr>
          <w:p>
            <w:pPr>
              <w:jc w:val="right"/>
              <w:ind w:right="18"/>
              <w:spacing w:after="0" w:line="128" w:lineRule="exact"/>
              <w:rPr>
                <w:sz w:val="20"/>
                <w:szCs w:val="20"/>
                <w:color w:val="auto"/>
              </w:rPr>
            </w:pPr>
            <w:r>
              <w:rPr>
                <w:rFonts w:ascii="Arial" w:cs="Arial" w:eastAsia="Arial" w:hAnsi="Arial"/>
                <w:sz w:val="12"/>
                <w:szCs w:val="12"/>
                <w:color w:val="auto"/>
              </w:rPr>
              <w:t>July 20,</w:t>
            </w:r>
          </w:p>
        </w:tc>
      </w:tr>
      <w:tr>
        <w:trPr>
          <w:trHeight w:val="139"/>
        </w:trPr>
        <w:tc>
          <w:tcPr>
            <w:tcW w:w="3660" w:type="dxa"/>
            <w:vAlign w:val="bottom"/>
            <w:shd w:val="clear" w:color="auto" w:fill="CECAC6"/>
          </w:tcPr>
          <w:p>
            <w:pPr>
              <w:spacing w:after="0"/>
              <w:rPr>
                <w:sz w:val="12"/>
                <w:szCs w:val="12"/>
                <w:color w:val="auto"/>
              </w:rPr>
            </w:pPr>
          </w:p>
        </w:tc>
        <w:tc>
          <w:tcPr>
            <w:tcW w:w="1000" w:type="dxa"/>
            <w:vAlign w:val="bottom"/>
            <w:shd w:val="clear" w:color="auto" w:fill="CECAC6"/>
          </w:tcPr>
          <w:p>
            <w:pPr>
              <w:jc w:val="right"/>
              <w:ind w:right="118"/>
              <w:spacing w:after="0"/>
              <w:rPr>
                <w:sz w:val="20"/>
                <w:szCs w:val="20"/>
                <w:color w:val="auto"/>
              </w:rPr>
            </w:pPr>
            <w:r>
              <w:rPr>
                <w:rFonts w:ascii="Arial" w:cs="Arial" w:eastAsia="Arial" w:hAnsi="Arial"/>
                <w:sz w:val="12"/>
                <w:szCs w:val="12"/>
                <w:color w:val="auto"/>
              </w:rPr>
              <w:t>1982</w:t>
            </w:r>
          </w:p>
        </w:tc>
        <w:tc>
          <w:tcPr>
            <w:tcW w:w="700" w:type="dxa"/>
            <w:vAlign w:val="bottom"/>
            <w:shd w:val="clear" w:color="auto" w:fill="CECAC6"/>
          </w:tcPr>
          <w:p>
            <w:pPr>
              <w:jc w:val="right"/>
              <w:ind w:right="18"/>
              <w:spacing w:after="0"/>
              <w:rPr>
                <w:sz w:val="20"/>
                <w:szCs w:val="20"/>
                <w:color w:val="auto"/>
              </w:rPr>
            </w:pPr>
            <w:r>
              <w:rPr>
                <w:rFonts w:ascii="Arial" w:cs="Arial" w:eastAsia="Arial" w:hAnsi="Arial"/>
                <w:sz w:val="12"/>
                <w:szCs w:val="12"/>
                <w:color w:val="auto"/>
              </w:rPr>
              <w:t>2005</w:t>
            </w:r>
          </w:p>
        </w:tc>
      </w:tr>
      <w:tr>
        <w:trPr>
          <w:trHeight w:val="127"/>
        </w:trPr>
        <w:tc>
          <w:tcPr>
            <w:tcW w:w="3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Royal Dutch Petroleum Company</w:t>
            </w:r>
          </w:p>
        </w:tc>
        <w:tc>
          <w:tcPr>
            <w:tcW w:w="1000" w:type="dxa"/>
            <w:vAlign w:val="bottom"/>
          </w:tcPr>
          <w:p>
            <w:pPr>
              <w:jc w:val="right"/>
              <w:ind w:right="118"/>
              <w:spacing w:after="0" w:line="128" w:lineRule="exact"/>
              <w:rPr>
                <w:sz w:val="20"/>
                <w:szCs w:val="20"/>
                <w:color w:val="auto"/>
              </w:rPr>
            </w:pPr>
            <w:r>
              <w:rPr>
                <w:rFonts w:ascii="Arial" w:cs="Arial" w:eastAsia="Arial" w:hAnsi="Arial"/>
                <w:sz w:val="12"/>
                <w:szCs w:val="12"/>
                <w:color w:val="auto"/>
              </w:rPr>
              <w:t>1.1349</w:t>
            </w:r>
          </w:p>
        </w:tc>
        <w:tc>
          <w:tcPr>
            <w:tcW w:w="700" w:type="dxa"/>
            <w:vAlign w:val="bottom"/>
          </w:tcPr>
          <w:p>
            <w:pPr>
              <w:jc w:val="right"/>
              <w:ind w:right="18"/>
              <w:spacing w:after="0" w:line="128" w:lineRule="exact"/>
              <w:rPr>
                <w:sz w:val="20"/>
                <w:szCs w:val="20"/>
                <w:color w:val="auto"/>
              </w:rPr>
            </w:pPr>
            <w:r>
              <w:rPr>
                <w:rFonts w:ascii="Arial" w:cs="Arial" w:eastAsia="Arial" w:hAnsi="Arial"/>
                <w:sz w:val="12"/>
                <w:szCs w:val="12"/>
                <w:color w:val="auto"/>
              </w:rPr>
              <w:t>17.6625</w:t>
            </w:r>
          </w:p>
        </w:tc>
      </w:tr>
      <w:tr>
        <w:trPr>
          <w:trHeight w:val="133"/>
        </w:trPr>
        <w:tc>
          <w:tcPr>
            <w:tcW w:w="3660" w:type="dxa"/>
            <w:vAlign w:val="bottom"/>
          </w:tcPr>
          <w:p>
            <w:pPr>
              <w:ind w:left="20"/>
              <w:spacing w:after="0" w:line="133" w:lineRule="exact"/>
              <w:rPr>
                <w:sz w:val="20"/>
                <w:szCs w:val="20"/>
                <w:color w:val="auto"/>
              </w:rPr>
            </w:pPr>
            <w:r>
              <w:rPr>
                <w:rFonts w:ascii="Arial" w:cs="Arial" w:eastAsia="Arial" w:hAnsi="Arial"/>
                <w:sz w:val="12"/>
                <w:szCs w:val="12"/>
                <w:color w:val="auto"/>
              </w:rPr>
              <w:t>(N.V. Koninklijke Nederlandsche Petroleum Maatschappij) which</w:t>
            </w:r>
          </w:p>
        </w:tc>
        <w:tc>
          <w:tcPr>
            <w:tcW w:w="100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8"/>
        </w:trPr>
        <w:tc>
          <w:tcPr>
            <w:tcW w:w="3660" w:type="dxa"/>
            <w:vAlign w:val="bottom"/>
          </w:tcPr>
          <w:p>
            <w:pPr>
              <w:ind w:left="20"/>
              <w:spacing w:after="0"/>
              <w:rPr>
                <w:sz w:val="20"/>
                <w:szCs w:val="20"/>
                <w:color w:val="auto"/>
              </w:rPr>
            </w:pPr>
            <w:r>
              <w:rPr>
                <w:rFonts w:ascii="Arial" w:cs="Arial" w:eastAsia="Arial" w:hAnsi="Arial"/>
                <w:sz w:val="12"/>
                <w:szCs w:val="12"/>
                <w:color w:val="auto"/>
              </w:rPr>
              <w:t>ceased to exist on December 21, 2005.</w:t>
            </w:r>
          </w:p>
        </w:tc>
        <w:tc>
          <w:tcPr>
            <w:tcW w:w="100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9"/>
        </w:trPr>
        <w:tc>
          <w:tcPr>
            <w:tcW w:w="1780" w:type="dxa"/>
            <w:vAlign w:val="bottom"/>
            <w:shd w:val="clear" w:color="auto" w:fill="711470"/>
          </w:tcPr>
          <w:p>
            <w:pPr>
              <w:spacing w:after="0"/>
              <w:rPr>
                <w:sz w:val="20"/>
                <w:szCs w:val="20"/>
                <w:color w:val="auto"/>
              </w:rPr>
            </w:pPr>
            <w:r>
              <w:rPr>
                <w:rFonts w:ascii="Arial" w:cs="Arial" w:eastAsia="Arial" w:hAnsi="Arial"/>
                <w:sz w:val="12"/>
                <w:szCs w:val="12"/>
                <w:b w:val="1"/>
                <w:bCs w:val="1"/>
                <w:color w:val="FFFFFF"/>
              </w:rPr>
              <w:t>CLASS A AND B SHARES</w:t>
            </w:r>
          </w:p>
        </w:tc>
        <w:tc>
          <w:tcPr>
            <w:tcW w:w="380" w:type="dxa"/>
            <w:vAlign w:val="bottom"/>
            <w:shd w:val="clear" w:color="auto" w:fill="711470"/>
          </w:tcPr>
          <w:p>
            <w:pPr>
              <w:spacing w:after="0"/>
              <w:rPr>
                <w:sz w:val="12"/>
                <w:szCs w:val="12"/>
                <w:color w:val="auto"/>
              </w:rPr>
            </w:pPr>
          </w:p>
        </w:tc>
        <w:tc>
          <w:tcPr>
            <w:tcW w:w="700" w:type="dxa"/>
            <w:vAlign w:val="bottom"/>
            <w:shd w:val="clear" w:color="auto" w:fill="711470"/>
          </w:tcPr>
          <w:p>
            <w:pPr>
              <w:spacing w:after="0"/>
              <w:rPr>
                <w:sz w:val="12"/>
                <w:szCs w:val="12"/>
                <w:color w:val="auto"/>
              </w:rPr>
            </w:pPr>
          </w:p>
        </w:tc>
        <w:tc>
          <w:tcPr>
            <w:tcW w:w="840" w:type="dxa"/>
            <w:vAlign w:val="bottom"/>
            <w:shd w:val="clear" w:color="auto" w:fill="711470"/>
          </w:tcPr>
          <w:p>
            <w:pPr>
              <w:spacing w:after="0"/>
              <w:rPr>
                <w:sz w:val="12"/>
                <w:szCs w:val="12"/>
                <w:color w:val="auto"/>
              </w:rPr>
            </w:pPr>
          </w:p>
        </w:tc>
        <w:tc>
          <w:tcPr>
            <w:tcW w:w="380" w:type="dxa"/>
            <w:vAlign w:val="bottom"/>
            <w:shd w:val="clear" w:color="auto" w:fill="711470"/>
          </w:tcPr>
          <w:p>
            <w:pPr>
              <w:spacing w:after="0"/>
              <w:rPr>
                <w:sz w:val="12"/>
                <w:szCs w:val="12"/>
                <w:color w:val="auto"/>
              </w:rPr>
            </w:pPr>
          </w:p>
        </w:tc>
        <w:tc>
          <w:tcPr>
            <w:tcW w:w="700" w:type="dxa"/>
            <w:vAlign w:val="bottom"/>
            <w:shd w:val="clear" w:color="auto" w:fill="711470"/>
          </w:tcPr>
          <w:p>
            <w:pPr>
              <w:spacing w:after="0"/>
              <w:rPr>
                <w:sz w:val="12"/>
                <w:szCs w:val="12"/>
                <w:color w:val="auto"/>
              </w:rPr>
            </w:pPr>
          </w:p>
        </w:tc>
        <w:tc>
          <w:tcPr>
            <w:tcW w:w="580" w:type="dxa"/>
            <w:vAlign w:val="bottom"/>
            <w:shd w:val="clear" w:color="auto" w:fill="711470"/>
          </w:tcPr>
          <w:p>
            <w:pPr>
              <w:jc w:val="right"/>
              <w:spacing w:after="0"/>
              <w:rPr>
                <w:sz w:val="20"/>
                <w:szCs w:val="20"/>
                <w:color w:val="auto"/>
              </w:rPr>
            </w:pPr>
            <w:r>
              <w:rPr>
                <w:rFonts w:ascii="Arial" w:cs="Arial" w:eastAsia="Arial" w:hAnsi="Arial"/>
                <w:sz w:val="12"/>
                <w:szCs w:val="12"/>
                <w:b w:val="1"/>
                <w:bCs w:val="1"/>
                <w:color w:val="FFFFFF"/>
              </w:rPr>
              <w:t>$</w:t>
            </w:r>
          </w:p>
        </w:tc>
      </w:tr>
      <w:tr>
        <w:trPr>
          <w:trHeight w:val="133"/>
        </w:trPr>
        <w:tc>
          <w:tcPr>
            <w:tcW w:w="1780" w:type="dxa"/>
            <w:vAlign w:val="bottom"/>
            <w:shd w:val="clear" w:color="auto" w:fill="CECAC6"/>
          </w:tcPr>
          <w:p>
            <w:pPr>
              <w:spacing w:after="0"/>
              <w:rPr>
                <w:sz w:val="11"/>
                <w:szCs w:val="11"/>
                <w:color w:val="auto"/>
              </w:rPr>
            </w:pPr>
          </w:p>
        </w:tc>
        <w:tc>
          <w:tcPr>
            <w:tcW w:w="38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840" w:type="dxa"/>
            <w:vAlign w:val="bottom"/>
            <w:shd w:val="clear" w:color="auto" w:fill="CECAC6"/>
          </w:tcPr>
          <w:p>
            <w:pPr>
              <w:jc w:val="right"/>
              <w:ind w:right="258"/>
              <w:spacing w:after="0" w:line="133" w:lineRule="exact"/>
              <w:rPr>
                <w:sz w:val="20"/>
                <w:szCs w:val="20"/>
                <w:color w:val="auto"/>
              </w:rPr>
            </w:pPr>
            <w:r>
              <w:rPr>
                <w:rFonts w:ascii="Arial" w:cs="Arial" w:eastAsia="Arial" w:hAnsi="Arial"/>
                <w:sz w:val="12"/>
                <w:szCs w:val="12"/>
                <w:color w:val="auto"/>
              </w:rPr>
              <w:t>Class A</w:t>
            </w:r>
          </w:p>
        </w:tc>
        <w:tc>
          <w:tcPr>
            <w:tcW w:w="380" w:type="dxa"/>
            <w:vAlign w:val="bottom"/>
            <w:shd w:val="clear" w:color="auto" w:fill="CECAC6"/>
          </w:tcPr>
          <w:p>
            <w:pPr>
              <w:spacing w:after="0"/>
              <w:rPr>
                <w:sz w:val="11"/>
                <w:szCs w:val="11"/>
                <w:color w:val="auto"/>
              </w:rPr>
            </w:pPr>
          </w:p>
        </w:tc>
        <w:tc>
          <w:tcPr>
            <w:tcW w:w="700" w:type="dxa"/>
            <w:vAlign w:val="bottom"/>
            <w:shd w:val="clear" w:color="auto" w:fill="CECAC6"/>
          </w:tcPr>
          <w:p>
            <w:pPr>
              <w:spacing w:after="0"/>
              <w:rPr>
                <w:sz w:val="11"/>
                <w:szCs w:val="11"/>
                <w:color w:val="auto"/>
              </w:rPr>
            </w:pPr>
          </w:p>
        </w:tc>
        <w:tc>
          <w:tcPr>
            <w:tcW w:w="580" w:type="dxa"/>
            <w:vAlign w:val="bottom"/>
            <w:shd w:val="clear" w:color="auto" w:fill="CECAC6"/>
          </w:tcPr>
          <w:p>
            <w:pPr>
              <w:jc w:val="right"/>
              <w:spacing w:after="0" w:line="133" w:lineRule="exact"/>
              <w:rPr>
                <w:sz w:val="20"/>
                <w:szCs w:val="20"/>
                <w:color w:val="auto"/>
              </w:rPr>
            </w:pPr>
            <w:r>
              <w:rPr>
                <w:rFonts w:ascii="Arial" w:cs="Arial" w:eastAsia="Arial" w:hAnsi="Arial"/>
                <w:sz w:val="12"/>
                <w:szCs w:val="12"/>
                <w:color w:val="auto"/>
              </w:rPr>
              <w:t>Class B</w:t>
            </w:r>
          </w:p>
        </w:tc>
      </w:tr>
      <w:tr>
        <w:trPr>
          <w:trHeight w:val="160"/>
        </w:trPr>
        <w:tc>
          <w:tcPr>
            <w:tcW w:w="1780" w:type="dxa"/>
            <w:vAlign w:val="bottom"/>
            <w:shd w:val="clear" w:color="auto" w:fill="CECAC6"/>
          </w:tcPr>
          <w:p>
            <w:pPr>
              <w:spacing w:after="0"/>
              <w:rPr>
                <w:sz w:val="13"/>
                <w:szCs w:val="13"/>
                <w:color w:val="auto"/>
              </w:rPr>
            </w:pPr>
          </w:p>
        </w:tc>
        <w:tc>
          <w:tcPr>
            <w:tcW w:w="380" w:type="dxa"/>
            <w:vAlign w:val="bottom"/>
            <w:shd w:val="clear" w:color="auto" w:fill="CECAC6"/>
          </w:tcPr>
          <w:p>
            <w:pPr>
              <w:ind w:left="60"/>
              <w:spacing w:after="0"/>
              <w:rPr>
                <w:sz w:val="20"/>
                <w:szCs w:val="20"/>
                <w:color w:val="auto"/>
              </w:rPr>
            </w:pPr>
            <w:r>
              <w:rPr>
                <w:rFonts w:ascii="Arial" w:cs="Arial" w:eastAsia="Arial" w:hAnsi="Arial"/>
                <w:sz w:val="12"/>
                <w:szCs w:val="12"/>
                <w:color w:val="auto"/>
              </w:rPr>
              <w:t>2007</w:t>
            </w:r>
          </w:p>
        </w:tc>
        <w:tc>
          <w:tcPr>
            <w:tcW w:w="7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2006</w:t>
            </w:r>
          </w:p>
        </w:tc>
        <w:tc>
          <w:tcPr>
            <w:tcW w:w="840" w:type="dxa"/>
            <w:vAlign w:val="bottom"/>
            <w:shd w:val="clear" w:color="auto" w:fill="CECAC6"/>
          </w:tcPr>
          <w:p>
            <w:pPr>
              <w:jc w:val="right"/>
              <w:ind w:right="258"/>
              <w:spacing w:after="0"/>
              <w:rPr>
                <w:sz w:val="20"/>
                <w:szCs w:val="20"/>
                <w:color w:val="auto"/>
              </w:rPr>
            </w:pPr>
            <w:r>
              <w:rPr>
                <w:rFonts w:ascii="Arial" w:cs="Arial" w:eastAsia="Arial" w:hAnsi="Arial"/>
                <w:sz w:val="12"/>
                <w:szCs w:val="12"/>
                <w:color w:val="auto"/>
              </w:rPr>
              <w:t>2005</w:t>
            </w:r>
          </w:p>
        </w:tc>
        <w:tc>
          <w:tcPr>
            <w:tcW w:w="380" w:type="dxa"/>
            <w:vAlign w:val="bottom"/>
            <w:shd w:val="clear" w:color="auto" w:fill="CECAC6"/>
          </w:tcPr>
          <w:p>
            <w:pPr>
              <w:ind w:left="60"/>
              <w:spacing w:after="0"/>
              <w:rPr>
                <w:sz w:val="20"/>
                <w:szCs w:val="20"/>
                <w:color w:val="auto"/>
              </w:rPr>
            </w:pPr>
            <w:r>
              <w:rPr>
                <w:rFonts w:ascii="Arial" w:cs="Arial" w:eastAsia="Arial" w:hAnsi="Arial"/>
                <w:sz w:val="12"/>
                <w:szCs w:val="12"/>
                <w:color w:val="auto"/>
              </w:rPr>
              <w:t>2007</w:t>
            </w:r>
          </w:p>
        </w:tc>
        <w:tc>
          <w:tcPr>
            <w:tcW w:w="700" w:type="dxa"/>
            <w:vAlign w:val="bottom"/>
            <w:shd w:val="clear" w:color="auto" w:fill="CECAC6"/>
          </w:tcPr>
          <w:p>
            <w:pPr>
              <w:jc w:val="right"/>
              <w:ind w:right="58"/>
              <w:spacing w:after="0"/>
              <w:rPr>
                <w:sz w:val="20"/>
                <w:szCs w:val="20"/>
                <w:color w:val="auto"/>
              </w:rPr>
            </w:pPr>
            <w:r>
              <w:rPr>
                <w:rFonts w:ascii="Arial" w:cs="Arial" w:eastAsia="Arial" w:hAnsi="Arial"/>
                <w:sz w:val="12"/>
                <w:szCs w:val="12"/>
                <w:color w:val="auto"/>
              </w:rPr>
              <w:t>2006</w:t>
            </w:r>
          </w:p>
        </w:tc>
        <w:tc>
          <w:tcPr>
            <w:tcW w:w="580" w:type="dxa"/>
            <w:vAlign w:val="bottom"/>
            <w:shd w:val="clear" w:color="auto" w:fill="CECAC6"/>
          </w:tcPr>
          <w:p>
            <w:pPr>
              <w:jc w:val="right"/>
              <w:spacing w:after="0"/>
              <w:rPr>
                <w:sz w:val="20"/>
                <w:szCs w:val="20"/>
                <w:color w:val="auto"/>
              </w:rPr>
            </w:pPr>
            <w:r>
              <w:rPr>
                <w:rFonts w:ascii="Arial" w:cs="Arial" w:eastAsia="Arial" w:hAnsi="Arial"/>
                <w:sz w:val="12"/>
                <w:szCs w:val="12"/>
                <w:color w:val="auto"/>
              </w:rPr>
              <w:t>2005</w:t>
            </w:r>
          </w:p>
        </w:tc>
      </w:tr>
      <w:tr>
        <w:trPr>
          <w:trHeight w:val="127"/>
        </w:trPr>
        <w:tc>
          <w:tcPr>
            <w:tcW w:w="1780" w:type="dxa"/>
            <w:vAlign w:val="bottom"/>
          </w:tcPr>
          <w:p>
            <w:pPr>
              <w:spacing w:after="0" w:line="128" w:lineRule="exact"/>
              <w:rPr>
                <w:sz w:val="20"/>
                <w:szCs w:val="20"/>
                <w:color w:val="auto"/>
              </w:rPr>
            </w:pPr>
            <w:r>
              <w:rPr>
                <w:rFonts w:ascii="Arial" w:cs="Arial" w:eastAsia="Arial" w:hAnsi="Arial"/>
                <w:sz w:val="12"/>
                <w:szCs w:val="12"/>
                <w:color w:val="auto"/>
              </w:rPr>
              <w:t>Q1</w:t>
            </w:r>
          </w:p>
        </w:tc>
        <w:tc>
          <w:tcPr>
            <w:tcW w:w="380" w:type="dxa"/>
            <w:vAlign w:val="bottom"/>
            <w:shd w:val="clear" w:color="auto" w:fill="E4E3E1"/>
          </w:tcPr>
          <w:p>
            <w:pPr>
              <w:ind w:left="80"/>
              <w:spacing w:after="0" w:line="128"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28" w:lineRule="exact"/>
              <w:rPr>
                <w:sz w:val="20"/>
                <w:szCs w:val="20"/>
                <w:color w:val="auto"/>
              </w:rPr>
            </w:pPr>
            <w:r>
              <w:rPr>
                <w:rFonts w:ascii="Arial" w:cs="Arial" w:eastAsia="Arial" w:hAnsi="Arial"/>
                <w:sz w:val="12"/>
                <w:szCs w:val="12"/>
                <w:color w:val="auto"/>
              </w:rPr>
              <w:t>–</w:t>
            </w:r>
          </w:p>
        </w:tc>
        <w:tc>
          <w:tcPr>
            <w:tcW w:w="380" w:type="dxa"/>
            <w:vAlign w:val="bottom"/>
            <w:shd w:val="clear" w:color="auto" w:fill="E4E3E1"/>
          </w:tcPr>
          <w:p>
            <w:pPr>
              <w:ind w:left="80"/>
              <w:spacing w:after="0" w:line="128"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28"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2"/>
                <w:szCs w:val="12"/>
                <w:color w:val="auto"/>
              </w:rPr>
              <w:t>Q2</w:t>
            </w:r>
          </w:p>
        </w:tc>
        <w:tc>
          <w:tcPr>
            <w:tcW w:w="380" w:type="dxa"/>
            <w:vAlign w:val="bottom"/>
            <w:shd w:val="clear" w:color="auto" w:fill="E4E3E1"/>
          </w:tcPr>
          <w:p>
            <w:pPr>
              <w:ind w:left="80"/>
              <w:spacing w:after="0" w:line="133"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380" w:type="dxa"/>
            <w:vAlign w:val="bottom"/>
            <w:shd w:val="clear" w:color="auto" w:fill="E4E3E1"/>
          </w:tcPr>
          <w:p>
            <w:pPr>
              <w:ind w:left="80"/>
              <w:spacing w:after="0" w:line="133"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3"/>
        </w:trPr>
        <w:tc>
          <w:tcPr>
            <w:tcW w:w="1780" w:type="dxa"/>
            <w:vAlign w:val="bottom"/>
          </w:tcPr>
          <w:p>
            <w:pPr>
              <w:spacing w:after="0" w:line="133" w:lineRule="exact"/>
              <w:rPr>
                <w:sz w:val="20"/>
                <w:szCs w:val="20"/>
                <w:color w:val="auto"/>
              </w:rPr>
            </w:pPr>
            <w:r>
              <w:rPr>
                <w:rFonts w:ascii="Arial" w:cs="Arial" w:eastAsia="Arial" w:hAnsi="Arial"/>
                <w:sz w:val="12"/>
                <w:szCs w:val="12"/>
                <w:color w:val="auto"/>
              </w:rPr>
              <w:t>Q3</w:t>
            </w:r>
          </w:p>
        </w:tc>
        <w:tc>
          <w:tcPr>
            <w:tcW w:w="380" w:type="dxa"/>
            <w:vAlign w:val="bottom"/>
            <w:shd w:val="clear" w:color="auto" w:fill="E4E3E1"/>
          </w:tcPr>
          <w:p>
            <w:pPr>
              <w:ind w:left="80"/>
              <w:spacing w:after="0" w:line="133"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840" w:type="dxa"/>
            <w:vAlign w:val="bottom"/>
          </w:tcPr>
          <w:p>
            <w:pPr>
              <w:jc w:val="right"/>
              <w:ind w:right="258"/>
              <w:spacing w:after="0" w:line="133" w:lineRule="exact"/>
              <w:rPr>
                <w:sz w:val="20"/>
                <w:szCs w:val="20"/>
                <w:color w:val="auto"/>
              </w:rPr>
            </w:pPr>
            <w:r>
              <w:rPr>
                <w:rFonts w:ascii="Arial" w:cs="Arial" w:eastAsia="Arial" w:hAnsi="Arial"/>
                <w:sz w:val="12"/>
                <w:szCs w:val="12"/>
                <w:color w:val="auto"/>
              </w:rPr>
              <w:t>–</w:t>
            </w:r>
          </w:p>
        </w:tc>
        <w:tc>
          <w:tcPr>
            <w:tcW w:w="380" w:type="dxa"/>
            <w:vAlign w:val="bottom"/>
            <w:shd w:val="clear" w:color="auto" w:fill="E4E3E1"/>
          </w:tcPr>
          <w:p>
            <w:pPr>
              <w:ind w:left="80"/>
              <w:spacing w:after="0" w:line="133" w:lineRule="exact"/>
              <w:rPr>
                <w:sz w:val="20"/>
                <w:szCs w:val="20"/>
                <w:color w:val="auto"/>
              </w:rPr>
            </w:pPr>
            <w:r>
              <w:rPr>
                <w:rFonts w:ascii="Arial" w:cs="Arial" w:eastAsia="Arial" w:hAnsi="Arial"/>
                <w:sz w:val="12"/>
                <w:szCs w:val="12"/>
                <w:color w:val="auto"/>
              </w:rPr>
              <w:t>0.36</w:t>
            </w:r>
          </w:p>
        </w:tc>
        <w:tc>
          <w:tcPr>
            <w:tcW w:w="700" w:type="dxa"/>
            <w:vAlign w:val="bottom"/>
          </w:tcPr>
          <w:p>
            <w:pPr>
              <w:jc w:val="right"/>
              <w:ind w:right="58"/>
              <w:spacing w:after="0" w:line="133"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39"/>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Q4</w:t>
            </w:r>
          </w:p>
        </w:tc>
        <w:tc>
          <w:tcPr>
            <w:tcW w:w="380" w:type="dxa"/>
            <w:vAlign w:val="bottom"/>
            <w:tcBorders>
              <w:bottom w:val="single" w:sz="8" w:color="auto"/>
            </w:tcBorders>
            <w:shd w:val="clear" w:color="auto" w:fill="E4E3E1"/>
          </w:tcPr>
          <w:p>
            <w:pPr>
              <w:ind w:left="80"/>
              <w:spacing w:after="0"/>
              <w:rPr>
                <w:sz w:val="20"/>
                <w:szCs w:val="20"/>
                <w:color w:val="auto"/>
              </w:rPr>
            </w:pPr>
            <w:r>
              <w:rPr>
                <w:rFonts w:ascii="Arial" w:cs="Arial" w:eastAsia="Arial" w:hAnsi="Arial"/>
                <w:sz w:val="12"/>
                <w:szCs w:val="12"/>
                <w:color w:val="auto"/>
              </w:rPr>
              <w:t>0.36</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E4E3E1"/>
          </w:tcPr>
          <w:p>
            <w:pPr>
              <w:ind w:left="80"/>
              <w:spacing w:after="0"/>
              <w:rPr>
                <w:sz w:val="20"/>
                <w:szCs w:val="20"/>
                <w:color w:val="auto"/>
              </w:rPr>
            </w:pPr>
            <w:r>
              <w:rPr>
                <w:rFonts w:ascii="Arial" w:cs="Arial" w:eastAsia="Arial" w:hAnsi="Arial"/>
                <w:sz w:val="12"/>
                <w:szCs w:val="12"/>
                <w:color w:val="auto"/>
              </w:rPr>
              <w:t>0.36</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46"/>
        </w:trPr>
        <w:tc>
          <w:tcPr>
            <w:tcW w:w="17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w:t>
            </w:r>
          </w:p>
        </w:tc>
        <w:tc>
          <w:tcPr>
            <w:tcW w:w="380" w:type="dxa"/>
            <w:vAlign w:val="bottom"/>
            <w:tcBorders>
              <w:bottom w:val="single" w:sz="8" w:color="auto"/>
            </w:tcBorders>
            <w:shd w:val="clear" w:color="auto" w:fill="E4E3E1"/>
          </w:tcPr>
          <w:p>
            <w:pPr>
              <w:ind w:left="80"/>
              <w:spacing w:after="0"/>
              <w:rPr>
                <w:sz w:val="20"/>
                <w:szCs w:val="20"/>
                <w:color w:val="auto"/>
              </w:rPr>
            </w:pPr>
            <w:r>
              <w:rPr>
                <w:rFonts w:ascii="Arial" w:cs="Arial" w:eastAsia="Arial" w:hAnsi="Arial"/>
                <w:sz w:val="12"/>
                <w:szCs w:val="12"/>
                <w:color w:val="auto"/>
              </w:rPr>
              <w:t>1.44</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rPr>
              <w:t>–</w:t>
            </w:r>
          </w:p>
        </w:tc>
        <w:tc>
          <w:tcPr>
            <w:tcW w:w="380" w:type="dxa"/>
            <w:vAlign w:val="bottom"/>
            <w:tcBorders>
              <w:bottom w:val="single" w:sz="8" w:color="auto"/>
            </w:tcBorders>
            <w:shd w:val="clear" w:color="auto" w:fill="E4E3E1"/>
          </w:tcPr>
          <w:p>
            <w:pPr>
              <w:ind w:left="80"/>
              <w:spacing w:after="0"/>
              <w:rPr>
                <w:sz w:val="20"/>
                <w:szCs w:val="20"/>
                <w:color w:val="auto"/>
              </w:rPr>
            </w:pPr>
            <w:r>
              <w:rPr>
                <w:rFonts w:ascii="Arial" w:cs="Arial" w:eastAsia="Arial" w:hAnsi="Arial"/>
                <w:sz w:val="12"/>
                <w:szCs w:val="12"/>
                <w:color w:val="auto"/>
              </w:rPr>
              <w:t>1.44</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-709930</wp:posOffset>
            </wp:positionV>
            <wp:extent cx="282575" cy="63436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282575" cy="6343650"/>
                    </a:xfrm>
                    <a:prstGeom prst="rect">
                      <a:avLst/>
                    </a:prstGeom>
                    <a:noFill/>
                  </pic:spPr>
                </pic:pic>
              </a:graphicData>
            </a:graphic>
          </wp:anchor>
        </w:drawing>
      </w:r>
    </w:p>
    <w:p>
      <w:pPr>
        <w:spacing w:after="0" w:line="295" w:lineRule="exact"/>
        <w:rPr>
          <w:sz w:val="20"/>
          <w:szCs w:val="20"/>
          <w:color w:val="auto"/>
        </w:rPr>
      </w:pPr>
    </w:p>
    <w:p>
      <w:pPr>
        <w:sectPr>
          <w:pgSz w:w="11900" w:h="16838" w:orient="portrait"/>
          <w:cols w:equalWidth="0" w:num="2">
            <w:col w:w="5360" w:space="240"/>
            <w:col w:w="5360"/>
          </w:cols>
          <w:pgMar w:left="240" w:top="415" w:right="699" w:bottom="144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3860" w:type="dxa"/>
            <w:vAlign w:val="bottom"/>
            <w:vMerge w:val="restart"/>
          </w:tcPr>
          <w:p>
            <w:pPr>
              <w:ind w:left="20"/>
              <w:spacing w:after="0"/>
              <w:rPr>
                <w:sz w:val="20"/>
                <w:szCs w:val="20"/>
                <w:color w:val="auto"/>
              </w:rPr>
            </w:pPr>
            <w:r>
              <w:rPr>
                <w:rFonts w:ascii="Arial" w:cs="Arial" w:eastAsia="Arial" w:hAnsi="Arial"/>
                <w:sz w:val="12"/>
                <w:szCs w:val="12"/>
                <w:color w:val="auto"/>
              </w:rPr>
              <w:t>Share prices have been restated where necessary to reflect all</w:t>
            </w: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8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Borders>
              <w:bottom w:val="single" w:sz="8" w:color="711470"/>
              <w:right w:val="single" w:sz="8" w:color="711470"/>
            </w:tcBorders>
            <w:shd w:val="clear" w:color="auto" w:fill="711470"/>
          </w:tcPr>
          <w:p>
            <w:pPr>
              <w:spacing w:after="0" w:line="113" w:lineRule="exact"/>
              <w:rPr>
                <w:sz w:val="20"/>
                <w:szCs w:val="20"/>
                <w:color w:val="auto"/>
              </w:rPr>
            </w:pPr>
            <w:r>
              <w:rPr>
                <w:rFonts w:ascii="Arial" w:cs="Arial" w:eastAsia="Arial" w:hAnsi="Arial"/>
                <w:sz w:val="12"/>
                <w:szCs w:val="12"/>
                <w:b w:val="1"/>
                <w:bCs w:val="1"/>
                <w:color w:val="FFFFFF"/>
              </w:rPr>
              <w:t>CLASS A SHARES</w:t>
            </w:r>
          </w:p>
        </w:tc>
        <w:tc>
          <w:tcPr>
            <w:tcW w:w="20" w:type="dxa"/>
            <w:vAlign w:val="bottom"/>
            <w:tcBorders>
              <w:bottom w:val="single" w:sz="8" w:color="711470"/>
            </w:tcBorders>
            <w:shd w:val="clear" w:color="auto" w:fill="711470"/>
          </w:tcPr>
          <w:p>
            <w:pPr>
              <w:spacing w:after="0"/>
              <w:rPr>
                <w:sz w:val="9"/>
                <w:szCs w:val="9"/>
                <w:color w:val="auto"/>
              </w:rPr>
            </w:pPr>
          </w:p>
        </w:tc>
        <w:tc>
          <w:tcPr>
            <w:tcW w:w="300" w:type="dxa"/>
            <w:vAlign w:val="bottom"/>
            <w:tcBorders>
              <w:bottom w:val="single" w:sz="8" w:color="711470"/>
              <w:right w:val="single" w:sz="8" w:color="711470"/>
            </w:tcBorders>
            <w:shd w:val="clear" w:color="auto" w:fill="711470"/>
          </w:tcPr>
          <w:p>
            <w:pPr>
              <w:spacing w:after="0"/>
              <w:rPr>
                <w:sz w:val="9"/>
                <w:szCs w:val="9"/>
                <w:color w:val="auto"/>
              </w:rPr>
            </w:pPr>
          </w:p>
        </w:tc>
        <w:tc>
          <w:tcPr>
            <w:tcW w:w="80" w:type="dxa"/>
            <w:vAlign w:val="bottom"/>
            <w:tcBorders>
              <w:bottom w:val="single" w:sz="8" w:color="711470"/>
              <w:right w:val="single" w:sz="8" w:color="711470"/>
            </w:tcBorders>
            <w:shd w:val="clear" w:color="auto" w:fill="711470"/>
          </w:tcPr>
          <w:p>
            <w:pPr>
              <w:spacing w:after="0"/>
              <w:rPr>
                <w:sz w:val="9"/>
                <w:szCs w:val="9"/>
                <w:color w:val="auto"/>
              </w:rPr>
            </w:pPr>
          </w:p>
        </w:tc>
        <w:tc>
          <w:tcPr>
            <w:tcW w:w="720" w:type="dxa"/>
            <w:vAlign w:val="bottom"/>
            <w:tcBorders>
              <w:bottom w:val="single" w:sz="8" w:color="711470"/>
            </w:tcBorders>
            <w:shd w:val="clear" w:color="auto" w:fill="711470"/>
          </w:tcPr>
          <w:p>
            <w:pPr>
              <w:spacing w:after="0"/>
              <w:rPr>
                <w:sz w:val="9"/>
                <w:szCs w:val="9"/>
                <w:color w:val="auto"/>
              </w:rPr>
            </w:pPr>
          </w:p>
        </w:tc>
        <w:tc>
          <w:tcPr>
            <w:tcW w:w="660" w:type="dxa"/>
            <w:vAlign w:val="bottom"/>
            <w:tcBorders>
              <w:bottom w:val="single" w:sz="8" w:color="711470"/>
            </w:tcBorders>
            <w:shd w:val="clear" w:color="auto" w:fill="711470"/>
          </w:tcPr>
          <w:p>
            <w:pPr>
              <w:jc w:val="right"/>
              <w:ind w:right="98"/>
              <w:spacing w:after="0" w:line="113" w:lineRule="exact"/>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13"/>
        </w:trPr>
        <w:tc>
          <w:tcPr>
            <w:tcW w:w="3860" w:type="dxa"/>
            <w:vAlign w:val="bottom"/>
          </w:tcPr>
          <w:p>
            <w:pPr>
              <w:ind w:left="20"/>
              <w:spacing w:after="0" w:line="74" w:lineRule="exact"/>
              <w:rPr>
                <w:sz w:val="20"/>
                <w:szCs w:val="20"/>
                <w:color w:val="auto"/>
              </w:rPr>
            </w:pPr>
            <w:r>
              <w:rPr>
                <w:rFonts w:ascii="Arial" w:cs="Arial" w:eastAsia="Arial" w:hAnsi="Arial"/>
                <w:sz w:val="8"/>
                <w:szCs w:val="8"/>
                <w:color w:val="auto"/>
              </w:rPr>
              <w:t>capitalisation issues since the relevant date. This includes the</w:t>
            </w: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Borders>
              <w:bottom w:val="single" w:sz="8" w:color="CECAC6"/>
              <w:right w:val="single" w:sz="8" w:color="CECAC6"/>
            </w:tcBorders>
            <w:shd w:val="clear" w:color="auto" w:fill="CECAC6"/>
          </w:tcPr>
          <w:p>
            <w:pPr>
              <w:spacing w:after="0"/>
              <w:rPr>
                <w:sz w:val="9"/>
                <w:szCs w:val="9"/>
                <w:color w:val="auto"/>
              </w:rPr>
            </w:pPr>
          </w:p>
        </w:tc>
        <w:tc>
          <w:tcPr>
            <w:tcW w:w="400" w:type="dxa"/>
            <w:vAlign w:val="bottom"/>
            <w:tcBorders>
              <w:bottom w:val="single" w:sz="8" w:color="CECAC6"/>
              <w:right w:val="single" w:sz="8" w:color="CECAC6"/>
            </w:tcBorders>
            <w:gridSpan w:val="3"/>
            <w:shd w:val="clear" w:color="auto" w:fill="CECAC6"/>
          </w:tcPr>
          <w:p>
            <w:pPr>
              <w:jc w:val="right"/>
              <w:ind w:right="60"/>
              <w:spacing w:after="0" w:line="113" w:lineRule="exact"/>
              <w:rPr>
                <w:sz w:val="20"/>
                <w:szCs w:val="20"/>
                <w:color w:val="auto"/>
              </w:rPr>
            </w:pPr>
            <w:r>
              <w:rPr>
                <w:rFonts w:ascii="Arial" w:cs="Arial" w:eastAsia="Arial" w:hAnsi="Arial"/>
                <w:sz w:val="12"/>
                <w:szCs w:val="12"/>
                <w:color w:val="auto"/>
                <w:w w:val="82"/>
              </w:rPr>
              <w:t>2007</w:t>
            </w:r>
            <w:r>
              <w:rPr>
                <w:rFonts w:ascii="Arial" w:cs="Arial" w:eastAsia="Arial" w:hAnsi="Arial"/>
                <w:sz w:val="10"/>
                <w:szCs w:val="10"/>
                <w:color w:val="auto"/>
                <w:w w:val="82"/>
              </w:rPr>
              <w:t>[A]</w:t>
            </w:r>
          </w:p>
        </w:tc>
        <w:tc>
          <w:tcPr>
            <w:tcW w:w="720" w:type="dxa"/>
            <w:vAlign w:val="bottom"/>
            <w:tcBorders>
              <w:bottom w:val="single" w:sz="8" w:color="CECAC6"/>
            </w:tcBorders>
            <w:shd w:val="clear" w:color="auto" w:fill="CECAC6"/>
          </w:tcPr>
          <w:p>
            <w:pPr>
              <w:jc w:val="right"/>
              <w:ind w:right="78"/>
              <w:spacing w:after="0" w:line="113" w:lineRule="exact"/>
              <w:rPr>
                <w:sz w:val="20"/>
                <w:szCs w:val="20"/>
                <w:color w:val="auto"/>
              </w:rPr>
            </w:pPr>
            <w:r>
              <w:rPr>
                <w:rFonts w:ascii="Arial" w:cs="Arial" w:eastAsia="Arial" w:hAnsi="Arial"/>
                <w:sz w:val="12"/>
                <w:szCs w:val="12"/>
                <w:color w:val="auto"/>
              </w:rPr>
              <w:t>2006</w:t>
            </w:r>
          </w:p>
        </w:tc>
        <w:tc>
          <w:tcPr>
            <w:tcW w:w="660" w:type="dxa"/>
            <w:vAlign w:val="bottom"/>
            <w:tcBorders>
              <w:bottom w:val="single" w:sz="8" w:color="CECAC6"/>
            </w:tcBorders>
            <w:shd w:val="clear" w:color="auto" w:fill="CECAC6"/>
          </w:tcPr>
          <w:p>
            <w:pPr>
              <w:jc w:val="right"/>
              <w:ind w:right="98"/>
              <w:spacing w:after="0" w:line="113"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74"/>
        </w:trPr>
        <w:tc>
          <w:tcPr>
            <w:tcW w:w="3860" w:type="dxa"/>
            <w:vAlign w:val="bottom"/>
          </w:tcPr>
          <w:p>
            <w:pPr>
              <w:ind w:left="20"/>
              <w:spacing w:after="0" w:line="74" w:lineRule="exact"/>
              <w:rPr>
                <w:sz w:val="20"/>
                <w:szCs w:val="20"/>
                <w:color w:val="auto"/>
              </w:rPr>
            </w:pPr>
            <w:r>
              <w:rPr>
                <w:rFonts w:ascii="Arial" w:cs="Arial" w:eastAsia="Arial" w:hAnsi="Arial"/>
                <w:sz w:val="8"/>
                <w:szCs w:val="8"/>
                <w:color w:val="auto"/>
              </w:rPr>
              <w:t>change in the capital structure following the Unification of Royal</w:t>
            </w: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right w:val="single" w:sz="8" w:color="E4E3E1"/>
            </w:tcBorders>
            <w:vMerge w:val="restart"/>
          </w:tcPr>
          <w:p>
            <w:pPr>
              <w:spacing w:after="0" w:line="128" w:lineRule="exact"/>
              <w:rPr>
                <w:sz w:val="20"/>
                <w:szCs w:val="20"/>
                <w:color w:val="auto"/>
              </w:rPr>
            </w:pPr>
            <w:r>
              <w:rPr>
                <w:rFonts w:ascii="Arial" w:cs="Arial" w:eastAsia="Arial" w:hAnsi="Arial"/>
                <w:sz w:val="12"/>
                <w:szCs w:val="12"/>
                <w:color w:val="auto"/>
              </w:rPr>
              <w:t>Q1</w:t>
            </w:r>
          </w:p>
        </w:tc>
        <w:tc>
          <w:tcPr>
            <w:tcW w:w="400" w:type="dxa"/>
            <w:vAlign w:val="bottom"/>
            <w:tcBorders>
              <w:right w:val="single" w:sz="8" w:color="E4E3E1"/>
            </w:tcBorders>
            <w:gridSpan w:val="3"/>
            <w:vMerge w:val="restart"/>
            <w:shd w:val="clear" w:color="auto" w:fill="E4E3E1"/>
          </w:tcPr>
          <w:p>
            <w:pPr>
              <w:jc w:val="right"/>
              <w:ind w:right="60"/>
              <w:spacing w:after="0" w:line="128" w:lineRule="exact"/>
              <w:rPr>
                <w:sz w:val="20"/>
                <w:szCs w:val="20"/>
                <w:color w:val="auto"/>
              </w:rPr>
            </w:pPr>
            <w:r>
              <w:rPr>
                <w:rFonts w:ascii="Arial" w:cs="Arial" w:eastAsia="Arial" w:hAnsi="Arial"/>
                <w:sz w:val="12"/>
                <w:szCs w:val="12"/>
                <w:color w:val="auto"/>
              </w:rPr>
              <w:t>0.26</w:t>
            </w:r>
          </w:p>
        </w:tc>
        <w:tc>
          <w:tcPr>
            <w:tcW w:w="720" w:type="dxa"/>
            <w:vAlign w:val="bottom"/>
            <w:vMerge w:val="restart"/>
          </w:tcPr>
          <w:p>
            <w:pPr>
              <w:jc w:val="right"/>
              <w:ind w:right="78"/>
              <w:spacing w:after="0" w:line="128" w:lineRule="exact"/>
              <w:rPr>
                <w:sz w:val="20"/>
                <w:szCs w:val="20"/>
                <w:color w:val="auto"/>
              </w:rPr>
            </w:pPr>
            <w:r>
              <w:rPr>
                <w:rFonts w:ascii="Arial" w:cs="Arial" w:eastAsia="Arial" w:hAnsi="Arial"/>
                <w:sz w:val="12"/>
                <w:szCs w:val="12"/>
                <w:color w:val="auto"/>
              </w:rPr>
              <w:t>0.25</w:t>
            </w:r>
          </w:p>
        </w:tc>
        <w:tc>
          <w:tcPr>
            <w:tcW w:w="660" w:type="dxa"/>
            <w:vAlign w:val="bottom"/>
            <w:vMerge w:val="restart"/>
          </w:tcPr>
          <w:p>
            <w:pPr>
              <w:jc w:val="right"/>
              <w:spacing w:after="0" w:line="128" w:lineRule="exact"/>
              <w:rPr>
                <w:sz w:val="20"/>
                <w:szCs w:val="20"/>
                <w:color w:val="auto"/>
              </w:rPr>
            </w:pPr>
            <w:r>
              <w:rPr>
                <w:rFonts w:ascii="Arial" w:cs="Arial" w:eastAsia="Arial" w:hAnsi="Arial"/>
                <w:sz w:val="12"/>
                <w:szCs w:val="12"/>
                <w:color w:val="auto"/>
              </w:rPr>
              <w:t>0.23[B]</w:t>
            </w:r>
          </w:p>
        </w:tc>
        <w:tc>
          <w:tcPr>
            <w:tcW w:w="0" w:type="dxa"/>
            <w:vAlign w:val="bottom"/>
          </w:tcPr>
          <w:p>
            <w:pPr>
              <w:spacing w:after="0"/>
              <w:rPr>
                <w:sz w:val="1"/>
                <w:szCs w:val="1"/>
                <w:color w:val="auto"/>
              </w:rPr>
            </w:pPr>
          </w:p>
        </w:tc>
      </w:tr>
      <w:tr>
        <w:trPr>
          <w:trHeight w:val="53"/>
        </w:trPr>
        <w:tc>
          <w:tcPr>
            <w:tcW w:w="3860" w:type="dxa"/>
            <w:vAlign w:val="bottom"/>
            <w:vMerge w:val="restart"/>
          </w:tcPr>
          <w:p>
            <w:pPr>
              <w:ind w:left="20"/>
              <w:spacing w:after="0" w:line="133" w:lineRule="exact"/>
              <w:rPr>
                <w:sz w:val="20"/>
                <w:szCs w:val="20"/>
                <w:color w:val="auto"/>
              </w:rPr>
            </w:pPr>
            <w:r>
              <w:rPr>
                <w:rFonts w:ascii="Arial" w:cs="Arial" w:eastAsia="Arial" w:hAnsi="Arial"/>
                <w:sz w:val="12"/>
                <w:szCs w:val="12"/>
                <w:color w:val="auto"/>
              </w:rPr>
              <w:t>Dutch and Shell Transport where one Royal Dutch share was</w:t>
            </w: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80" w:type="dxa"/>
            <w:vAlign w:val="bottom"/>
            <w:tcBorders>
              <w:right w:val="single" w:sz="8" w:color="E4E3E1"/>
            </w:tcBorders>
            <w:vMerge w:val="continue"/>
          </w:tcPr>
          <w:p>
            <w:pPr>
              <w:spacing w:after="0"/>
              <w:rPr>
                <w:sz w:val="4"/>
                <w:szCs w:val="4"/>
                <w:color w:val="auto"/>
              </w:rPr>
            </w:pPr>
          </w:p>
        </w:tc>
        <w:tc>
          <w:tcPr>
            <w:tcW w:w="400" w:type="dxa"/>
            <w:vAlign w:val="bottom"/>
            <w:tcBorders>
              <w:right w:val="single" w:sz="8" w:color="E4E3E1"/>
            </w:tcBorders>
            <w:gridSpan w:val="3"/>
            <w:vMerge w:val="continue"/>
            <w:shd w:val="clear" w:color="auto" w:fill="E4E3E1"/>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38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right w:val="single" w:sz="8" w:color="E4E3E1"/>
            </w:tcBorders>
            <w:vMerge w:val="restart"/>
          </w:tcPr>
          <w:p>
            <w:pPr>
              <w:spacing w:after="0" w:line="133" w:lineRule="exact"/>
              <w:rPr>
                <w:sz w:val="20"/>
                <w:szCs w:val="20"/>
                <w:color w:val="auto"/>
              </w:rPr>
            </w:pPr>
            <w:r>
              <w:rPr>
                <w:rFonts w:ascii="Arial" w:cs="Arial" w:eastAsia="Arial" w:hAnsi="Arial"/>
                <w:sz w:val="12"/>
                <w:szCs w:val="12"/>
                <w:color w:val="auto"/>
              </w:rPr>
              <w:t>Q2</w:t>
            </w:r>
          </w:p>
        </w:tc>
        <w:tc>
          <w:tcPr>
            <w:tcW w:w="400" w:type="dxa"/>
            <w:vAlign w:val="bottom"/>
            <w:tcBorders>
              <w:right w:val="single" w:sz="8" w:color="E4E3E1"/>
            </w:tcBorders>
            <w:gridSpan w:val="3"/>
            <w:vMerge w:val="restart"/>
            <w:shd w:val="clear" w:color="auto" w:fill="E4E3E1"/>
          </w:tcPr>
          <w:p>
            <w:pPr>
              <w:jc w:val="right"/>
              <w:ind w:right="60"/>
              <w:spacing w:after="0" w:line="133" w:lineRule="exact"/>
              <w:rPr>
                <w:sz w:val="20"/>
                <w:szCs w:val="20"/>
                <w:color w:val="auto"/>
              </w:rPr>
            </w:pPr>
            <w:r>
              <w:rPr>
                <w:rFonts w:ascii="Arial" w:cs="Arial" w:eastAsia="Arial" w:hAnsi="Arial"/>
                <w:sz w:val="12"/>
                <w:szCs w:val="12"/>
                <w:color w:val="auto"/>
              </w:rPr>
              <w:t>0.26</w:t>
            </w:r>
          </w:p>
        </w:tc>
        <w:tc>
          <w:tcPr>
            <w:tcW w:w="720" w:type="dxa"/>
            <w:vAlign w:val="bottom"/>
            <w:vMerge w:val="restart"/>
          </w:tcPr>
          <w:p>
            <w:pPr>
              <w:jc w:val="right"/>
              <w:ind w:right="78"/>
              <w:spacing w:after="0" w:line="133" w:lineRule="exact"/>
              <w:rPr>
                <w:sz w:val="20"/>
                <w:szCs w:val="20"/>
                <w:color w:val="auto"/>
              </w:rPr>
            </w:pPr>
            <w:r>
              <w:rPr>
                <w:rFonts w:ascii="Arial" w:cs="Arial" w:eastAsia="Arial" w:hAnsi="Arial"/>
                <w:sz w:val="12"/>
                <w:szCs w:val="12"/>
                <w:color w:val="auto"/>
              </w:rPr>
              <w:t>0.25</w:t>
            </w:r>
          </w:p>
        </w:tc>
        <w:tc>
          <w:tcPr>
            <w:tcW w:w="660" w:type="dxa"/>
            <w:vAlign w:val="bottom"/>
            <w:vMerge w:val="restart"/>
          </w:tcPr>
          <w:p>
            <w:pPr>
              <w:jc w:val="right"/>
              <w:ind w:right="98"/>
              <w:spacing w:after="0" w:line="133" w:lineRule="exact"/>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53"/>
        </w:trPr>
        <w:tc>
          <w:tcPr>
            <w:tcW w:w="3860" w:type="dxa"/>
            <w:vAlign w:val="bottom"/>
            <w:vMerge w:val="restart"/>
          </w:tcPr>
          <w:p>
            <w:pPr>
              <w:ind w:left="20"/>
              <w:spacing w:after="0"/>
              <w:rPr>
                <w:sz w:val="20"/>
                <w:szCs w:val="20"/>
                <w:color w:val="auto"/>
              </w:rPr>
            </w:pPr>
            <w:r>
              <w:rPr>
                <w:rFonts w:ascii="Arial" w:cs="Arial" w:eastAsia="Arial" w:hAnsi="Arial"/>
                <w:sz w:val="12"/>
                <w:szCs w:val="12"/>
                <w:color w:val="auto"/>
              </w:rPr>
              <w:t>exchanged for two Royal Dutch Shell plc Class A ordinary shares.</w:t>
            </w:r>
          </w:p>
        </w:tc>
        <w:tc>
          <w:tcPr>
            <w:tcW w:w="1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80" w:type="dxa"/>
            <w:vAlign w:val="bottom"/>
            <w:tcBorders>
              <w:right w:val="single" w:sz="8" w:color="E4E3E1"/>
            </w:tcBorders>
            <w:vMerge w:val="continue"/>
          </w:tcPr>
          <w:p>
            <w:pPr>
              <w:spacing w:after="0"/>
              <w:rPr>
                <w:sz w:val="4"/>
                <w:szCs w:val="4"/>
                <w:color w:val="auto"/>
              </w:rPr>
            </w:pPr>
          </w:p>
        </w:tc>
        <w:tc>
          <w:tcPr>
            <w:tcW w:w="400" w:type="dxa"/>
            <w:vAlign w:val="bottom"/>
            <w:tcBorders>
              <w:right w:val="single" w:sz="8" w:color="E4E3E1"/>
            </w:tcBorders>
            <w:gridSpan w:val="3"/>
            <w:vMerge w:val="continue"/>
            <w:shd w:val="clear" w:color="auto" w:fill="E4E3E1"/>
          </w:tcPr>
          <w:p>
            <w:pPr>
              <w:spacing w:after="0"/>
              <w:rPr>
                <w:sz w:val="4"/>
                <w:szCs w:val="4"/>
                <w:color w:val="auto"/>
              </w:rPr>
            </w:pPr>
          </w:p>
        </w:tc>
        <w:tc>
          <w:tcPr>
            <w:tcW w:w="72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3860" w:type="dxa"/>
            <w:vAlign w:val="bottom"/>
            <w:tcBorders>
              <w:bottom w:val="single" w:sz="8" w:color="auto"/>
            </w:tcBorders>
            <w:vMerge w:val="continue"/>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580" w:type="dxa"/>
            <w:vAlign w:val="bottom"/>
            <w:tcBorders>
              <w:right w:val="single" w:sz="8" w:color="E4E3E1"/>
            </w:tcBorders>
            <w:vMerge w:val="restart"/>
          </w:tcPr>
          <w:p>
            <w:pPr>
              <w:spacing w:after="0" w:line="133" w:lineRule="exact"/>
              <w:rPr>
                <w:sz w:val="20"/>
                <w:szCs w:val="20"/>
                <w:color w:val="auto"/>
              </w:rPr>
            </w:pPr>
            <w:r>
              <w:rPr>
                <w:rFonts w:ascii="Arial" w:cs="Arial" w:eastAsia="Arial" w:hAnsi="Arial"/>
                <w:sz w:val="12"/>
                <w:szCs w:val="12"/>
                <w:color w:val="auto"/>
              </w:rPr>
              <w:t>Q3</w:t>
            </w:r>
          </w:p>
        </w:tc>
        <w:tc>
          <w:tcPr>
            <w:tcW w:w="400" w:type="dxa"/>
            <w:vAlign w:val="bottom"/>
            <w:tcBorders>
              <w:bottom w:val="single" w:sz="8" w:color="E4E3E1"/>
              <w:right w:val="single" w:sz="8" w:color="E4E3E1"/>
            </w:tcBorders>
            <w:gridSpan w:val="3"/>
            <w:vMerge w:val="restart"/>
            <w:shd w:val="clear" w:color="auto" w:fill="E4E3E1"/>
          </w:tcPr>
          <w:p>
            <w:pPr>
              <w:jc w:val="right"/>
              <w:ind w:right="60"/>
              <w:spacing w:after="0" w:line="133" w:lineRule="exact"/>
              <w:rPr>
                <w:sz w:val="20"/>
                <w:szCs w:val="20"/>
                <w:color w:val="auto"/>
              </w:rPr>
            </w:pPr>
            <w:r>
              <w:rPr>
                <w:rFonts w:ascii="Arial" w:cs="Arial" w:eastAsia="Arial" w:hAnsi="Arial"/>
                <w:sz w:val="12"/>
                <w:szCs w:val="12"/>
                <w:color w:val="auto"/>
              </w:rPr>
              <w:t>0.25</w:t>
            </w:r>
          </w:p>
        </w:tc>
        <w:tc>
          <w:tcPr>
            <w:tcW w:w="720" w:type="dxa"/>
            <w:vAlign w:val="bottom"/>
            <w:vMerge w:val="restart"/>
          </w:tcPr>
          <w:p>
            <w:pPr>
              <w:jc w:val="right"/>
              <w:ind w:right="78"/>
              <w:spacing w:after="0" w:line="133" w:lineRule="exact"/>
              <w:rPr>
                <w:sz w:val="20"/>
                <w:szCs w:val="20"/>
                <w:color w:val="auto"/>
              </w:rPr>
            </w:pPr>
            <w:r>
              <w:rPr>
                <w:rFonts w:ascii="Arial" w:cs="Arial" w:eastAsia="Arial" w:hAnsi="Arial"/>
                <w:sz w:val="12"/>
                <w:szCs w:val="12"/>
                <w:color w:val="auto"/>
              </w:rPr>
              <w:t>0.25</w:t>
            </w:r>
          </w:p>
        </w:tc>
        <w:tc>
          <w:tcPr>
            <w:tcW w:w="660" w:type="dxa"/>
            <w:vAlign w:val="bottom"/>
            <w:vMerge w:val="restart"/>
          </w:tcPr>
          <w:p>
            <w:pPr>
              <w:jc w:val="right"/>
              <w:ind w:right="98"/>
              <w:spacing w:after="0" w:line="133" w:lineRule="exact"/>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The “Shell” Transport and Trading Company, p.l.c.</w:t>
            </w:r>
          </w:p>
        </w:tc>
        <w:tc>
          <w:tcPr>
            <w:tcW w:w="1320" w:type="dxa"/>
            <w:vAlign w:val="bottom"/>
            <w:vMerge w:val="restart"/>
          </w:tcPr>
          <w:p>
            <w:pPr>
              <w:jc w:val="right"/>
              <w:ind w:right="640"/>
              <w:spacing w:after="0" w:line="134" w:lineRule="exact"/>
              <w:rPr>
                <w:sz w:val="20"/>
                <w:szCs w:val="20"/>
                <w:color w:val="auto"/>
              </w:rPr>
            </w:pPr>
            <w:r>
              <w:rPr>
                <w:rFonts w:ascii="Arial" w:cs="Arial" w:eastAsia="Arial" w:hAnsi="Arial"/>
                <w:sz w:val="12"/>
                <w:szCs w:val="12"/>
                <w:color w:val="auto"/>
              </w:rPr>
              <w:t>1.4502</w:t>
            </w:r>
          </w:p>
        </w:tc>
        <w:tc>
          <w:tcPr>
            <w:tcW w:w="420" w:type="dxa"/>
            <w:vAlign w:val="bottom"/>
            <w:gridSpan w:val="2"/>
            <w:vMerge w:val="restart"/>
          </w:tcPr>
          <w:p>
            <w:pPr>
              <w:spacing w:after="0" w:line="134" w:lineRule="exact"/>
              <w:rPr>
                <w:sz w:val="20"/>
                <w:szCs w:val="20"/>
                <w:color w:val="auto"/>
              </w:rPr>
            </w:pPr>
            <w:r>
              <w:rPr>
                <w:rFonts w:ascii="Arial" w:cs="Arial" w:eastAsia="Arial" w:hAnsi="Arial"/>
                <w:sz w:val="12"/>
                <w:szCs w:val="12"/>
                <w:color w:val="auto"/>
              </w:rPr>
              <w:t>Not</w:t>
            </w:r>
          </w:p>
        </w:tc>
        <w:tc>
          <w:tcPr>
            <w:tcW w:w="3580" w:type="dxa"/>
            <w:vAlign w:val="bottom"/>
            <w:tcBorders>
              <w:right w:val="single" w:sz="8" w:color="E4E3E1"/>
            </w:tcBorders>
            <w:vMerge w:val="continue"/>
          </w:tcPr>
          <w:p>
            <w:pPr>
              <w:spacing w:after="0"/>
              <w:rPr>
                <w:sz w:val="2"/>
                <w:szCs w:val="2"/>
                <w:color w:val="auto"/>
              </w:rPr>
            </w:pPr>
          </w:p>
        </w:tc>
        <w:tc>
          <w:tcPr>
            <w:tcW w:w="400" w:type="dxa"/>
            <w:vAlign w:val="bottom"/>
            <w:tcBorders>
              <w:right w:val="single" w:sz="8" w:color="E4E3E1"/>
            </w:tcBorders>
            <w:gridSpan w:val="3"/>
            <w:vMerge w:val="continue"/>
            <w:shd w:val="clear" w:color="auto" w:fill="E4E3E1"/>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86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3580" w:type="dxa"/>
            <w:vAlign w:val="bottom"/>
            <w:tcBorders>
              <w:right w:val="single" w:sz="8" w:color="E4E3E1"/>
            </w:tcBorders>
          </w:tcPr>
          <w:p>
            <w:pPr>
              <w:spacing w:after="0" w:line="107" w:lineRule="exact"/>
              <w:rPr>
                <w:sz w:val="20"/>
                <w:szCs w:val="20"/>
                <w:color w:val="auto"/>
              </w:rPr>
            </w:pPr>
            <w:r>
              <w:rPr>
                <w:rFonts w:ascii="Arial" w:cs="Arial" w:eastAsia="Arial" w:hAnsi="Arial"/>
                <w:sz w:val="12"/>
                <w:szCs w:val="12"/>
                <w:color w:val="auto"/>
              </w:rPr>
              <w:t>Q4</w:t>
            </w:r>
          </w:p>
        </w:tc>
        <w:tc>
          <w:tcPr>
            <w:tcW w:w="400" w:type="dxa"/>
            <w:vAlign w:val="bottom"/>
            <w:tcBorders>
              <w:bottom w:val="single" w:sz="8" w:color="E4E3E1"/>
              <w:right w:val="single" w:sz="8" w:color="E4E3E1"/>
            </w:tcBorders>
            <w:gridSpan w:val="3"/>
            <w:shd w:val="clear" w:color="auto" w:fill="E4E3E1"/>
          </w:tcPr>
          <w:p>
            <w:pPr>
              <w:jc w:val="right"/>
              <w:ind w:right="60"/>
              <w:spacing w:after="0" w:line="107" w:lineRule="exact"/>
              <w:rPr>
                <w:sz w:val="20"/>
                <w:szCs w:val="20"/>
                <w:color w:val="auto"/>
              </w:rPr>
            </w:pPr>
            <w:r>
              <w:rPr>
                <w:rFonts w:ascii="Arial" w:cs="Arial" w:eastAsia="Arial" w:hAnsi="Arial"/>
                <w:sz w:val="12"/>
                <w:szCs w:val="12"/>
                <w:color w:val="auto"/>
              </w:rPr>
              <w:t>0.24</w:t>
            </w:r>
          </w:p>
        </w:tc>
        <w:tc>
          <w:tcPr>
            <w:tcW w:w="720" w:type="dxa"/>
            <w:vAlign w:val="bottom"/>
          </w:tcPr>
          <w:p>
            <w:pPr>
              <w:jc w:val="right"/>
              <w:ind w:right="78"/>
              <w:spacing w:after="0" w:line="107" w:lineRule="exact"/>
              <w:rPr>
                <w:sz w:val="20"/>
                <w:szCs w:val="20"/>
                <w:color w:val="auto"/>
              </w:rPr>
            </w:pPr>
            <w:r>
              <w:rPr>
                <w:rFonts w:ascii="Arial" w:cs="Arial" w:eastAsia="Arial" w:hAnsi="Arial"/>
                <w:sz w:val="12"/>
                <w:szCs w:val="12"/>
                <w:color w:val="auto"/>
              </w:rPr>
              <w:t>0.25</w:t>
            </w:r>
          </w:p>
        </w:tc>
        <w:tc>
          <w:tcPr>
            <w:tcW w:w="660" w:type="dxa"/>
            <w:vAlign w:val="bottom"/>
          </w:tcPr>
          <w:p>
            <w:pPr>
              <w:jc w:val="right"/>
              <w:ind w:right="98"/>
              <w:spacing w:after="0" w:line="107" w:lineRule="exact"/>
              <w:rPr>
                <w:sz w:val="20"/>
                <w:szCs w:val="20"/>
                <w:color w:val="auto"/>
              </w:rPr>
            </w:pPr>
            <w:r>
              <w:rPr>
                <w:rFonts w:ascii="Arial" w:cs="Arial" w:eastAsia="Arial" w:hAnsi="Arial"/>
                <w:sz w:val="12"/>
                <w:szCs w:val="12"/>
                <w:color w:val="auto"/>
              </w:rPr>
              <w:t>0.23</w:t>
            </w:r>
          </w:p>
        </w:tc>
        <w:tc>
          <w:tcPr>
            <w:tcW w:w="0" w:type="dxa"/>
            <w:vAlign w:val="bottom"/>
          </w:tcPr>
          <w:p>
            <w:pPr>
              <w:spacing w:after="0"/>
              <w:rPr>
                <w:sz w:val="1"/>
                <w:szCs w:val="1"/>
                <w:color w:val="auto"/>
              </w:rPr>
            </w:pPr>
          </w:p>
        </w:tc>
      </w:tr>
      <w:tr>
        <w:trPr>
          <w:trHeight w:val="96"/>
        </w:trPr>
        <w:tc>
          <w:tcPr>
            <w:tcW w:w="3860" w:type="dxa"/>
            <w:vAlign w:val="bottom"/>
          </w:tcPr>
          <w:p>
            <w:pPr>
              <w:ind w:left="20"/>
              <w:spacing w:after="0" w:line="96" w:lineRule="exact"/>
              <w:rPr>
                <w:sz w:val="20"/>
                <w:szCs w:val="20"/>
                <w:color w:val="auto"/>
              </w:rPr>
            </w:pPr>
            <w:r>
              <w:rPr>
                <w:rFonts w:ascii="Arial" w:cs="Arial" w:eastAsia="Arial" w:hAnsi="Arial"/>
                <w:sz w:val="11"/>
                <w:szCs w:val="11"/>
                <w:color w:val="auto"/>
              </w:rPr>
              <w:t>which delisted on July 19, 2005.</w:t>
            </w:r>
          </w:p>
        </w:tc>
        <w:tc>
          <w:tcPr>
            <w:tcW w:w="1740" w:type="dxa"/>
            <w:vAlign w:val="bottom"/>
            <w:gridSpan w:val="3"/>
          </w:tcPr>
          <w:p>
            <w:pPr>
              <w:ind w:left="920"/>
              <w:spacing w:after="0" w:line="96" w:lineRule="exact"/>
              <w:rPr>
                <w:sz w:val="20"/>
                <w:szCs w:val="20"/>
                <w:color w:val="auto"/>
              </w:rPr>
            </w:pPr>
            <w:r>
              <w:rPr>
                <w:rFonts w:ascii="Arial" w:cs="Arial" w:eastAsia="Arial" w:hAnsi="Arial"/>
                <w:sz w:val="11"/>
                <w:szCs w:val="11"/>
                <w:color w:val="auto"/>
              </w:rPr>
              <w:t>applicable</w:t>
            </w:r>
          </w:p>
        </w:tc>
        <w:tc>
          <w:tcPr>
            <w:tcW w:w="3580" w:type="dxa"/>
            <w:vAlign w:val="bottom"/>
            <w:tcBorders>
              <w:top w:val="single" w:sz="8" w:color="auto"/>
              <w:right w:val="single" w:sz="8" w:color="E4E3E1"/>
            </w:tcBorders>
            <w:vMerge w:val="restart"/>
          </w:tcPr>
          <w:p>
            <w:pPr>
              <w:spacing w:after="0"/>
              <w:rPr>
                <w:sz w:val="20"/>
                <w:szCs w:val="20"/>
                <w:color w:val="auto"/>
              </w:rPr>
            </w:pPr>
            <w:r>
              <w:rPr>
                <w:rFonts w:ascii="Arial" w:cs="Arial" w:eastAsia="Arial" w:hAnsi="Arial"/>
                <w:sz w:val="12"/>
                <w:szCs w:val="12"/>
                <w:color w:val="auto"/>
              </w:rPr>
              <w:t>Total declared during the year</w:t>
            </w:r>
          </w:p>
        </w:tc>
        <w:tc>
          <w:tcPr>
            <w:tcW w:w="400" w:type="dxa"/>
            <w:vAlign w:val="bottom"/>
            <w:tcBorders>
              <w:top w:val="single" w:sz="8" w:color="auto"/>
              <w:right w:val="single" w:sz="8" w:color="E4E3E1"/>
            </w:tcBorders>
            <w:gridSpan w:val="3"/>
            <w:vMerge w:val="restart"/>
            <w:shd w:val="clear" w:color="auto" w:fill="E4E3E1"/>
          </w:tcPr>
          <w:p>
            <w:pPr>
              <w:jc w:val="right"/>
              <w:ind w:right="60"/>
              <w:spacing w:after="0"/>
              <w:rPr>
                <w:sz w:val="20"/>
                <w:szCs w:val="20"/>
                <w:color w:val="auto"/>
              </w:rPr>
            </w:pPr>
            <w:r>
              <w:rPr>
                <w:rFonts w:ascii="Arial" w:cs="Arial" w:eastAsia="Arial" w:hAnsi="Arial"/>
                <w:sz w:val="12"/>
                <w:szCs w:val="12"/>
                <w:color w:val="auto"/>
              </w:rPr>
              <w:t>1.01</w:t>
            </w:r>
          </w:p>
        </w:tc>
        <w:tc>
          <w:tcPr>
            <w:tcW w:w="72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color w:val="auto"/>
              </w:rPr>
              <w:t>1.00</w:t>
            </w:r>
          </w:p>
        </w:tc>
        <w:tc>
          <w:tcPr>
            <w:tcW w:w="66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2"/>
                <w:szCs w:val="12"/>
                <w:color w:val="auto"/>
              </w:rPr>
              <w:t>0.92</w:t>
            </w:r>
          </w:p>
        </w:tc>
        <w:tc>
          <w:tcPr>
            <w:tcW w:w="0" w:type="dxa"/>
            <w:vAlign w:val="bottom"/>
          </w:tcPr>
          <w:p>
            <w:pPr>
              <w:spacing w:after="0"/>
              <w:rPr>
                <w:sz w:val="1"/>
                <w:szCs w:val="1"/>
                <w:color w:val="auto"/>
              </w:rPr>
            </w:pPr>
          </w:p>
        </w:tc>
      </w:tr>
      <w:tr>
        <w:trPr>
          <w:trHeight w:val="49"/>
        </w:trPr>
        <w:tc>
          <w:tcPr>
            <w:tcW w:w="38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580" w:type="dxa"/>
            <w:vAlign w:val="bottom"/>
            <w:tcBorders>
              <w:bottom w:val="single" w:sz="8" w:color="auto"/>
              <w:right w:val="single" w:sz="8" w:color="E4E3E1"/>
            </w:tcBorders>
            <w:vMerge w:val="continue"/>
          </w:tcPr>
          <w:p>
            <w:pPr>
              <w:spacing w:after="0"/>
              <w:rPr>
                <w:sz w:val="3"/>
                <w:szCs w:val="3"/>
                <w:color w:val="auto"/>
              </w:rPr>
            </w:pPr>
          </w:p>
        </w:tc>
        <w:tc>
          <w:tcPr>
            <w:tcW w:w="400" w:type="dxa"/>
            <w:vAlign w:val="bottom"/>
            <w:tcBorders>
              <w:bottom w:val="single" w:sz="8" w:color="auto"/>
              <w:right w:val="single" w:sz="8" w:color="E4E3E1"/>
            </w:tcBorders>
            <w:gridSpan w:val="3"/>
            <w:vMerge w:val="continue"/>
            <w:shd w:val="clear" w:color="auto" w:fill="E4E3E1"/>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66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3860" w:type="dxa"/>
            <w:vAlign w:val="bottom"/>
          </w:tcPr>
          <w:p>
            <w:pPr>
              <w:ind w:left="20"/>
              <w:spacing w:after="0"/>
              <w:rPr>
                <w:sz w:val="20"/>
                <w:szCs w:val="20"/>
                <w:color w:val="auto"/>
              </w:rPr>
            </w:pPr>
            <w:r>
              <w:rPr>
                <w:rFonts w:ascii="Arial" w:cs="Arial" w:eastAsia="Arial" w:hAnsi="Arial"/>
                <w:sz w:val="12"/>
                <w:szCs w:val="12"/>
                <w:color w:val="auto"/>
              </w:rPr>
              <w:t>Share prices have been restated where necessary to reflect all</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bottom w:val="single" w:sz="8" w:color="auto"/>
              <w:right w:val="single" w:sz="8" w:color="E4E3E1"/>
            </w:tcBorders>
          </w:tcPr>
          <w:p>
            <w:pPr>
              <w:spacing w:after="0"/>
              <w:rPr>
                <w:sz w:val="20"/>
                <w:szCs w:val="20"/>
                <w:color w:val="auto"/>
              </w:rPr>
            </w:pPr>
            <w:r>
              <w:rPr>
                <w:rFonts w:ascii="Arial" w:cs="Arial" w:eastAsia="Arial" w:hAnsi="Arial"/>
                <w:sz w:val="12"/>
                <w:szCs w:val="12"/>
                <w:color w:val="auto"/>
              </w:rPr>
              <w:t>Amount paid during the year</w:t>
            </w:r>
          </w:p>
        </w:tc>
        <w:tc>
          <w:tcPr>
            <w:tcW w:w="400" w:type="dxa"/>
            <w:vAlign w:val="bottom"/>
            <w:tcBorders>
              <w:bottom w:val="single" w:sz="8" w:color="auto"/>
              <w:right w:val="single" w:sz="8" w:color="E4E3E1"/>
            </w:tcBorders>
            <w:gridSpan w:val="3"/>
            <w:shd w:val="clear" w:color="auto" w:fill="E4E3E1"/>
          </w:tcPr>
          <w:p>
            <w:pPr>
              <w:jc w:val="right"/>
              <w:ind w:right="60"/>
              <w:spacing w:after="0"/>
              <w:rPr>
                <w:sz w:val="20"/>
                <w:szCs w:val="20"/>
                <w:color w:val="auto"/>
              </w:rPr>
            </w:pPr>
            <w:r>
              <w:rPr>
                <w:rFonts w:ascii="Arial" w:cs="Arial" w:eastAsia="Arial" w:hAnsi="Arial"/>
                <w:sz w:val="12"/>
                <w:szCs w:val="12"/>
                <w:color w:val="auto"/>
              </w:rPr>
              <w:t>1.02</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0.98</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54"/>
        </w:trPr>
        <w:tc>
          <w:tcPr>
            <w:tcW w:w="3860" w:type="dxa"/>
            <w:vAlign w:val="bottom"/>
          </w:tcPr>
          <w:p>
            <w:pPr>
              <w:ind w:left="20"/>
              <w:spacing w:after="0"/>
              <w:rPr>
                <w:sz w:val="20"/>
                <w:szCs w:val="20"/>
                <w:color w:val="auto"/>
              </w:rPr>
            </w:pPr>
            <w:r>
              <w:rPr>
                <w:rFonts w:ascii="Arial" w:cs="Arial" w:eastAsia="Arial" w:hAnsi="Arial"/>
                <w:sz w:val="12"/>
                <w:szCs w:val="12"/>
                <w:color w:val="auto"/>
              </w:rPr>
              <w:t>capitalisation issues since the relevant date. This includes the</w:t>
            </w: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860" w:type="dxa"/>
            <w:vAlign w:val="bottom"/>
          </w:tcPr>
          <w:p>
            <w:pPr>
              <w:ind w:left="20"/>
              <w:spacing w:after="0" w:line="133" w:lineRule="exact"/>
              <w:rPr>
                <w:sz w:val="20"/>
                <w:szCs w:val="20"/>
                <w:color w:val="auto"/>
              </w:rPr>
            </w:pPr>
            <w:r>
              <w:rPr>
                <w:rFonts w:ascii="Arial" w:cs="Arial" w:eastAsia="Arial" w:hAnsi="Arial"/>
                <w:sz w:val="12"/>
                <w:szCs w:val="12"/>
                <w:color w:val="auto"/>
              </w:rPr>
              <w:t>change in the capital structure following the Unification of Royal</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860" w:type="dxa"/>
            <w:vAlign w:val="bottom"/>
            <w:vMerge w:val="restart"/>
          </w:tcPr>
          <w:p>
            <w:pPr>
              <w:ind w:left="20"/>
              <w:spacing w:after="0" w:line="133" w:lineRule="exact"/>
              <w:rPr>
                <w:sz w:val="20"/>
                <w:szCs w:val="20"/>
                <w:color w:val="auto"/>
              </w:rPr>
            </w:pPr>
            <w:r>
              <w:rPr>
                <w:rFonts w:ascii="Arial" w:cs="Arial" w:eastAsia="Arial" w:hAnsi="Arial"/>
                <w:sz w:val="12"/>
                <w:szCs w:val="12"/>
                <w:color w:val="auto"/>
              </w:rPr>
              <w:t>Dutch and Shell Transport where one Shell Transport share was</w:t>
            </w: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8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80" w:type="dxa"/>
            <w:vAlign w:val="bottom"/>
            <w:tcBorders>
              <w:right w:val="single" w:sz="8" w:color="711470"/>
            </w:tcBorders>
            <w:vMerge w:val="restart"/>
            <w:shd w:val="clear" w:color="auto" w:fill="711470"/>
          </w:tcPr>
          <w:p>
            <w:pPr>
              <w:spacing w:after="0" w:line="133" w:lineRule="exact"/>
              <w:rPr>
                <w:sz w:val="20"/>
                <w:szCs w:val="20"/>
                <w:color w:val="auto"/>
              </w:rPr>
            </w:pPr>
            <w:r>
              <w:rPr>
                <w:rFonts w:ascii="Arial" w:cs="Arial" w:eastAsia="Arial" w:hAnsi="Arial"/>
                <w:sz w:val="12"/>
                <w:szCs w:val="12"/>
                <w:b w:val="1"/>
                <w:bCs w:val="1"/>
                <w:color w:val="FFFFFF"/>
              </w:rPr>
              <w:t>CLASS B SHARES[C]</w:t>
            </w:r>
          </w:p>
        </w:tc>
        <w:tc>
          <w:tcPr>
            <w:tcW w:w="20" w:type="dxa"/>
            <w:vAlign w:val="bottom"/>
            <w:shd w:val="clear" w:color="auto" w:fill="711470"/>
          </w:tcPr>
          <w:p>
            <w:pPr>
              <w:spacing w:after="0"/>
              <w:rPr>
                <w:sz w:val="5"/>
                <w:szCs w:val="5"/>
                <w:color w:val="auto"/>
              </w:rPr>
            </w:pPr>
          </w:p>
        </w:tc>
        <w:tc>
          <w:tcPr>
            <w:tcW w:w="300" w:type="dxa"/>
            <w:vAlign w:val="bottom"/>
            <w:tcBorders>
              <w:right w:val="single" w:sz="8" w:color="711470"/>
            </w:tcBorders>
            <w:shd w:val="clear" w:color="auto" w:fill="711470"/>
          </w:tcPr>
          <w:p>
            <w:pPr>
              <w:spacing w:after="0"/>
              <w:rPr>
                <w:sz w:val="5"/>
                <w:szCs w:val="5"/>
                <w:color w:val="auto"/>
              </w:rPr>
            </w:pPr>
          </w:p>
        </w:tc>
        <w:tc>
          <w:tcPr>
            <w:tcW w:w="80" w:type="dxa"/>
            <w:vAlign w:val="bottom"/>
            <w:tcBorders>
              <w:right w:val="single" w:sz="8" w:color="711470"/>
            </w:tcBorders>
            <w:shd w:val="clear" w:color="auto" w:fill="711470"/>
          </w:tcPr>
          <w:p>
            <w:pPr>
              <w:spacing w:after="0"/>
              <w:rPr>
                <w:sz w:val="5"/>
                <w:szCs w:val="5"/>
                <w:color w:val="auto"/>
              </w:rPr>
            </w:pPr>
          </w:p>
        </w:tc>
        <w:tc>
          <w:tcPr>
            <w:tcW w:w="720" w:type="dxa"/>
            <w:vAlign w:val="bottom"/>
            <w:shd w:val="clear" w:color="auto" w:fill="711470"/>
          </w:tcPr>
          <w:p>
            <w:pPr>
              <w:spacing w:after="0"/>
              <w:rPr>
                <w:sz w:val="5"/>
                <w:szCs w:val="5"/>
                <w:color w:val="auto"/>
              </w:rPr>
            </w:pPr>
          </w:p>
        </w:tc>
        <w:tc>
          <w:tcPr>
            <w:tcW w:w="660" w:type="dxa"/>
            <w:vAlign w:val="bottom"/>
            <w:vMerge w:val="restart"/>
            <w:shd w:val="clear" w:color="auto" w:fill="711470"/>
          </w:tcPr>
          <w:p>
            <w:pPr>
              <w:jc w:val="right"/>
              <w:ind w:right="98"/>
              <w:spacing w:after="0" w:line="133" w:lineRule="exact"/>
              <w:rPr>
                <w:sz w:val="20"/>
                <w:szCs w:val="20"/>
                <w:color w:val="auto"/>
              </w:rPr>
            </w:pPr>
            <w:r>
              <w:rPr>
                <w:rFonts w:ascii="Arial" w:cs="Arial" w:eastAsia="Arial" w:hAnsi="Arial"/>
                <w:sz w:val="12"/>
                <w:szCs w:val="12"/>
                <w:b w:val="1"/>
                <w:bCs w:val="1"/>
                <w:color w:val="FFFFFF"/>
              </w:rPr>
              <w:t>pence</w:t>
            </w:r>
          </w:p>
        </w:tc>
        <w:tc>
          <w:tcPr>
            <w:tcW w:w="0" w:type="dxa"/>
            <w:vAlign w:val="bottom"/>
          </w:tcPr>
          <w:p>
            <w:pPr>
              <w:spacing w:after="0"/>
              <w:rPr>
                <w:sz w:val="1"/>
                <w:szCs w:val="1"/>
                <w:color w:val="auto"/>
              </w:rPr>
            </w:pPr>
          </w:p>
        </w:tc>
      </w:tr>
      <w:tr>
        <w:trPr>
          <w:trHeight w:val="73"/>
        </w:trPr>
        <w:tc>
          <w:tcPr>
            <w:tcW w:w="3860" w:type="dxa"/>
            <w:vAlign w:val="bottom"/>
            <w:vMerge w:val="restart"/>
          </w:tcPr>
          <w:p>
            <w:pPr>
              <w:ind w:left="20"/>
              <w:spacing w:after="0" w:line="133" w:lineRule="exact"/>
              <w:rPr>
                <w:sz w:val="20"/>
                <w:szCs w:val="20"/>
                <w:color w:val="auto"/>
              </w:rPr>
            </w:pPr>
            <w:r>
              <w:rPr>
                <w:rFonts w:ascii="Arial" w:cs="Arial" w:eastAsia="Arial" w:hAnsi="Arial"/>
                <w:sz w:val="12"/>
                <w:szCs w:val="12"/>
                <w:color w:val="auto"/>
              </w:rPr>
              <w:t>exchanged for 0.287333066 Royal Dutch Shell plc Class B</w:t>
            </w: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right w:val="single" w:sz="8" w:color="711470"/>
            </w:tcBorders>
            <w:vMerge w:val="continue"/>
            <w:shd w:val="clear" w:color="auto" w:fill="711470"/>
          </w:tcPr>
          <w:p>
            <w:pPr>
              <w:spacing w:after="0"/>
              <w:rPr>
                <w:sz w:val="6"/>
                <w:szCs w:val="6"/>
                <w:color w:val="auto"/>
              </w:rPr>
            </w:pPr>
          </w:p>
        </w:tc>
        <w:tc>
          <w:tcPr>
            <w:tcW w:w="20" w:type="dxa"/>
            <w:vAlign w:val="bottom"/>
            <w:shd w:val="clear" w:color="auto" w:fill="711470"/>
          </w:tcPr>
          <w:p>
            <w:pPr>
              <w:spacing w:after="0"/>
              <w:rPr>
                <w:sz w:val="6"/>
                <w:szCs w:val="6"/>
                <w:color w:val="auto"/>
              </w:rPr>
            </w:pPr>
          </w:p>
        </w:tc>
        <w:tc>
          <w:tcPr>
            <w:tcW w:w="300" w:type="dxa"/>
            <w:vAlign w:val="bottom"/>
            <w:tcBorders>
              <w:right w:val="single" w:sz="8" w:color="711470"/>
            </w:tcBorders>
            <w:shd w:val="clear" w:color="auto" w:fill="711470"/>
          </w:tcPr>
          <w:p>
            <w:pPr>
              <w:spacing w:after="0"/>
              <w:rPr>
                <w:sz w:val="6"/>
                <w:szCs w:val="6"/>
                <w:color w:val="auto"/>
              </w:rPr>
            </w:pPr>
          </w:p>
        </w:tc>
        <w:tc>
          <w:tcPr>
            <w:tcW w:w="80" w:type="dxa"/>
            <w:vAlign w:val="bottom"/>
            <w:tcBorders>
              <w:right w:val="single" w:sz="8" w:color="711470"/>
            </w:tcBorders>
            <w:shd w:val="clear" w:color="auto" w:fill="711470"/>
          </w:tcPr>
          <w:p>
            <w:pPr>
              <w:spacing w:after="0"/>
              <w:rPr>
                <w:sz w:val="6"/>
                <w:szCs w:val="6"/>
                <w:color w:val="auto"/>
              </w:rPr>
            </w:pPr>
          </w:p>
        </w:tc>
        <w:tc>
          <w:tcPr>
            <w:tcW w:w="720" w:type="dxa"/>
            <w:vAlign w:val="bottom"/>
            <w:shd w:val="clear" w:color="auto" w:fill="711470"/>
          </w:tcPr>
          <w:p>
            <w:pPr>
              <w:spacing w:after="0"/>
              <w:rPr>
                <w:sz w:val="6"/>
                <w:szCs w:val="6"/>
                <w:color w:val="auto"/>
              </w:rPr>
            </w:pPr>
          </w:p>
        </w:tc>
        <w:tc>
          <w:tcPr>
            <w:tcW w:w="660" w:type="dxa"/>
            <w:vAlign w:val="bottom"/>
            <w:vMerge w:val="continue"/>
            <w:shd w:val="clear" w:color="auto" w:fill="711470"/>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38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80" w:type="dxa"/>
            <w:vAlign w:val="bottom"/>
            <w:tcBorders>
              <w:right w:val="single" w:sz="8" w:color="CECAC6"/>
            </w:tcBorders>
            <w:shd w:val="clear" w:color="auto" w:fill="CECAC6"/>
          </w:tcPr>
          <w:p>
            <w:pPr>
              <w:spacing w:after="0"/>
              <w:rPr>
                <w:sz w:val="5"/>
                <w:szCs w:val="5"/>
                <w:color w:val="auto"/>
              </w:rPr>
            </w:pPr>
          </w:p>
        </w:tc>
        <w:tc>
          <w:tcPr>
            <w:tcW w:w="320" w:type="dxa"/>
            <w:vAlign w:val="bottom"/>
            <w:tcBorders>
              <w:right w:val="single" w:sz="8" w:color="CECAC6"/>
            </w:tcBorders>
            <w:gridSpan w:val="2"/>
            <w:vMerge w:val="restart"/>
            <w:shd w:val="clear" w:color="auto" w:fill="CECAC6"/>
          </w:tcPr>
          <w:p>
            <w:pPr>
              <w:jc w:val="right"/>
              <w:spacing w:after="0" w:line="133" w:lineRule="exact"/>
              <w:rPr>
                <w:sz w:val="20"/>
                <w:szCs w:val="20"/>
                <w:color w:val="auto"/>
              </w:rPr>
            </w:pPr>
            <w:r>
              <w:rPr>
                <w:rFonts w:ascii="Arial" w:cs="Arial" w:eastAsia="Arial" w:hAnsi="Arial"/>
                <w:sz w:val="12"/>
                <w:szCs w:val="12"/>
                <w:color w:val="auto"/>
                <w:w w:val="89"/>
              </w:rPr>
              <w:t>2007</w:t>
            </w:r>
          </w:p>
        </w:tc>
        <w:tc>
          <w:tcPr>
            <w:tcW w:w="80" w:type="dxa"/>
            <w:vAlign w:val="bottom"/>
            <w:tcBorders>
              <w:right w:val="single" w:sz="8" w:color="CECAC6"/>
            </w:tcBorders>
            <w:shd w:val="clear" w:color="auto" w:fill="CECAC6"/>
          </w:tcPr>
          <w:p>
            <w:pPr>
              <w:spacing w:after="0"/>
              <w:rPr>
                <w:sz w:val="5"/>
                <w:szCs w:val="5"/>
                <w:color w:val="auto"/>
              </w:rPr>
            </w:pPr>
          </w:p>
        </w:tc>
        <w:tc>
          <w:tcPr>
            <w:tcW w:w="720" w:type="dxa"/>
            <w:vAlign w:val="bottom"/>
            <w:vMerge w:val="restart"/>
            <w:shd w:val="clear" w:color="auto" w:fill="CECAC6"/>
          </w:tcPr>
          <w:p>
            <w:pPr>
              <w:jc w:val="right"/>
              <w:ind w:right="118"/>
              <w:spacing w:after="0" w:line="133" w:lineRule="exact"/>
              <w:rPr>
                <w:sz w:val="20"/>
                <w:szCs w:val="20"/>
                <w:color w:val="auto"/>
              </w:rPr>
            </w:pPr>
            <w:r>
              <w:rPr>
                <w:rFonts w:ascii="Arial" w:cs="Arial" w:eastAsia="Arial" w:hAnsi="Arial"/>
                <w:sz w:val="12"/>
                <w:szCs w:val="12"/>
                <w:color w:val="auto"/>
              </w:rPr>
              <w:t>2006</w:t>
            </w:r>
          </w:p>
        </w:tc>
        <w:tc>
          <w:tcPr>
            <w:tcW w:w="660" w:type="dxa"/>
            <w:vAlign w:val="bottom"/>
            <w:vMerge w:val="restart"/>
            <w:shd w:val="clear" w:color="auto" w:fill="CECAC6"/>
          </w:tcPr>
          <w:p>
            <w:pPr>
              <w:jc w:val="right"/>
              <w:ind w:right="98"/>
              <w:spacing w:after="0" w:line="133"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73"/>
        </w:trPr>
        <w:tc>
          <w:tcPr>
            <w:tcW w:w="3860" w:type="dxa"/>
            <w:vAlign w:val="bottom"/>
            <w:vMerge w:val="restart"/>
          </w:tcPr>
          <w:p>
            <w:pPr>
              <w:ind w:left="20"/>
              <w:spacing w:after="0"/>
              <w:rPr>
                <w:sz w:val="20"/>
                <w:szCs w:val="20"/>
                <w:color w:val="auto"/>
              </w:rPr>
            </w:pPr>
            <w:r>
              <w:rPr>
                <w:rFonts w:ascii="Arial" w:cs="Arial" w:eastAsia="Arial" w:hAnsi="Arial"/>
                <w:sz w:val="12"/>
                <w:szCs w:val="12"/>
                <w:color w:val="auto"/>
              </w:rPr>
              <w:t>ordinary shares.</w:t>
            </w: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right w:val="single" w:sz="8" w:color="CECAC6"/>
            </w:tcBorders>
            <w:shd w:val="clear" w:color="auto" w:fill="CECAC6"/>
          </w:tcPr>
          <w:p>
            <w:pPr>
              <w:spacing w:after="0"/>
              <w:rPr>
                <w:sz w:val="6"/>
                <w:szCs w:val="6"/>
                <w:color w:val="auto"/>
              </w:rPr>
            </w:pPr>
          </w:p>
        </w:tc>
        <w:tc>
          <w:tcPr>
            <w:tcW w:w="320" w:type="dxa"/>
            <w:vAlign w:val="bottom"/>
            <w:tcBorders>
              <w:right w:val="single" w:sz="8" w:color="CECAC6"/>
            </w:tcBorders>
            <w:gridSpan w:val="2"/>
            <w:vMerge w:val="continue"/>
            <w:shd w:val="clear" w:color="auto" w:fill="CECAC6"/>
          </w:tcPr>
          <w:p>
            <w:pPr>
              <w:spacing w:after="0"/>
              <w:rPr>
                <w:sz w:val="6"/>
                <w:szCs w:val="6"/>
                <w:color w:val="auto"/>
              </w:rPr>
            </w:pPr>
          </w:p>
        </w:tc>
        <w:tc>
          <w:tcPr>
            <w:tcW w:w="80" w:type="dxa"/>
            <w:vAlign w:val="bottom"/>
            <w:tcBorders>
              <w:right w:val="single" w:sz="8" w:color="CECAC6"/>
            </w:tcBorders>
            <w:shd w:val="clear" w:color="auto" w:fill="CECAC6"/>
          </w:tcPr>
          <w:p>
            <w:pPr>
              <w:spacing w:after="0"/>
              <w:rPr>
                <w:sz w:val="6"/>
                <w:szCs w:val="6"/>
                <w:color w:val="auto"/>
              </w:rPr>
            </w:pPr>
          </w:p>
        </w:tc>
        <w:tc>
          <w:tcPr>
            <w:tcW w:w="720" w:type="dxa"/>
            <w:vAlign w:val="bottom"/>
            <w:vMerge w:val="continue"/>
            <w:shd w:val="clear" w:color="auto" w:fill="CECAC6"/>
          </w:tcPr>
          <w:p>
            <w:pPr>
              <w:spacing w:after="0"/>
              <w:rPr>
                <w:sz w:val="6"/>
                <w:szCs w:val="6"/>
                <w:color w:val="auto"/>
              </w:rPr>
            </w:pPr>
          </w:p>
        </w:tc>
        <w:tc>
          <w:tcPr>
            <w:tcW w:w="660" w:type="dxa"/>
            <w:vAlign w:val="bottom"/>
            <w:vMerge w:val="continue"/>
            <w:shd w:val="clear" w:color="auto" w:fill="CECAC6"/>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3860" w:type="dxa"/>
            <w:vAlign w:val="bottom"/>
            <w:tcBorders>
              <w:bottom w:val="single" w:sz="8" w:color="auto"/>
            </w:tcBorders>
            <w:vMerge w:val="continue"/>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3580" w:type="dxa"/>
            <w:vAlign w:val="bottom"/>
            <w:tcBorders>
              <w:right w:val="single" w:sz="8" w:color="E4E3E1"/>
            </w:tcBorders>
            <w:vMerge w:val="restart"/>
          </w:tcPr>
          <w:p>
            <w:pPr>
              <w:spacing w:after="0" w:line="128" w:lineRule="exact"/>
              <w:rPr>
                <w:sz w:val="20"/>
                <w:szCs w:val="20"/>
                <w:color w:val="auto"/>
              </w:rPr>
            </w:pPr>
            <w:r>
              <w:rPr>
                <w:rFonts w:ascii="Arial" w:cs="Arial" w:eastAsia="Arial" w:hAnsi="Arial"/>
                <w:sz w:val="12"/>
                <w:szCs w:val="12"/>
                <w:color w:val="auto"/>
              </w:rPr>
              <w:t>Q1</w:t>
            </w:r>
          </w:p>
        </w:tc>
        <w:tc>
          <w:tcPr>
            <w:tcW w:w="320" w:type="dxa"/>
            <w:vAlign w:val="bottom"/>
            <w:tcBorders>
              <w:bottom w:val="single" w:sz="8" w:color="E4E3E1"/>
              <w:right w:val="single" w:sz="8" w:color="E4E3E1"/>
            </w:tcBorders>
            <w:gridSpan w:val="2"/>
            <w:vMerge w:val="restart"/>
            <w:shd w:val="clear" w:color="auto" w:fill="E4E3E1"/>
          </w:tcPr>
          <w:p>
            <w:pPr>
              <w:jc w:val="right"/>
              <w:spacing w:after="0" w:line="128" w:lineRule="exact"/>
              <w:rPr>
                <w:sz w:val="20"/>
                <w:szCs w:val="20"/>
                <w:color w:val="auto"/>
              </w:rPr>
            </w:pPr>
            <w:r>
              <w:rPr>
                <w:rFonts w:ascii="Arial" w:cs="Arial" w:eastAsia="Arial" w:hAnsi="Arial"/>
                <w:sz w:val="12"/>
                <w:szCs w:val="12"/>
                <w:color w:val="auto"/>
                <w:w w:val="79"/>
              </w:rPr>
              <w:t>18.09</w:t>
            </w:r>
          </w:p>
        </w:tc>
        <w:tc>
          <w:tcPr>
            <w:tcW w:w="80" w:type="dxa"/>
            <w:vAlign w:val="bottom"/>
          </w:tcPr>
          <w:p>
            <w:pPr>
              <w:spacing w:after="0"/>
              <w:rPr>
                <w:sz w:val="6"/>
                <w:szCs w:val="6"/>
                <w:color w:val="auto"/>
              </w:rPr>
            </w:pPr>
          </w:p>
        </w:tc>
        <w:tc>
          <w:tcPr>
            <w:tcW w:w="720" w:type="dxa"/>
            <w:vAlign w:val="bottom"/>
            <w:vMerge w:val="restart"/>
          </w:tcPr>
          <w:p>
            <w:pPr>
              <w:jc w:val="right"/>
              <w:ind w:right="118"/>
              <w:spacing w:after="0" w:line="128" w:lineRule="exact"/>
              <w:rPr>
                <w:sz w:val="20"/>
                <w:szCs w:val="20"/>
                <w:color w:val="auto"/>
              </w:rPr>
            </w:pPr>
            <w:r>
              <w:rPr>
                <w:rFonts w:ascii="Arial" w:cs="Arial" w:eastAsia="Arial" w:hAnsi="Arial"/>
                <w:sz w:val="12"/>
                <w:szCs w:val="12"/>
                <w:color w:val="auto"/>
              </w:rPr>
              <w:t>17.13</w:t>
            </w:r>
          </w:p>
        </w:tc>
        <w:tc>
          <w:tcPr>
            <w:tcW w:w="660" w:type="dxa"/>
            <w:vAlign w:val="bottom"/>
            <w:vMerge w:val="restart"/>
          </w:tcPr>
          <w:p>
            <w:pPr>
              <w:jc w:val="right"/>
              <w:spacing w:after="0" w:line="128" w:lineRule="exact"/>
              <w:rPr>
                <w:sz w:val="20"/>
                <w:szCs w:val="20"/>
                <w:color w:val="auto"/>
              </w:rPr>
            </w:pPr>
            <w:r>
              <w:rPr>
                <w:rFonts w:ascii="Arial" w:cs="Arial" w:eastAsia="Arial" w:hAnsi="Arial"/>
                <w:sz w:val="12"/>
                <w:szCs w:val="12"/>
                <w:color w:val="auto"/>
              </w:rPr>
              <w:t>15.84[B]</w:t>
            </w:r>
          </w:p>
        </w:tc>
        <w:tc>
          <w:tcPr>
            <w:tcW w:w="0" w:type="dxa"/>
            <w:vAlign w:val="bottom"/>
          </w:tcPr>
          <w:p>
            <w:pPr>
              <w:spacing w:after="0"/>
              <w:rPr>
                <w:sz w:val="1"/>
                <w:szCs w:val="1"/>
                <w:color w:val="auto"/>
              </w:rPr>
            </w:pPr>
          </w:p>
        </w:tc>
      </w:tr>
      <w:tr>
        <w:trPr>
          <w:trHeight w:val="34"/>
        </w:trPr>
        <w:tc>
          <w:tcPr>
            <w:tcW w:w="3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580" w:type="dxa"/>
            <w:vAlign w:val="bottom"/>
            <w:tcBorders>
              <w:right w:val="single" w:sz="8" w:color="E4E3E1"/>
            </w:tcBorders>
            <w:vMerge w:val="continue"/>
          </w:tcPr>
          <w:p>
            <w:pPr>
              <w:spacing w:after="0"/>
              <w:rPr>
                <w:sz w:val="2"/>
                <w:szCs w:val="2"/>
                <w:color w:val="auto"/>
              </w:rPr>
            </w:pPr>
          </w:p>
        </w:tc>
        <w:tc>
          <w:tcPr>
            <w:tcW w:w="320" w:type="dxa"/>
            <w:vAlign w:val="bottom"/>
            <w:tcBorders>
              <w:right w:val="single" w:sz="8" w:color="E4E3E1"/>
            </w:tcBorders>
            <w:gridSpan w:val="2"/>
            <w:vMerge w:val="continue"/>
            <w:shd w:val="clear" w:color="auto" w:fill="E4E3E1"/>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Q2</w:t>
            </w:r>
          </w:p>
        </w:tc>
        <w:tc>
          <w:tcPr>
            <w:tcW w:w="320" w:type="dxa"/>
            <w:vAlign w:val="bottom"/>
            <w:tcBorders>
              <w:right w:val="single" w:sz="8" w:color="E4E3E1"/>
            </w:tcBorders>
            <w:gridSpan w:val="2"/>
            <w:shd w:val="clear" w:color="auto" w:fill="E4E3E1"/>
          </w:tcPr>
          <w:p>
            <w:pPr>
              <w:jc w:val="right"/>
              <w:spacing w:after="0" w:line="133" w:lineRule="exact"/>
              <w:rPr>
                <w:sz w:val="20"/>
                <w:szCs w:val="20"/>
                <w:color w:val="auto"/>
              </w:rPr>
            </w:pPr>
            <w:r>
              <w:rPr>
                <w:rFonts w:ascii="Arial" w:cs="Arial" w:eastAsia="Arial" w:hAnsi="Arial"/>
                <w:sz w:val="12"/>
                <w:szCs w:val="12"/>
                <w:color w:val="auto"/>
                <w:w w:val="79"/>
                <w:shd w:val="clear" w:color="auto" w:fill="E4E3E1"/>
              </w:rPr>
              <w:t>17.56</w:t>
            </w:r>
          </w:p>
        </w:tc>
        <w:tc>
          <w:tcPr>
            <w:tcW w:w="80" w:type="dxa"/>
            <w:vAlign w:val="bottom"/>
          </w:tcPr>
          <w:p>
            <w:pPr>
              <w:spacing w:after="0"/>
              <w:rPr>
                <w:sz w:val="11"/>
                <w:szCs w:val="11"/>
                <w:color w:val="auto"/>
              </w:rPr>
            </w:pP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17.08</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15.89</w:t>
            </w:r>
          </w:p>
        </w:tc>
        <w:tc>
          <w:tcPr>
            <w:tcW w:w="0" w:type="dxa"/>
            <w:vAlign w:val="bottom"/>
          </w:tcPr>
          <w:p>
            <w:pPr>
              <w:spacing w:after="0"/>
              <w:rPr>
                <w:sz w:val="1"/>
                <w:szCs w:val="1"/>
                <w:color w:val="auto"/>
              </w:rPr>
            </w:pPr>
          </w:p>
        </w:tc>
      </w:tr>
      <w:tr>
        <w:trPr>
          <w:trHeight w:val="133"/>
        </w:trPr>
        <w:tc>
          <w:tcPr>
            <w:tcW w:w="3860" w:type="dxa"/>
            <w:vAlign w:val="bottom"/>
            <w:vMerge w:val="restart"/>
          </w:tcPr>
          <w:p>
            <w:pPr>
              <w:spacing w:after="0"/>
              <w:rPr>
                <w:sz w:val="20"/>
                <w:szCs w:val="20"/>
                <w:color w:val="auto"/>
              </w:rPr>
            </w:pPr>
            <w:r>
              <w:rPr>
                <w:rFonts w:ascii="Arial" w:cs="Arial" w:eastAsia="Arial" w:hAnsi="Arial"/>
                <w:sz w:val="14"/>
                <w:szCs w:val="14"/>
                <w:b w:val="1"/>
                <w:bCs w:val="1"/>
                <w:color w:val="auto"/>
              </w:rPr>
              <w:t>DIVIDENDS</w:t>
            </w: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Borders>
              <w:right w:val="single" w:sz="8" w:color="E4E3E1"/>
            </w:tcBorders>
          </w:tcPr>
          <w:p>
            <w:pPr>
              <w:spacing w:after="0" w:line="133" w:lineRule="exact"/>
              <w:rPr>
                <w:sz w:val="20"/>
                <w:szCs w:val="20"/>
                <w:color w:val="auto"/>
              </w:rPr>
            </w:pPr>
            <w:r>
              <w:rPr>
                <w:rFonts w:ascii="Arial" w:cs="Arial" w:eastAsia="Arial" w:hAnsi="Arial"/>
                <w:sz w:val="12"/>
                <w:szCs w:val="12"/>
                <w:color w:val="auto"/>
              </w:rPr>
              <w:t>Q3</w:t>
            </w:r>
          </w:p>
        </w:tc>
        <w:tc>
          <w:tcPr>
            <w:tcW w:w="320" w:type="dxa"/>
            <w:vAlign w:val="bottom"/>
            <w:tcBorders>
              <w:right w:val="single" w:sz="8" w:color="E4E3E1"/>
            </w:tcBorders>
            <w:gridSpan w:val="2"/>
            <w:shd w:val="clear" w:color="auto" w:fill="E4E3E1"/>
          </w:tcPr>
          <w:p>
            <w:pPr>
              <w:jc w:val="right"/>
              <w:spacing w:after="0" w:line="133" w:lineRule="exact"/>
              <w:rPr>
                <w:sz w:val="20"/>
                <w:szCs w:val="20"/>
                <w:color w:val="auto"/>
              </w:rPr>
            </w:pPr>
            <w:r>
              <w:rPr>
                <w:rFonts w:ascii="Arial" w:cs="Arial" w:eastAsia="Arial" w:hAnsi="Arial"/>
                <w:sz w:val="12"/>
                <w:szCs w:val="12"/>
                <w:color w:val="auto"/>
                <w:w w:val="79"/>
              </w:rPr>
              <w:t>17.59</w:t>
            </w:r>
          </w:p>
        </w:tc>
        <w:tc>
          <w:tcPr>
            <w:tcW w:w="80" w:type="dxa"/>
            <w:vAlign w:val="bottom"/>
          </w:tcPr>
          <w:p>
            <w:pPr>
              <w:spacing w:after="0"/>
              <w:rPr>
                <w:sz w:val="11"/>
                <w:szCs w:val="11"/>
                <w:color w:val="auto"/>
              </w:rPr>
            </w:pPr>
          </w:p>
        </w:tc>
        <w:tc>
          <w:tcPr>
            <w:tcW w:w="720" w:type="dxa"/>
            <w:vAlign w:val="bottom"/>
          </w:tcPr>
          <w:p>
            <w:pPr>
              <w:jc w:val="right"/>
              <w:ind w:right="118"/>
              <w:spacing w:after="0" w:line="133" w:lineRule="exact"/>
              <w:rPr>
                <w:sz w:val="20"/>
                <w:szCs w:val="20"/>
                <w:color w:val="auto"/>
              </w:rPr>
            </w:pPr>
            <w:r>
              <w:rPr>
                <w:rFonts w:ascii="Arial" w:cs="Arial" w:eastAsia="Arial" w:hAnsi="Arial"/>
                <w:sz w:val="12"/>
                <w:szCs w:val="12"/>
                <w:color w:val="auto"/>
              </w:rPr>
              <w:t>16.77</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15.64</w:t>
            </w:r>
          </w:p>
        </w:tc>
        <w:tc>
          <w:tcPr>
            <w:tcW w:w="0" w:type="dxa"/>
            <w:vAlign w:val="bottom"/>
          </w:tcPr>
          <w:p>
            <w:pPr>
              <w:spacing w:after="0"/>
              <w:rPr>
                <w:sz w:val="1"/>
                <w:szCs w:val="1"/>
                <w:color w:val="auto"/>
              </w:rPr>
            </w:pPr>
          </w:p>
        </w:tc>
      </w:tr>
      <w:tr>
        <w:trPr>
          <w:trHeight w:val="67"/>
        </w:trPr>
        <w:tc>
          <w:tcPr>
            <w:tcW w:w="386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580" w:type="dxa"/>
            <w:vAlign w:val="bottom"/>
            <w:tcBorders>
              <w:right w:val="single" w:sz="8" w:color="E4E3E1"/>
            </w:tcBorders>
            <w:vMerge w:val="restart"/>
          </w:tcPr>
          <w:p>
            <w:pPr>
              <w:spacing w:after="0"/>
              <w:rPr>
                <w:sz w:val="20"/>
                <w:szCs w:val="20"/>
                <w:color w:val="auto"/>
              </w:rPr>
            </w:pPr>
            <w:r>
              <w:rPr>
                <w:rFonts w:ascii="Arial" w:cs="Arial" w:eastAsia="Arial" w:hAnsi="Arial"/>
                <w:sz w:val="12"/>
                <w:szCs w:val="12"/>
                <w:color w:val="auto"/>
              </w:rPr>
              <w:t>Q4</w:t>
            </w:r>
          </w:p>
        </w:tc>
        <w:tc>
          <w:tcPr>
            <w:tcW w:w="320" w:type="dxa"/>
            <w:vAlign w:val="bottom"/>
            <w:tcBorders>
              <w:right w:val="single" w:sz="8" w:color="E4E3E1"/>
            </w:tcBorders>
            <w:gridSpan w:val="2"/>
            <w:vMerge w:val="restart"/>
            <w:shd w:val="clear" w:color="auto" w:fill="E4E3E1"/>
          </w:tcPr>
          <w:p>
            <w:pPr>
              <w:jc w:val="right"/>
              <w:spacing w:after="0"/>
              <w:rPr>
                <w:sz w:val="20"/>
                <w:szCs w:val="20"/>
                <w:color w:val="auto"/>
              </w:rPr>
            </w:pPr>
            <w:r>
              <w:rPr>
                <w:rFonts w:ascii="Arial" w:cs="Arial" w:eastAsia="Arial" w:hAnsi="Arial"/>
                <w:sz w:val="12"/>
                <w:szCs w:val="12"/>
                <w:color w:val="auto"/>
                <w:w w:val="79"/>
              </w:rPr>
              <w:t>18.11</w:t>
            </w:r>
          </w:p>
        </w:tc>
        <w:tc>
          <w:tcPr>
            <w:tcW w:w="80" w:type="dxa"/>
            <w:vAlign w:val="bottom"/>
          </w:tcPr>
          <w:p>
            <w:pPr>
              <w:spacing w:after="0"/>
              <w:rPr>
                <w:sz w:val="5"/>
                <w:szCs w:val="5"/>
                <w:color w:val="auto"/>
              </w:rPr>
            </w:pP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color w:val="auto"/>
              </w:rPr>
              <w:t>16.60</w:t>
            </w:r>
          </w:p>
        </w:tc>
        <w:tc>
          <w:tcPr>
            <w:tcW w:w="660" w:type="dxa"/>
            <w:vAlign w:val="bottom"/>
            <w:vMerge w:val="restart"/>
          </w:tcPr>
          <w:p>
            <w:pPr>
              <w:jc w:val="right"/>
              <w:ind w:right="98"/>
              <w:spacing w:after="0"/>
              <w:rPr>
                <w:sz w:val="20"/>
                <w:szCs w:val="20"/>
                <w:color w:val="auto"/>
              </w:rPr>
            </w:pPr>
            <w:r>
              <w:rPr>
                <w:rFonts w:ascii="Arial" w:cs="Arial" w:eastAsia="Arial" w:hAnsi="Arial"/>
                <w:sz w:val="12"/>
                <w:szCs w:val="12"/>
                <w:color w:val="auto"/>
              </w:rPr>
              <w:t>15.64</w:t>
            </w:r>
          </w:p>
        </w:tc>
        <w:tc>
          <w:tcPr>
            <w:tcW w:w="0" w:type="dxa"/>
            <w:vAlign w:val="bottom"/>
          </w:tcPr>
          <w:p>
            <w:pPr>
              <w:spacing w:after="0"/>
              <w:rPr>
                <w:sz w:val="1"/>
                <w:szCs w:val="1"/>
                <w:color w:val="auto"/>
              </w:rPr>
            </w:pPr>
          </w:p>
        </w:tc>
      </w:tr>
      <w:tr>
        <w:trPr>
          <w:trHeight w:val="72"/>
        </w:trPr>
        <w:tc>
          <w:tcPr>
            <w:tcW w:w="5600" w:type="dxa"/>
            <w:vAlign w:val="bottom"/>
            <w:gridSpan w:val="4"/>
            <w:vMerge w:val="restart"/>
          </w:tcPr>
          <w:p>
            <w:pPr>
              <w:spacing w:after="0" w:line="147" w:lineRule="exact"/>
              <w:rPr>
                <w:sz w:val="20"/>
                <w:szCs w:val="20"/>
                <w:color w:val="auto"/>
              </w:rPr>
            </w:pPr>
            <w:r>
              <w:rPr>
                <w:rFonts w:ascii="Arial" w:cs="Arial" w:eastAsia="Arial" w:hAnsi="Arial"/>
                <w:sz w:val="14"/>
                <w:szCs w:val="14"/>
                <w:color w:val="auto"/>
                <w:w w:val="97"/>
              </w:rPr>
              <w:t>Royal Dutch Shell intends to pay quarterly dividends and to grow the dividend at least in line</w:t>
            </w:r>
          </w:p>
        </w:tc>
        <w:tc>
          <w:tcPr>
            <w:tcW w:w="3580" w:type="dxa"/>
            <w:vAlign w:val="bottom"/>
            <w:tcBorders>
              <w:bottom w:val="single" w:sz="8" w:color="auto"/>
              <w:right w:val="single" w:sz="8" w:color="E4E3E1"/>
            </w:tcBorders>
            <w:vMerge w:val="continue"/>
          </w:tcPr>
          <w:p>
            <w:pPr>
              <w:spacing w:after="0"/>
              <w:rPr>
                <w:sz w:val="6"/>
                <w:szCs w:val="6"/>
                <w:color w:val="auto"/>
              </w:rPr>
            </w:pPr>
          </w:p>
        </w:tc>
        <w:tc>
          <w:tcPr>
            <w:tcW w:w="320" w:type="dxa"/>
            <w:vAlign w:val="bottom"/>
            <w:tcBorders>
              <w:bottom w:val="single" w:sz="8" w:color="auto"/>
              <w:right w:val="single" w:sz="8" w:color="E4E3E1"/>
            </w:tcBorders>
            <w:gridSpan w:val="2"/>
            <w:vMerge w:val="continue"/>
            <w:shd w:val="clear" w:color="auto" w:fill="E4E3E1"/>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5600" w:type="dxa"/>
            <w:vAlign w:val="bottom"/>
            <w:gridSpan w:val="4"/>
            <w:vMerge w:val="continue"/>
          </w:tcPr>
          <w:p>
            <w:pPr>
              <w:spacing w:after="0"/>
              <w:rPr>
                <w:sz w:val="4"/>
                <w:szCs w:val="4"/>
                <w:color w:val="auto"/>
              </w:rPr>
            </w:pPr>
          </w:p>
        </w:tc>
        <w:tc>
          <w:tcPr>
            <w:tcW w:w="3580" w:type="dxa"/>
            <w:vAlign w:val="bottom"/>
            <w:tcBorders>
              <w:right w:val="single" w:sz="8" w:color="E4E3E1"/>
            </w:tcBorders>
            <w:vMerge w:val="restart"/>
          </w:tcPr>
          <w:p>
            <w:pPr>
              <w:spacing w:after="0"/>
              <w:rPr>
                <w:sz w:val="20"/>
                <w:szCs w:val="20"/>
                <w:color w:val="auto"/>
              </w:rPr>
            </w:pPr>
            <w:r>
              <w:rPr>
                <w:rFonts w:ascii="Arial" w:cs="Arial" w:eastAsia="Arial" w:hAnsi="Arial"/>
                <w:sz w:val="12"/>
                <w:szCs w:val="12"/>
                <w:color w:val="auto"/>
              </w:rPr>
              <w:t>Total declared during the year</w:t>
            </w:r>
          </w:p>
        </w:tc>
        <w:tc>
          <w:tcPr>
            <w:tcW w:w="320" w:type="dxa"/>
            <w:vAlign w:val="bottom"/>
            <w:tcBorders>
              <w:right w:val="single" w:sz="8" w:color="E4E3E1"/>
            </w:tcBorders>
            <w:gridSpan w:val="2"/>
            <w:vMerge w:val="restart"/>
            <w:shd w:val="clear" w:color="auto" w:fill="E4E3E1"/>
          </w:tcPr>
          <w:p>
            <w:pPr>
              <w:jc w:val="right"/>
              <w:spacing w:after="0"/>
              <w:rPr>
                <w:sz w:val="20"/>
                <w:szCs w:val="20"/>
                <w:color w:val="auto"/>
              </w:rPr>
            </w:pPr>
            <w:r>
              <w:rPr>
                <w:rFonts w:ascii="Arial" w:cs="Arial" w:eastAsia="Arial" w:hAnsi="Arial"/>
                <w:sz w:val="12"/>
                <w:szCs w:val="12"/>
                <w:color w:val="auto"/>
                <w:w w:val="79"/>
              </w:rPr>
              <w:t>71.35</w:t>
            </w:r>
          </w:p>
        </w:tc>
        <w:tc>
          <w:tcPr>
            <w:tcW w:w="80" w:type="dxa"/>
            <w:vAlign w:val="bottom"/>
          </w:tcPr>
          <w:p>
            <w:pPr>
              <w:spacing w:after="0"/>
              <w:rPr>
                <w:sz w:val="4"/>
                <w:szCs w:val="4"/>
                <w:color w:val="auto"/>
              </w:rPr>
            </w:pP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color w:val="auto"/>
              </w:rPr>
              <w:t>67.58</w:t>
            </w:r>
          </w:p>
        </w:tc>
        <w:tc>
          <w:tcPr>
            <w:tcW w:w="660" w:type="dxa"/>
            <w:vAlign w:val="bottom"/>
            <w:vMerge w:val="restart"/>
          </w:tcPr>
          <w:p>
            <w:pPr>
              <w:jc w:val="right"/>
              <w:ind w:right="98"/>
              <w:spacing w:after="0"/>
              <w:rPr>
                <w:sz w:val="20"/>
                <w:szCs w:val="20"/>
                <w:color w:val="auto"/>
              </w:rPr>
            </w:pPr>
            <w:r>
              <w:rPr>
                <w:rFonts w:ascii="Arial" w:cs="Arial" w:eastAsia="Arial" w:hAnsi="Arial"/>
                <w:sz w:val="12"/>
                <w:szCs w:val="12"/>
                <w:color w:val="auto"/>
              </w:rPr>
              <w:t>63.01</w:t>
            </w:r>
          </w:p>
        </w:tc>
        <w:tc>
          <w:tcPr>
            <w:tcW w:w="0" w:type="dxa"/>
            <w:vAlign w:val="bottom"/>
          </w:tcPr>
          <w:p>
            <w:pPr>
              <w:spacing w:after="0"/>
              <w:rPr>
                <w:sz w:val="1"/>
                <w:szCs w:val="1"/>
                <w:color w:val="auto"/>
              </w:rPr>
            </w:pPr>
          </w:p>
        </w:tc>
      </w:tr>
      <w:tr>
        <w:trPr>
          <w:trHeight w:val="85"/>
        </w:trPr>
        <w:tc>
          <w:tcPr>
            <w:tcW w:w="5600" w:type="dxa"/>
            <w:vAlign w:val="bottom"/>
            <w:gridSpan w:val="4"/>
            <w:vMerge w:val="restart"/>
          </w:tcPr>
          <w:p>
            <w:pPr>
              <w:spacing w:after="0" w:line="147" w:lineRule="exact"/>
              <w:rPr>
                <w:sz w:val="20"/>
                <w:szCs w:val="20"/>
                <w:color w:val="auto"/>
              </w:rPr>
            </w:pPr>
            <w:r>
              <w:rPr>
                <w:rFonts w:ascii="Arial" w:cs="Arial" w:eastAsia="Arial" w:hAnsi="Arial"/>
                <w:sz w:val="14"/>
                <w:szCs w:val="14"/>
                <w:color w:val="auto"/>
                <w:w w:val="98"/>
              </w:rPr>
              <w:t>with inflation over a number of years. On February 1, 2007 the Board announced that going</w:t>
            </w:r>
          </w:p>
        </w:tc>
        <w:tc>
          <w:tcPr>
            <w:tcW w:w="3580" w:type="dxa"/>
            <w:vAlign w:val="bottom"/>
            <w:tcBorders>
              <w:bottom w:val="single" w:sz="8" w:color="auto"/>
              <w:right w:val="single" w:sz="8" w:color="E4E3E1"/>
            </w:tcBorders>
            <w:vMerge w:val="continue"/>
          </w:tcPr>
          <w:p>
            <w:pPr>
              <w:spacing w:after="0"/>
              <w:rPr>
                <w:sz w:val="7"/>
                <w:szCs w:val="7"/>
                <w:color w:val="auto"/>
              </w:rPr>
            </w:pPr>
          </w:p>
        </w:tc>
        <w:tc>
          <w:tcPr>
            <w:tcW w:w="320" w:type="dxa"/>
            <w:vAlign w:val="bottom"/>
            <w:tcBorders>
              <w:bottom w:val="single" w:sz="8" w:color="auto"/>
              <w:right w:val="single" w:sz="8" w:color="E4E3E1"/>
            </w:tcBorders>
            <w:gridSpan w:val="2"/>
            <w:vMerge w:val="continue"/>
            <w:shd w:val="clear" w:color="auto" w:fill="E4E3E1"/>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5600" w:type="dxa"/>
            <w:vAlign w:val="bottom"/>
            <w:gridSpan w:val="4"/>
            <w:vMerge w:val="continue"/>
          </w:tcPr>
          <w:p>
            <w:pPr>
              <w:spacing w:after="0"/>
              <w:rPr>
                <w:sz w:val="3"/>
                <w:szCs w:val="3"/>
                <w:color w:val="auto"/>
              </w:rPr>
            </w:pPr>
          </w:p>
        </w:tc>
        <w:tc>
          <w:tcPr>
            <w:tcW w:w="3580" w:type="dxa"/>
            <w:vAlign w:val="bottom"/>
            <w:tcBorders>
              <w:right w:val="single" w:sz="8" w:color="E4E3E1"/>
            </w:tcBorders>
            <w:vMerge w:val="restart"/>
          </w:tcPr>
          <w:p>
            <w:pPr>
              <w:spacing w:after="0"/>
              <w:rPr>
                <w:sz w:val="20"/>
                <w:szCs w:val="20"/>
                <w:color w:val="auto"/>
              </w:rPr>
            </w:pPr>
            <w:r>
              <w:rPr>
                <w:rFonts w:ascii="Arial" w:cs="Arial" w:eastAsia="Arial" w:hAnsi="Arial"/>
                <w:sz w:val="12"/>
                <w:szCs w:val="12"/>
                <w:color w:val="auto"/>
              </w:rPr>
              <w:t>Amount paid during the year</w:t>
            </w:r>
          </w:p>
        </w:tc>
        <w:tc>
          <w:tcPr>
            <w:tcW w:w="320" w:type="dxa"/>
            <w:vAlign w:val="bottom"/>
            <w:tcBorders>
              <w:right w:val="single" w:sz="8" w:color="E4E3E1"/>
            </w:tcBorders>
            <w:gridSpan w:val="2"/>
            <w:vMerge w:val="restart"/>
            <w:shd w:val="clear" w:color="auto" w:fill="E4E3E1"/>
          </w:tcPr>
          <w:p>
            <w:pPr>
              <w:jc w:val="right"/>
              <w:spacing w:after="0"/>
              <w:rPr>
                <w:sz w:val="20"/>
                <w:szCs w:val="20"/>
                <w:color w:val="auto"/>
              </w:rPr>
            </w:pPr>
            <w:r>
              <w:rPr>
                <w:rFonts w:ascii="Arial" w:cs="Arial" w:eastAsia="Arial" w:hAnsi="Arial"/>
                <w:sz w:val="12"/>
                <w:szCs w:val="12"/>
                <w:color w:val="auto"/>
                <w:w w:val="79"/>
              </w:rPr>
              <w:t>69.84</w:t>
            </w:r>
          </w:p>
        </w:tc>
        <w:tc>
          <w:tcPr>
            <w:tcW w:w="80" w:type="dxa"/>
            <w:vAlign w:val="bottom"/>
          </w:tcPr>
          <w:p>
            <w:pPr>
              <w:spacing w:after="0"/>
              <w:rPr>
                <w:sz w:val="3"/>
                <w:szCs w:val="3"/>
                <w:color w:val="auto"/>
              </w:rPr>
            </w:pPr>
          </w:p>
        </w:tc>
        <w:tc>
          <w:tcPr>
            <w:tcW w:w="720" w:type="dxa"/>
            <w:vAlign w:val="bottom"/>
            <w:vMerge w:val="restart"/>
          </w:tcPr>
          <w:p>
            <w:pPr>
              <w:jc w:val="right"/>
              <w:ind w:right="118"/>
              <w:spacing w:after="0"/>
              <w:rPr>
                <w:sz w:val="20"/>
                <w:szCs w:val="20"/>
                <w:color w:val="auto"/>
              </w:rPr>
            </w:pPr>
            <w:r>
              <w:rPr>
                <w:rFonts w:ascii="Arial" w:cs="Arial" w:eastAsia="Arial" w:hAnsi="Arial"/>
                <w:sz w:val="12"/>
                <w:szCs w:val="12"/>
                <w:color w:val="auto"/>
              </w:rPr>
              <w:t>66.62</w:t>
            </w:r>
          </w:p>
        </w:tc>
        <w:tc>
          <w:tcPr>
            <w:tcW w:w="660" w:type="dxa"/>
            <w:vAlign w:val="bottom"/>
            <w:vMerge w:val="restart"/>
          </w:tcPr>
          <w:p>
            <w:pPr>
              <w:jc w:val="right"/>
              <w:ind w:right="98"/>
              <w:spacing w:after="0"/>
              <w:rPr>
                <w:sz w:val="20"/>
                <w:szCs w:val="20"/>
                <w:color w:val="auto"/>
              </w:rPr>
            </w:pPr>
            <w:r>
              <w:rPr>
                <w:rFonts w:ascii="Arial" w:cs="Arial" w:eastAsia="Arial" w:hAnsi="Arial"/>
                <w:sz w:val="12"/>
                <w:szCs w:val="12"/>
                <w:color w:val="auto"/>
              </w:rPr>
              <w:t>84.61</w:t>
            </w:r>
          </w:p>
        </w:tc>
        <w:tc>
          <w:tcPr>
            <w:tcW w:w="0" w:type="dxa"/>
            <w:vAlign w:val="bottom"/>
          </w:tcPr>
          <w:p>
            <w:pPr>
              <w:spacing w:after="0"/>
              <w:rPr>
                <w:sz w:val="1"/>
                <w:szCs w:val="1"/>
                <w:color w:val="auto"/>
              </w:rPr>
            </w:pPr>
          </w:p>
        </w:tc>
      </w:tr>
      <w:tr>
        <w:trPr>
          <w:trHeight w:val="119"/>
        </w:trPr>
        <w:tc>
          <w:tcPr>
            <w:tcW w:w="5180" w:type="dxa"/>
            <w:vAlign w:val="bottom"/>
            <w:gridSpan w:val="2"/>
          </w:tcPr>
          <w:p>
            <w:pPr>
              <w:spacing w:after="0" w:line="119" w:lineRule="exact"/>
              <w:rPr>
                <w:sz w:val="20"/>
                <w:szCs w:val="20"/>
                <w:color w:val="auto"/>
              </w:rPr>
            </w:pPr>
            <w:r>
              <w:rPr>
                <w:rFonts w:ascii="Arial" w:cs="Arial" w:eastAsia="Arial" w:hAnsi="Arial"/>
                <w:sz w:val="13"/>
                <w:szCs w:val="13"/>
                <w:color w:val="auto"/>
              </w:rPr>
              <w:t>forward the inflation level will be based on inflation levels in global developed economies,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580" w:type="dxa"/>
            <w:vAlign w:val="bottom"/>
            <w:tcBorders>
              <w:bottom w:val="single" w:sz="8" w:color="auto"/>
              <w:right w:val="single" w:sz="8" w:color="E4E3E1"/>
            </w:tcBorders>
            <w:vMerge w:val="continue"/>
          </w:tcPr>
          <w:p>
            <w:pPr>
              <w:spacing w:after="0"/>
              <w:rPr>
                <w:sz w:val="10"/>
                <w:szCs w:val="10"/>
                <w:color w:val="auto"/>
              </w:rPr>
            </w:pPr>
          </w:p>
        </w:tc>
        <w:tc>
          <w:tcPr>
            <w:tcW w:w="320" w:type="dxa"/>
            <w:vAlign w:val="bottom"/>
            <w:tcBorders>
              <w:bottom w:val="single" w:sz="8" w:color="auto"/>
              <w:right w:val="single" w:sz="8" w:color="E4E3E1"/>
            </w:tcBorders>
            <w:gridSpan w:val="2"/>
            <w:vMerge w:val="continue"/>
            <w:shd w:val="clear" w:color="auto" w:fill="E4E3E1"/>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vMerge w:val="continue"/>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180" w:type="dxa"/>
            <w:vAlign w:val="bottom"/>
            <w:gridSpan w:val="2"/>
          </w:tcPr>
          <w:p>
            <w:pPr>
              <w:spacing w:after="0" w:line="155" w:lineRule="exact"/>
              <w:rPr>
                <w:sz w:val="20"/>
                <w:szCs w:val="20"/>
                <w:color w:val="auto"/>
              </w:rPr>
            </w:pPr>
            <w:r>
              <w:rPr>
                <w:rFonts w:ascii="Arial" w:cs="Arial" w:eastAsia="Arial" w:hAnsi="Arial"/>
                <w:sz w:val="14"/>
                <w:szCs w:val="14"/>
                <w:color w:val="auto"/>
                <w:w w:val="98"/>
              </w:rPr>
              <w:t>rather than a blend of European inflation rates. Dividend growth going forward will be</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Arial" w:cs="Arial" w:eastAsia="Arial" w:hAnsi="Arial"/>
                <w:sz w:val="14"/>
                <w:szCs w:val="14"/>
                <w:color w:val="auto"/>
              </w:rPr>
              <w:t>measured in US dollars.</w:t>
            </w: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w w:val="93"/>
              </w:rPr>
              <w:t>On February 1, 2007 the Board also announced that, effective from the first quarter 2007,</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right w:val="single" w:sz="8" w:color="711470"/>
            </w:tcBorders>
            <w:shd w:val="clear" w:color="auto" w:fill="711470"/>
          </w:tcPr>
          <w:p>
            <w:pPr>
              <w:spacing w:after="0"/>
              <w:rPr>
                <w:sz w:val="20"/>
                <w:szCs w:val="20"/>
                <w:color w:val="auto"/>
              </w:rPr>
            </w:pPr>
            <w:r>
              <w:rPr>
                <w:rFonts w:ascii="Arial" w:cs="Arial" w:eastAsia="Arial" w:hAnsi="Arial"/>
                <w:sz w:val="12"/>
                <w:szCs w:val="12"/>
                <w:b w:val="1"/>
                <w:bCs w:val="1"/>
                <w:color w:val="FFFFFF"/>
              </w:rPr>
              <w:t>CLASS A ADRs</w:t>
            </w:r>
          </w:p>
        </w:tc>
        <w:tc>
          <w:tcPr>
            <w:tcW w:w="20" w:type="dxa"/>
            <w:vAlign w:val="bottom"/>
            <w:shd w:val="clear" w:color="auto" w:fill="711470"/>
          </w:tcPr>
          <w:p>
            <w:pPr>
              <w:spacing w:after="0"/>
              <w:rPr>
                <w:sz w:val="12"/>
                <w:szCs w:val="12"/>
                <w:color w:val="auto"/>
              </w:rPr>
            </w:pPr>
          </w:p>
        </w:tc>
        <w:tc>
          <w:tcPr>
            <w:tcW w:w="300" w:type="dxa"/>
            <w:vAlign w:val="bottom"/>
            <w:tcBorders>
              <w:right w:val="single" w:sz="8" w:color="711470"/>
            </w:tcBorders>
            <w:shd w:val="clear" w:color="auto" w:fill="711470"/>
          </w:tcPr>
          <w:p>
            <w:pPr>
              <w:spacing w:after="0"/>
              <w:rPr>
                <w:sz w:val="12"/>
                <w:szCs w:val="12"/>
                <w:color w:val="auto"/>
              </w:rPr>
            </w:pPr>
          </w:p>
        </w:tc>
        <w:tc>
          <w:tcPr>
            <w:tcW w:w="80" w:type="dxa"/>
            <w:vAlign w:val="bottom"/>
            <w:tcBorders>
              <w:right w:val="single" w:sz="8" w:color="711470"/>
            </w:tcBorders>
            <w:shd w:val="clear" w:color="auto" w:fill="711470"/>
          </w:tcPr>
          <w:p>
            <w:pPr>
              <w:spacing w:after="0"/>
              <w:rPr>
                <w:sz w:val="12"/>
                <w:szCs w:val="12"/>
                <w:color w:val="auto"/>
              </w:rPr>
            </w:pPr>
          </w:p>
        </w:tc>
        <w:tc>
          <w:tcPr>
            <w:tcW w:w="720" w:type="dxa"/>
            <w:vAlign w:val="bottom"/>
            <w:shd w:val="clear" w:color="auto" w:fill="711470"/>
          </w:tcPr>
          <w:p>
            <w:pPr>
              <w:spacing w:after="0"/>
              <w:rPr>
                <w:sz w:val="12"/>
                <w:szCs w:val="12"/>
                <w:color w:val="auto"/>
              </w:rPr>
            </w:pPr>
          </w:p>
        </w:tc>
        <w:tc>
          <w:tcPr>
            <w:tcW w:w="660" w:type="dxa"/>
            <w:vAlign w:val="bottom"/>
            <w:shd w:val="clear" w:color="auto" w:fill="711470"/>
          </w:tcPr>
          <w:p>
            <w:pPr>
              <w:jc w:val="right"/>
              <w:ind w:right="98"/>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13"/>
        </w:trPr>
        <w:tc>
          <w:tcPr>
            <w:tcW w:w="5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Borders>
              <w:bottom w:val="single" w:sz="8" w:color="CECAC6"/>
              <w:right w:val="single" w:sz="8" w:color="CECAC6"/>
            </w:tcBorders>
            <w:shd w:val="clear" w:color="auto" w:fill="CECAC6"/>
          </w:tcPr>
          <w:p>
            <w:pPr>
              <w:spacing w:after="0"/>
              <w:rPr>
                <w:sz w:val="9"/>
                <w:szCs w:val="9"/>
                <w:color w:val="auto"/>
              </w:rPr>
            </w:pPr>
          </w:p>
        </w:tc>
        <w:tc>
          <w:tcPr>
            <w:tcW w:w="400" w:type="dxa"/>
            <w:vAlign w:val="bottom"/>
            <w:tcBorders>
              <w:bottom w:val="single" w:sz="8" w:color="CECAC6"/>
              <w:right w:val="single" w:sz="8" w:color="CECAC6"/>
            </w:tcBorders>
            <w:gridSpan w:val="3"/>
            <w:shd w:val="clear" w:color="auto" w:fill="CECAC6"/>
          </w:tcPr>
          <w:p>
            <w:pPr>
              <w:jc w:val="right"/>
              <w:ind w:right="60"/>
              <w:spacing w:after="0" w:line="107" w:lineRule="exact"/>
              <w:rPr>
                <w:sz w:val="20"/>
                <w:szCs w:val="20"/>
                <w:color w:val="auto"/>
              </w:rPr>
            </w:pPr>
            <w:r>
              <w:rPr>
                <w:rFonts w:ascii="Arial" w:cs="Arial" w:eastAsia="Arial" w:hAnsi="Arial"/>
                <w:sz w:val="12"/>
                <w:szCs w:val="12"/>
                <w:color w:val="auto"/>
              </w:rPr>
              <w:t>2007</w:t>
            </w:r>
          </w:p>
        </w:tc>
        <w:tc>
          <w:tcPr>
            <w:tcW w:w="720" w:type="dxa"/>
            <w:vAlign w:val="bottom"/>
            <w:tcBorders>
              <w:bottom w:val="single" w:sz="8" w:color="CECAC6"/>
            </w:tcBorders>
            <w:shd w:val="clear" w:color="auto" w:fill="CECAC6"/>
          </w:tcPr>
          <w:p>
            <w:pPr>
              <w:jc w:val="right"/>
              <w:ind w:right="78"/>
              <w:spacing w:after="0" w:line="107" w:lineRule="exact"/>
              <w:rPr>
                <w:sz w:val="20"/>
                <w:szCs w:val="20"/>
                <w:color w:val="auto"/>
              </w:rPr>
            </w:pPr>
            <w:r>
              <w:rPr>
                <w:rFonts w:ascii="Arial" w:cs="Arial" w:eastAsia="Arial" w:hAnsi="Arial"/>
                <w:sz w:val="12"/>
                <w:szCs w:val="12"/>
                <w:color w:val="auto"/>
              </w:rPr>
              <w:t>2006</w:t>
            </w:r>
          </w:p>
        </w:tc>
        <w:tc>
          <w:tcPr>
            <w:tcW w:w="660" w:type="dxa"/>
            <w:vAlign w:val="bottom"/>
            <w:tcBorders>
              <w:bottom w:val="single" w:sz="8" w:color="CECAC6"/>
            </w:tcBorders>
            <w:shd w:val="clear" w:color="auto" w:fill="CECAC6"/>
          </w:tcPr>
          <w:p>
            <w:pPr>
              <w:jc w:val="right"/>
              <w:ind w:right="98"/>
              <w:spacing w:after="0" w:line="107"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07"/>
        </w:trPr>
        <w:tc>
          <w:tcPr>
            <w:tcW w:w="5180" w:type="dxa"/>
            <w:vAlign w:val="bottom"/>
            <w:gridSpan w:val="2"/>
          </w:tcPr>
          <w:p>
            <w:pPr>
              <w:spacing w:after="0" w:line="107" w:lineRule="exact"/>
              <w:rPr>
                <w:sz w:val="20"/>
                <w:szCs w:val="20"/>
                <w:color w:val="auto"/>
              </w:rPr>
            </w:pPr>
            <w:r>
              <w:rPr>
                <w:rFonts w:ascii="Arial" w:cs="Arial" w:eastAsia="Arial" w:hAnsi="Arial"/>
                <w:sz w:val="12"/>
                <w:szCs w:val="12"/>
                <w:color w:val="auto"/>
              </w:rPr>
              <w:t>dividends will be declared in US dollars rather than euros. The company will announce the</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Pr>
          <w:p>
            <w:pPr>
              <w:spacing w:after="0" w:line="107" w:lineRule="exact"/>
              <w:rPr>
                <w:sz w:val="20"/>
                <w:szCs w:val="20"/>
                <w:color w:val="auto"/>
              </w:rPr>
            </w:pPr>
            <w:r>
              <w:rPr>
                <w:rFonts w:ascii="Arial" w:cs="Arial" w:eastAsia="Arial" w:hAnsi="Arial"/>
                <w:sz w:val="12"/>
                <w:szCs w:val="12"/>
                <w:color w:val="auto"/>
              </w:rPr>
              <w:t>Q1</w:t>
            </w:r>
          </w:p>
        </w:tc>
        <w:tc>
          <w:tcPr>
            <w:tcW w:w="20" w:type="dxa"/>
            <w:vAlign w:val="bottom"/>
          </w:tcPr>
          <w:p>
            <w:pPr>
              <w:spacing w:after="0"/>
              <w:rPr>
                <w:sz w:val="9"/>
                <w:szCs w:val="9"/>
                <w:color w:val="auto"/>
              </w:rPr>
            </w:pPr>
          </w:p>
        </w:tc>
        <w:tc>
          <w:tcPr>
            <w:tcW w:w="380" w:type="dxa"/>
            <w:vAlign w:val="bottom"/>
            <w:tcBorders>
              <w:right w:val="single" w:sz="8" w:color="E4E3E1"/>
            </w:tcBorders>
            <w:gridSpan w:val="2"/>
            <w:shd w:val="clear" w:color="auto" w:fill="E4E3E1"/>
          </w:tcPr>
          <w:p>
            <w:pPr>
              <w:jc w:val="right"/>
              <w:ind w:right="60"/>
              <w:spacing w:after="0" w:line="107" w:lineRule="exact"/>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line="107" w:lineRule="exact"/>
              <w:rPr>
                <w:sz w:val="20"/>
                <w:szCs w:val="20"/>
                <w:color w:val="auto"/>
              </w:rPr>
            </w:pPr>
            <w:r>
              <w:rPr>
                <w:rFonts w:ascii="Arial" w:cs="Arial" w:eastAsia="Arial" w:hAnsi="Arial"/>
                <w:sz w:val="12"/>
                <w:szCs w:val="12"/>
                <w:color w:val="auto"/>
              </w:rPr>
              <w:t>0.63</w:t>
            </w:r>
          </w:p>
        </w:tc>
        <w:tc>
          <w:tcPr>
            <w:tcW w:w="660" w:type="dxa"/>
            <w:vAlign w:val="bottom"/>
          </w:tcPr>
          <w:p>
            <w:pPr>
              <w:jc w:val="right"/>
              <w:spacing w:after="0" w:line="107" w:lineRule="exact"/>
              <w:rPr>
                <w:sz w:val="20"/>
                <w:szCs w:val="20"/>
                <w:color w:val="auto"/>
              </w:rPr>
            </w:pPr>
            <w:r>
              <w:rPr>
                <w:rFonts w:ascii="Arial" w:cs="Arial" w:eastAsia="Arial" w:hAnsi="Arial"/>
                <w:sz w:val="12"/>
                <w:szCs w:val="12"/>
                <w:color w:val="auto"/>
              </w:rPr>
              <w:t>0.59[B]</w:t>
            </w:r>
          </w:p>
        </w:tc>
        <w:tc>
          <w:tcPr>
            <w:tcW w:w="0" w:type="dxa"/>
            <w:vAlign w:val="bottom"/>
          </w:tcPr>
          <w:p>
            <w:pPr>
              <w:spacing w:after="0"/>
              <w:rPr>
                <w:sz w:val="1"/>
                <w:szCs w:val="1"/>
                <w:color w:val="auto"/>
              </w:rPr>
            </w:pPr>
          </w:p>
        </w:tc>
      </w:tr>
      <w:tr>
        <w:trPr>
          <w:trHeight w:val="133"/>
        </w:trPr>
        <w:tc>
          <w:tcPr>
            <w:tcW w:w="5180" w:type="dxa"/>
            <w:vAlign w:val="bottom"/>
            <w:gridSpan w:val="2"/>
          </w:tcPr>
          <w:p>
            <w:pPr>
              <w:spacing w:after="0" w:line="133" w:lineRule="exact"/>
              <w:rPr>
                <w:sz w:val="20"/>
                <w:szCs w:val="20"/>
                <w:color w:val="auto"/>
              </w:rPr>
            </w:pPr>
            <w:r>
              <w:rPr>
                <w:rFonts w:ascii="Arial" w:cs="Arial" w:eastAsia="Arial" w:hAnsi="Arial"/>
                <w:sz w:val="14"/>
                <w:szCs w:val="14"/>
                <w:color w:val="auto"/>
                <w:w w:val="92"/>
              </w:rPr>
              <w:t>euro and pound sterling equivalent amounts at the same time as the US dollar declaration,</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Pr>
          <w:p>
            <w:pPr>
              <w:spacing w:after="0" w:line="133" w:lineRule="exact"/>
              <w:rPr>
                <w:sz w:val="20"/>
                <w:szCs w:val="20"/>
                <w:color w:val="auto"/>
              </w:rPr>
            </w:pPr>
            <w:r>
              <w:rPr>
                <w:rFonts w:ascii="Arial" w:cs="Arial" w:eastAsia="Arial" w:hAnsi="Arial"/>
                <w:sz w:val="12"/>
                <w:szCs w:val="12"/>
                <w:color w:val="auto"/>
              </w:rPr>
              <w:t>Q2</w:t>
            </w:r>
          </w:p>
        </w:tc>
        <w:tc>
          <w:tcPr>
            <w:tcW w:w="20" w:type="dxa"/>
            <w:vAlign w:val="bottom"/>
          </w:tcPr>
          <w:p>
            <w:pPr>
              <w:spacing w:after="0"/>
              <w:rPr>
                <w:sz w:val="11"/>
                <w:szCs w:val="11"/>
                <w:color w:val="auto"/>
              </w:rPr>
            </w:pPr>
          </w:p>
        </w:tc>
        <w:tc>
          <w:tcPr>
            <w:tcW w:w="380" w:type="dxa"/>
            <w:vAlign w:val="bottom"/>
            <w:tcBorders>
              <w:right w:val="single" w:sz="8" w:color="E4E3E1"/>
            </w:tcBorders>
            <w:gridSpan w:val="2"/>
            <w:shd w:val="clear" w:color="auto" w:fill="E4E3E1"/>
          </w:tcPr>
          <w:p>
            <w:pPr>
              <w:jc w:val="right"/>
              <w:ind w:right="60"/>
              <w:spacing w:after="0" w:line="133" w:lineRule="exact"/>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line="133" w:lineRule="exact"/>
              <w:rPr>
                <w:sz w:val="20"/>
                <w:szCs w:val="20"/>
                <w:color w:val="auto"/>
              </w:rPr>
            </w:pPr>
            <w:r>
              <w:rPr>
                <w:rFonts w:ascii="Arial" w:cs="Arial" w:eastAsia="Arial" w:hAnsi="Arial"/>
                <w:sz w:val="12"/>
                <w:szCs w:val="12"/>
                <w:color w:val="auto"/>
              </w:rPr>
              <w:t>0.63</w:t>
            </w:r>
          </w:p>
        </w:tc>
        <w:tc>
          <w:tcPr>
            <w:tcW w:w="660" w:type="dxa"/>
            <w:vAlign w:val="bottom"/>
          </w:tcPr>
          <w:p>
            <w:pPr>
              <w:jc w:val="right"/>
              <w:ind w:right="98"/>
              <w:spacing w:after="0" w:line="133" w:lineRule="exact"/>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54"/>
        </w:trPr>
        <w:tc>
          <w:tcPr>
            <w:tcW w:w="3860" w:type="dxa"/>
            <w:vAlign w:val="bottom"/>
          </w:tcPr>
          <w:p>
            <w:pPr>
              <w:spacing w:after="0" w:line="154" w:lineRule="exact"/>
              <w:rPr>
                <w:sz w:val="20"/>
                <w:szCs w:val="20"/>
                <w:color w:val="auto"/>
              </w:rPr>
            </w:pPr>
            <w:r>
              <w:rPr>
                <w:rFonts w:ascii="Arial" w:cs="Arial" w:eastAsia="Arial" w:hAnsi="Arial"/>
                <w:sz w:val="14"/>
                <w:szCs w:val="14"/>
                <w:color w:val="auto"/>
                <w:w w:val="95"/>
              </w:rPr>
              <w:t>using an exchange rate from the day before the declaration date.</w:t>
            </w: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Q3</w:t>
            </w:r>
          </w:p>
        </w:tc>
        <w:tc>
          <w:tcPr>
            <w:tcW w:w="20" w:type="dxa"/>
            <w:vAlign w:val="bottom"/>
          </w:tcPr>
          <w:p>
            <w:pPr>
              <w:spacing w:after="0"/>
              <w:rPr>
                <w:sz w:val="13"/>
                <w:szCs w:val="13"/>
                <w:color w:val="auto"/>
              </w:rPr>
            </w:pPr>
          </w:p>
        </w:tc>
        <w:tc>
          <w:tcPr>
            <w:tcW w:w="380" w:type="dxa"/>
            <w:vAlign w:val="bottom"/>
            <w:tcBorders>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0.63</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39"/>
        </w:trPr>
        <w:tc>
          <w:tcPr>
            <w:tcW w:w="5600" w:type="dxa"/>
            <w:vAlign w:val="bottom"/>
            <w:gridSpan w:val="4"/>
            <w:vMerge w:val="restart"/>
          </w:tcPr>
          <w:p>
            <w:pPr>
              <w:spacing w:after="0"/>
              <w:rPr>
                <w:sz w:val="20"/>
                <w:szCs w:val="20"/>
                <w:color w:val="auto"/>
              </w:rPr>
            </w:pPr>
            <w:r>
              <w:rPr>
                <w:rFonts w:ascii="Arial" w:cs="Arial" w:eastAsia="Arial" w:hAnsi="Arial"/>
                <w:sz w:val="14"/>
                <w:szCs w:val="14"/>
                <w:color w:val="auto"/>
                <w:w w:val="96"/>
              </w:rPr>
              <w:t>Dividends declared on A shares are paid by default in euros, although holders of A shares are</w:t>
            </w:r>
          </w:p>
        </w:tc>
        <w:tc>
          <w:tcPr>
            <w:tcW w:w="3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Q4</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0.72</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0.65</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40"/>
        </w:trPr>
        <w:tc>
          <w:tcPr>
            <w:tcW w:w="5600" w:type="dxa"/>
            <w:vAlign w:val="bottom"/>
            <w:gridSpan w:val="4"/>
            <w:vMerge w:val="continue"/>
          </w:tcPr>
          <w:p>
            <w:pPr>
              <w:spacing w:after="0"/>
              <w:rPr>
                <w:sz w:val="12"/>
                <w:szCs w:val="12"/>
                <w:color w:val="auto"/>
              </w:rPr>
            </w:pPr>
          </w:p>
        </w:tc>
        <w:tc>
          <w:tcPr>
            <w:tcW w:w="3580" w:type="dxa"/>
            <w:vAlign w:val="bottom"/>
          </w:tcPr>
          <w:p>
            <w:pPr>
              <w:spacing w:after="0" w:line="113" w:lineRule="exact"/>
              <w:rPr>
                <w:sz w:val="20"/>
                <w:szCs w:val="20"/>
                <w:color w:val="auto"/>
              </w:rPr>
            </w:pPr>
            <w:r>
              <w:rPr>
                <w:rFonts w:ascii="Arial" w:cs="Arial" w:eastAsia="Arial" w:hAnsi="Arial"/>
                <w:sz w:val="12"/>
                <w:szCs w:val="12"/>
                <w:color w:val="auto"/>
              </w:rPr>
              <w:t>Total declared during the year</w:t>
            </w:r>
          </w:p>
        </w:tc>
        <w:tc>
          <w:tcPr>
            <w:tcW w:w="20" w:type="dxa"/>
            <w:vAlign w:val="bottom"/>
          </w:tcPr>
          <w:p>
            <w:pPr>
              <w:spacing w:after="0"/>
              <w:rPr>
                <w:sz w:val="12"/>
                <w:szCs w:val="12"/>
                <w:color w:val="auto"/>
              </w:rPr>
            </w:pPr>
          </w:p>
        </w:tc>
        <w:tc>
          <w:tcPr>
            <w:tcW w:w="380" w:type="dxa"/>
            <w:vAlign w:val="bottom"/>
            <w:tcBorders>
              <w:bottom w:val="single" w:sz="8" w:color="E4E3E1"/>
              <w:right w:val="single" w:sz="8" w:color="E4E3E1"/>
            </w:tcBorders>
            <w:gridSpan w:val="2"/>
            <w:shd w:val="clear" w:color="auto" w:fill="E4E3E1"/>
          </w:tcPr>
          <w:p>
            <w:pPr>
              <w:jc w:val="right"/>
              <w:ind w:right="60"/>
              <w:spacing w:after="0" w:line="113" w:lineRule="exact"/>
              <w:rPr>
                <w:sz w:val="20"/>
                <w:szCs w:val="20"/>
                <w:color w:val="auto"/>
              </w:rPr>
            </w:pPr>
            <w:r>
              <w:rPr>
                <w:rFonts w:ascii="Arial" w:cs="Arial" w:eastAsia="Arial" w:hAnsi="Arial"/>
                <w:sz w:val="12"/>
                <w:szCs w:val="12"/>
                <w:color w:val="auto"/>
              </w:rPr>
              <w:t>2.88</w:t>
            </w:r>
          </w:p>
        </w:tc>
        <w:tc>
          <w:tcPr>
            <w:tcW w:w="720" w:type="dxa"/>
            <w:vAlign w:val="bottom"/>
          </w:tcPr>
          <w:p>
            <w:pPr>
              <w:jc w:val="right"/>
              <w:ind w:right="78"/>
              <w:spacing w:after="0" w:line="113" w:lineRule="exact"/>
              <w:rPr>
                <w:sz w:val="20"/>
                <w:szCs w:val="20"/>
                <w:color w:val="auto"/>
              </w:rPr>
            </w:pPr>
            <w:r>
              <w:rPr>
                <w:rFonts w:ascii="Arial" w:cs="Arial" w:eastAsia="Arial" w:hAnsi="Arial"/>
                <w:sz w:val="12"/>
                <w:szCs w:val="12"/>
                <w:color w:val="auto"/>
              </w:rPr>
              <w:t>2.54</w:t>
            </w:r>
          </w:p>
        </w:tc>
        <w:tc>
          <w:tcPr>
            <w:tcW w:w="660" w:type="dxa"/>
            <w:vAlign w:val="bottom"/>
          </w:tcPr>
          <w:p>
            <w:pPr>
              <w:jc w:val="right"/>
              <w:ind w:right="98"/>
              <w:spacing w:after="0" w:line="113" w:lineRule="exact"/>
              <w:rPr>
                <w:sz w:val="20"/>
                <w:szCs w:val="20"/>
                <w:color w:val="auto"/>
              </w:rPr>
            </w:pPr>
            <w:r>
              <w:rPr>
                <w:rFonts w:ascii="Arial" w:cs="Arial" w:eastAsia="Arial" w:hAnsi="Arial"/>
                <w:sz w:val="12"/>
                <w:szCs w:val="12"/>
                <w:color w:val="auto"/>
              </w:rPr>
              <w:t>2.26</w:t>
            </w:r>
          </w:p>
        </w:tc>
        <w:tc>
          <w:tcPr>
            <w:tcW w:w="0" w:type="dxa"/>
            <w:vAlign w:val="bottom"/>
          </w:tcPr>
          <w:p>
            <w:pPr>
              <w:spacing w:after="0"/>
              <w:rPr>
                <w:sz w:val="1"/>
                <w:szCs w:val="1"/>
                <w:color w:val="auto"/>
              </w:rPr>
            </w:pPr>
          </w:p>
        </w:tc>
      </w:tr>
      <w:tr>
        <w:trPr>
          <w:trHeight w:val="68"/>
        </w:trPr>
        <w:tc>
          <w:tcPr>
            <w:tcW w:w="5600" w:type="dxa"/>
            <w:vAlign w:val="bottom"/>
            <w:gridSpan w:val="4"/>
          </w:tcPr>
          <w:p>
            <w:pPr>
              <w:spacing w:after="0" w:line="68" w:lineRule="exact"/>
              <w:rPr>
                <w:sz w:val="20"/>
                <w:szCs w:val="20"/>
                <w:color w:val="auto"/>
              </w:rPr>
            </w:pPr>
            <w:r>
              <w:rPr>
                <w:rFonts w:ascii="Arial" w:cs="Arial" w:eastAsia="Arial" w:hAnsi="Arial"/>
                <w:sz w:val="7"/>
                <w:szCs w:val="7"/>
                <w:color w:val="auto"/>
              </w:rPr>
              <w:t>able to elect to receive dividend in pounds sterling. Dividends declared on B shares are paid</w:t>
            </w:r>
          </w:p>
        </w:tc>
        <w:tc>
          <w:tcPr>
            <w:tcW w:w="3580" w:type="dxa"/>
            <w:vAlign w:val="bottom"/>
            <w:tcBorders>
              <w:top w:val="single" w:sz="8" w:color="auto"/>
            </w:tcBorders>
            <w:vMerge w:val="restart"/>
          </w:tcPr>
          <w:p>
            <w:pPr>
              <w:spacing w:after="0"/>
              <w:rPr>
                <w:sz w:val="20"/>
                <w:szCs w:val="20"/>
                <w:color w:val="auto"/>
              </w:rPr>
            </w:pPr>
            <w:r>
              <w:rPr>
                <w:rFonts w:ascii="Arial" w:cs="Arial" w:eastAsia="Arial" w:hAnsi="Arial"/>
                <w:sz w:val="12"/>
                <w:szCs w:val="12"/>
                <w:color w:val="auto"/>
              </w:rPr>
              <w:t>Amount paid during the year</w:t>
            </w:r>
          </w:p>
        </w:tc>
        <w:tc>
          <w:tcPr>
            <w:tcW w:w="20" w:type="dxa"/>
            <w:vAlign w:val="bottom"/>
            <w:tcBorders>
              <w:top w:val="single" w:sz="8" w:color="auto"/>
            </w:tcBorders>
          </w:tcPr>
          <w:p>
            <w:pPr>
              <w:spacing w:after="0"/>
              <w:rPr>
                <w:sz w:val="5"/>
                <w:szCs w:val="5"/>
                <w:color w:val="auto"/>
              </w:rPr>
            </w:pPr>
          </w:p>
        </w:tc>
        <w:tc>
          <w:tcPr>
            <w:tcW w:w="380" w:type="dxa"/>
            <w:vAlign w:val="bottom"/>
            <w:tcBorders>
              <w:top w:val="single" w:sz="8" w:color="auto"/>
              <w:right w:val="single" w:sz="8" w:color="E4E3E1"/>
            </w:tcBorders>
            <w:gridSpan w:val="2"/>
            <w:vMerge w:val="restart"/>
            <w:shd w:val="clear" w:color="auto" w:fill="E4E3E1"/>
          </w:tcPr>
          <w:p>
            <w:pPr>
              <w:jc w:val="right"/>
              <w:ind w:right="60"/>
              <w:spacing w:after="0"/>
              <w:rPr>
                <w:sz w:val="20"/>
                <w:szCs w:val="20"/>
                <w:color w:val="auto"/>
              </w:rPr>
            </w:pPr>
            <w:r>
              <w:rPr>
                <w:rFonts w:ascii="Arial" w:cs="Arial" w:eastAsia="Arial" w:hAnsi="Arial"/>
                <w:sz w:val="12"/>
                <w:szCs w:val="12"/>
                <w:color w:val="auto"/>
              </w:rPr>
              <w:t>2.81</w:t>
            </w:r>
          </w:p>
        </w:tc>
        <w:tc>
          <w:tcPr>
            <w:tcW w:w="720" w:type="dxa"/>
            <w:vAlign w:val="bottom"/>
            <w:tcBorders>
              <w:top w:val="single" w:sz="8" w:color="auto"/>
            </w:tcBorders>
            <w:vMerge w:val="restart"/>
          </w:tcPr>
          <w:p>
            <w:pPr>
              <w:jc w:val="right"/>
              <w:ind w:right="78"/>
              <w:spacing w:after="0"/>
              <w:rPr>
                <w:sz w:val="20"/>
                <w:szCs w:val="20"/>
                <w:color w:val="auto"/>
              </w:rPr>
            </w:pPr>
            <w:r>
              <w:rPr>
                <w:rFonts w:ascii="Arial" w:cs="Arial" w:eastAsia="Arial" w:hAnsi="Arial"/>
                <w:sz w:val="12"/>
                <w:szCs w:val="12"/>
                <w:color w:val="auto"/>
              </w:rPr>
              <w:t>2.45</w:t>
            </w:r>
          </w:p>
        </w:tc>
        <w:tc>
          <w:tcPr>
            <w:tcW w:w="660" w:type="dxa"/>
            <w:vAlign w:val="bottom"/>
            <w:tcBorders>
              <w:top w:val="single" w:sz="8" w:color="auto"/>
            </w:tcBorders>
            <w:vMerge w:val="restart"/>
          </w:tcPr>
          <w:p>
            <w:pPr>
              <w:jc w:val="right"/>
              <w:ind w:right="98"/>
              <w:spacing w:after="0"/>
              <w:rPr>
                <w:sz w:val="20"/>
                <w:szCs w:val="20"/>
                <w:color w:val="auto"/>
              </w:rPr>
            </w:pPr>
            <w:r>
              <w:rPr>
                <w:rFonts w:ascii="Arial" w:cs="Arial" w:eastAsia="Arial" w:hAnsi="Arial"/>
                <w:sz w:val="12"/>
                <w:szCs w:val="12"/>
                <w:color w:val="auto"/>
              </w:rPr>
              <w:t>3.04</w:t>
            </w:r>
          </w:p>
        </w:tc>
        <w:tc>
          <w:tcPr>
            <w:tcW w:w="0" w:type="dxa"/>
            <w:vAlign w:val="bottom"/>
          </w:tcPr>
          <w:p>
            <w:pPr>
              <w:spacing w:after="0"/>
              <w:rPr>
                <w:sz w:val="1"/>
                <w:szCs w:val="1"/>
                <w:color w:val="auto"/>
              </w:rPr>
            </w:pPr>
          </w:p>
        </w:tc>
      </w:tr>
      <w:tr>
        <w:trPr>
          <w:trHeight w:val="79"/>
        </w:trPr>
        <w:tc>
          <w:tcPr>
            <w:tcW w:w="5600" w:type="dxa"/>
            <w:vAlign w:val="bottom"/>
            <w:gridSpan w:val="4"/>
            <w:vMerge w:val="restart"/>
          </w:tcPr>
          <w:p>
            <w:pPr>
              <w:spacing w:after="0" w:line="147" w:lineRule="exact"/>
              <w:rPr>
                <w:sz w:val="20"/>
                <w:szCs w:val="20"/>
                <w:color w:val="auto"/>
              </w:rPr>
            </w:pPr>
            <w:r>
              <w:rPr>
                <w:rFonts w:ascii="Arial" w:cs="Arial" w:eastAsia="Arial" w:hAnsi="Arial"/>
                <w:sz w:val="14"/>
                <w:szCs w:val="14"/>
                <w:color w:val="auto"/>
                <w:w w:val="96"/>
              </w:rPr>
              <w:t>by default in pound sterling, although holders of B shares are able to elect to receive dividend</w:t>
            </w:r>
          </w:p>
        </w:tc>
        <w:tc>
          <w:tcPr>
            <w:tcW w:w="35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80" w:type="dxa"/>
            <w:vAlign w:val="bottom"/>
            <w:tcBorders>
              <w:bottom w:val="single" w:sz="8" w:color="auto"/>
              <w:right w:val="single" w:sz="8" w:color="E4E3E1"/>
            </w:tcBorders>
            <w:gridSpan w:val="2"/>
            <w:vMerge w:val="continue"/>
            <w:shd w:val="clear" w:color="auto" w:fill="E4E3E1"/>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5600" w:type="dxa"/>
            <w:vAlign w:val="bottom"/>
            <w:gridSpan w:val="4"/>
            <w:vMerge w:val="continue"/>
          </w:tcPr>
          <w:p>
            <w:pPr>
              <w:spacing w:after="0"/>
              <w:rPr>
                <w:sz w:val="4"/>
                <w:szCs w:val="4"/>
                <w:color w:val="auto"/>
              </w:rPr>
            </w:pPr>
          </w:p>
        </w:tc>
        <w:tc>
          <w:tcPr>
            <w:tcW w:w="358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5180" w:type="dxa"/>
            <w:vAlign w:val="bottom"/>
            <w:gridSpan w:val="2"/>
          </w:tcPr>
          <w:p>
            <w:pPr>
              <w:spacing w:after="0" w:line="147" w:lineRule="exact"/>
              <w:rPr>
                <w:sz w:val="20"/>
                <w:szCs w:val="20"/>
                <w:color w:val="auto"/>
              </w:rPr>
            </w:pPr>
            <w:r>
              <w:rPr>
                <w:rFonts w:ascii="Arial" w:cs="Arial" w:eastAsia="Arial" w:hAnsi="Arial"/>
                <w:sz w:val="14"/>
                <w:szCs w:val="14"/>
                <w:color w:val="auto"/>
                <w:w w:val="94"/>
              </w:rPr>
              <w:t>in euros. Dividends declared on ADRs are paid in US dollars. Eligible shareholders must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60" w:type="dxa"/>
            <w:vAlign w:val="bottom"/>
          </w:tcPr>
          <w:p>
            <w:pPr>
              <w:spacing w:after="0"/>
              <w:rPr>
                <w:sz w:val="20"/>
                <w:szCs w:val="20"/>
                <w:color w:val="auto"/>
              </w:rPr>
            </w:pPr>
            <w:r>
              <w:rPr>
                <w:rFonts w:ascii="Arial" w:cs="Arial" w:eastAsia="Arial" w:hAnsi="Arial"/>
                <w:sz w:val="14"/>
                <w:szCs w:val="14"/>
                <w:color w:val="auto"/>
                <w:w w:val="97"/>
              </w:rPr>
              <w:t>make currency elections by the day before the declaration date.</w:t>
            </w: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w w:val="95"/>
              </w:rPr>
              <w:t>It is expected that holders of Class B ordinary shares will receive dividends through the</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Borders>
              <w:right w:val="single" w:sz="8" w:color="711470"/>
            </w:tcBorders>
            <w:shd w:val="clear" w:color="auto" w:fill="711470"/>
          </w:tcPr>
          <w:p>
            <w:pPr>
              <w:spacing w:after="0" w:line="133" w:lineRule="exact"/>
              <w:rPr>
                <w:sz w:val="20"/>
                <w:szCs w:val="20"/>
                <w:color w:val="auto"/>
              </w:rPr>
            </w:pPr>
            <w:r>
              <w:rPr>
                <w:rFonts w:ascii="Arial" w:cs="Arial" w:eastAsia="Arial" w:hAnsi="Arial"/>
                <w:sz w:val="12"/>
                <w:szCs w:val="12"/>
                <w:b w:val="1"/>
                <w:bCs w:val="1"/>
                <w:color w:val="FFFFFF"/>
              </w:rPr>
              <w:t>CLASS B ADRs</w:t>
            </w:r>
          </w:p>
        </w:tc>
        <w:tc>
          <w:tcPr>
            <w:tcW w:w="20" w:type="dxa"/>
            <w:vAlign w:val="bottom"/>
            <w:shd w:val="clear" w:color="auto" w:fill="711470"/>
          </w:tcPr>
          <w:p>
            <w:pPr>
              <w:spacing w:after="0"/>
              <w:rPr>
                <w:sz w:val="11"/>
                <w:szCs w:val="11"/>
                <w:color w:val="auto"/>
              </w:rPr>
            </w:pPr>
          </w:p>
        </w:tc>
        <w:tc>
          <w:tcPr>
            <w:tcW w:w="300" w:type="dxa"/>
            <w:vAlign w:val="bottom"/>
            <w:tcBorders>
              <w:right w:val="single" w:sz="8" w:color="711470"/>
            </w:tcBorders>
            <w:shd w:val="clear" w:color="auto" w:fill="711470"/>
          </w:tcPr>
          <w:p>
            <w:pPr>
              <w:spacing w:after="0"/>
              <w:rPr>
                <w:sz w:val="11"/>
                <w:szCs w:val="11"/>
                <w:color w:val="auto"/>
              </w:rPr>
            </w:pPr>
          </w:p>
        </w:tc>
        <w:tc>
          <w:tcPr>
            <w:tcW w:w="80" w:type="dxa"/>
            <w:vAlign w:val="bottom"/>
            <w:tcBorders>
              <w:right w:val="single" w:sz="8" w:color="711470"/>
            </w:tcBorders>
            <w:shd w:val="clear" w:color="auto" w:fill="711470"/>
          </w:tcPr>
          <w:p>
            <w:pPr>
              <w:spacing w:after="0"/>
              <w:rPr>
                <w:sz w:val="11"/>
                <w:szCs w:val="11"/>
                <w:color w:val="auto"/>
              </w:rPr>
            </w:pPr>
          </w:p>
        </w:tc>
        <w:tc>
          <w:tcPr>
            <w:tcW w:w="720" w:type="dxa"/>
            <w:vAlign w:val="bottom"/>
            <w:shd w:val="clear" w:color="auto" w:fill="711470"/>
          </w:tcPr>
          <w:p>
            <w:pPr>
              <w:spacing w:after="0"/>
              <w:rPr>
                <w:sz w:val="11"/>
                <w:szCs w:val="11"/>
                <w:color w:val="auto"/>
              </w:rPr>
            </w:pPr>
          </w:p>
        </w:tc>
        <w:tc>
          <w:tcPr>
            <w:tcW w:w="660" w:type="dxa"/>
            <w:vAlign w:val="bottom"/>
            <w:shd w:val="clear" w:color="auto" w:fill="711470"/>
          </w:tcPr>
          <w:p>
            <w:pPr>
              <w:jc w:val="right"/>
              <w:ind w:right="98"/>
              <w:spacing w:after="0" w:line="133" w:lineRule="exact"/>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13"/>
        </w:trPr>
        <w:tc>
          <w:tcPr>
            <w:tcW w:w="5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Borders>
              <w:bottom w:val="single" w:sz="8" w:color="CECAC6"/>
              <w:right w:val="single" w:sz="8" w:color="CECAC6"/>
            </w:tcBorders>
            <w:shd w:val="clear" w:color="auto" w:fill="CECAC6"/>
          </w:tcPr>
          <w:p>
            <w:pPr>
              <w:spacing w:after="0"/>
              <w:rPr>
                <w:sz w:val="9"/>
                <w:szCs w:val="9"/>
                <w:color w:val="auto"/>
              </w:rPr>
            </w:pPr>
          </w:p>
        </w:tc>
        <w:tc>
          <w:tcPr>
            <w:tcW w:w="400" w:type="dxa"/>
            <w:vAlign w:val="bottom"/>
            <w:tcBorders>
              <w:bottom w:val="single" w:sz="8" w:color="CECAC6"/>
              <w:right w:val="single" w:sz="8" w:color="CECAC6"/>
            </w:tcBorders>
            <w:gridSpan w:val="3"/>
            <w:shd w:val="clear" w:color="auto" w:fill="CECAC6"/>
          </w:tcPr>
          <w:p>
            <w:pPr>
              <w:jc w:val="right"/>
              <w:ind w:right="60"/>
              <w:spacing w:after="0" w:line="107" w:lineRule="exact"/>
              <w:rPr>
                <w:sz w:val="20"/>
                <w:szCs w:val="20"/>
                <w:color w:val="auto"/>
              </w:rPr>
            </w:pPr>
            <w:r>
              <w:rPr>
                <w:rFonts w:ascii="Arial" w:cs="Arial" w:eastAsia="Arial" w:hAnsi="Arial"/>
                <w:sz w:val="12"/>
                <w:szCs w:val="12"/>
                <w:color w:val="auto"/>
              </w:rPr>
              <w:t>2007</w:t>
            </w:r>
          </w:p>
        </w:tc>
        <w:tc>
          <w:tcPr>
            <w:tcW w:w="720" w:type="dxa"/>
            <w:vAlign w:val="bottom"/>
            <w:tcBorders>
              <w:bottom w:val="single" w:sz="8" w:color="CECAC6"/>
            </w:tcBorders>
            <w:shd w:val="clear" w:color="auto" w:fill="CECAC6"/>
          </w:tcPr>
          <w:p>
            <w:pPr>
              <w:jc w:val="right"/>
              <w:ind w:right="78"/>
              <w:spacing w:after="0" w:line="107" w:lineRule="exact"/>
              <w:rPr>
                <w:sz w:val="20"/>
                <w:szCs w:val="20"/>
                <w:color w:val="auto"/>
              </w:rPr>
            </w:pPr>
            <w:r>
              <w:rPr>
                <w:rFonts w:ascii="Arial" w:cs="Arial" w:eastAsia="Arial" w:hAnsi="Arial"/>
                <w:sz w:val="12"/>
                <w:szCs w:val="12"/>
                <w:color w:val="auto"/>
              </w:rPr>
              <w:t>2006</w:t>
            </w:r>
          </w:p>
        </w:tc>
        <w:tc>
          <w:tcPr>
            <w:tcW w:w="660" w:type="dxa"/>
            <w:vAlign w:val="bottom"/>
            <w:tcBorders>
              <w:bottom w:val="single" w:sz="8" w:color="CECAC6"/>
            </w:tcBorders>
            <w:shd w:val="clear" w:color="auto" w:fill="CECAC6"/>
          </w:tcPr>
          <w:p>
            <w:pPr>
              <w:jc w:val="right"/>
              <w:ind w:right="98"/>
              <w:spacing w:after="0" w:line="107" w:lineRule="exact"/>
              <w:rPr>
                <w:sz w:val="20"/>
                <w:szCs w:val="20"/>
                <w:color w:val="auto"/>
              </w:rPr>
            </w:pPr>
            <w:r>
              <w:rPr>
                <w:rFonts w:ascii="Arial" w:cs="Arial" w:eastAsia="Arial" w:hAnsi="Arial"/>
                <w:sz w:val="12"/>
                <w:szCs w:val="12"/>
                <w:color w:val="auto"/>
              </w:rPr>
              <w:t>2005</w:t>
            </w:r>
          </w:p>
        </w:tc>
        <w:tc>
          <w:tcPr>
            <w:tcW w:w="0" w:type="dxa"/>
            <w:vAlign w:val="bottom"/>
          </w:tcPr>
          <w:p>
            <w:pPr>
              <w:spacing w:after="0"/>
              <w:rPr>
                <w:sz w:val="1"/>
                <w:szCs w:val="1"/>
                <w:color w:val="auto"/>
              </w:rPr>
            </w:pPr>
          </w:p>
        </w:tc>
      </w:tr>
      <w:tr>
        <w:trPr>
          <w:trHeight w:val="115"/>
        </w:trPr>
        <w:tc>
          <w:tcPr>
            <w:tcW w:w="5180" w:type="dxa"/>
            <w:vAlign w:val="bottom"/>
            <w:gridSpan w:val="2"/>
          </w:tcPr>
          <w:p>
            <w:pPr>
              <w:spacing w:after="0" w:line="114" w:lineRule="exact"/>
              <w:rPr>
                <w:sz w:val="20"/>
                <w:szCs w:val="20"/>
                <w:color w:val="auto"/>
              </w:rPr>
            </w:pPr>
            <w:r>
              <w:rPr>
                <w:rFonts w:ascii="Arial" w:cs="Arial" w:eastAsia="Arial" w:hAnsi="Arial"/>
                <w:sz w:val="13"/>
                <w:szCs w:val="13"/>
                <w:color w:val="auto"/>
                <w:w w:val="98"/>
              </w:rPr>
              <w:t>dividend access mechanism applicable to such shares. The dividend access mechanism is</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tcPr>
          <w:p>
            <w:pPr>
              <w:spacing w:after="0" w:line="115" w:lineRule="exact"/>
              <w:rPr>
                <w:sz w:val="20"/>
                <w:szCs w:val="20"/>
                <w:color w:val="auto"/>
              </w:rPr>
            </w:pPr>
            <w:r>
              <w:rPr>
                <w:rFonts w:ascii="Arial" w:cs="Arial" w:eastAsia="Arial" w:hAnsi="Arial"/>
                <w:sz w:val="12"/>
                <w:szCs w:val="12"/>
                <w:color w:val="auto"/>
              </w:rPr>
              <w:t>Q1</w:t>
            </w:r>
          </w:p>
        </w:tc>
        <w:tc>
          <w:tcPr>
            <w:tcW w:w="20" w:type="dxa"/>
            <w:vAlign w:val="bottom"/>
          </w:tcPr>
          <w:p>
            <w:pPr>
              <w:spacing w:after="0"/>
              <w:rPr>
                <w:sz w:val="9"/>
                <w:szCs w:val="9"/>
                <w:color w:val="auto"/>
              </w:rPr>
            </w:pPr>
          </w:p>
        </w:tc>
        <w:tc>
          <w:tcPr>
            <w:tcW w:w="380" w:type="dxa"/>
            <w:vAlign w:val="bottom"/>
            <w:tcBorders>
              <w:right w:val="single" w:sz="8" w:color="E4E3E1"/>
            </w:tcBorders>
            <w:gridSpan w:val="2"/>
            <w:shd w:val="clear" w:color="auto" w:fill="E4E3E1"/>
          </w:tcPr>
          <w:p>
            <w:pPr>
              <w:jc w:val="right"/>
              <w:ind w:right="60"/>
              <w:spacing w:after="0" w:line="115" w:lineRule="exact"/>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line="115" w:lineRule="exact"/>
              <w:rPr>
                <w:sz w:val="20"/>
                <w:szCs w:val="20"/>
                <w:color w:val="auto"/>
              </w:rPr>
            </w:pPr>
            <w:r>
              <w:rPr>
                <w:rFonts w:ascii="Arial" w:cs="Arial" w:eastAsia="Arial" w:hAnsi="Arial"/>
                <w:sz w:val="12"/>
                <w:szCs w:val="12"/>
                <w:color w:val="auto"/>
              </w:rPr>
              <w:t>0.63</w:t>
            </w:r>
          </w:p>
        </w:tc>
        <w:tc>
          <w:tcPr>
            <w:tcW w:w="660" w:type="dxa"/>
            <w:vAlign w:val="bottom"/>
          </w:tcPr>
          <w:p>
            <w:pPr>
              <w:jc w:val="right"/>
              <w:spacing w:after="0" w:line="115" w:lineRule="exact"/>
              <w:rPr>
                <w:sz w:val="20"/>
                <w:szCs w:val="20"/>
                <w:color w:val="auto"/>
              </w:rPr>
            </w:pPr>
            <w:r>
              <w:rPr>
                <w:rFonts w:ascii="Arial" w:cs="Arial" w:eastAsia="Arial" w:hAnsi="Arial"/>
                <w:sz w:val="12"/>
                <w:szCs w:val="12"/>
                <w:color w:val="auto"/>
              </w:rPr>
              <w:t>0.57[B]</w:t>
            </w:r>
          </w:p>
        </w:tc>
        <w:tc>
          <w:tcPr>
            <w:tcW w:w="0" w:type="dxa"/>
            <w:vAlign w:val="bottom"/>
          </w:tcPr>
          <w:p>
            <w:pPr>
              <w:spacing w:after="0"/>
              <w:rPr>
                <w:sz w:val="1"/>
                <w:szCs w:val="1"/>
                <w:color w:val="auto"/>
              </w:rPr>
            </w:pPr>
          </w:p>
        </w:tc>
      </w:tr>
      <w:tr>
        <w:trPr>
          <w:trHeight w:val="146"/>
        </w:trPr>
        <w:tc>
          <w:tcPr>
            <w:tcW w:w="5180" w:type="dxa"/>
            <w:vAlign w:val="bottom"/>
            <w:gridSpan w:val="2"/>
          </w:tcPr>
          <w:p>
            <w:pPr>
              <w:spacing w:after="0" w:line="146" w:lineRule="exact"/>
              <w:rPr>
                <w:sz w:val="20"/>
                <w:szCs w:val="20"/>
                <w:color w:val="auto"/>
              </w:rPr>
            </w:pPr>
            <w:r>
              <w:rPr>
                <w:rFonts w:ascii="Arial" w:cs="Arial" w:eastAsia="Arial" w:hAnsi="Arial"/>
                <w:sz w:val="14"/>
                <w:szCs w:val="14"/>
                <w:color w:val="auto"/>
                <w:w w:val="95"/>
              </w:rPr>
              <w:t>described more fully in “Supplementary Information – Control of registrant (unaudited) –</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Q2</w:t>
            </w:r>
          </w:p>
        </w:tc>
        <w:tc>
          <w:tcPr>
            <w:tcW w:w="20" w:type="dxa"/>
            <w:vAlign w:val="bottom"/>
          </w:tcPr>
          <w:p>
            <w:pPr>
              <w:spacing w:after="0"/>
              <w:rPr>
                <w:sz w:val="12"/>
                <w:szCs w:val="12"/>
                <w:color w:val="auto"/>
              </w:rPr>
            </w:pPr>
          </w:p>
        </w:tc>
        <w:tc>
          <w:tcPr>
            <w:tcW w:w="380" w:type="dxa"/>
            <w:vAlign w:val="bottom"/>
            <w:tcBorders>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0.63</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0.55</w:t>
            </w:r>
          </w:p>
        </w:tc>
        <w:tc>
          <w:tcPr>
            <w:tcW w:w="0" w:type="dxa"/>
            <w:vAlign w:val="bottom"/>
          </w:tcPr>
          <w:p>
            <w:pPr>
              <w:spacing w:after="0"/>
              <w:rPr>
                <w:sz w:val="1"/>
                <w:szCs w:val="1"/>
                <w:color w:val="auto"/>
              </w:rPr>
            </w:pPr>
          </w:p>
        </w:tc>
      </w:tr>
      <w:tr>
        <w:trPr>
          <w:trHeight w:val="139"/>
        </w:trPr>
        <w:tc>
          <w:tcPr>
            <w:tcW w:w="3860" w:type="dxa"/>
            <w:vAlign w:val="bottom"/>
          </w:tcPr>
          <w:p>
            <w:pPr>
              <w:spacing w:after="0" w:line="139" w:lineRule="exact"/>
              <w:rPr>
                <w:sz w:val="20"/>
                <w:szCs w:val="20"/>
                <w:color w:val="auto"/>
              </w:rPr>
            </w:pPr>
            <w:r>
              <w:rPr>
                <w:rFonts w:ascii="Arial" w:cs="Arial" w:eastAsia="Arial" w:hAnsi="Arial"/>
                <w:sz w:val="14"/>
                <w:szCs w:val="14"/>
                <w:color w:val="auto"/>
              </w:rPr>
              <w:t>Rights attaching to shares”.</w:t>
            </w: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Pr>
          <w:p>
            <w:pPr>
              <w:spacing w:after="0"/>
              <w:rPr>
                <w:sz w:val="20"/>
                <w:szCs w:val="20"/>
                <w:color w:val="auto"/>
              </w:rPr>
            </w:pPr>
            <w:r>
              <w:rPr>
                <w:rFonts w:ascii="Arial" w:cs="Arial" w:eastAsia="Arial" w:hAnsi="Arial"/>
                <w:sz w:val="12"/>
                <w:szCs w:val="12"/>
                <w:color w:val="auto"/>
              </w:rPr>
              <w:t>Q3</w:t>
            </w:r>
          </w:p>
        </w:tc>
        <w:tc>
          <w:tcPr>
            <w:tcW w:w="20" w:type="dxa"/>
            <w:vAlign w:val="bottom"/>
          </w:tcPr>
          <w:p>
            <w:pPr>
              <w:spacing w:after="0"/>
              <w:rPr>
                <w:sz w:val="12"/>
                <w:szCs w:val="12"/>
                <w:color w:val="auto"/>
              </w:rPr>
            </w:pPr>
          </w:p>
        </w:tc>
        <w:tc>
          <w:tcPr>
            <w:tcW w:w="380" w:type="dxa"/>
            <w:vAlign w:val="bottom"/>
            <w:tcBorders>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0.72</w:t>
            </w: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0.63</w:t>
            </w:r>
          </w:p>
        </w:tc>
        <w:tc>
          <w:tcPr>
            <w:tcW w:w="660" w:type="dxa"/>
            <w:vAlign w:val="bottom"/>
          </w:tcPr>
          <w:p>
            <w:pPr>
              <w:jc w:val="right"/>
              <w:ind w:right="98"/>
              <w:spacing w:after="0"/>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58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Q4</w:t>
            </w: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E4E3E1"/>
            </w:tcBorders>
            <w:gridSpan w:val="2"/>
            <w:shd w:val="clear" w:color="auto" w:fill="E4E3E1"/>
          </w:tcPr>
          <w:p>
            <w:pPr>
              <w:jc w:val="right"/>
              <w:ind w:right="60"/>
              <w:spacing w:after="0" w:line="133" w:lineRule="exact"/>
              <w:rPr>
                <w:sz w:val="20"/>
                <w:szCs w:val="20"/>
                <w:color w:val="auto"/>
              </w:rPr>
            </w:pPr>
            <w:r>
              <w:rPr>
                <w:rFonts w:ascii="Arial" w:cs="Arial" w:eastAsia="Arial" w:hAnsi="Arial"/>
                <w:sz w:val="12"/>
                <w:szCs w:val="12"/>
                <w:color w:val="auto"/>
              </w:rPr>
              <w:t>0.72</w:t>
            </w:r>
          </w:p>
        </w:tc>
        <w:tc>
          <w:tcPr>
            <w:tcW w:w="720" w:type="dxa"/>
            <w:vAlign w:val="bottom"/>
            <w:tcBorders>
              <w:bottom w:val="single" w:sz="8" w:color="auto"/>
            </w:tcBorders>
          </w:tcPr>
          <w:p>
            <w:pPr>
              <w:jc w:val="right"/>
              <w:ind w:right="78"/>
              <w:spacing w:after="0" w:line="133" w:lineRule="exact"/>
              <w:rPr>
                <w:sz w:val="20"/>
                <w:szCs w:val="20"/>
                <w:color w:val="auto"/>
              </w:rPr>
            </w:pPr>
            <w:r>
              <w:rPr>
                <w:rFonts w:ascii="Arial" w:cs="Arial" w:eastAsia="Arial" w:hAnsi="Arial"/>
                <w:sz w:val="12"/>
                <w:szCs w:val="12"/>
                <w:color w:val="auto"/>
              </w:rPr>
              <w:t>0.65</w:t>
            </w:r>
          </w:p>
        </w:tc>
        <w:tc>
          <w:tcPr>
            <w:tcW w:w="660" w:type="dxa"/>
            <w:vAlign w:val="bottom"/>
            <w:tcBorders>
              <w:bottom w:val="single" w:sz="8" w:color="auto"/>
            </w:tcBorders>
          </w:tcPr>
          <w:p>
            <w:pPr>
              <w:jc w:val="right"/>
              <w:ind w:right="98"/>
              <w:spacing w:after="0" w:line="133" w:lineRule="exact"/>
              <w:rPr>
                <w:sz w:val="20"/>
                <w:szCs w:val="20"/>
                <w:color w:val="auto"/>
              </w:rPr>
            </w:pPr>
            <w:r>
              <w:rPr>
                <w:rFonts w:ascii="Arial" w:cs="Arial" w:eastAsia="Arial" w:hAnsi="Arial"/>
                <w:sz w:val="12"/>
                <w:szCs w:val="12"/>
                <w:color w:val="auto"/>
              </w:rPr>
              <w:t>0.56</w:t>
            </w:r>
          </w:p>
        </w:tc>
        <w:tc>
          <w:tcPr>
            <w:tcW w:w="0" w:type="dxa"/>
            <w:vAlign w:val="bottom"/>
          </w:tcPr>
          <w:p>
            <w:pPr>
              <w:spacing w:after="0"/>
              <w:rPr>
                <w:sz w:val="1"/>
                <w:szCs w:val="1"/>
                <w:color w:val="auto"/>
              </w:rPr>
            </w:pPr>
          </w:p>
        </w:tc>
      </w:tr>
      <w:tr>
        <w:trPr>
          <w:trHeight w:val="140"/>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declared during the year</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2.88</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2.54</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2.24</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Amount paid during the year</w:t>
            </w:r>
          </w:p>
        </w:tc>
        <w:tc>
          <w:tcPr>
            <w:tcW w:w="20" w:type="dxa"/>
            <w:vAlign w:val="bottom"/>
            <w:tcBorders>
              <w:bottom w:val="single" w:sz="8" w:color="auto"/>
            </w:tcBorders>
          </w:tcPr>
          <w:p>
            <w:pPr>
              <w:spacing w:after="0"/>
              <w:rPr>
                <w:sz w:val="12"/>
                <w:szCs w:val="12"/>
                <w:color w:val="auto"/>
              </w:rPr>
            </w:pPr>
          </w:p>
        </w:tc>
        <w:tc>
          <w:tcPr>
            <w:tcW w:w="380" w:type="dxa"/>
            <w:vAlign w:val="bottom"/>
            <w:tcBorders>
              <w:bottom w:val="single" w:sz="8" w:color="auto"/>
              <w:right w:val="single" w:sz="8" w:color="E4E3E1"/>
            </w:tcBorders>
            <w:gridSpan w:val="2"/>
            <w:shd w:val="clear" w:color="auto" w:fill="E4E3E1"/>
          </w:tcPr>
          <w:p>
            <w:pPr>
              <w:jc w:val="right"/>
              <w:ind w:right="60"/>
              <w:spacing w:after="0"/>
              <w:rPr>
                <w:sz w:val="20"/>
                <w:szCs w:val="20"/>
                <w:color w:val="auto"/>
              </w:rPr>
            </w:pPr>
            <w:r>
              <w:rPr>
                <w:rFonts w:ascii="Arial" w:cs="Arial" w:eastAsia="Arial" w:hAnsi="Arial"/>
                <w:sz w:val="12"/>
                <w:szCs w:val="12"/>
                <w:color w:val="auto"/>
              </w:rPr>
              <w:t>2.81</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2.45</w:t>
            </w: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3.10</w:t>
            </w: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[A] Euro equivalent.</w:t>
      </w:r>
    </w:p>
    <w:p>
      <w:pPr>
        <w:ind w:left="5600"/>
        <w:spacing w:after="0" w:line="231" w:lineRule="auto"/>
        <w:rPr>
          <w:sz w:val="20"/>
          <w:szCs w:val="20"/>
          <w:color w:val="auto"/>
        </w:rPr>
      </w:pPr>
      <w:r>
        <w:rPr>
          <w:rFonts w:ascii="Arial" w:cs="Arial" w:eastAsia="Arial" w:hAnsi="Arial"/>
          <w:sz w:val="12"/>
          <w:szCs w:val="12"/>
          <w:color w:val="auto"/>
        </w:rPr>
        <w:t>[B] Historical data converted to Royal Dutch Shell equivalents.</w:t>
      </w:r>
    </w:p>
    <w:p>
      <w:pPr>
        <w:ind w:left="5600"/>
        <w:spacing w:after="0"/>
        <w:rPr>
          <w:sz w:val="20"/>
          <w:szCs w:val="20"/>
          <w:color w:val="auto"/>
        </w:rPr>
      </w:pPr>
      <w:r>
        <w:rPr>
          <w:rFonts w:ascii="Arial" w:cs="Arial" w:eastAsia="Arial" w:hAnsi="Arial"/>
          <w:sz w:val="12"/>
          <w:szCs w:val="12"/>
          <w:color w:val="auto"/>
        </w:rPr>
        <w:t>[C] Sterling equivalent.</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1765935</wp:posOffset>
            </wp:positionV>
            <wp:extent cx="7252970" cy="209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960"/>
          </w:cols>
          <w:pgMar w:left="240" w:top="415" w:right="69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ADDITIONAL SHAREHOLDER INFORMATION (UNAUDITED)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REINVESTMENT PLAN (DRIP)</w:t>
      </w:r>
    </w:p>
    <w:p>
      <w:pPr>
        <w:spacing w:after="0" w:line="6" w:lineRule="exact"/>
        <w:rPr>
          <w:sz w:val="20"/>
          <w:szCs w:val="20"/>
          <w:color w:val="auto"/>
        </w:rPr>
      </w:pPr>
    </w:p>
    <w:p>
      <w:pPr>
        <w:jc w:val="both"/>
        <w:ind w:right="60"/>
        <w:spacing w:after="0" w:line="229" w:lineRule="auto"/>
        <w:rPr>
          <w:sz w:val="20"/>
          <w:szCs w:val="20"/>
          <w:color w:val="auto"/>
        </w:rPr>
      </w:pPr>
      <w:r>
        <w:rPr>
          <w:rFonts w:ascii="Arial" w:cs="Arial" w:eastAsia="Arial" w:hAnsi="Arial"/>
          <w:sz w:val="14"/>
          <w:szCs w:val="14"/>
          <w:color w:val="auto"/>
        </w:rPr>
        <w:t>A DRIP is offered on both classes of shares and, depending on how an investor holds shares, is offered by either Equiniti (formerly Lloyds TSB Registrars) or ABN AMRO. DRIPs for ADRs traded on the NYSE are offered by The Bank of New York Mellon.</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EQUINITI</w:t>
      </w:r>
    </w:p>
    <w:p>
      <w:pPr>
        <w:spacing w:after="0" w:line="6" w:lineRule="exact"/>
        <w:rPr>
          <w:sz w:val="20"/>
          <w:szCs w:val="20"/>
          <w:color w:val="auto"/>
        </w:rPr>
      </w:pPr>
    </w:p>
    <w:p>
      <w:pPr>
        <w:ind w:right="80"/>
        <w:spacing w:after="0" w:line="226" w:lineRule="auto"/>
        <w:rPr>
          <w:sz w:val="20"/>
          <w:szCs w:val="20"/>
          <w:color w:val="auto"/>
        </w:rPr>
      </w:pPr>
      <w:r>
        <w:rPr>
          <w:rFonts w:ascii="Arial" w:cs="Arial" w:eastAsia="Arial" w:hAnsi="Arial"/>
          <w:sz w:val="14"/>
          <w:szCs w:val="14"/>
          <w:color w:val="auto"/>
        </w:rPr>
        <w:t>The DRIP operated by Equiniti is available to investors in respect of shares held directly in the Royal Dutch Shell Nominee or on the Royal Dutch Shell plc share register. You will be liable for tax on dividends reinvested on the same basis as if you had received the cash and arranged the purchase of shares yourself.</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ABN AMRO</w:t>
      </w:r>
    </w:p>
    <w:p>
      <w:pPr>
        <w:spacing w:after="0" w:line="6"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The DRIP operated by ABN AMRO is available to shareholders who hold their shares via Euroclear Nederland through an admitted institution of Euroclear Nederland and are expecting to receive the dividend in the default currency for Class A ordinary and Class B ordinary shares.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BANK OF NEW YORK MELLON</w:t>
      </w:r>
    </w:p>
    <w:p>
      <w:pPr>
        <w:spacing w:after="0" w:line="6" w:lineRule="exact"/>
        <w:rPr>
          <w:sz w:val="20"/>
          <w:szCs w:val="20"/>
          <w:color w:val="auto"/>
        </w:rPr>
      </w:pPr>
    </w:p>
    <w:p>
      <w:pPr>
        <w:jc w:val="both"/>
        <w:ind w:right="80"/>
        <w:spacing w:after="0" w:line="229" w:lineRule="auto"/>
        <w:rPr>
          <w:sz w:val="20"/>
          <w:szCs w:val="20"/>
          <w:color w:val="auto"/>
        </w:rPr>
      </w:pPr>
      <w:r>
        <w:rPr>
          <w:rFonts w:ascii="Arial" w:cs="Arial" w:eastAsia="Arial" w:hAnsi="Arial"/>
          <w:sz w:val="14"/>
          <w:szCs w:val="14"/>
          <w:color w:val="auto"/>
        </w:rPr>
        <w:t>The Bank of New York Mellon maintains a (Global BuyDIRECT</w:t>
      </w:r>
      <w:r>
        <w:rPr>
          <w:rFonts w:ascii="Arial" w:cs="Arial" w:eastAsia="Arial" w:hAnsi="Arial"/>
          <w:sz w:val="12"/>
          <w:szCs w:val="12"/>
          <w:color w:val="auto"/>
        </w:rPr>
        <w:t>sm</w:t>
      </w:r>
      <w:r>
        <w:rPr>
          <w:rFonts w:ascii="Arial" w:cs="Arial" w:eastAsia="Arial" w:hAnsi="Arial"/>
          <w:sz w:val="14"/>
          <w:szCs w:val="14"/>
          <w:color w:val="auto"/>
        </w:rPr>
        <w:t>) plan for the Royal Dutch Shell Class A ADRs, available to registered holders and first time investors and a DRIP for the Class B ADRs available to registered ADR holders.</w:t>
      </w:r>
    </w:p>
    <w:p>
      <w:pPr>
        <w:spacing w:after="0" w:line="73"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Tax consequences of participation in the plan may vary depending upon the tax residence of the shareholder and the class of shares held. Holders of Class A ordinary shares should note that it is the net dividend that will be reinvested.</w:t>
      </w:r>
    </w:p>
    <w:p>
      <w:pPr>
        <w:spacing w:after="0" w:line="73"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auto"/>
        </w:rPr>
        <w:t>To participate, or if you have any further questions, please call your bank or broker if your shareholding is through Euroclear Nederland, The Bank of New York Mellon if enquiries relate to ADRs and Equiniti for all other shareholders.</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INDEXED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3475990" cy="844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475990" cy="844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Royal Dutch Shell plc Class A / AEX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3475990" cy="21907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475990"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Index: December 31, 2002 =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206 </w:t>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Royal Dutch Shell plc Class B / FTSE 100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-167640</wp:posOffset>
            </wp:positionV>
            <wp:extent cx="3475990" cy="225806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75990" cy="2258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4"/>
          <w:szCs w:val="14"/>
          <w:color w:val="auto"/>
        </w:rPr>
        <w:t>Index: December 31, 2002 = 100</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CALENDAR</w:t>
      </w:r>
    </w:p>
    <w:p>
      <w:pPr>
        <w:spacing w:after="0" w:line="6" w:lineRule="exact"/>
        <w:rPr>
          <w:sz w:val="20"/>
          <w:szCs w:val="20"/>
          <w:color w:val="auto"/>
        </w:rPr>
      </w:pPr>
    </w:p>
    <w:p>
      <w:pPr>
        <w:spacing w:after="0"/>
        <w:tabs>
          <w:tab w:leader="none" w:pos="4360" w:val="left"/>
        </w:tabs>
        <w:rPr>
          <w:sz w:val="20"/>
          <w:szCs w:val="20"/>
          <w:color w:val="auto"/>
        </w:rPr>
      </w:pPr>
      <w:r>
        <w:rPr>
          <w:rFonts w:ascii="Arial" w:cs="Arial" w:eastAsia="Arial" w:hAnsi="Arial"/>
          <w:sz w:val="12"/>
          <w:szCs w:val="12"/>
          <w:color w:val="auto"/>
        </w:rPr>
        <w:t>Financial year ends</w:t>
      </w:r>
      <w:r>
        <w:rPr>
          <w:sz w:val="20"/>
          <w:szCs w:val="20"/>
          <w:color w:val="auto"/>
        </w:rPr>
        <w:tab/>
      </w:r>
      <w:r>
        <w:rPr>
          <w:rFonts w:ascii="Arial" w:cs="Arial" w:eastAsia="Arial" w:hAnsi="Arial"/>
          <w:sz w:val="12"/>
          <w:szCs w:val="12"/>
          <w:color w:val="auto"/>
        </w:rPr>
        <w:t>December 31, 2007</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Announcements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40" w:type="dxa"/>
            <w:vAlign w:val="bottom"/>
          </w:tcPr>
          <w:p>
            <w:pPr>
              <w:spacing w:after="0"/>
              <w:rPr>
                <w:sz w:val="20"/>
                <w:szCs w:val="20"/>
                <w:color w:val="auto"/>
              </w:rPr>
            </w:pPr>
            <w:r>
              <w:rPr>
                <w:rFonts w:ascii="Arial" w:cs="Arial" w:eastAsia="Arial" w:hAnsi="Arial"/>
                <w:sz w:val="12"/>
                <w:szCs w:val="12"/>
                <w:color w:val="auto"/>
              </w:rPr>
              <w:t>Full year results for 2007</w:t>
            </w:r>
          </w:p>
        </w:tc>
        <w:tc>
          <w:tcPr>
            <w:tcW w:w="2340" w:type="dxa"/>
            <w:vAlign w:val="bottom"/>
            <w:gridSpan w:val="2"/>
          </w:tcPr>
          <w:p>
            <w:pPr>
              <w:jc w:val="right"/>
              <w:spacing w:after="0"/>
              <w:rPr>
                <w:sz w:val="20"/>
                <w:szCs w:val="20"/>
                <w:color w:val="auto"/>
              </w:rPr>
            </w:pPr>
            <w:r>
              <w:rPr>
                <w:rFonts w:ascii="Arial" w:cs="Arial" w:eastAsia="Arial" w:hAnsi="Arial"/>
                <w:sz w:val="12"/>
                <w:szCs w:val="12"/>
                <w:color w:val="auto"/>
              </w:rPr>
              <w:t>January 31, 2008</w:t>
            </w:r>
          </w:p>
        </w:tc>
      </w:tr>
      <w:tr>
        <w:trPr>
          <w:trHeight w:val="133"/>
        </w:trPr>
        <w:tc>
          <w:tcPr>
            <w:tcW w:w="3140" w:type="dxa"/>
            <w:vAlign w:val="bottom"/>
          </w:tcPr>
          <w:p>
            <w:pPr>
              <w:spacing w:after="0" w:line="133" w:lineRule="exact"/>
              <w:rPr>
                <w:sz w:val="20"/>
                <w:szCs w:val="20"/>
                <w:color w:val="auto"/>
              </w:rPr>
            </w:pPr>
            <w:r>
              <w:rPr>
                <w:rFonts w:ascii="Arial" w:cs="Arial" w:eastAsia="Arial" w:hAnsi="Arial"/>
                <w:sz w:val="12"/>
                <w:szCs w:val="12"/>
                <w:color w:val="auto"/>
              </w:rPr>
              <w:t>First quarter results for 2008</w:t>
            </w:r>
          </w:p>
        </w:tc>
        <w:tc>
          <w:tcPr>
            <w:tcW w:w="23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April 29, 2008</w:t>
            </w:r>
          </w:p>
        </w:tc>
      </w:tr>
      <w:tr>
        <w:trPr>
          <w:trHeight w:val="133"/>
        </w:trPr>
        <w:tc>
          <w:tcPr>
            <w:tcW w:w="3140" w:type="dxa"/>
            <w:vAlign w:val="bottom"/>
          </w:tcPr>
          <w:p>
            <w:pPr>
              <w:spacing w:after="0" w:line="133" w:lineRule="exact"/>
              <w:rPr>
                <w:sz w:val="20"/>
                <w:szCs w:val="20"/>
                <w:color w:val="auto"/>
              </w:rPr>
            </w:pPr>
            <w:r>
              <w:rPr>
                <w:rFonts w:ascii="Arial" w:cs="Arial" w:eastAsia="Arial" w:hAnsi="Arial"/>
                <w:sz w:val="12"/>
                <w:szCs w:val="12"/>
                <w:color w:val="auto"/>
              </w:rPr>
              <w:t>Second quarter results for 2008</w:t>
            </w:r>
          </w:p>
        </w:tc>
        <w:tc>
          <w:tcPr>
            <w:tcW w:w="2040" w:type="dxa"/>
            <w:vAlign w:val="bottom"/>
          </w:tcPr>
          <w:p>
            <w:pPr>
              <w:jc w:val="right"/>
              <w:spacing w:after="0" w:line="133" w:lineRule="exact"/>
              <w:rPr>
                <w:sz w:val="20"/>
                <w:szCs w:val="20"/>
                <w:color w:val="auto"/>
              </w:rPr>
            </w:pPr>
            <w:r>
              <w:rPr>
                <w:rFonts w:ascii="Arial" w:cs="Arial" w:eastAsia="Arial" w:hAnsi="Arial"/>
                <w:sz w:val="12"/>
                <w:szCs w:val="12"/>
                <w:color w:val="auto"/>
              </w:rPr>
              <w:t>July 31,</w:t>
            </w:r>
          </w:p>
        </w:tc>
        <w:tc>
          <w:tcPr>
            <w:tcW w:w="300" w:type="dxa"/>
            <w:vAlign w:val="bottom"/>
          </w:tcPr>
          <w:p>
            <w:pPr>
              <w:jc w:val="right"/>
              <w:spacing w:after="0" w:line="133" w:lineRule="exact"/>
              <w:rPr>
                <w:sz w:val="20"/>
                <w:szCs w:val="20"/>
                <w:color w:val="auto"/>
              </w:rPr>
            </w:pPr>
            <w:r>
              <w:rPr>
                <w:rFonts w:ascii="Arial" w:cs="Arial" w:eastAsia="Arial" w:hAnsi="Arial"/>
                <w:sz w:val="12"/>
                <w:szCs w:val="12"/>
                <w:color w:val="auto"/>
              </w:rPr>
              <w:t>2008</w:t>
            </w:r>
          </w:p>
        </w:tc>
      </w:tr>
      <w:tr>
        <w:trPr>
          <w:trHeight w:val="148"/>
        </w:trPr>
        <w:tc>
          <w:tcPr>
            <w:tcW w:w="3140" w:type="dxa"/>
            <w:vAlign w:val="bottom"/>
          </w:tcPr>
          <w:p>
            <w:pPr>
              <w:spacing w:after="0"/>
              <w:rPr>
                <w:sz w:val="20"/>
                <w:szCs w:val="20"/>
                <w:color w:val="auto"/>
              </w:rPr>
            </w:pPr>
            <w:r>
              <w:rPr>
                <w:rFonts w:ascii="Arial" w:cs="Arial" w:eastAsia="Arial" w:hAnsi="Arial"/>
                <w:sz w:val="12"/>
                <w:szCs w:val="12"/>
                <w:color w:val="auto"/>
              </w:rPr>
              <w:t>Third quarter results for 2008</w:t>
            </w:r>
          </w:p>
        </w:tc>
        <w:tc>
          <w:tcPr>
            <w:tcW w:w="2040" w:type="dxa"/>
            <w:vAlign w:val="bottom"/>
          </w:tcPr>
          <w:p>
            <w:pPr>
              <w:jc w:val="right"/>
              <w:spacing w:after="0"/>
              <w:rPr>
                <w:sz w:val="20"/>
                <w:szCs w:val="20"/>
                <w:color w:val="auto"/>
              </w:rPr>
            </w:pPr>
            <w:r>
              <w:rPr>
                <w:rFonts w:ascii="Arial" w:cs="Arial" w:eastAsia="Arial" w:hAnsi="Arial"/>
                <w:sz w:val="12"/>
                <w:szCs w:val="12"/>
                <w:color w:val="auto"/>
              </w:rPr>
              <w:t>October 30,</w:t>
            </w:r>
          </w:p>
        </w:tc>
        <w:tc>
          <w:tcPr>
            <w:tcW w:w="300" w:type="dxa"/>
            <w:vAlign w:val="bottom"/>
          </w:tcPr>
          <w:p>
            <w:pPr>
              <w:jc w:val="right"/>
              <w:spacing w:after="0"/>
              <w:rPr>
                <w:sz w:val="20"/>
                <w:szCs w:val="20"/>
                <w:color w:val="auto"/>
              </w:rPr>
            </w:pPr>
            <w:r>
              <w:rPr>
                <w:rFonts w:ascii="Arial" w:cs="Arial" w:eastAsia="Arial" w:hAnsi="Arial"/>
                <w:sz w:val="12"/>
                <w:szCs w:val="12"/>
                <w:color w:val="auto"/>
              </w:rPr>
              <w:t>2008</w:t>
            </w:r>
          </w:p>
        </w:tc>
      </w:tr>
    </w:tbl>
    <w:p>
      <w:pPr>
        <w:spacing w:after="0" w:line="111" w:lineRule="exact"/>
        <w:rPr>
          <w:sz w:val="20"/>
          <w:szCs w:val="20"/>
          <w:color w:val="auto"/>
        </w:rPr>
      </w:pPr>
    </w:p>
    <w:p>
      <w:pPr>
        <w:ind w:right="2160"/>
        <w:spacing w:after="0" w:line="243" w:lineRule="auto"/>
        <w:rPr>
          <w:sz w:val="20"/>
          <w:szCs w:val="20"/>
          <w:color w:val="auto"/>
        </w:rPr>
      </w:pPr>
      <w:r>
        <w:rPr>
          <w:rFonts w:ascii="Arial" w:cs="Arial" w:eastAsia="Arial" w:hAnsi="Arial"/>
          <w:sz w:val="14"/>
          <w:szCs w:val="14"/>
          <w:b w:val="1"/>
          <w:bCs w:val="1"/>
          <w:color w:val="auto"/>
        </w:rPr>
        <w:t>Dividends – ordinary shares Class A and Class B including ADRs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2007 Fourth quarter interim</w:t>
      </w:r>
      <w:r>
        <w:rPr>
          <w:rFonts w:ascii="Arial" w:cs="Arial" w:eastAsia="Arial" w:hAnsi="Arial"/>
          <w:sz w:val="10"/>
          <w:szCs w:val="10"/>
          <w:color w:val="auto"/>
        </w:rPr>
        <w: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000" w:type="dxa"/>
            <w:vAlign w:val="bottom"/>
            <w:tcBorders>
              <w:top w:val="single" w:sz="8" w:color="auto"/>
            </w:tcBorders>
          </w:tcPr>
          <w:p>
            <w:pPr>
              <w:spacing w:after="0" w:line="134" w:lineRule="exact"/>
              <w:rPr>
                <w:sz w:val="20"/>
                <w:szCs w:val="20"/>
                <w:color w:val="auto"/>
              </w:rPr>
            </w:pPr>
            <w:r>
              <w:rPr>
                <w:rFonts w:ascii="Arial" w:cs="Arial" w:eastAsia="Arial" w:hAnsi="Arial"/>
                <w:sz w:val="12"/>
                <w:szCs w:val="12"/>
                <w:color w:val="auto"/>
              </w:rPr>
              <w:t>Announced</w:t>
            </w:r>
          </w:p>
        </w:tc>
        <w:tc>
          <w:tcPr>
            <w:tcW w:w="24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January 31,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Ex-dividend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February 6,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Record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February 8, 2008</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Payment date</w:t>
            </w:r>
          </w:p>
        </w:tc>
        <w:tc>
          <w:tcPr>
            <w:tcW w:w="2480" w:type="dxa"/>
            <w:vAlign w:val="bottom"/>
          </w:tcPr>
          <w:p>
            <w:pPr>
              <w:jc w:val="right"/>
              <w:spacing w:after="0"/>
              <w:rPr>
                <w:sz w:val="20"/>
                <w:szCs w:val="20"/>
                <w:color w:val="auto"/>
              </w:rPr>
            </w:pPr>
            <w:r>
              <w:rPr>
                <w:rFonts w:ascii="Arial" w:cs="Arial" w:eastAsia="Arial" w:hAnsi="Arial"/>
                <w:sz w:val="12"/>
                <w:szCs w:val="12"/>
                <w:color w:val="auto"/>
              </w:rPr>
              <w:t>March 12, 2008</w:t>
            </w:r>
          </w:p>
        </w:tc>
      </w:tr>
      <w:tr>
        <w:trPr>
          <w:trHeight w:val="257"/>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2008 First quarter interim</w:t>
            </w:r>
          </w:p>
        </w:tc>
        <w:tc>
          <w:tcPr>
            <w:tcW w:w="2480" w:type="dxa"/>
            <w:vAlign w:val="bottom"/>
            <w:tcBorders>
              <w:bottom w:val="single" w:sz="8" w:color="auto"/>
            </w:tcBorders>
          </w:tcPr>
          <w:p>
            <w:pPr>
              <w:spacing w:after="0"/>
              <w:rPr>
                <w:sz w:val="22"/>
                <w:szCs w:val="22"/>
                <w:color w:val="auto"/>
              </w:rPr>
            </w:pPr>
          </w:p>
        </w:tc>
      </w:tr>
      <w:tr>
        <w:trPr>
          <w:trHeight w:val="134"/>
        </w:trPr>
        <w:tc>
          <w:tcPr>
            <w:tcW w:w="3000" w:type="dxa"/>
            <w:vAlign w:val="bottom"/>
          </w:tcPr>
          <w:p>
            <w:pPr>
              <w:spacing w:after="0" w:line="134" w:lineRule="exact"/>
              <w:rPr>
                <w:sz w:val="20"/>
                <w:szCs w:val="20"/>
                <w:color w:val="auto"/>
              </w:rPr>
            </w:pPr>
            <w:r>
              <w:rPr>
                <w:rFonts w:ascii="Arial" w:cs="Arial" w:eastAsia="Arial" w:hAnsi="Arial"/>
                <w:sz w:val="12"/>
                <w:szCs w:val="12"/>
                <w:color w:val="auto"/>
              </w:rPr>
              <w:t>Announced</w:t>
            </w:r>
          </w:p>
        </w:tc>
        <w:tc>
          <w:tcPr>
            <w:tcW w:w="2480" w:type="dxa"/>
            <w:vAlign w:val="bottom"/>
          </w:tcPr>
          <w:p>
            <w:pPr>
              <w:jc w:val="right"/>
              <w:spacing w:after="0" w:line="134" w:lineRule="exact"/>
              <w:rPr>
                <w:sz w:val="20"/>
                <w:szCs w:val="20"/>
                <w:color w:val="auto"/>
              </w:rPr>
            </w:pPr>
            <w:r>
              <w:rPr>
                <w:rFonts w:ascii="Arial" w:cs="Arial" w:eastAsia="Arial" w:hAnsi="Arial"/>
                <w:sz w:val="12"/>
                <w:szCs w:val="12"/>
                <w:color w:val="auto"/>
              </w:rPr>
              <w:t>April 29,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Ex-dividend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May 14,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Record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May 16, 2008</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Payment date</w:t>
            </w:r>
          </w:p>
        </w:tc>
        <w:tc>
          <w:tcPr>
            <w:tcW w:w="2480" w:type="dxa"/>
            <w:vAlign w:val="bottom"/>
          </w:tcPr>
          <w:p>
            <w:pPr>
              <w:jc w:val="right"/>
              <w:spacing w:after="0"/>
              <w:rPr>
                <w:sz w:val="20"/>
                <w:szCs w:val="20"/>
                <w:color w:val="auto"/>
              </w:rPr>
            </w:pPr>
            <w:r>
              <w:rPr>
                <w:rFonts w:ascii="Arial" w:cs="Arial" w:eastAsia="Arial" w:hAnsi="Arial"/>
                <w:sz w:val="12"/>
                <w:szCs w:val="12"/>
                <w:color w:val="auto"/>
              </w:rPr>
              <w:t>June 11, 2008</w:t>
            </w:r>
          </w:p>
        </w:tc>
      </w:tr>
      <w:tr>
        <w:trPr>
          <w:trHeight w:val="257"/>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2008 Second quarter interim</w:t>
            </w:r>
          </w:p>
        </w:tc>
        <w:tc>
          <w:tcPr>
            <w:tcW w:w="2480" w:type="dxa"/>
            <w:vAlign w:val="bottom"/>
            <w:tcBorders>
              <w:bottom w:val="single" w:sz="8" w:color="auto"/>
            </w:tcBorders>
          </w:tcPr>
          <w:p>
            <w:pPr>
              <w:spacing w:after="0"/>
              <w:rPr>
                <w:sz w:val="22"/>
                <w:szCs w:val="22"/>
                <w:color w:val="auto"/>
              </w:rPr>
            </w:pPr>
          </w:p>
        </w:tc>
      </w:tr>
      <w:tr>
        <w:trPr>
          <w:trHeight w:val="134"/>
        </w:trPr>
        <w:tc>
          <w:tcPr>
            <w:tcW w:w="3000" w:type="dxa"/>
            <w:vAlign w:val="bottom"/>
          </w:tcPr>
          <w:p>
            <w:pPr>
              <w:spacing w:after="0" w:line="134" w:lineRule="exact"/>
              <w:rPr>
                <w:sz w:val="20"/>
                <w:szCs w:val="20"/>
                <w:color w:val="auto"/>
              </w:rPr>
            </w:pPr>
            <w:r>
              <w:rPr>
                <w:rFonts w:ascii="Arial" w:cs="Arial" w:eastAsia="Arial" w:hAnsi="Arial"/>
                <w:sz w:val="12"/>
                <w:szCs w:val="12"/>
                <w:color w:val="auto"/>
              </w:rPr>
              <w:t>Announced</w:t>
            </w:r>
          </w:p>
        </w:tc>
        <w:tc>
          <w:tcPr>
            <w:tcW w:w="2480" w:type="dxa"/>
            <w:vAlign w:val="bottom"/>
          </w:tcPr>
          <w:p>
            <w:pPr>
              <w:jc w:val="right"/>
              <w:spacing w:after="0" w:line="134" w:lineRule="exact"/>
              <w:rPr>
                <w:sz w:val="20"/>
                <w:szCs w:val="20"/>
                <w:color w:val="auto"/>
              </w:rPr>
            </w:pPr>
            <w:r>
              <w:rPr>
                <w:rFonts w:ascii="Arial" w:cs="Arial" w:eastAsia="Arial" w:hAnsi="Arial"/>
                <w:sz w:val="12"/>
                <w:szCs w:val="12"/>
                <w:color w:val="auto"/>
              </w:rPr>
              <w:t>July 31,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Ex-dividend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August 6,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Record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August 8, 2008</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Payment date</w:t>
            </w:r>
          </w:p>
        </w:tc>
        <w:tc>
          <w:tcPr>
            <w:tcW w:w="2480" w:type="dxa"/>
            <w:vAlign w:val="bottom"/>
          </w:tcPr>
          <w:p>
            <w:pPr>
              <w:jc w:val="right"/>
              <w:spacing w:after="0"/>
              <w:rPr>
                <w:sz w:val="20"/>
                <w:szCs w:val="20"/>
                <w:color w:val="auto"/>
              </w:rPr>
            </w:pPr>
            <w:r>
              <w:rPr>
                <w:rFonts w:ascii="Arial" w:cs="Arial" w:eastAsia="Arial" w:hAnsi="Arial"/>
                <w:sz w:val="12"/>
                <w:szCs w:val="12"/>
                <w:color w:val="auto"/>
              </w:rPr>
              <w:t>September 10, 2008</w:t>
            </w:r>
          </w:p>
        </w:tc>
      </w:tr>
      <w:tr>
        <w:trPr>
          <w:trHeight w:val="257"/>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2008 Third quarter interim</w:t>
            </w:r>
          </w:p>
        </w:tc>
        <w:tc>
          <w:tcPr>
            <w:tcW w:w="2480" w:type="dxa"/>
            <w:vAlign w:val="bottom"/>
            <w:tcBorders>
              <w:bottom w:val="single" w:sz="8" w:color="auto"/>
            </w:tcBorders>
          </w:tcPr>
          <w:p>
            <w:pPr>
              <w:spacing w:after="0"/>
              <w:rPr>
                <w:sz w:val="22"/>
                <w:szCs w:val="22"/>
                <w:color w:val="auto"/>
              </w:rPr>
            </w:pPr>
          </w:p>
        </w:tc>
      </w:tr>
      <w:tr>
        <w:trPr>
          <w:trHeight w:val="134"/>
        </w:trPr>
        <w:tc>
          <w:tcPr>
            <w:tcW w:w="3000" w:type="dxa"/>
            <w:vAlign w:val="bottom"/>
          </w:tcPr>
          <w:p>
            <w:pPr>
              <w:spacing w:after="0" w:line="134" w:lineRule="exact"/>
              <w:rPr>
                <w:sz w:val="20"/>
                <w:szCs w:val="20"/>
                <w:color w:val="auto"/>
              </w:rPr>
            </w:pPr>
            <w:r>
              <w:rPr>
                <w:rFonts w:ascii="Arial" w:cs="Arial" w:eastAsia="Arial" w:hAnsi="Arial"/>
                <w:sz w:val="12"/>
                <w:szCs w:val="12"/>
                <w:color w:val="auto"/>
              </w:rPr>
              <w:t>Announced</w:t>
            </w:r>
          </w:p>
        </w:tc>
        <w:tc>
          <w:tcPr>
            <w:tcW w:w="2480" w:type="dxa"/>
            <w:vAlign w:val="bottom"/>
          </w:tcPr>
          <w:p>
            <w:pPr>
              <w:jc w:val="right"/>
              <w:spacing w:after="0" w:line="134" w:lineRule="exact"/>
              <w:rPr>
                <w:sz w:val="20"/>
                <w:szCs w:val="20"/>
                <w:color w:val="auto"/>
              </w:rPr>
            </w:pPr>
            <w:r>
              <w:rPr>
                <w:rFonts w:ascii="Arial" w:cs="Arial" w:eastAsia="Arial" w:hAnsi="Arial"/>
                <w:sz w:val="12"/>
                <w:szCs w:val="12"/>
                <w:color w:val="auto"/>
              </w:rPr>
              <w:t>October 30,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Ex-dividend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November 5, 2008</w:t>
            </w:r>
          </w:p>
        </w:tc>
      </w:tr>
      <w:tr>
        <w:trPr>
          <w:trHeight w:val="133"/>
        </w:trPr>
        <w:tc>
          <w:tcPr>
            <w:tcW w:w="3000" w:type="dxa"/>
            <w:vAlign w:val="bottom"/>
          </w:tcPr>
          <w:p>
            <w:pPr>
              <w:spacing w:after="0" w:line="133" w:lineRule="exact"/>
              <w:rPr>
                <w:sz w:val="20"/>
                <w:szCs w:val="20"/>
                <w:color w:val="auto"/>
              </w:rPr>
            </w:pPr>
            <w:r>
              <w:rPr>
                <w:rFonts w:ascii="Arial" w:cs="Arial" w:eastAsia="Arial" w:hAnsi="Arial"/>
                <w:sz w:val="12"/>
                <w:szCs w:val="12"/>
                <w:color w:val="auto"/>
              </w:rPr>
              <w:t>Record date</w:t>
            </w:r>
          </w:p>
        </w:tc>
        <w:tc>
          <w:tcPr>
            <w:tcW w:w="2480" w:type="dxa"/>
            <w:vAlign w:val="bottom"/>
          </w:tcPr>
          <w:p>
            <w:pPr>
              <w:jc w:val="right"/>
              <w:spacing w:after="0" w:line="133" w:lineRule="exact"/>
              <w:rPr>
                <w:sz w:val="20"/>
                <w:szCs w:val="20"/>
                <w:color w:val="auto"/>
              </w:rPr>
            </w:pPr>
            <w:r>
              <w:rPr>
                <w:rFonts w:ascii="Arial" w:cs="Arial" w:eastAsia="Arial" w:hAnsi="Arial"/>
                <w:sz w:val="12"/>
                <w:szCs w:val="12"/>
                <w:color w:val="auto"/>
              </w:rPr>
              <w:t>November 7, 2008</w:t>
            </w:r>
          </w:p>
        </w:tc>
      </w:tr>
      <w:tr>
        <w:trPr>
          <w:trHeight w:val="139"/>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Payment date</w:t>
            </w:r>
          </w:p>
        </w:tc>
        <w:tc>
          <w:tcPr>
            <w:tcW w:w="2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December 10, 2008</w:t>
            </w:r>
          </w:p>
        </w:tc>
      </w:tr>
      <w:tr>
        <w:trPr>
          <w:trHeight w:val="315"/>
        </w:trPr>
        <w:tc>
          <w:tcPr>
            <w:tcW w:w="3000" w:type="dxa"/>
            <w:vAlign w:val="bottom"/>
          </w:tcPr>
          <w:p>
            <w:pPr>
              <w:spacing w:after="0"/>
              <w:rPr>
                <w:sz w:val="20"/>
                <w:szCs w:val="20"/>
                <w:color w:val="auto"/>
              </w:rPr>
            </w:pPr>
            <w:r>
              <w:rPr>
                <w:rFonts w:ascii="Arial" w:cs="Arial" w:eastAsia="Arial" w:hAnsi="Arial"/>
                <w:sz w:val="14"/>
                <w:szCs w:val="14"/>
                <w:b w:val="1"/>
                <w:bCs w:val="1"/>
                <w:color w:val="auto"/>
              </w:rPr>
              <w:t>Annual General Meeting</w:t>
            </w:r>
          </w:p>
        </w:tc>
        <w:tc>
          <w:tcPr>
            <w:tcW w:w="2480" w:type="dxa"/>
            <w:vAlign w:val="bottom"/>
          </w:tcPr>
          <w:p>
            <w:pPr>
              <w:jc w:val="right"/>
              <w:spacing w:after="0"/>
              <w:rPr>
                <w:sz w:val="20"/>
                <w:szCs w:val="20"/>
                <w:color w:val="auto"/>
              </w:rPr>
            </w:pPr>
            <w:r>
              <w:rPr>
                <w:rFonts w:ascii="Arial" w:cs="Arial" w:eastAsia="Arial" w:hAnsi="Arial"/>
                <w:sz w:val="12"/>
                <w:szCs w:val="12"/>
                <w:color w:val="auto"/>
              </w:rPr>
              <w:t>May 20, 2008</w:t>
            </w:r>
          </w:p>
        </w:tc>
      </w:tr>
    </w:tbl>
    <w:p>
      <w:pPr>
        <w:spacing w:after="0" w:line="32" w:lineRule="exact"/>
        <w:rPr>
          <w:sz w:val="20"/>
          <w:szCs w:val="20"/>
          <w:color w:val="auto"/>
        </w:rPr>
      </w:pPr>
    </w:p>
    <w:p>
      <w:pPr>
        <w:spacing w:after="0"/>
        <w:rPr>
          <w:sz w:val="20"/>
          <w:szCs w:val="20"/>
          <w:color w:val="auto"/>
        </w:rPr>
      </w:pPr>
      <w:r>
        <w:rPr>
          <w:rFonts w:ascii="Arial" w:cs="Arial" w:eastAsia="Arial" w:hAnsi="Arial"/>
          <w:sz w:val="12"/>
          <w:szCs w:val="12"/>
          <w:color w:val="auto"/>
        </w:rPr>
        <w:t>[A] The Directors do not propose to recommend any further distribution in respect of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819150</wp:posOffset>
            </wp:positionV>
            <wp:extent cx="7252970" cy="209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2">
            <w:col w:w="5460" w:space="480"/>
            <w:col w:w="5480"/>
          </w:cols>
          <w:pgMar w:left="240" w:top="415"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140" w:type="dxa"/>
            <w:vAlign w:val="bottom"/>
            <w:shd w:val="clear" w:color="auto" w:fill="711470"/>
          </w:tcPr>
          <w:p>
            <w:pPr>
              <w:spacing w:after="0"/>
              <w:rPr>
                <w:sz w:val="20"/>
                <w:szCs w:val="20"/>
                <w:color w:val="auto"/>
              </w:rPr>
            </w:pPr>
            <w:r>
              <w:rPr>
                <w:rFonts w:ascii="Arial" w:cs="Arial" w:eastAsia="Arial" w:hAnsi="Arial"/>
                <w:sz w:val="12"/>
                <w:szCs w:val="12"/>
                <w:b w:val="1"/>
                <w:bCs w:val="1"/>
                <w:color w:val="FFFFFF"/>
              </w:rPr>
              <w:t>DOLLAR EXCHANGE RATES[A]</w:t>
            </w:r>
          </w:p>
        </w:tc>
        <w:tc>
          <w:tcPr>
            <w:tcW w:w="3260" w:type="dxa"/>
            <w:vAlign w:val="bottom"/>
            <w:shd w:val="clear" w:color="auto" w:fill="711470"/>
          </w:tcPr>
          <w:p>
            <w:pPr>
              <w:spacing w:after="0"/>
              <w:rPr>
                <w:sz w:val="12"/>
                <w:szCs w:val="12"/>
                <w:color w:val="auto"/>
              </w:rPr>
            </w:pPr>
          </w:p>
        </w:tc>
        <w:tc>
          <w:tcPr>
            <w:tcW w:w="1240" w:type="dxa"/>
            <w:vAlign w:val="bottom"/>
            <w:shd w:val="clear" w:color="auto" w:fill="711470"/>
          </w:tcPr>
          <w:p>
            <w:pPr>
              <w:spacing w:after="0"/>
              <w:rPr>
                <w:sz w:val="12"/>
                <w:szCs w:val="12"/>
                <w:color w:val="auto"/>
              </w:rPr>
            </w:pPr>
          </w:p>
        </w:tc>
        <w:tc>
          <w:tcPr>
            <w:tcW w:w="1160" w:type="dxa"/>
            <w:vAlign w:val="bottom"/>
            <w:shd w:val="clear" w:color="auto" w:fill="711470"/>
          </w:tcPr>
          <w:p>
            <w:pPr>
              <w:spacing w:after="0"/>
              <w:rPr>
                <w:sz w:val="12"/>
                <w:szCs w:val="12"/>
                <w:color w:val="auto"/>
              </w:rPr>
            </w:pPr>
          </w:p>
        </w:tc>
        <w:tc>
          <w:tcPr>
            <w:tcW w:w="1040" w:type="dxa"/>
            <w:vAlign w:val="bottom"/>
            <w:shd w:val="clear" w:color="auto" w:fill="711470"/>
          </w:tcPr>
          <w:p>
            <w:pPr>
              <w:jc w:val="right"/>
              <w:ind w:right="38"/>
              <w:spacing w:after="0"/>
              <w:rPr>
                <w:sz w:val="20"/>
                <w:szCs w:val="20"/>
                <w:color w:val="auto"/>
              </w:rPr>
            </w:pPr>
            <w:r>
              <w:rPr>
                <w:rFonts w:ascii="Arial" w:cs="Arial" w:eastAsia="Arial" w:hAnsi="Arial"/>
                <w:sz w:val="12"/>
                <w:szCs w:val="12"/>
                <w:b w:val="1"/>
                <w:bCs w:val="1"/>
                <w:color w:val="FFFFFF"/>
              </w:rPr>
              <w:t>€1 = $</w:t>
            </w:r>
          </w:p>
        </w:tc>
      </w:tr>
      <w:tr>
        <w:trPr>
          <w:trHeight w:val="133"/>
        </w:trPr>
        <w:tc>
          <w:tcPr>
            <w:tcW w:w="4140" w:type="dxa"/>
            <w:vAlign w:val="bottom"/>
            <w:shd w:val="clear" w:color="auto" w:fill="CECAC6"/>
          </w:tcPr>
          <w:p>
            <w:pPr>
              <w:spacing w:after="0"/>
              <w:rPr>
                <w:sz w:val="11"/>
                <w:szCs w:val="11"/>
                <w:color w:val="auto"/>
              </w:rPr>
            </w:pPr>
          </w:p>
        </w:tc>
        <w:tc>
          <w:tcPr>
            <w:tcW w:w="3260" w:type="dxa"/>
            <w:vAlign w:val="bottom"/>
            <w:shd w:val="clear" w:color="auto" w:fill="CECAC6"/>
          </w:tcPr>
          <w:p>
            <w:pPr>
              <w:jc w:val="center"/>
              <w:ind w:left="1778"/>
              <w:spacing w:after="0" w:line="133" w:lineRule="exact"/>
              <w:rPr>
                <w:sz w:val="20"/>
                <w:szCs w:val="20"/>
                <w:color w:val="auto"/>
              </w:rPr>
            </w:pPr>
            <w:r>
              <w:rPr>
                <w:rFonts w:ascii="Arial" w:cs="Arial" w:eastAsia="Arial" w:hAnsi="Arial"/>
                <w:sz w:val="12"/>
                <w:szCs w:val="12"/>
                <w:color w:val="auto"/>
              </w:rPr>
              <w:t>Average</w:t>
            </w:r>
            <w:r>
              <w:rPr>
                <w:rFonts w:ascii="Arial" w:cs="Arial" w:eastAsia="Arial" w:hAnsi="Arial"/>
                <w:sz w:val="10"/>
                <w:szCs w:val="10"/>
                <w:color w:val="auto"/>
              </w:rPr>
              <w:t>[B]</w:t>
            </w:r>
          </w:p>
        </w:tc>
        <w:tc>
          <w:tcPr>
            <w:tcW w:w="1240" w:type="dxa"/>
            <w:vAlign w:val="bottom"/>
            <w:shd w:val="clear" w:color="auto" w:fill="CECAC6"/>
          </w:tcPr>
          <w:p>
            <w:pPr>
              <w:jc w:val="right"/>
              <w:ind w:right="398"/>
              <w:spacing w:after="0" w:line="133" w:lineRule="exact"/>
              <w:rPr>
                <w:sz w:val="20"/>
                <w:szCs w:val="20"/>
                <w:color w:val="auto"/>
              </w:rPr>
            </w:pPr>
            <w:r>
              <w:rPr>
                <w:rFonts w:ascii="Arial" w:cs="Arial" w:eastAsia="Arial" w:hAnsi="Arial"/>
                <w:sz w:val="12"/>
                <w:szCs w:val="12"/>
                <w:color w:val="auto"/>
              </w:rPr>
              <w:t>High</w:t>
            </w:r>
          </w:p>
        </w:tc>
        <w:tc>
          <w:tcPr>
            <w:tcW w:w="1160" w:type="dxa"/>
            <w:vAlign w:val="bottom"/>
            <w:shd w:val="clear" w:color="auto" w:fill="CECAC6"/>
          </w:tcPr>
          <w:p>
            <w:pPr>
              <w:jc w:val="right"/>
              <w:ind w:right="278"/>
              <w:spacing w:after="0" w:line="133" w:lineRule="exact"/>
              <w:rPr>
                <w:sz w:val="20"/>
                <w:szCs w:val="20"/>
                <w:color w:val="auto"/>
              </w:rPr>
            </w:pPr>
            <w:r>
              <w:rPr>
                <w:rFonts w:ascii="Arial" w:cs="Arial" w:eastAsia="Arial" w:hAnsi="Arial"/>
                <w:sz w:val="12"/>
                <w:szCs w:val="12"/>
                <w:color w:val="auto"/>
              </w:rPr>
              <w:t>Low</w:t>
            </w:r>
          </w:p>
        </w:tc>
        <w:tc>
          <w:tcPr>
            <w:tcW w:w="10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Period end</w:t>
            </w:r>
          </w:p>
        </w:tc>
      </w:tr>
      <w:tr>
        <w:trPr>
          <w:trHeight w:val="260"/>
        </w:trPr>
        <w:tc>
          <w:tcPr>
            <w:tcW w:w="4140" w:type="dxa"/>
            <w:vAlign w:val="bottom"/>
          </w:tcPr>
          <w:p>
            <w:pPr>
              <w:spacing w:after="0"/>
              <w:rPr>
                <w:sz w:val="20"/>
                <w:szCs w:val="20"/>
                <w:color w:val="auto"/>
              </w:rPr>
            </w:pPr>
            <w:r>
              <w:rPr>
                <w:rFonts w:ascii="Arial" w:cs="Arial" w:eastAsia="Arial" w:hAnsi="Arial"/>
                <w:sz w:val="12"/>
                <w:szCs w:val="12"/>
                <w:color w:val="auto"/>
              </w:rPr>
              <w:t>Year:</w:t>
            </w:r>
          </w:p>
        </w:tc>
        <w:tc>
          <w:tcPr>
            <w:tcW w:w="3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2003</w:t>
            </w:r>
          </w:p>
        </w:tc>
        <w:tc>
          <w:tcPr>
            <w:tcW w:w="3260" w:type="dxa"/>
            <w:vAlign w:val="bottom"/>
          </w:tcPr>
          <w:p>
            <w:pPr>
              <w:jc w:val="center"/>
              <w:ind w:left="1738"/>
              <w:spacing w:after="0" w:line="133" w:lineRule="exact"/>
              <w:rPr>
                <w:sz w:val="20"/>
                <w:szCs w:val="20"/>
                <w:color w:val="auto"/>
              </w:rPr>
            </w:pPr>
            <w:r>
              <w:rPr>
                <w:rFonts w:ascii="Arial" w:cs="Arial" w:eastAsia="Arial" w:hAnsi="Arial"/>
                <w:sz w:val="12"/>
                <w:szCs w:val="12"/>
                <w:color w:val="auto"/>
              </w:rPr>
              <w:t>1.1411</w:t>
            </w: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2004</w:t>
            </w:r>
          </w:p>
        </w:tc>
        <w:tc>
          <w:tcPr>
            <w:tcW w:w="3260" w:type="dxa"/>
            <w:vAlign w:val="bottom"/>
          </w:tcPr>
          <w:p>
            <w:pPr>
              <w:jc w:val="center"/>
              <w:ind w:left="1738"/>
              <w:spacing w:after="0" w:line="133" w:lineRule="exact"/>
              <w:rPr>
                <w:sz w:val="20"/>
                <w:szCs w:val="20"/>
                <w:color w:val="auto"/>
              </w:rPr>
            </w:pPr>
            <w:r>
              <w:rPr>
                <w:rFonts w:ascii="Arial" w:cs="Arial" w:eastAsia="Arial" w:hAnsi="Arial"/>
                <w:sz w:val="12"/>
                <w:szCs w:val="12"/>
                <w:color w:val="auto"/>
              </w:rPr>
              <w:t>1.2478</w:t>
            </w: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2005</w:t>
            </w:r>
          </w:p>
        </w:tc>
        <w:tc>
          <w:tcPr>
            <w:tcW w:w="3260" w:type="dxa"/>
            <w:vAlign w:val="bottom"/>
          </w:tcPr>
          <w:p>
            <w:pPr>
              <w:jc w:val="center"/>
              <w:ind w:left="1738"/>
              <w:spacing w:after="0" w:line="133" w:lineRule="exact"/>
              <w:rPr>
                <w:sz w:val="20"/>
                <w:szCs w:val="20"/>
                <w:color w:val="auto"/>
              </w:rPr>
            </w:pPr>
            <w:r>
              <w:rPr>
                <w:rFonts w:ascii="Arial" w:cs="Arial" w:eastAsia="Arial" w:hAnsi="Arial"/>
                <w:sz w:val="12"/>
                <w:szCs w:val="12"/>
                <w:color w:val="auto"/>
              </w:rPr>
              <w:t>1.2400</w:t>
            </w: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2006</w:t>
            </w:r>
          </w:p>
        </w:tc>
        <w:tc>
          <w:tcPr>
            <w:tcW w:w="3260" w:type="dxa"/>
            <w:vAlign w:val="bottom"/>
          </w:tcPr>
          <w:p>
            <w:pPr>
              <w:jc w:val="center"/>
              <w:ind w:left="1738"/>
              <w:spacing w:after="0" w:line="133" w:lineRule="exact"/>
              <w:rPr>
                <w:sz w:val="20"/>
                <w:szCs w:val="20"/>
                <w:color w:val="auto"/>
              </w:rPr>
            </w:pPr>
            <w:r>
              <w:rPr>
                <w:rFonts w:ascii="Arial" w:cs="Arial" w:eastAsia="Arial" w:hAnsi="Arial"/>
                <w:sz w:val="12"/>
                <w:szCs w:val="12"/>
                <w:color w:val="auto"/>
              </w:rPr>
              <w:t>1.2661</w:t>
            </w: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2007</w:t>
            </w:r>
          </w:p>
        </w:tc>
        <w:tc>
          <w:tcPr>
            <w:tcW w:w="3260" w:type="dxa"/>
            <w:vAlign w:val="bottom"/>
          </w:tcPr>
          <w:p>
            <w:pPr>
              <w:jc w:val="center"/>
              <w:ind w:left="1738"/>
              <w:spacing w:after="0" w:line="133" w:lineRule="exact"/>
              <w:rPr>
                <w:sz w:val="20"/>
                <w:szCs w:val="20"/>
                <w:color w:val="auto"/>
              </w:rPr>
            </w:pPr>
            <w:r>
              <w:rPr>
                <w:rFonts w:ascii="Arial" w:cs="Arial" w:eastAsia="Arial" w:hAnsi="Arial"/>
                <w:sz w:val="12"/>
                <w:szCs w:val="12"/>
                <w:color w:val="auto"/>
              </w:rPr>
              <w:t>1.3797</w:t>
            </w: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spacing w:after="0" w:line="133" w:lineRule="exact"/>
              <w:rPr>
                <w:sz w:val="20"/>
                <w:szCs w:val="20"/>
                <w:color w:val="auto"/>
              </w:rPr>
            </w:pPr>
            <w:r>
              <w:rPr>
                <w:rFonts w:ascii="Arial" w:cs="Arial" w:eastAsia="Arial" w:hAnsi="Arial"/>
                <w:sz w:val="12"/>
                <w:szCs w:val="12"/>
                <w:color w:val="auto"/>
              </w:rPr>
              <w:t>Month:</w:t>
            </w:r>
          </w:p>
        </w:tc>
        <w:tc>
          <w:tcPr>
            <w:tcW w:w="3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2007</w:t>
            </w:r>
          </w:p>
        </w:tc>
        <w:tc>
          <w:tcPr>
            <w:tcW w:w="3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January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1.3286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1.2904</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February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1.3246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1.2933</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March</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1.3374</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1.3094</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April</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1.3660</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1.3363</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May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1.3616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1.3419</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June</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1.3526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1.3295</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July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1.3831</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1.3592</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August</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1.3808</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1.3402</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September</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1.4219</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1.3606</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October</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1.4468</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1.4092</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November</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1.4862</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1.4435</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December</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1.4759</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1.4344</w:t>
            </w:r>
          </w:p>
        </w:tc>
        <w:tc>
          <w:tcPr>
            <w:tcW w:w="1040" w:type="dxa"/>
            <w:vAlign w:val="bottom"/>
          </w:tcPr>
          <w:p>
            <w:pPr>
              <w:spacing w:after="0"/>
              <w:rPr>
                <w:sz w:val="11"/>
                <w:szCs w:val="11"/>
                <w:color w:val="auto"/>
              </w:rPr>
            </w:pPr>
          </w:p>
        </w:tc>
      </w:tr>
      <w:tr>
        <w:trPr>
          <w:trHeight w:val="133"/>
        </w:trPr>
        <w:tc>
          <w:tcPr>
            <w:tcW w:w="4140" w:type="dxa"/>
            <w:vAlign w:val="bottom"/>
          </w:tcPr>
          <w:p>
            <w:pPr>
              <w:ind w:left="200"/>
              <w:spacing w:after="0" w:line="133" w:lineRule="exact"/>
              <w:rPr>
                <w:sz w:val="20"/>
                <w:szCs w:val="20"/>
                <w:color w:val="auto"/>
              </w:rPr>
            </w:pPr>
            <w:r>
              <w:rPr>
                <w:rFonts w:ascii="Arial" w:cs="Arial" w:eastAsia="Arial" w:hAnsi="Arial"/>
                <w:sz w:val="12"/>
                <w:szCs w:val="12"/>
                <w:color w:val="auto"/>
              </w:rPr>
              <w:t>2008</w:t>
            </w:r>
          </w:p>
        </w:tc>
        <w:tc>
          <w:tcPr>
            <w:tcW w:w="3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January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1.4877</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1.4574</w:t>
            </w:r>
          </w:p>
        </w:tc>
        <w:tc>
          <w:tcPr>
            <w:tcW w:w="1040" w:type="dxa"/>
            <w:vAlign w:val="bottom"/>
          </w:tcPr>
          <w:p>
            <w:pPr>
              <w:spacing w:after="0"/>
              <w:rPr>
                <w:sz w:val="11"/>
                <w:szCs w:val="11"/>
                <w:color w:val="auto"/>
              </w:rPr>
            </w:pPr>
          </w:p>
        </w:tc>
      </w:tr>
      <w:tr>
        <w:trPr>
          <w:trHeight w:val="133"/>
        </w:trPr>
        <w:tc>
          <w:tcPr>
            <w:tcW w:w="4140" w:type="dxa"/>
            <w:vAlign w:val="bottom"/>
          </w:tcPr>
          <w:p>
            <w:pPr>
              <w:ind w:left="400"/>
              <w:spacing w:after="0" w:line="133" w:lineRule="exact"/>
              <w:rPr>
                <w:sz w:val="20"/>
                <w:szCs w:val="20"/>
                <w:color w:val="auto"/>
              </w:rPr>
            </w:pPr>
            <w:r>
              <w:rPr>
                <w:rFonts w:ascii="Arial" w:cs="Arial" w:eastAsia="Arial" w:hAnsi="Arial"/>
                <w:sz w:val="12"/>
                <w:szCs w:val="12"/>
                <w:color w:val="auto"/>
              </w:rPr>
              <w:t>February</w:t>
            </w:r>
          </w:p>
        </w:tc>
        <w:tc>
          <w:tcPr>
            <w:tcW w:w="3260" w:type="dxa"/>
            <w:vAlign w:val="bottom"/>
          </w:tcPr>
          <w:p>
            <w:pPr>
              <w:spacing w:after="0"/>
              <w:rPr>
                <w:sz w:val="11"/>
                <w:szCs w:val="11"/>
                <w:color w:val="auto"/>
              </w:rPr>
            </w:pPr>
          </w:p>
        </w:tc>
        <w:tc>
          <w:tcPr>
            <w:tcW w:w="124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1.5187</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1.4495</w:t>
            </w:r>
          </w:p>
        </w:tc>
        <w:tc>
          <w:tcPr>
            <w:tcW w:w="1040" w:type="dxa"/>
            <w:vAlign w:val="bottom"/>
          </w:tcPr>
          <w:p>
            <w:pPr>
              <w:spacing w:after="0"/>
              <w:rPr>
                <w:sz w:val="11"/>
                <w:szCs w:val="11"/>
                <w:color w:val="auto"/>
              </w:rPr>
            </w:pPr>
          </w:p>
        </w:tc>
      </w:tr>
      <w:tr>
        <w:trPr>
          <w:trHeight w:val="146"/>
        </w:trPr>
        <w:tc>
          <w:tcPr>
            <w:tcW w:w="41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As at February 29, 2008</w:t>
            </w:r>
          </w:p>
        </w:tc>
        <w:tc>
          <w:tcPr>
            <w:tcW w:w="326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1.5187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-2266315</wp:posOffset>
            </wp:positionV>
            <wp:extent cx="282575" cy="656336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82575" cy="6563360"/>
                    </a:xfrm>
                    <a:prstGeom prst="rect">
                      <a:avLst/>
                    </a:prstGeom>
                    <a:noFill/>
                  </pic:spPr>
                </pic:pic>
              </a:graphicData>
            </a:graphic>
          </wp:anchor>
        </w:drawing>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060" w:type="dxa"/>
            <w:vAlign w:val="bottom"/>
            <w:shd w:val="clear" w:color="auto" w:fill="711470"/>
          </w:tcPr>
          <w:p>
            <w:pPr>
              <w:spacing w:after="0"/>
              <w:rPr>
                <w:sz w:val="20"/>
                <w:szCs w:val="20"/>
                <w:color w:val="auto"/>
              </w:rPr>
            </w:pPr>
            <w:r>
              <w:rPr>
                <w:rFonts w:ascii="Arial" w:cs="Arial" w:eastAsia="Arial" w:hAnsi="Arial"/>
                <w:sz w:val="12"/>
                <w:szCs w:val="12"/>
                <w:b w:val="1"/>
                <w:bCs w:val="1"/>
                <w:color w:val="FFFFFF"/>
              </w:rPr>
              <w:t>DOLLAR EXCHANGE RATES</w:t>
            </w:r>
            <w:r>
              <w:rPr>
                <w:rFonts w:ascii="Arial" w:cs="Arial" w:eastAsia="Arial" w:hAnsi="Arial"/>
                <w:sz w:val="10"/>
                <w:szCs w:val="10"/>
                <w:b w:val="1"/>
                <w:bCs w:val="1"/>
                <w:color w:val="FFFFFF"/>
              </w:rPr>
              <w:t>[A]</w:t>
            </w:r>
          </w:p>
        </w:tc>
        <w:tc>
          <w:tcPr>
            <w:tcW w:w="3280" w:type="dxa"/>
            <w:vAlign w:val="bottom"/>
            <w:shd w:val="clear" w:color="auto" w:fill="711470"/>
          </w:tcPr>
          <w:p>
            <w:pPr>
              <w:spacing w:after="0"/>
              <w:rPr>
                <w:sz w:val="12"/>
                <w:szCs w:val="12"/>
                <w:color w:val="auto"/>
              </w:rPr>
            </w:pPr>
          </w:p>
        </w:tc>
        <w:tc>
          <w:tcPr>
            <w:tcW w:w="1300" w:type="dxa"/>
            <w:vAlign w:val="bottom"/>
            <w:shd w:val="clear" w:color="auto" w:fill="711470"/>
          </w:tcPr>
          <w:p>
            <w:pPr>
              <w:spacing w:after="0"/>
              <w:rPr>
                <w:sz w:val="12"/>
                <w:szCs w:val="12"/>
                <w:color w:val="auto"/>
              </w:rPr>
            </w:pPr>
          </w:p>
        </w:tc>
        <w:tc>
          <w:tcPr>
            <w:tcW w:w="1160" w:type="dxa"/>
            <w:vAlign w:val="bottom"/>
            <w:shd w:val="clear" w:color="auto" w:fill="711470"/>
          </w:tcPr>
          <w:p>
            <w:pPr>
              <w:spacing w:after="0"/>
              <w:rPr>
                <w:sz w:val="12"/>
                <w:szCs w:val="12"/>
                <w:color w:val="auto"/>
              </w:rPr>
            </w:pPr>
          </w:p>
        </w:tc>
        <w:tc>
          <w:tcPr>
            <w:tcW w:w="1040" w:type="dxa"/>
            <w:vAlign w:val="bottom"/>
            <w:shd w:val="clear" w:color="auto" w:fill="711470"/>
          </w:tcPr>
          <w:p>
            <w:pPr>
              <w:jc w:val="right"/>
              <w:ind w:right="38"/>
              <w:spacing w:after="0"/>
              <w:rPr>
                <w:sz w:val="20"/>
                <w:szCs w:val="20"/>
                <w:color w:val="auto"/>
              </w:rPr>
            </w:pPr>
            <w:r>
              <w:rPr>
                <w:rFonts w:ascii="Arial" w:cs="Arial" w:eastAsia="Arial" w:hAnsi="Arial"/>
                <w:sz w:val="12"/>
                <w:szCs w:val="12"/>
                <w:b w:val="1"/>
                <w:bCs w:val="1"/>
                <w:color w:val="FFFFFF"/>
              </w:rPr>
              <w:t>£1 = $</w:t>
            </w:r>
          </w:p>
        </w:tc>
      </w:tr>
      <w:tr>
        <w:trPr>
          <w:trHeight w:val="133"/>
        </w:trPr>
        <w:tc>
          <w:tcPr>
            <w:tcW w:w="4060" w:type="dxa"/>
            <w:vAlign w:val="bottom"/>
            <w:shd w:val="clear" w:color="auto" w:fill="CECAC6"/>
          </w:tcPr>
          <w:p>
            <w:pPr>
              <w:spacing w:after="0"/>
              <w:rPr>
                <w:sz w:val="11"/>
                <w:szCs w:val="11"/>
                <w:color w:val="auto"/>
              </w:rPr>
            </w:pPr>
          </w:p>
        </w:tc>
        <w:tc>
          <w:tcPr>
            <w:tcW w:w="328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Average</w:t>
            </w:r>
            <w:r>
              <w:rPr>
                <w:rFonts w:ascii="Arial" w:cs="Arial" w:eastAsia="Arial" w:hAnsi="Arial"/>
                <w:sz w:val="10"/>
                <w:szCs w:val="10"/>
                <w:color w:val="auto"/>
              </w:rPr>
              <w:t>[B]</w:t>
            </w:r>
          </w:p>
        </w:tc>
        <w:tc>
          <w:tcPr>
            <w:tcW w:w="1300" w:type="dxa"/>
            <w:vAlign w:val="bottom"/>
            <w:shd w:val="clear" w:color="auto" w:fill="CECAC6"/>
          </w:tcPr>
          <w:p>
            <w:pPr>
              <w:jc w:val="right"/>
              <w:ind w:right="398"/>
              <w:spacing w:after="0" w:line="133" w:lineRule="exact"/>
              <w:rPr>
                <w:sz w:val="20"/>
                <w:szCs w:val="20"/>
                <w:color w:val="auto"/>
              </w:rPr>
            </w:pPr>
            <w:r>
              <w:rPr>
                <w:rFonts w:ascii="Arial" w:cs="Arial" w:eastAsia="Arial" w:hAnsi="Arial"/>
                <w:sz w:val="12"/>
                <w:szCs w:val="12"/>
                <w:color w:val="auto"/>
              </w:rPr>
              <w:t>High</w:t>
            </w:r>
          </w:p>
        </w:tc>
        <w:tc>
          <w:tcPr>
            <w:tcW w:w="1160" w:type="dxa"/>
            <w:vAlign w:val="bottom"/>
            <w:shd w:val="clear" w:color="auto" w:fill="CECAC6"/>
          </w:tcPr>
          <w:p>
            <w:pPr>
              <w:jc w:val="right"/>
              <w:ind w:right="278"/>
              <w:spacing w:after="0" w:line="133" w:lineRule="exact"/>
              <w:rPr>
                <w:sz w:val="20"/>
                <w:szCs w:val="20"/>
                <w:color w:val="auto"/>
              </w:rPr>
            </w:pPr>
            <w:r>
              <w:rPr>
                <w:rFonts w:ascii="Arial" w:cs="Arial" w:eastAsia="Arial" w:hAnsi="Arial"/>
                <w:sz w:val="12"/>
                <w:szCs w:val="12"/>
                <w:color w:val="auto"/>
              </w:rPr>
              <w:t>Low</w:t>
            </w:r>
          </w:p>
        </w:tc>
        <w:tc>
          <w:tcPr>
            <w:tcW w:w="104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Period end</w:t>
            </w:r>
          </w:p>
        </w:tc>
      </w:tr>
      <w:tr>
        <w:trPr>
          <w:trHeight w:val="260"/>
        </w:trPr>
        <w:tc>
          <w:tcPr>
            <w:tcW w:w="4060" w:type="dxa"/>
            <w:vAlign w:val="bottom"/>
          </w:tcPr>
          <w:p>
            <w:pPr>
              <w:spacing w:after="0"/>
              <w:rPr>
                <w:sz w:val="20"/>
                <w:szCs w:val="20"/>
                <w:color w:val="auto"/>
              </w:rPr>
            </w:pPr>
            <w:r>
              <w:rPr>
                <w:rFonts w:ascii="Arial" w:cs="Arial" w:eastAsia="Arial" w:hAnsi="Arial"/>
                <w:sz w:val="12"/>
                <w:szCs w:val="12"/>
                <w:color w:val="auto"/>
              </w:rPr>
              <w:t>Year:</w:t>
            </w:r>
          </w:p>
        </w:tc>
        <w:tc>
          <w:tcPr>
            <w:tcW w:w="32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2003</w:t>
            </w:r>
          </w:p>
        </w:tc>
        <w:tc>
          <w:tcPr>
            <w:tcW w:w="328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1.6450</w:t>
            </w: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2004</w:t>
            </w:r>
          </w:p>
        </w:tc>
        <w:tc>
          <w:tcPr>
            <w:tcW w:w="328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1.8356</w:t>
            </w: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2005</w:t>
            </w:r>
          </w:p>
        </w:tc>
        <w:tc>
          <w:tcPr>
            <w:tcW w:w="328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1.8154</w:t>
            </w: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2006</w:t>
            </w:r>
          </w:p>
        </w:tc>
        <w:tc>
          <w:tcPr>
            <w:tcW w:w="328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1.8582</w:t>
            </w: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2007</w:t>
            </w:r>
          </w:p>
        </w:tc>
        <w:tc>
          <w:tcPr>
            <w:tcW w:w="328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2.0073</w:t>
            </w: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spacing w:after="0" w:line="133" w:lineRule="exact"/>
              <w:rPr>
                <w:sz w:val="20"/>
                <w:szCs w:val="20"/>
                <w:color w:val="auto"/>
              </w:rPr>
            </w:pPr>
            <w:r>
              <w:rPr>
                <w:rFonts w:ascii="Arial" w:cs="Arial" w:eastAsia="Arial" w:hAnsi="Arial"/>
                <w:sz w:val="12"/>
                <w:szCs w:val="12"/>
                <w:color w:val="auto"/>
              </w:rPr>
              <w:t>Month:</w:t>
            </w:r>
          </w:p>
        </w:tc>
        <w:tc>
          <w:tcPr>
            <w:tcW w:w="3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2007</w:t>
            </w:r>
          </w:p>
        </w:tc>
        <w:tc>
          <w:tcPr>
            <w:tcW w:w="3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January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1.9847</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1.9305</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February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1.9699</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1.9443</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March</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1.9694</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1.9235</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April</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2.0061</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1.9608</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May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1.9993</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1.9695</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June</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2.0063</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1.9657</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July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2.0626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2.0114</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August</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2.0426</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1.9813</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September</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2.0389</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1.9920</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October</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2.0777</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2.0279</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November</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2.1104</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2.0478</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December</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2.0658</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1.9774</w:t>
            </w:r>
          </w:p>
        </w:tc>
        <w:tc>
          <w:tcPr>
            <w:tcW w:w="1040" w:type="dxa"/>
            <w:vAlign w:val="bottom"/>
          </w:tcPr>
          <w:p>
            <w:pPr>
              <w:spacing w:after="0"/>
              <w:rPr>
                <w:sz w:val="11"/>
                <w:szCs w:val="11"/>
                <w:color w:val="auto"/>
              </w:rPr>
            </w:pPr>
          </w:p>
        </w:tc>
      </w:tr>
      <w:tr>
        <w:trPr>
          <w:trHeight w:val="133"/>
        </w:trPr>
        <w:tc>
          <w:tcPr>
            <w:tcW w:w="4060" w:type="dxa"/>
            <w:vAlign w:val="bottom"/>
          </w:tcPr>
          <w:p>
            <w:pPr>
              <w:ind w:left="200"/>
              <w:spacing w:after="0" w:line="133" w:lineRule="exact"/>
              <w:rPr>
                <w:sz w:val="20"/>
                <w:szCs w:val="20"/>
                <w:color w:val="auto"/>
              </w:rPr>
            </w:pPr>
            <w:r>
              <w:rPr>
                <w:rFonts w:ascii="Arial" w:cs="Arial" w:eastAsia="Arial" w:hAnsi="Arial"/>
                <w:sz w:val="12"/>
                <w:szCs w:val="12"/>
                <w:color w:val="auto"/>
              </w:rPr>
              <w:t>2008</w:t>
            </w:r>
          </w:p>
        </w:tc>
        <w:tc>
          <w:tcPr>
            <w:tcW w:w="3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January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1.9895</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1.9515</w:t>
            </w:r>
          </w:p>
        </w:tc>
        <w:tc>
          <w:tcPr>
            <w:tcW w:w="1040" w:type="dxa"/>
            <w:vAlign w:val="bottom"/>
          </w:tcPr>
          <w:p>
            <w:pPr>
              <w:spacing w:after="0"/>
              <w:rPr>
                <w:sz w:val="11"/>
                <w:szCs w:val="11"/>
                <w:color w:val="auto"/>
              </w:rPr>
            </w:pPr>
          </w:p>
        </w:tc>
      </w:tr>
      <w:tr>
        <w:trPr>
          <w:trHeight w:val="133"/>
        </w:trPr>
        <w:tc>
          <w:tcPr>
            <w:tcW w:w="4060" w:type="dxa"/>
            <w:vAlign w:val="bottom"/>
          </w:tcPr>
          <w:p>
            <w:pPr>
              <w:ind w:left="400"/>
              <w:spacing w:after="0" w:line="133" w:lineRule="exact"/>
              <w:rPr>
                <w:sz w:val="20"/>
                <w:szCs w:val="20"/>
                <w:color w:val="auto"/>
              </w:rPr>
            </w:pPr>
            <w:r>
              <w:rPr>
                <w:rFonts w:ascii="Arial" w:cs="Arial" w:eastAsia="Arial" w:hAnsi="Arial"/>
                <w:sz w:val="12"/>
                <w:szCs w:val="12"/>
                <w:color w:val="auto"/>
              </w:rPr>
              <w:t>February</w:t>
            </w:r>
          </w:p>
        </w:tc>
        <w:tc>
          <w:tcPr>
            <w:tcW w:w="3280" w:type="dxa"/>
            <w:vAlign w:val="bottom"/>
          </w:tcPr>
          <w:p>
            <w:pPr>
              <w:spacing w:after="0"/>
              <w:rPr>
                <w:sz w:val="11"/>
                <w:szCs w:val="11"/>
                <w:color w:val="auto"/>
              </w:rPr>
            </w:pPr>
          </w:p>
        </w:tc>
        <w:tc>
          <w:tcPr>
            <w:tcW w:w="1300" w:type="dxa"/>
            <w:vAlign w:val="bottom"/>
          </w:tcPr>
          <w:p>
            <w:pPr>
              <w:jc w:val="right"/>
              <w:ind w:right="398"/>
              <w:spacing w:after="0" w:line="133" w:lineRule="exact"/>
              <w:rPr>
                <w:sz w:val="20"/>
                <w:szCs w:val="20"/>
                <w:color w:val="auto"/>
              </w:rPr>
            </w:pPr>
            <w:r>
              <w:rPr>
                <w:rFonts w:ascii="Arial" w:cs="Arial" w:eastAsia="Arial" w:hAnsi="Arial"/>
                <w:sz w:val="12"/>
                <w:szCs w:val="12"/>
                <w:color w:val="auto"/>
              </w:rPr>
              <w:t>1.9923</w:t>
            </w:r>
          </w:p>
        </w:tc>
        <w:tc>
          <w:tcPr>
            <w:tcW w:w="1160" w:type="dxa"/>
            <w:vAlign w:val="bottom"/>
          </w:tcPr>
          <w:p>
            <w:pPr>
              <w:jc w:val="right"/>
              <w:ind w:right="278"/>
              <w:spacing w:after="0" w:line="133" w:lineRule="exact"/>
              <w:rPr>
                <w:sz w:val="20"/>
                <w:szCs w:val="20"/>
                <w:color w:val="auto"/>
              </w:rPr>
            </w:pPr>
            <w:r>
              <w:rPr>
                <w:rFonts w:ascii="Arial" w:cs="Arial" w:eastAsia="Arial" w:hAnsi="Arial"/>
                <w:sz w:val="12"/>
                <w:szCs w:val="12"/>
                <w:color w:val="auto"/>
              </w:rPr>
              <w:t>1.9405</w:t>
            </w:r>
          </w:p>
        </w:tc>
        <w:tc>
          <w:tcPr>
            <w:tcW w:w="1040" w:type="dxa"/>
            <w:vAlign w:val="bottom"/>
          </w:tcPr>
          <w:p>
            <w:pPr>
              <w:spacing w:after="0"/>
              <w:rPr>
                <w:sz w:val="11"/>
                <w:szCs w:val="11"/>
                <w:color w:val="auto"/>
              </w:rPr>
            </w:pPr>
          </w:p>
        </w:tc>
      </w:tr>
      <w:tr>
        <w:trPr>
          <w:trHeight w:val="146"/>
        </w:trPr>
        <w:tc>
          <w:tcPr>
            <w:tcW w:w="40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As at February 29, 2008</w:t>
            </w:r>
          </w:p>
        </w:tc>
        <w:tc>
          <w:tcPr>
            <w:tcW w:w="32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1.9864</w:t>
            </w:r>
          </w:p>
        </w:tc>
      </w:tr>
    </w:tbl>
    <w:p>
      <w:pPr>
        <w:spacing w:after="0" w:line="56" w:lineRule="exact"/>
        <w:rPr>
          <w:sz w:val="20"/>
          <w:szCs w:val="20"/>
          <w:color w:val="auto"/>
        </w:rPr>
      </w:pPr>
    </w:p>
    <w:p>
      <w:pPr>
        <w:ind w:left="280" w:hanging="273"/>
        <w:spacing w:after="0"/>
        <w:tabs>
          <w:tab w:leader="none" w:pos="2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Exchange rates are based upon the noon buying rate in New York City for cable transfers in foreign currencies as certified for customs purposes by the Federal Reserve Bank of New York.</w:t>
      </w:r>
    </w:p>
    <w:p>
      <w:pPr>
        <w:ind w:left="280" w:hanging="273"/>
        <w:spacing w:after="0"/>
        <w:tabs>
          <w:tab w:leader="none" w:pos="280" w:val="left"/>
        </w:tabs>
        <w:numPr>
          <w:ilvl w:val="0"/>
          <w:numId w:val="168"/>
        </w:numPr>
        <w:rPr>
          <w:rFonts w:ascii="Arial" w:cs="Arial" w:eastAsia="Arial" w:hAnsi="Arial"/>
          <w:sz w:val="12"/>
          <w:szCs w:val="12"/>
          <w:color w:val="auto"/>
        </w:rPr>
      </w:pPr>
      <w:r>
        <w:rPr>
          <w:rFonts w:ascii="Arial" w:cs="Arial" w:eastAsia="Arial" w:hAnsi="Arial"/>
          <w:sz w:val="12"/>
          <w:szCs w:val="12"/>
          <w:color w:val="auto"/>
        </w:rPr>
        <w:t>Calculated by using the average of the exchange rates on the last business day of each month during the year.</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 xml:space="preserve">Royal Dutch Shell plc </w:t>
      </w:r>
      <w:r>
        <w:rPr>
          <w:rFonts w:ascii="Arial" w:cs="Arial" w:eastAsia="Arial" w:hAnsi="Arial"/>
          <w:sz w:val="12"/>
          <w:szCs w:val="12"/>
          <w:b w:val="1"/>
          <w:bCs w:val="1"/>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1807845</wp:posOffset>
            </wp:positionV>
            <wp:extent cx="7252970" cy="209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415" w:right="7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INDEX</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960" w:type="dxa"/>
            <w:vAlign w:val="bottom"/>
            <w:shd w:val="clear" w:color="auto" w:fill="711470"/>
          </w:tcPr>
          <w:p>
            <w:pPr>
              <w:jc w:val="right"/>
              <w:ind w:right="198"/>
              <w:spacing w:after="0"/>
              <w:rPr>
                <w:sz w:val="20"/>
                <w:szCs w:val="20"/>
                <w:color w:val="auto"/>
              </w:rPr>
            </w:pPr>
            <w:r>
              <w:rPr>
                <w:rFonts w:ascii="Arial" w:cs="Arial" w:eastAsia="Arial" w:hAnsi="Arial"/>
                <w:sz w:val="12"/>
                <w:szCs w:val="12"/>
                <w:b w:val="1"/>
                <w:bCs w:val="1"/>
                <w:color w:val="FFFFFF"/>
              </w:rPr>
              <w:t>Exhibit No.</w:t>
            </w:r>
          </w:p>
        </w:tc>
        <w:tc>
          <w:tcPr>
            <w:tcW w:w="9780" w:type="dxa"/>
            <w:vAlign w:val="bottom"/>
            <w:shd w:val="clear" w:color="auto" w:fill="711470"/>
          </w:tcPr>
          <w:p>
            <w:pPr>
              <w:ind w:left="260"/>
              <w:spacing w:after="0"/>
              <w:rPr>
                <w:sz w:val="20"/>
                <w:szCs w:val="20"/>
                <w:color w:val="auto"/>
              </w:rPr>
            </w:pPr>
            <w:r>
              <w:rPr>
                <w:rFonts w:ascii="Arial" w:cs="Arial" w:eastAsia="Arial" w:hAnsi="Arial"/>
                <w:sz w:val="12"/>
                <w:szCs w:val="12"/>
                <w:b w:val="1"/>
                <w:bCs w:val="1"/>
                <w:color w:val="FFFFFF"/>
              </w:rPr>
              <w:t>Description</w:t>
            </w:r>
          </w:p>
        </w:tc>
        <w:tc>
          <w:tcPr>
            <w:tcW w:w="680" w:type="dxa"/>
            <w:vAlign w:val="bottom"/>
            <w:shd w:val="clear" w:color="auto" w:fill="711470"/>
          </w:tcPr>
          <w:p>
            <w:pPr>
              <w:ind w:left="160"/>
              <w:spacing w:after="0"/>
              <w:rPr>
                <w:sz w:val="20"/>
                <w:szCs w:val="20"/>
                <w:color w:val="auto"/>
              </w:rPr>
            </w:pPr>
            <w:r>
              <w:rPr>
                <w:rFonts w:ascii="Arial" w:cs="Arial" w:eastAsia="Arial" w:hAnsi="Arial"/>
                <w:sz w:val="12"/>
                <w:szCs w:val="12"/>
                <w:b w:val="1"/>
                <w:bCs w:val="1"/>
                <w:color w:val="FFFFFF"/>
                <w:w w:val="97"/>
              </w:rPr>
              <w:t>Page No.</w:t>
            </w:r>
          </w:p>
        </w:tc>
      </w:tr>
      <w:tr>
        <w:trPr>
          <w:trHeight w:val="127"/>
        </w:trPr>
        <w:tc>
          <w:tcPr>
            <w:tcW w:w="960" w:type="dxa"/>
            <w:vAlign w:val="bottom"/>
          </w:tcPr>
          <w:p>
            <w:pPr>
              <w:jc w:val="right"/>
              <w:ind w:right="718"/>
              <w:spacing w:after="0" w:line="128" w:lineRule="exact"/>
              <w:rPr>
                <w:sz w:val="20"/>
                <w:szCs w:val="20"/>
                <w:color w:val="auto"/>
              </w:rPr>
            </w:pPr>
            <w:r>
              <w:rPr>
                <w:rFonts w:ascii="Arial" w:cs="Arial" w:eastAsia="Arial" w:hAnsi="Arial"/>
                <w:sz w:val="12"/>
                <w:szCs w:val="12"/>
                <w:color w:val="auto"/>
                <w:w w:val="95"/>
              </w:rPr>
              <w:t>1.1</w:t>
            </w:r>
          </w:p>
        </w:tc>
        <w:tc>
          <w:tcPr>
            <w:tcW w:w="9780" w:type="dxa"/>
            <w:vAlign w:val="bottom"/>
          </w:tcPr>
          <w:p>
            <w:pPr>
              <w:ind w:left="260"/>
              <w:spacing w:after="0" w:line="128" w:lineRule="exact"/>
              <w:rPr>
                <w:sz w:val="20"/>
                <w:szCs w:val="20"/>
                <w:color w:val="auto"/>
              </w:rPr>
            </w:pPr>
            <w:r>
              <w:rPr>
                <w:rFonts w:ascii="Arial" w:cs="Arial" w:eastAsia="Arial" w:hAnsi="Arial"/>
                <w:sz w:val="12"/>
                <w:szCs w:val="12"/>
                <w:color w:val="auto"/>
              </w:rPr>
              <w:t>Memorandum of Association of Royal Dutch Shell plc (incorporated by reference to Exhibit 3.1 to the Registration Statement on Form F-4 (Registration No. 333-125037) of</w:t>
            </w:r>
          </w:p>
        </w:tc>
        <w:tc>
          <w:tcPr>
            <w:tcW w:w="680" w:type="dxa"/>
            <w:vAlign w:val="bottom"/>
          </w:tcPr>
          <w:p>
            <w:pPr>
              <w:spacing w:after="0"/>
              <w:rPr>
                <w:sz w:val="11"/>
                <w:szCs w:val="11"/>
                <w:color w:val="auto"/>
              </w:rPr>
            </w:pPr>
          </w:p>
        </w:tc>
      </w:tr>
      <w:tr>
        <w:trPr>
          <w:trHeight w:val="133"/>
        </w:trPr>
        <w:tc>
          <w:tcPr>
            <w:tcW w:w="960" w:type="dxa"/>
            <w:vAlign w:val="bottom"/>
          </w:tcPr>
          <w:p>
            <w:pPr>
              <w:spacing w:after="0"/>
              <w:rPr>
                <w:sz w:val="11"/>
                <w:szCs w:val="11"/>
                <w:color w:val="auto"/>
              </w:rPr>
            </w:pPr>
          </w:p>
        </w:tc>
        <w:tc>
          <w:tcPr>
            <w:tcW w:w="9780" w:type="dxa"/>
            <w:vAlign w:val="bottom"/>
          </w:tcPr>
          <w:p>
            <w:pPr>
              <w:ind w:left="260"/>
              <w:spacing w:after="0" w:line="133" w:lineRule="exact"/>
              <w:rPr>
                <w:sz w:val="20"/>
                <w:szCs w:val="20"/>
                <w:color w:val="auto"/>
              </w:rPr>
            </w:pPr>
            <w:r>
              <w:rPr>
                <w:rFonts w:ascii="Arial" w:cs="Arial" w:eastAsia="Arial" w:hAnsi="Arial"/>
                <w:sz w:val="12"/>
                <w:szCs w:val="12"/>
                <w:color w:val="auto"/>
              </w:rPr>
              <w:t>Royal Dutch Shell plc filed with the Securities and Exchange Commission on May 18, 2005.</w:t>
            </w:r>
          </w:p>
        </w:tc>
        <w:tc>
          <w:tcPr>
            <w:tcW w:w="680" w:type="dxa"/>
            <w:vAlign w:val="bottom"/>
          </w:tcPr>
          <w:p>
            <w:pPr>
              <w:spacing w:after="0"/>
              <w:rPr>
                <w:sz w:val="11"/>
                <w:szCs w:val="11"/>
                <w:color w:val="auto"/>
              </w:rPr>
            </w:pPr>
          </w:p>
        </w:tc>
      </w:tr>
      <w:tr>
        <w:trPr>
          <w:trHeight w:val="133"/>
        </w:trPr>
        <w:tc>
          <w:tcPr>
            <w:tcW w:w="960" w:type="dxa"/>
            <w:vAlign w:val="bottom"/>
          </w:tcPr>
          <w:p>
            <w:pPr>
              <w:jc w:val="right"/>
              <w:ind w:right="718"/>
              <w:spacing w:after="0" w:line="133" w:lineRule="exact"/>
              <w:rPr>
                <w:sz w:val="20"/>
                <w:szCs w:val="20"/>
                <w:color w:val="auto"/>
              </w:rPr>
            </w:pPr>
            <w:r>
              <w:rPr>
                <w:rFonts w:ascii="Arial" w:cs="Arial" w:eastAsia="Arial" w:hAnsi="Arial"/>
                <w:sz w:val="12"/>
                <w:szCs w:val="12"/>
                <w:color w:val="auto"/>
                <w:w w:val="95"/>
              </w:rPr>
              <w:t>1.2</w:t>
            </w:r>
          </w:p>
        </w:tc>
        <w:tc>
          <w:tcPr>
            <w:tcW w:w="9780" w:type="dxa"/>
            <w:vAlign w:val="bottom"/>
          </w:tcPr>
          <w:p>
            <w:pPr>
              <w:ind w:left="260"/>
              <w:spacing w:after="0" w:line="133" w:lineRule="exact"/>
              <w:rPr>
                <w:sz w:val="20"/>
                <w:szCs w:val="20"/>
                <w:color w:val="auto"/>
              </w:rPr>
            </w:pPr>
            <w:r>
              <w:rPr>
                <w:rFonts w:ascii="Arial" w:cs="Arial" w:eastAsia="Arial" w:hAnsi="Arial"/>
                <w:sz w:val="12"/>
                <w:szCs w:val="12"/>
                <w:color w:val="auto"/>
              </w:rPr>
              <w:t>Articles of Association of Royal Dutch Shell plc (incorporated by reference to Exhibit 99.3) to the Report on Form 6-K of Royal Dutch Shell plc furnished to the Securities</w:t>
            </w:r>
          </w:p>
        </w:tc>
        <w:tc>
          <w:tcPr>
            <w:tcW w:w="680" w:type="dxa"/>
            <w:vAlign w:val="bottom"/>
          </w:tcPr>
          <w:p>
            <w:pPr>
              <w:spacing w:after="0"/>
              <w:rPr>
                <w:sz w:val="11"/>
                <w:szCs w:val="11"/>
                <w:color w:val="auto"/>
              </w:rPr>
            </w:pPr>
          </w:p>
        </w:tc>
      </w:tr>
      <w:tr>
        <w:trPr>
          <w:trHeight w:val="133"/>
        </w:trPr>
        <w:tc>
          <w:tcPr>
            <w:tcW w:w="960" w:type="dxa"/>
            <w:vAlign w:val="bottom"/>
          </w:tcPr>
          <w:p>
            <w:pPr>
              <w:spacing w:after="0"/>
              <w:rPr>
                <w:sz w:val="11"/>
                <w:szCs w:val="11"/>
                <w:color w:val="auto"/>
              </w:rPr>
            </w:pPr>
          </w:p>
        </w:tc>
        <w:tc>
          <w:tcPr>
            <w:tcW w:w="9780" w:type="dxa"/>
            <w:vAlign w:val="bottom"/>
          </w:tcPr>
          <w:p>
            <w:pPr>
              <w:ind w:left="260"/>
              <w:spacing w:after="0" w:line="133" w:lineRule="exact"/>
              <w:rPr>
                <w:sz w:val="20"/>
                <w:szCs w:val="20"/>
                <w:color w:val="auto"/>
              </w:rPr>
            </w:pPr>
            <w:r>
              <w:rPr>
                <w:rFonts w:ascii="Arial" w:cs="Arial" w:eastAsia="Arial" w:hAnsi="Arial"/>
                <w:sz w:val="12"/>
                <w:szCs w:val="12"/>
                <w:color w:val="auto"/>
              </w:rPr>
              <w:t>and Exchange Commission on August 26, 2005.</w:t>
            </w:r>
          </w:p>
        </w:tc>
        <w:tc>
          <w:tcPr>
            <w:tcW w:w="680" w:type="dxa"/>
            <w:vAlign w:val="bottom"/>
          </w:tcPr>
          <w:p>
            <w:pPr>
              <w:spacing w:after="0"/>
              <w:rPr>
                <w:sz w:val="11"/>
                <w:szCs w:val="11"/>
                <w:color w:val="auto"/>
              </w:rPr>
            </w:pPr>
          </w:p>
        </w:tc>
      </w:tr>
    </w:tbl>
    <w:p>
      <w:pPr>
        <w:ind w:left="1220" w:right="960" w:hanging="1213"/>
        <w:spacing w:after="0" w:line="231" w:lineRule="auto"/>
        <w:tabs>
          <w:tab w:leader="none" w:pos="1220" w:val="left"/>
        </w:tabs>
        <w:numPr>
          <w:ilvl w:val="0"/>
          <w:numId w:val="169"/>
        </w:numPr>
        <w:rPr>
          <w:rFonts w:ascii="Arial" w:cs="Arial" w:eastAsia="Arial" w:hAnsi="Arial"/>
          <w:sz w:val="12"/>
          <w:szCs w:val="12"/>
          <w:color w:val="auto"/>
        </w:rPr>
      </w:pPr>
      <w:r>
        <w:rPr>
          <w:rFonts w:ascii="Arial" w:cs="Arial" w:eastAsia="Arial" w:hAnsi="Arial"/>
          <w:sz w:val="12"/>
          <w:szCs w:val="12"/>
          <w:color w:val="auto"/>
        </w:rPr>
        <w:t>Dividend Access Trust Deed (incorporated by reference to Exhibit 2 to the Annual Report for fiscal year ended December 31, 2006, on Form 20-F (File no 001-32575) of Royal Dutch Shell plc filed with the Securities and Exchange Commission on March 13, 2007).</w:t>
      </w:r>
    </w:p>
    <w:tbl>
      <w:tblPr>
        <w:tblLayout w:type="fixed"/>
        <w:tblInd w:w="0" w:type="dxa"/>
        <w:tblCellMar>
          <w:top w:w="0" w:type="dxa"/>
          <w:left w:w="0" w:type="dxa"/>
          <w:bottom w:w="0" w:type="dxa"/>
          <w:right w:w="0" w:type="dxa"/>
        </w:tblCellMar>
      </w:tblPr>
      <w:tr>
        <w:trPr>
          <w:trHeight w:val="134"/>
        </w:trPr>
        <w:tc>
          <w:tcPr>
            <w:tcW w:w="740" w:type="dxa"/>
            <w:vAlign w:val="bottom"/>
          </w:tcPr>
          <w:p>
            <w:pPr>
              <w:spacing w:after="0" w:line="134" w:lineRule="exact"/>
              <w:rPr>
                <w:sz w:val="20"/>
                <w:szCs w:val="20"/>
                <w:color w:val="auto"/>
              </w:rPr>
            </w:pPr>
            <w:r>
              <w:rPr>
                <w:rFonts w:ascii="Arial" w:cs="Arial" w:eastAsia="Arial" w:hAnsi="Arial"/>
                <w:sz w:val="12"/>
                <w:szCs w:val="12"/>
                <w:color w:val="auto"/>
              </w:rPr>
              <w:t>4.2</w:t>
            </w:r>
          </w:p>
        </w:tc>
        <w:tc>
          <w:tcPr>
            <w:tcW w:w="10180" w:type="dxa"/>
            <w:vAlign w:val="bottom"/>
          </w:tcPr>
          <w:p>
            <w:pPr>
              <w:ind w:left="480"/>
              <w:spacing w:after="0" w:line="134" w:lineRule="exact"/>
              <w:rPr>
                <w:sz w:val="20"/>
                <w:szCs w:val="20"/>
                <w:color w:val="auto"/>
              </w:rPr>
            </w:pPr>
            <w:r>
              <w:rPr>
                <w:rFonts w:ascii="Arial" w:cs="Arial" w:eastAsia="Arial" w:hAnsi="Arial"/>
                <w:sz w:val="12"/>
                <w:szCs w:val="12"/>
                <w:color w:val="auto"/>
              </w:rPr>
              <w:t>Shell Provident Fund Regulations and Trust Agreement (incorporated by reference to Exhibit 4.7 to the Post-Effective Amendment to Registration Statement on Form S-8</w:t>
            </w:r>
          </w:p>
        </w:tc>
        <w:tc>
          <w:tcPr>
            <w:tcW w:w="50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(Registration No. 333-126715) of Royal Dutch Shell plc filed with the Securities and Exchange Commission on June 18, 2007).</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4.3</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Form of Director Indemnity Agreement (incorporated by reference to Exhibit 4.3 to the Annual Report for the fiscal year ended December 31, 2005, on Form 20-F (File</w:t>
            </w:r>
          </w:p>
        </w:tc>
        <w:tc>
          <w:tcPr>
            <w:tcW w:w="50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No. 001-32575) of Royal Dutch Shell plc filed with the Securities and Exchange Commission on March 13, 2006).</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4.4</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Senior Debt Securities Indenture dated June 27, 2006, among Shell International Finance B.V., as issuer, Royal Dutch Shell plc, as guarantor, and Deutsche Bank Trust</w:t>
            </w:r>
          </w:p>
        </w:tc>
        <w:tc>
          <w:tcPr>
            <w:tcW w:w="50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Company Americas, as trustee (incorporated by reference to Exhibit 4.1 to the Registration Statement on Form F-3 (Registration No. 333-126726) of Royal Dutch Shell plc</w:t>
            </w:r>
          </w:p>
        </w:tc>
        <w:tc>
          <w:tcPr>
            <w:tcW w:w="50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filed with the securities and Exchange Commission on July 20, 2005, amended from then and to be dated as of June 27, 2006, and with the parties signatures).</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4.5</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Form of Directors Letter of appointments (incorporated by reference to Exhibits 4.5 – 4.11 to the Annual Report for fiscal year ended December 31, 2006, on Form 20-F</w:t>
            </w:r>
          </w:p>
        </w:tc>
        <w:tc>
          <w:tcPr>
            <w:tcW w:w="500" w:type="dxa"/>
            <w:vAlign w:val="bottom"/>
          </w:tcPr>
          <w:p>
            <w:pPr>
              <w:spacing w:after="0"/>
              <w:rPr>
                <w:sz w:val="11"/>
                <w:szCs w:val="11"/>
                <w:color w:val="auto"/>
              </w:rPr>
            </w:pPr>
          </w:p>
        </w:tc>
      </w:tr>
      <w:tr>
        <w:trPr>
          <w:trHeight w:val="133"/>
        </w:trPr>
        <w:tc>
          <w:tcPr>
            <w:tcW w:w="740" w:type="dxa"/>
            <w:vAlign w:val="bottom"/>
          </w:tcPr>
          <w:p>
            <w:pPr>
              <w:spacing w:after="0"/>
              <w:rPr>
                <w:sz w:val="11"/>
                <w:szCs w:val="11"/>
                <w:color w:val="auto"/>
              </w:rPr>
            </w:pP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(File No. 001-325751) of Royal Dutch Shell plc filed with the Securities and Exchange Commission on March 13, 2007).</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7.1</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Calculation of Ratio of Earnings to Fixed Charges.</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E1</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7.2</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Calculation of Return on Average Capital Employed (ROACE) (incorporated by reference to pages 60 and 61 herein).</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7.3</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Calculation of gearing ratio (incorporated by reference to page 61 and Note 19[D] to the Consolidated Financial Statements on page 138 herein).</w:t>
            </w:r>
          </w:p>
        </w:tc>
        <w:tc>
          <w:tcPr>
            <w:tcW w:w="500" w:type="dxa"/>
            <w:vAlign w:val="bottom"/>
          </w:tcPr>
          <w:p>
            <w:pPr>
              <w:spacing w:after="0"/>
              <w:rPr>
                <w:sz w:val="11"/>
                <w:szCs w:val="11"/>
                <w:color w:val="auto"/>
              </w:rPr>
            </w:pP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8</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Significant Shell subsidiaries as at December 31, 2007.</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E2</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12.1</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Section 302 Certification of Royal Dutch Shell plc.</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E5</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12.2</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Section 302 Certification of Royal Dutch Shell plc.</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E6</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13.1</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Section 906 Certification of Royal Dutch Shell plc.</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E7</w:t>
            </w:r>
          </w:p>
        </w:tc>
      </w:tr>
      <w:tr>
        <w:trPr>
          <w:trHeight w:val="133"/>
        </w:trPr>
        <w:tc>
          <w:tcPr>
            <w:tcW w:w="740" w:type="dxa"/>
            <w:vAlign w:val="bottom"/>
          </w:tcPr>
          <w:p>
            <w:pPr>
              <w:spacing w:after="0" w:line="133" w:lineRule="exact"/>
              <w:rPr>
                <w:sz w:val="20"/>
                <w:szCs w:val="20"/>
                <w:color w:val="auto"/>
              </w:rPr>
            </w:pPr>
            <w:r>
              <w:rPr>
                <w:rFonts w:ascii="Arial" w:cs="Arial" w:eastAsia="Arial" w:hAnsi="Arial"/>
                <w:sz w:val="12"/>
                <w:szCs w:val="12"/>
                <w:color w:val="auto"/>
              </w:rPr>
              <w:t>99.1</w:t>
            </w:r>
          </w:p>
        </w:tc>
        <w:tc>
          <w:tcPr>
            <w:tcW w:w="10180" w:type="dxa"/>
            <w:vAlign w:val="bottom"/>
          </w:tcPr>
          <w:p>
            <w:pPr>
              <w:ind w:left="480"/>
              <w:spacing w:after="0" w:line="133" w:lineRule="exact"/>
              <w:rPr>
                <w:sz w:val="20"/>
                <w:szCs w:val="20"/>
                <w:color w:val="auto"/>
              </w:rPr>
            </w:pPr>
            <w:r>
              <w:rPr>
                <w:rFonts w:ascii="Arial" w:cs="Arial" w:eastAsia="Arial" w:hAnsi="Arial"/>
                <w:sz w:val="12"/>
                <w:szCs w:val="12"/>
                <w:color w:val="auto"/>
              </w:rPr>
              <w:t>Consent of PricewaterhouseCoopers LLP, London.</w:t>
            </w:r>
          </w:p>
        </w:tc>
        <w:tc>
          <w:tcPr>
            <w:tcW w:w="500" w:type="dxa"/>
            <w:vAlign w:val="bottom"/>
          </w:tcPr>
          <w:p>
            <w:pPr>
              <w:ind w:left="340"/>
              <w:spacing w:after="0" w:line="133" w:lineRule="exact"/>
              <w:rPr>
                <w:sz w:val="20"/>
                <w:szCs w:val="20"/>
                <w:color w:val="auto"/>
              </w:rPr>
            </w:pPr>
            <w:r>
              <w:rPr>
                <w:rFonts w:ascii="Arial" w:cs="Arial" w:eastAsia="Arial" w:hAnsi="Arial"/>
                <w:sz w:val="12"/>
                <w:szCs w:val="12"/>
                <w:color w:val="auto"/>
                <w:w w:val="95"/>
              </w:rPr>
              <w:t>E8</w:t>
            </w:r>
          </w:p>
        </w:tc>
      </w:tr>
      <w:tr>
        <w:trPr>
          <w:trHeight w:val="139"/>
        </w:trPr>
        <w:tc>
          <w:tcPr>
            <w:tcW w:w="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99.2</w:t>
            </w:r>
          </w:p>
        </w:tc>
        <w:tc>
          <w:tcPr>
            <w:tcW w:w="1018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Consent of PricewaterhouseCoopers LLP, London relating to the Royal Dutch Shell Dividend Access Trust.</w:t>
            </w: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2"/>
                <w:szCs w:val="12"/>
                <w:color w:val="auto"/>
                <w:w w:val="95"/>
              </w:rPr>
              <w:t>E9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0" w:hanging="333"/>
        <w:spacing w:after="0"/>
        <w:tabs>
          <w:tab w:leader="none" w:pos="340" w:val="left"/>
        </w:tabs>
        <w:numPr>
          <w:ilvl w:val="0"/>
          <w:numId w:val="170"/>
        </w:numPr>
        <w:rPr>
          <w:rFonts w:ascii="Arial" w:cs="Arial" w:eastAsia="Arial" w:hAnsi="Arial"/>
          <w:sz w:val="12"/>
          <w:szCs w:val="12"/>
          <w:b w:val="1"/>
          <w:bCs w:val="1"/>
          <w:color w:val="auto"/>
        </w:rPr>
      </w:pP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252970" cy="209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-109855</wp:posOffset>
            </wp:positionV>
            <wp:extent cx="282575" cy="568388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82575" cy="5683885"/>
                    </a:xfrm>
                    <a:prstGeom prst="rect">
                      <a:avLst/>
                    </a:prstGeom>
                    <a:noFill/>
                  </pic:spPr>
                </pic:pic>
              </a:graphicData>
            </a:graphic>
          </wp:anchor>
        </w:drawing>
      </w:r>
    </w:p>
    <w:p>
      <w:pPr>
        <w:spacing w:after="0" w:line="94"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registrant hereby certifies that it meets all of the requirements for filing on Form 20-F and that it has duly caused and authorised the undersigned to sign this Annual Report on Form 20-F on its behalf.</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Royal Dutch Shell plc</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Jeroen van der Veer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425450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25450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Jeroen van der Veer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0"/>
          <w:szCs w:val="10"/>
          <w:b w:val="1"/>
          <w:bCs w:val="1"/>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1443990</wp:posOffset>
            </wp:positionV>
            <wp:extent cx="7252970" cy="209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620"/>
          </w:cols>
          <w:pgMar w:left="240" w:top="415" w:right="10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6"/>
          <w:szCs w:val="36"/>
          <w:color w:val="auto"/>
        </w:rPr>
        <w:t>Contact information</w:t>
      </w:r>
    </w:p>
    <w:p>
      <w:pPr>
        <w:spacing w:after="0" w:line="359"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REGISTERED OFFICE</w:t>
      </w:r>
    </w:p>
    <w:p>
      <w:pPr>
        <w:spacing w:after="0" w:line="226" w:lineRule="auto"/>
        <w:rPr>
          <w:sz w:val="20"/>
          <w:szCs w:val="20"/>
          <w:color w:val="auto"/>
        </w:rPr>
      </w:pPr>
      <w:r>
        <w:rPr>
          <w:rFonts w:ascii="Arial" w:cs="Arial" w:eastAsia="Arial" w:hAnsi="Arial"/>
          <w:sz w:val="14"/>
          <w:szCs w:val="14"/>
          <w:color w:val="auto"/>
        </w:rPr>
        <w:t>Royal Dutch Shell plc</w:t>
      </w:r>
    </w:p>
    <w:p>
      <w:pPr>
        <w:spacing w:after="0" w:line="219" w:lineRule="auto"/>
        <w:rPr>
          <w:sz w:val="20"/>
          <w:szCs w:val="20"/>
          <w:color w:val="auto"/>
        </w:rPr>
      </w:pPr>
      <w:r>
        <w:rPr>
          <w:rFonts w:ascii="Arial" w:cs="Arial" w:eastAsia="Arial" w:hAnsi="Arial"/>
          <w:sz w:val="14"/>
          <w:szCs w:val="14"/>
          <w:color w:val="auto"/>
        </w:rPr>
        <w:t>Shell Centre</w:t>
      </w:r>
    </w:p>
    <w:p>
      <w:pPr>
        <w:spacing w:after="0" w:line="218" w:lineRule="auto"/>
        <w:rPr>
          <w:sz w:val="20"/>
          <w:szCs w:val="20"/>
          <w:color w:val="auto"/>
        </w:rPr>
      </w:pPr>
      <w:r>
        <w:rPr>
          <w:rFonts w:ascii="Arial" w:cs="Arial" w:eastAsia="Arial" w:hAnsi="Arial"/>
          <w:sz w:val="14"/>
          <w:szCs w:val="14"/>
          <w:color w:val="auto"/>
        </w:rPr>
        <w:t>London SE1 7NA</w:t>
      </w:r>
    </w:p>
    <w:p>
      <w:pPr>
        <w:spacing w:after="0"/>
        <w:rPr>
          <w:sz w:val="20"/>
          <w:szCs w:val="20"/>
          <w:color w:val="auto"/>
        </w:rPr>
      </w:pPr>
      <w:r>
        <w:rPr>
          <w:rFonts w:ascii="Arial" w:cs="Arial" w:eastAsia="Arial" w:hAnsi="Arial"/>
          <w:sz w:val="14"/>
          <w:szCs w:val="14"/>
          <w:color w:val="auto"/>
        </w:rPr>
        <w:t>United Kingdom</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Registered in England and Wales</w:t>
      </w:r>
    </w:p>
    <w:p>
      <w:pPr>
        <w:spacing w:after="0"/>
        <w:rPr>
          <w:sz w:val="20"/>
          <w:szCs w:val="20"/>
          <w:color w:val="auto"/>
        </w:rPr>
      </w:pPr>
      <w:r>
        <w:rPr>
          <w:rFonts w:ascii="Arial" w:cs="Arial" w:eastAsia="Arial" w:hAnsi="Arial"/>
          <w:sz w:val="14"/>
          <w:szCs w:val="14"/>
          <w:color w:val="auto"/>
        </w:rPr>
        <w:t>Company number 4366849</w:t>
      </w:r>
    </w:p>
    <w:p>
      <w:pPr>
        <w:spacing w:after="0" w:line="93" w:lineRule="exact"/>
        <w:rPr>
          <w:sz w:val="20"/>
          <w:szCs w:val="20"/>
          <w:color w:val="auto"/>
        </w:rPr>
      </w:pPr>
    </w:p>
    <w:p>
      <w:pPr>
        <w:ind w:right="740"/>
        <w:spacing w:after="0" w:line="247" w:lineRule="auto"/>
        <w:rPr>
          <w:sz w:val="20"/>
          <w:szCs w:val="20"/>
          <w:color w:val="auto"/>
        </w:rPr>
      </w:pPr>
      <w:r>
        <w:rPr>
          <w:rFonts w:ascii="Arial" w:cs="Arial" w:eastAsia="Arial" w:hAnsi="Arial"/>
          <w:sz w:val="14"/>
          <w:szCs w:val="14"/>
          <w:color w:val="auto"/>
        </w:rPr>
        <w:t>Registered with the Dutch Trade Register under number 34179503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HEADQUARTERS</w:t>
      </w:r>
    </w:p>
    <w:p>
      <w:pPr>
        <w:spacing w:after="0" w:line="226" w:lineRule="auto"/>
        <w:rPr>
          <w:sz w:val="20"/>
          <w:szCs w:val="20"/>
          <w:color w:val="auto"/>
        </w:rPr>
      </w:pPr>
      <w:r>
        <w:rPr>
          <w:rFonts w:ascii="Arial" w:cs="Arial" w:eastAsia="Arial" w:hAnsi="Arial"/>
          <w:sz w:val="14"/>
          <w:szCs w:val="14"/>
          <w:color w:val="auto"/>
        </w:rPr>
        <w:t>Royal Dutch Shell plc</w:t>
      </w:r>
    </w:p>
    <w:p>
      <w:pPr>
        <w:spacing w:after="0" w:line="219" w:lineRule="auto"/>
        <w:rPr>
          <w:sz w:val="20"/>
          <w:szCs w:val="20"/>
          <w:color w:val="auto"/>
        </w:rPr>
      </w:pPr>
      <w:r>
        <w:rPr>
          <w:rFonts w:ascii="Arial" w:cs="Arial" w:eastAsia="Arial" w:hAnsi="Arial"/>
          <w:sz w:val="14"/>
          <w:szCs w:val="14"/>
          <w:color w:val="auto"/>
        </w:rPr>
        <w:t>Carel van Bylandtlaan 30</w:t>
      </w:r>
    </w:p>
    <w:p>
      <w:pPr>
        <w:spacing w:after="0" w:line="218" w:lineRule="auto"/>
        <w:rPr>
          <w:sz w:val="20"/>
          <w:szCs w:val="20"/>
          <w:color w:val="auto"/>
        </w:rPr>
      </w:pPr>
      <w:r>
        <w:rPr>
          <w:rFonts w:ascii="Arial" w:cs="Arial" w:eastAsia="Arial" w:hAnsi="Arial"/>
          <w:sz w:val="14"/>
          <w:szCs w:val="14"/>
          <w:color w:val="auto"/>
        </w:rPr>
        <w:t>2596 HR The Hague</w:t>
      </w:r>
    </w:p>
    <w:p>
      <w:pPr>
        <w:spacing w:after="0"/>
        <w:rPr>
          <w:sz w:val="20"/>
          <w:szCs w:val="20"/>
          <w:color w:val="auto"/>
        </w:rPr>
      </w:pPr>
      <w:r>
        <w:rPr>
          <w:rFonts w:ascii="Arial" w:cs="Arial" w:eastAsia="Arial" w:hAnsi="Arial"/>
          <w:sz w:val="14"/>
          <w:szCs w:val="14"/>
          <w:color w:val="auto"/>
        </w:rPr>
        <w:t>The Netherlands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SHARE REGISTRAR</w:t>
      </w:r>
    </w:p>
    <w:p>
      <w:pPr>
        <w:spacing w:after="0" w:line="226" w:lineRule="auto"/>
        <w:rPr>
          <w:sz w:val="20"/>
          <w:szCs w:val="20"/>
          <w:color w:val="auto"/>
        </w:rPr>
      </w:pPr>
      <w:r>
        <w:rPr>
          <w:rFonts w:ascii="Arial" w:cs="Arial" w:eastAsia="Arial" w:hAnsi="Arial"/>
          <w:sz w:val="14"/>
          <w:szCs w:val="14"/>
          <w:color w:val="auto"/>
        </w:rPr>
        <w:t>Equiniti</w:t>
      </w:r>
    </w:p>
    <w:p>
      <w:pPr>
        <w:spacing w:after="0" w:line="219" w:lineRule="auto"/>
        <w:rPr>
          <w:sz w:val="20"/>
          <w:szCs w:val="20"/>
          <w:color w:val="auto"/>
        </w:rPr>
      </w:pPr>
      <w:r>
        <w:rPr>
          <w:rFonts w:ascii="Arial" w:cs="Arial" w:eastAsia="Arial" w:hAnsi="Arial"/>
          <w:sz w:val="14"/>
          <w:szCs w:val="14"/>
          <w:color w:val="auto"/>
        </w:rPr>
        <w:t>Aspect House, Spencer Road</w:t>
      </w:r>
    </w:p>
    <w:p>
      <w:pPr>
        <w:spacing w:after="0" w:line="218" w:lineRule="auto"/>
        <w:rPr>
          <w:sz w:val="20"/>
          <w:szCs w:val="20"/>
          <w:color w:val="auto"/>
        </w:rPr>
      </w:pPr>
      <w:r>
        <w:rPr>
          <w:rFonts w:ascii="Arial" w:cs="Arial" w:eastAsia="Arial" w:hAnsi="Arial"/>
          <w:sz w:val="14"/>
          <w:szCs w:val="14"/>
          <w:color w:val="auto"/>
        </w:rPr>
        <w:t>Lancing, West Sussex BN99 6DA</w:t>
      </w:r>
    </w:p>
    <w:p>
      <w:pPr>
        <w:spacing w:after="0" w:line="218" w:lineRule="auto"/>
        <w:rPr>
          <w:sz w:val="20"/>
          <w:szCs w:val="20"/>
          <w:color w:val="auto"/>
        </w:rPr>
      </w:pPr>
      <w:r>
        <w:rPr>
          <w:rFonts w:ascii="Arial" w:cs="Arial" w:eastAsia="Arial" w:hAnsi="Arial"/>
          <w:sz w:val="14"/>
          <w:szCs w:val="14"/>
          <w:color w:val="auto"/>
        </w:rPr>
        <w:t>United Kingdom</w:t>
      </w:r>
    </w:p>
    <w:p>
      <w:pPr>
        <w:spacing w:after="0" w:line="219" w:lineRule="auto"/>
        <w:rPr>
          <w:sz w:val="20"/>
          <w:szCs w:val="20"/>
          <w:color w:val="auto"/>
        </w:rPr>
      </w:pPr>
      <w:r>
        <w:rPr>
          <w:rFonts w:ascii="Arial" w:cs="Arial" w:eastAsia="Arial" w:hAnsi="Arial"/>
          <w:sz w:val="14"/>
          <w:szCs w:val="14"/>
          <w:color w:val="auto"/>
        </w:rPr>
        <w:t>Freephone 0800 169 1679 (UK only)</w:t>
      </w:r>
    </w:p>
    <w:p>
      <w:pPr>
        <w:spacing w:after="0" w:line="218" w:lineRule="auto"/>
        <w:rPr>
          <w:sz w:val="20"/>
          <w:szCs w:val="20"/>
          <w:color w:val="auto"/>
        </w:rPr>
      </w:pPr>
      <w:r>
        <w:rPr>
          <w:rFonts w:ascii="Arial" w:cs="Arial" w:eastAsia="Arial" w:hAnsi="Arial"/>
          <w:sz w:val="14"/>
          <w:szCs w:val="14"/>
          <w:color w:val="auto"/>
        </w:rPr>
        <w:t>Tel +44 (0)121 415 7073</w:t>
      </w:r>
    </w:p>
    <w:p>
      <w:pPr>
        <w:ind w:right="1480"/>
        <w:spacing w:after="0"/>
        <w:rPr>
          <w:sz w:val="20"/>
          <w:szCs w:val="20"/>
          <w:color w:val="auto"/>
        </w:rPr>
      </w:pPr>
      <w:r>
        <w:rPr>
          <w:rFonts w:ascii="Arial" w:cs="Arial" w:eastAsia="Arial" w:hAnsi="Arial"/>
          <w:sz w:val="13"/>
          <w:szCs w:val="13"/>
          <w:color w:val="auto"/>
        </w:rPr>
        <w:t>Fax 0871 384 2100[A] (UK only) www.shareview.co.uk for online information about your holding. Shareholder reference number will be required – shown on your share certificates, tax vouchers or your Shell Nominee Statement.</w:t>
      </w:r>
    </w:p>
    <w:p>
      <w:pPr>
        <w:spacing w:after="0" w:line="92" w:lineRule="exact"/>
        <w:rPr>
          <w:sz w:val="20"/>
          <w:szCs w:val="20"/>
          <w:color w:val="auto"/>
        </w:rPr>
      </w:pPr>
    </w:p>
    <w:p>
      <w:pPr>
        <w:ind w:right="1000"/>
        <w:spacing w:after="0" w:line="243" w:lineRule="auto"/>
        <w:rPr>
          <w:sz w:val="20"/>
          <w:szCs w:val="20"/>
          <w:color w:val="auto"/>
        </w:rPr>
      </w:pPr>
      <w:r>
        <w:rPr>
          <w:rFonts w:ascii="Arial" w:cs="Arial" w:eastAsia="Arial" w:hAnsi="Arial"/>
          <w:sz w:val="14"/>
          <w:szCs w:val="14"/>
          <w:b w:val="1"/>
          <w:bCs w:val="1"/>
          <w:color w:val="F68932"/>
        </w:rPr>
        <w:t>AMERICAN DEPOSITARY RECEIPTS (ADRS)</w:t>
      </w:r>
    </w:p>
    <w:p>
      <w:pPr>
        <w:spacing w:after="0" w:line="218" w:lineRule="auto"/>
        <w:rPr>
          <w:sz w:val="20"/>
          <w:szCs w:val="20"/>
          <w:color w:val="auto"/>
        </w:rPr>
      </w:pPr>
      <w:r>
        <w:rPr>
          <w:rFonts w:ascii="Arial" w:cs="Arial" w:eastAsia="Arial" w:hAnsi="Arial"/>
          <w:sz w:val="14"/>
          <w:szCs w:val="14"/>
          <w:color w:val="auto"/>
        </w:rPr>
        <w:t>The Bank of New York Mellon</w:t>
      </w:r>
    </w:p>
    <w:p>
      <w:pPr>
        <w:spacing w:after="0" w:line="219" w:lineRule="auto"/>
        <w:rPr>
          <w:sz w:val="20"/>
          <w:szCs w:val="20"/>
          <w:color w:val="auto"/>
        </w:rPr>
      </w:pPr>
      <w:r>
        <w:rPr>
          <w:rFonts w:ascii="Arial" w:cs="Arial" w:eastAsia="Arial" w:hAnsi="Arial"/>
          <w:sz w:val="14"/>
          <w:szCs w:val="14"/>
          <w:color w:val="auto"/>
        </w:rPr>
        <w:t>Investor Services</w:t>
      </w:r>
    </w:p>
    <w:p>
      <w:pPr>
        <w:spacing w:after="0" w:line="218" w:lineRule="auto"/>
        <w:rPr>
          <w:sz w:val="20"/>
          <w:szCs w:val="20"/>
          <w:color w:val="auto"/>
        </w:rPr>
      </w:pPr>
      <w:r>
        <w:rPr>
          <w:rFonts w:ascii="Arial" w:cs="Arial" w:eastAsia="Arial" w:hAnsi="Arial"/>
          <w:sz w:val="14"/>
          <w:szCs w:val="14"/>
          <w:color w:val="auto"/>
        </w:rPr>
        <w:t>PO Box 11258</w:t>
      </w:r>
    </w:p>
    <w:p>
      <w:pPr>
        <w:spacing w:after="0" w:line="219" w:lineRule="auto"/>
        <w:rPr>
          <w:sz w:val="20"/>
          <w:szCs w:val="20"/>
          <w:color w:val="auto"/>
        </w:rPr>
      </w:pPr>
      <w:r>
        <w:rPr>
          <w:rFonts w:ascii="Arial" w:cs="Arial" w:eastAsia="Arial" w:hAnsi="Arial"/>
          <w:sz w:val="14"/>
          <w:szCs w:val="14"/>
          <w:color w:val="auto"/>
        </w:rPr>
        <w:t>Church Street Station</w:t>
      </w:r>
    </w:p>
    <w:p>
      <w:pPr>
        <w:spacing w:after="0" w:line="218" w:lineRule="auto"/>
        <w:rPr>
          <w:sz w:val="20"/>
          <w:szCs w:val="20"/>
          <w:color w:val="auto"/>
        </w:rPr>
      </w:pPr>
      <w:r>
        <w:rPr>
          <w:rFonts w:ascii="Arial" w:cs="Arial" w:eastAsia="Arial" w:hAnsi="Arial"/>
          <w:sz w:val="14"/>
          <w:szCs w:val="14"/>
          <w:color w:val="auto"/>
        </w:rPr>
        <w:t>New York, NY 10286-1258</w:t>
      </w:r>
    </w:p>
    <w:p>
      <w:pPr>
        <w:spacing w:after="0" w:line="218" w:lineRule="auto"/>
        <w:rPr>
          <w:sz w:val="20"/>
          <w:szCs w:val="20"/>
          <w:color w:val="auto"/>
        </w:rPr>
      </w:pPr>
      <w:r>
        <w:rPr>
          <w:rFonts w:ascii="Arial" w:cs="Arial" w:eastAsia="Arial" w:hAnsi="Arial"/>
          <w:sz w:val="14"/>
          <w:szCs w:val="14"/>
          <w:color w:val="auto"/>
        </w:rPr>
        <w:t>USA</w:t>
      </w:r>
    </w:p>
    <w:p>
      <w:pPr>
        <w:spacing w:after="0" w:line="219" w:lineRule="auto"/>
        <w:rPr>
          <w:sz w:val="20"/>
          <w:szCs w:val="20"/>
          <w:color w:val="auto"/>
        </w:rPr>
      </w:pPr>
      <w:r>
        <w:rPr>
          <w:rFonts w:ascii="Arial" w:cs="Arial" w:eastAsia="Arial" w:hAnsi="Arial"/>
          <w:sz w:val="14"/>
          <w:szCs w:val="14"/>
          <w:color w:val="auto"/>
        </w:rPr>
        <w:t>Tel 888 737 2377 (USA only)</w:t>
      </w:r>
    </w:p>
    <w:p>
      <w:pPr>
        <w:spacing w:after="0" w:line="218" w:lineRule="auto"/>
        <w:rPr>
          <w:sz w:val="20"/>
          <w:szCs w:val="20"/>
          <w:color w:val="auto"/>
        </w:rPr>
      </w:pPr>
      <w:r>
        <w:rPr>
          <w:rFonts w:ascii="Arial" w:cs="Arial" w:eastAsia="Arial" w:hAnsi="Arial"/>
          <w:sz w:val="14"/>
          <w:szCs w:val="14"/>
          <w:color w:val="auto"/>
        </w:rPr>
        <w:t>Tel +1 201 680 6825 (international)</w:t>
      </w:r>
    </w:p>
    <w:p>
      <w:pPr>
        <w:spacing w:after="0" w:line="219" w:lineRule="auto"/>
        <w:rPr>
          <w:sz w:val="20"/>
          <w:szCs w:val="20"/>
          <w:color w:val="auto"/>
        </w:rPr>
      </w:pPr>
      <w:r>
        <w:rPr>
          <w:rFonts w:ascii="Arial" w:cs="Arial" w:eastAsia="Arial" w:hAnsi="Arial"/>
          <w:sz w:val="14"/>
          <w:szCs w:val="14"/>
          <w:color w:val="auto"/>
        </w:rPr>
        <w:t>E-mail shareowners@bankofny.com</w:t>
      </w:r>
    </w:p>
    <w:p>
      <w:pPr>
        <w:spacing w:after="0"/>
        <w:rPr>
          <w:sz w:val="20"/>
          <w:szCs w:val="20"/>
          <w:color w:val="auto"/>
        </w:rPr>
      </w:pPr>
      <w:r>
        <w:rPr>
          <w:rFonts w:ascii="Arial" w:cs="Arial" w:eastAsia="Arial" w:hAnsi="Arial"/>
          <w:sz w:val="14"/>
          <w:szCs w:val="14"/>
          <w:color w:val="auto"/>
        </w:rPr>
        <w:t>www.stockbny.com</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CORPORATE ISA/PEP</w:t>
      </w:r>
    </w:p>
    <w:p>
      <w:pPr>
        <w:spacing w:after="0" w:line="226" w:lineRule="auto"/>
        <w:rPr>
          <w:sz w:val="20"/>
          <w:szCs w:val="20"/>
          <w:color w:val="auto"/>
        </w:rPr>
      </w:pPr>
      <w:r>
        <w:rPr>
          <w:rFonts w:ascii="Arial" w:cs="Arial" w:eastAsia="Arial" w:hAnsi="Arial"/>
          <w:sz w:val="14"/>
          <w:szCs w:val="14"/>
          <w:color w:val="auto"/>
        </w:rPr>
        <w:t>BNP Paribas Securities Services</w:t>
      </w:r>
    </w:p>
    <w:p>
      <w:pPr>
        <w:spacing w:after="0" w:line="219" w:lineRule="auto"/>
        <w:rPr>
          <w:sz w:val="20"/>
          <w:szCs w:val="20"/>
          <w:color w:val="auto"/>
        </w:rPr>
      </w:pPr>
      <w:r>
        <w:rPr>
          <w:rFonts w:ascii="Arial" w:cs="Arial" w:eastAsia="Arial" w:hAnsi="Arial"/>
          <w:sz w:val="14"/>
          <w:szCs w:val="14"/>
          <w:color w:val="auto"/>
        </w:rPr>
        <w:t>Block C, Western House</w:t>
      </w:r>
    </w:p>
    <w:p>
      <w:pPr>
        <w:spacing w:after="0" w:line="218" w:lineRule="auto"/>
        <w:rPr>
          <w:sz w:val="20"/>
          <w:szCs w:val="20"/>
          <w:color w:val="auto"/>
        </w:rPr>
      </w:pPr>
      <w:r>
        <w:rPr>
          <w:rFonts w:ascii="Arial" w:cs="Arial" w:eastAsia="Arial" w:hAnsi="Arial"/>
          <w:sz w:val="14"/>
          <w:szCs w:val="14"/>
          <w:color w:val="auto"/>
        </w:rPr>
        <w:t>Lynchwood Business Park</w:t>
      </w:r>
    </w:p>
    <w:p>
      <w:pPr>
        <w:spacing w:after="0" w:line="218" w:lineRule="auto"/>
        <w:rPr>
          <w:sz w:val="20"/>
          <w:szCs w:val="20"/>
          <w:color w:val="auto"/>
        </w:rPr>
      </w:pPr>
      <w:r>
        <w:rPr>
          <w:rFonts w:ascii="Arial" w:cs="Arial" w:eastAsia="Arial" w:hAnsi="Arial"/>
          <w:sz w:val="14"/>
          <w:szCs w:val="14"/>
          <w:color w:val="auto"/>
        </w:rPr>
        <w:t>Peterborough PE2 6BP</w:t>
      </w:r>
    </w:p>
    <w:p>
      <w:pPr>
        <w:spacing w:after="0" w:line="219" w:lineRule="auto"/>
        <w:rPr>
          <w:sz w:val="20"/>
          <w:szCs w:val="20"/>
          <w:color w:val="auto"/>
        </w:rPr>
      </w:pPr>
      <w:r>
        <w:rPr>
          <w:rFonts w:ascii="Arial" w:cs="Arial" w:eastAsia="Arial" w:hAnsi="Arial"/>
          <w:sz w:val="14"/>
          <w:szCs w:val="14"/>
          <w:color w:val="auto"/>
        </w:rPr>
        <w:t>United Kingdom</w:t>
      </w:r>
    </w:p>
    <w:p>
      <w:pPr>
        <w:spacing w:after="0"/>
        <w:rPr>
          <w:sz w:val="20"/>
          <w:szCs w:val="20"/>
          <w:color w:val="auto"/>
        </w:rPr>
      </w:pPr>
      <w:r>
        <w:rPr>
          <w:rFonts w:ascii="Arial" w:cs="Arial" w:eastAsia="Arial" w:hAnsi="Arial"/>
          <w:sz w:val="14"/>
          <w:szCs w:val="14"/>
          <w:color w:val="auto"/>
        </w:rPr>
        <w:t>Tel +44 (0)845 358 1102</w:t>
      </w:r>
    </w:p>
    <w:p>
      <w:pPr>
        <w:spacing w:after="0" w:line="106" w:lineRule="exact"/>
        <w:rPr>
          <w:sz w:val="20"/>
          <w:szCs w:val="20"/>
          <w:color w:val="auto"/>
        </w:rPr>
      </w:pPr>
    </w:p>
    <w:p>
      <w:pPr>
        <w:ind w:left="200" w:hanging="193"/>
        <w:spacing w:after="0" w:line="249" w:lineRule="auto"/>
        <w:tabs>
          <w:tab w:leader="none" w:pos="20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Calls to 0871 numbers are charged at 8p per minute from a BT landline. Other telephone providers’ costs may vary.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RETAIL SHAREHOLDERS</w:t>
      </w:r>
    </w:p>
    <w:p>
      <w:pPr>
        <w:spacing w:after="0" w:line="226" w:lineRule="auto"/>
        <w:rPr>
          <w:sz w:val="20"/>
          <w:szCs w:val="20"/>
          <w:color w:val="auto"/>
        </w:rPr>
      </w:pPr>
      <w:r>
        <w:rPr>
          <w:rFonts w:ascii="Arial" w:cs="Arial" w:eastAsia="Arial" w:hAnsi="Arial"/>
          <w:sz w:val="14"/>
          <w:szCs w:val="14"/>
          <w:color w:val="auto"/>
        </w:rPr>
        <w:t>For shareholder information,</w:t>
      </w:r>
    </w:p>
    <w:p>
      <w:pPr>
        <w:spacing w:after="0"/>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b w:val="1"/>
          <w:bCs w:val="1"/>
          <w:color w:val="auto"/>
        </w:rPr>
        <w:t>www.shell.com/shareholder</w:t>
      </w:r>
    </w:p>
    <w:p>
      <w:pPr>
        <w:spacing w:after="0" w:line="93" w:lineRule="exact"/>
        <w:rPr>
          <w:sz w:val="20"/>
          <w:szCs w:val="20"/>
          <w:color w:val="auto"/>
        </w:rPr>
      </w:pPr>
    </w:p>
    <w:p>
      <w:pPr>
        <w:ind w:right="760"/>
        <w:spacing w:after="0" w:line="247" w:lineRule="auto"/>
        <w:rPr>
          <w:sz w:val="20"/>
          <w:szCs w:val="20"/>
          <w:color w:val="auto"/>
        </w:rPr>
      </w:pPr>
      <w:r>
        <w:rPr>
          <w:rFonts w:ascii="Arial" w:cs="Arial" w:eastAsia="Arial" w:hAnsi="Arial"/>
          <w:sz w:val="14"/>
          <w:szCs w:val="14"/>
          <w:color w:val="auto"/>
        </w:rPr>
        <w:t>Enquiries from retail shareholders may be addressed to:</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Shareholder Relations</w:t>
      </w:r>
    </w:p>
    <w:p>
      <w:pPr>
        <w:spacing w:after="0" w:line="218" w:lineRule="auto"/>
        <w:rPr>
          <w:sz w:val="20"/>
          <w:szCs w:val="20"/>
          <w:color w:val="auto"/>
        </w:rPr>
      </w:pPr>
      <w:r>
        <w:rPr>
          <w:rFonts w:ascii="Arial" w:cs="Arial" w:eastAsia="Arial" w:hAnsi="Arial"/>
          <w:sz w:val="14"/>
          <w:szCs w:val="14"/>
          <w:color w:val="auto"/>
        </w:rPr>
        <w:t>Royal Dutch Shell plc</w:t>
      </w:r>
    </w:p>
    <w:p>
      <w:pPr>
        <w:spacing w:after="0" w:line="218" w:lineRule="auto"/>
        <w:rPr>
          <w:sz w:val="20"/>
          <w:szCs w:val="20"/>
          <w:color w:val="auto"/>
        </w:rPr>
      </w:pPr>
      <w:r>
        <w:rPr>
          <w:rFonts w:ascii="Arial" w:cs="Arial" w:eastAsia="Arial" w:hAnsi="Arial"/>
          <w:sz w:val="14"/>
          <w:szCs w:val="14"/>
          <w:color w:val="auto"/>
        </w:rPr>
        <w:t>Carel van Bylandtlaan 30</w:t>
      </w:r>
    </w:p>
    <w:p>
      <w:pPr>
        <w:spacing w:after="0" w:line="219" w:lineRule="auto"/>
        <w:rPr>
          <w:sz w:val="20"/>
          <w:szCs w:val="20"/>
          <w:color w:val="auto"/>
        </w:rPr>
      </w:pPr>
      <w:r>
        <w:rPr>
          <w:rFonts w:ascii="Arial" w:cs="Arial" w:eastAsia="Arial" w:hAnsi="Arial"/>
          <w:sz w:val="14"/>
          <w:szCs w:val="14"/>
          <w:color w:val="auto"/>
        </w:rPr>
        <w:t>2596 HR The Hague</w:t>
      </w:r>
    </w:p>
    <w:p>
      <w:pPr>
        <w:spacing w:after="0" w:line="218" w:lineRule="auto"/>
        <w:rPr>
          <w:sz w:val="20"/>
          <w:szCs w:val="20"/>
          <w:color w:val="auto"/>
        </w:rPr>
      </w:pPr>
      <w:r>
        <w:rPr>
          <w:rFonts w:ascii="Arial" w:cs="Arial" w:eastAsia="Arial" w:hAnsi="Arial"/>
          <w:sz w:val="14"/>
          <w:szCs w:val="14"/>
          <w:color w:val="auto"/>
        </w:rPr>
        <w:t>The Netherlands</w:t>
      </w:r>
    </w:p>
    <w:p>
      <w:pPr>
        <w:spacing w:after="0" w:line="219" w:lineRule="auto"/>
        <w:rPr>
          <w:sz w:val="20"/>
          <w:szCs w:val="20"/>
          <w:color w:val="auto"/>
        </w:rPr>
      </w:pPr>
      <w:r>
        <w:rPr>
          <w:rFonts w:ascii="Arial" w:cs="Arial" w:eastAsia="Arial" w:hAnsi="Arial"/>
          <w:sz w:val="14"/>
          <w:szCs w:val="14"/>
          <w:color w:val="auto"/>
        </w:rPr>
        <w:t>Tel +31 (0)70 377 1365/4088</w:t>
      </w:r>
    </w:p>
    <w:p>
      <w:pPr>
        <w:spacing w:after="0" w:line="218" w:lineRule="auto"/>
        <w:rPr>
          <w:sz w:val="20"/>
          <w:szCs w:val="20"/>
          <w:color w:val="auto"/>
        </w:rPr>
      </w:pPr>
      <w:r>
        <w:rPr>
          <w:rFonts w:ascii="Arial" w:cs="Arial" w:eastAsia="Arial" w:hAnsi="Arial"/>
          <w:sz w:val="14"/>
          <w:szCs w:val="14"/>
          <w:color w:val="auto"/>
        </w:rPr>
        <w:t>Fax +31 (0)70 377 3953</w:t>
      </w:r>
    </w:p>
    <w:p>
      <w:pPr>
        <w:ind w:right="420"/>
        <w:spacing w:after="0" w:line="398" w:lineRule="auto"/>
        <w:rPr>
          <w:sz w:val="20"/>
          <w:szCs w:val="20"/>
          <w:color w:val="auto"/>
        </w:rPr>
      </w:pPr>
      <w:r>
        <w:rPr>
          <w:rFonts w:ascii="Arial" w:cs="Arial" w:eastAsia="Arial" w:hAnsi="Arial"/>
          <w:sz w:val="14"/>
          <w:szCs w:val="14"/>
          <w:color w:val="auto"/>
        </w:rPr>
        <w:t>E-mail royaldutchshell.shareholders@shell.com or</w:t>
      </w:r>
    </w:p>
    <w:p>
      <w:pPr>
        <w:spacing w:after="0" w:line="236" w:lineRule="auto"/>
        <w:rPr>
          <w:sz w:val="20"/>
          <w:szCs w:val="20"/>
          <w:color w:val="auto"/>
        </w:rPr>
      </w:pPr>
      <w:r>
        <w:rPr>
          <w:rFonts w:ascii="Arial" w:cs="Arial" w:eastAsia="Arial" w:hAnsi="Arial"/>
          <w:sz w:val="14"/>
          <w:szCs w:val="14"/>
          <w:color w:val="auto"/>
        </w:rPr>
        <w:t>Shareholder Relations</w:t>
      </w:r>
    </w:p>
    <w:p>
      <w:pPr>
        <w:spacing w:after="0" w:line="218" w:lineRule="auto"/>
        <w:rPr>
          <w:sz w:val="20"/>
          <w:szCs w:val="20"/>
          <w:color w:val="auto"/>
        </w:rPr>
      </w:pPr>
      <w:r>
        <w:rPr>
          <w:rFonts w:ascii="Arial" w:cs="Arial" w:eastAsia="Arial" w:hAnsi="Arial"/>
          <w:sz w:val="14"/>
          <w:szCs w:val="14"/>
          <w:color w:val="auto"/>
        </w:rPr>
        <w:t>Royal Dutch Shell plc</w:t>
      </w:r>
    </w:p>
    <w:p>
      <w:pPr>
        <w:spacing w:after="0" w:line="219" w:lineRule="auto"/>
        <w:rPr>
          <w:sz w:val="20"/>
          <w:szCs w:val="20"/>
          <w:color w:val="auto"/>
        </w:rPr>
      </w:pPr>
      <w:r>
        <w:rPr>
          <w:rFonts w:ascii="Arial" w:cs="Arial" w:eastAsia="Arial" w:hAnsi="Arial"/>
          <w:sz w:val="14"/>
          <w:szCs w:val="14"/>
          <w:color w:val="auto"/>
        </w:rPr>
        <w:t>Shell Centre</w:t>
      </w:r>
    </w:p>
    <w:p>
      <w:pPr>
        <w:spacing w:after="0" w:line="218" w:lineRule="auto"/>
        <w:rPr>
          <w:sz w:val="20"/>
          <w:szCs w:val="20"/>
          <w:color w:val="auto"/>
        </w:rPr>
      </w:pPr>
      <w:r>
        <w:rPr>
          <w:rFonts w:ascii="Arial" w:cs="Arial" w:eastAsia="Arial" w:hAnsi="Arial"/>
          <w:sz w:val="14"/>
          <w:szCs w:val="14"/>
          <w:color w:val="auto"/>
        </w:rPr>
        <w:t>London SE1 7NA</w:t>
      </w:r>
    </w:p>
    <w:p>
      <w:pPr>
        <w:spacing w:after="0" w:line="219" w:lineRule="auto"/>
        <w:rPr>
          <w:sz w:val="20"/>
          <w:szCs w:val="20"/>
          <w:color w:val="auto"/>
        </w:rPr>
      </w:pPr>
      <w:r>
        <w:rPr>
          <w:rFonts w:ascii="Arial" w:cs="Arial" w:eastAsia="Arial" w:hAnsi="Arial"/>
          <w:sz w:val="14"/>
          <w:szCs w:val="14"/>
          <w:color w:val="auto"/>
        </w:rPr>
        <w:t>United Kingdom</w:t>
      </w:r>
    </w:p>
    <w:p>
      <w:pPr>
        <w:spacing w:after="0" w:line="218" w:lineRule="auto"/>
        <w:rPr>
          <w:sz w:val="20"/>
          <w:szCs w:val="20"/>
          <w:color w:val="auto"/>
        </w:rPr>
      </w:pPr>
      <w:r>
        <w:rPr>
          <w:rFonts w:ascii="Arial" w:cs="Arial" w:eastAsia="Arial" w:hAnsi="Arial"/>
          <w:sz w:val="14"/>
          <w:szCs w:val="14"/>
          <w:color w:val="auto"/>
        </w:rPr>
        <w:t>Tel +44 (0)20 7934 3363</w:t>
      </w:r>
    </w:p>
    <w:p>
      <w:pPr>
        <w:spacing w:after="0" w:line="219" w:lineRule="auto"/>
        <w:rPr>
          <w:sz w:val="20"/>
          <w:szCs w:val="20"/>
          <w:color w:val="auto"/>
        </w:rPr>
      </w:pPr>
      <w:r>
        <w:rPr>
          <w:rFonts w:ascii="Arial" w:cs="Arial" w:eastAsia="Arial" w:hAnsi="Arial"/>
          <w:sz w:val="14"/>
          <w:szCs w:val="14"/>
          <w:color w:val="auto"/>
        </w:rPr>
        <w:t>Fax +44 (0)20 7934 7515</w:t>
      </w:r>
    </w:p>
    <w:p>
      <w:pPr>
        <w:spacing w:after="0"/>
        <w:rPr>
          <w:sz w:val="20"/>
          <w:szCs w:val="20"/>
          <w:color w:val="auto"/>
        </w:rPr>
      </w:pPr>
      <w:r>
        <w:rPr>
          <w:rFonts w:ascii="Arial" w:cs="Arial" w:eastAsia="Arial" w:hAnsi="Arial"/>
          <w:sz w:val="12"/>
          <w:szCs w:val="12"/>
          <w:color w:val="auto"/>
        </w:rPr>
        <w:t>E-mail royaldutchshell.shareholders@shell.com</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For any other retail</w:t>
      </w:r>
    </w:p>
    <w:p>
      <w:pPr>
        <w:spacing w:after="0" w:line="218" w:lineRule="auto"/>
        <w:rPr>
          <w:sz w:val="20"/>
          <w:szCs w:val="20"/>
          <w:color w:val="auto"/>
        </w:rPr>
      </w:pPr>
      <w:r>
        <w:rPr>
          <w:rFonts w:ascii="Arial" w:cs="Arial" w:eastAsia="Arial" w:hAnsi="Arial"/>
          <w:sz w:val="14"/>
          <w:szCs w:val="14"/>
          <w:color w:val="auto"/>
        </w:rPr>
        <w:t>shareholder enquiries please</w:t>
      </w:r>
    </w:p>
    <w:p>
      <w:pPr>
        <w:spacing w:after="0"/>
        <w:rPr>
          <w:sz w:val="20"/>
          <w:szCs w:val="20"/>
          <w:color w:val="auto"/>
        </w:rPr>
      </w:pPr>
      <w:r>
        <w:rPr>
          <w:rFonts w:ascii="Arial" w:cs="Arial" w:eastAsia="Arial" w:hAnsi="Arial"/>
          <w:sz w:val="14"/>
          <w:szCs w:val="14"/>
          <w:color w:val="auto"/>
        </w:rPr>
        <w:t>write to:</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218" w:lineRule="auto"/>
        <w:rPr>
          <w:sz w:val="20"/>
          <w:szCs w:val="20"/>
          <w:color w:val="auto"/>
        </w:rPr>
      </w:pPr>
      <w:r>
        <w:rPr>
          <w:rFonts w:ascii="Arial" w:cs="Arial" w:eastAsia="Arial" w:hAnsi="Arial"/>
          <w:sz w:val="14"/>
          <w:szCs w:val="14"/>
          <w:color w:val="auto"/>
        </w:rPr>
        <w:t>Royal Dutch Shell plc</w:t>
      </w:r>
    </w:p>
    <w:p>
      <w:pPr>
        <w:spacing w:after="0" w:line="218" w:lineRule="auto"/>
        <w:rPr>
          <w:sz w:val="20"/>
          <w:szCs w:val="20"/>
          <w:color w:val="auto"/>
        </w:rPr>
      </w:pPr>
      <w:r>
        <w:rPr>
          <w:rFonts w:ascii="Arial" w:cs="Arial" w:eastAsia="Arial" w:hAnsi="Arial"/>
          <w:sz w:val="14"/>
          <w:szCs w:val="14"/>
          <w:color w:val="auto"/>
        </w:rPr>
        <w:t>Carel van Bylandtlaan 30</w:t>
      </w:r>
    </w:p>
    <w:p>
      <w:pPr>
        <w:spacing w:after="0" w:line="219" w:lineRule="auto"/>
        <w:rPr>
          <w:sz w:val="20"/>
          <w:szCs w:val="20"/>
          <w:color w:val="auto"/>
        </w:rPr>
      </w:pPr>
      <w:r>
        <w:rPr>
          <w:rFonts w:ascii="Arial" w:cs="Arial" w:eastAsia="Arial" w:hAnsi="Arial"/>
          <w:sz w:val="14"/>
          <w:szCs w:val="14"/>
          <w:color w:val="auto"/>
        </w:rPr>
        <w:t>2596 HR The Hague</w:t>
      </w:r>
    </w:p>
    <w:p>
      <w:pPr>
        <w:spacing w:after="0"/>
        <w:rPr>
          <w:sz w:val="20"/>
          <w:szCs w:val="20"/>
          <w:color w:val="auto"/>
        </w:rPr>
      </w:pPr>
      <w:r>
        <w:rPr>
          <w:rFonts w:ascii="Arial" w:cs="Arial" w:eastAsia="Arial" w:hAnsi="Arial"/>
          <w:sz w:val="14"/>
          <w:szCs w:val="14"/>
          <w:color w:val="auto"/>
        </w:rPr>
        <w:t>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2395220</wp:posOffset>
            </wp:positionV>
            <wp:extent cx="7252970" cy="209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F68932"/>
        </w:rPr>
        <w:t>INVESTOR RELATIONS</w:t>
      </w:r>
    </w:p>
    <w:p>
      <w:pPr>
        <w:spacing w:after="0" w:line="6" w:lineRule="exact"/>
        <w:rPr>
          <w:sz w:val="20"/>
          <w:szCs w:val="20"/>
          <w:color w:val="auto"/>
        </w:rPr>
      </w:pPr>
    </w:p>
    <w:p>
      <w:pPr>
        <w:ind w:right="600"/>
        <w:spacing w:after="0" w:line="265" w:lineRule="auto"/>
        <w:rPr>
          <w:sz w:val="20"/>
          <w:szCs w:val="20"/>
          <w:color w:val="auto"/>
        </w:rPr>
      </w:pPr>
      <w:r>
        <w:rPr>
          <w:rFonts w:ascii="Arial" w:cs="Arial" w:eastAsia="Arial" w:hAnsi="Arial"/>
          <w:sz w:val="13"/>
          <w:szCs w:val="13"/>
          <w:color w:val="auto"/>
        </w:rPr>
        <w:t xml:space="preserve">For investor relations information, visit </w:t>
      </w:r>
      <w:r>
        <w:rPr>
          <w:rFonts w:ascii="Arial" w:cs="Arial" w:eastAsia="Arial" w:hAnsi="Arial"/>
          <w:sz w:val="13"/>
          <w:szCs w:val="13"/>
          <w:b w:val="1"/>
          <w:bCs w:val="1"/>
          <w:color w:val="auto"/>
        </w:rPr>
        <w:t>www.shell.com/investor</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Enquiries from institutional</w:t>
      </w:r>
    </w:p>
    <w:p>
      <w:pPr>
        <w:spacing w:after="0" w:line="218" w:lineRule="auto"/>
        <w:rPr>
          <w:sz w:val="20"/>
          <w:szCs w:val="20"/>
          <w:color w:val="auto"/>
        </w:rPr>
      </w:pPr>
      <w:r>
        <w:rPr>
          <w:rFonts w:ascii="Arial" w:cs="Arial" w:eastAsia="Arial" w:hAnsi="Arial"/>
          <w:sz w:val="14"/>
          <w:szCs w:val="14"/>
          <w:color w:val="auto"/>
        </w:rPr>
        <w:t>shareholders may be directed</w:t>
      </w:r>
    </w:p>
    <w:p>
      <w:pPr>
        <w:spacing w:after="0"/>
        <w:rPr>
          <w:sz w:val="20"/>
          <w:szCs w:val="20"/>
          <w:color w:val="auto"/>
        </w:rPr>
      </w:pPr>
      <w:r>
        <w:rPr>
          <w:rFonts w:ascii="Arial" w:cs="Arial" w:eastAsia="Arial" w:hAnsi="Arial"/>
          <w:sz w:val="14"/>
          <w:szCs w:val="14"/>
          <w:color w:val="auto"/>
        </w:rPr>
        <w:t>to: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Investor Relations</w:t>
      </w:r>
    </w:p>
    <w:p>
      <w:pPr>
        <w:spacing w:after="0" w:line="218" w:lineRule="auto"/>
        <w:rPr>
          <w:sz w:val="20"/>
          <w:szCs w:val="20"/>
          <w:color w:val="auto"/>
        </w:rPr>
      </w:pPr>
      <w:r>
        <w:rPr>
          <w:rFonts w:ascii="Arial" w:cs="Arial" w:eastAsia="Arial" w:hAnsi="Arial"/>
          <w:sz w:val="14"/>
          <w:szCs w:val="14"/>
          <w:color w:val="auto"/>
        </w:rPr>
        <w:t>Royal Dutch Shell plc</w:t>
      </w:r>
    </w:p>
    <w:p>
      <w:pPr>
        <w:spacing w:after="0" w:line="218" w:lineRule="auto"/>
        <w:rPr>
          <w:sz w:val="20"/>
          <w:szCs w:val="20"/>
          <w:color w:val="auto"/>
        </w:rPr>
      </w:pPr>
      <w:r>
        <w:rPr>
          <w:rFonts w:ascii="Arial" w:cs="Arial" w:eastAsia="Arial" w:hAnsi="Arial"/>
          <w:sz w:val="14"/>
          <w:szCs w:val="14"/>
          <w:color w:val="auto"/>
        </w:rPr>
        <w:t>PO Box 162</w:t>
      </w:r>
    </w:p>
    <w:p>
      <w:pPr>
        <w:spacing w:after="0" w:line="219" w:lineRule="auto"/>
        <w:rPr>
          <w:sz w:val="20"/>
          <w:szCs w:val="20"/>
          <w:color w:val="auto"/>
        </w:rPr>
      </w:pPr>
      <w:r>
        <w:rPr>
          <w:rFonts w:ascii="Arial" w:cs="Arial" w:eastAsia="Arial" w:hAnsi="Arial"/>
          <w:sz w:val="14"/>
          <w:szCs w:val="14"/>
          <w:color w:val="auto"/>
        </w:rPr>
        <w:t>2501 AN The Hague</w:t>
      </w:r>
    </w:p>
    <w:p>
      <w:pPr>
        <w:spacing w:after="0" w:line="218" w:lineRule="auto"/>
        <w:rPr>
          <w:sz w:val="20"/>
          <w:szCs w:val="20"/>
          <w:color w:val="auto"/>
        </w:rPr>
      </w:pPr>
      <w:r>
        <w:rPr>
          <w:rFonts w:ascii="Arial" w:cs="Arial" w:eastAsia="Arial" w:hAnsi="Arial"/>
          <w:sz w:val="14"/>
          <w:szCs w:val="14"/>
          <w:color w:val="auto"/>
        </w:rPr>
        <w:t>The Netherlands</w:t>
      </w:r>
    </w:p>
    <w:p>
      <w:pPr>
        <w:spacing w:after="0" w:line="219" w:lineRule="auto"/>
        <w:rPr>
          <w:sz w:val="20"/>
          <w:szCs w:val="20"/>
          <w:color w:val="auto"/>
        </w:rPr>
      </w:pPr>
      <w:r>
        <w:rPr>
          <w:rFonts w:ascii="Arial" w:cs="Arial" w:eastAsia="Arial" w:hAnsi="Arial"/>
          <w:sz w:val="14"/>
          <w:szCs w:val="14"/>
          <w:color w:val="auto"/>
        </w:rPr>
        <w:t>Tel +31 (0)70 377 4540</w:t>
      </w:r>
    </w:p>
    <w:p>
      <w:pPr>
        <w:spacing w:after="0" w:line="218" w:lineRule="auto"/>
        <w:rPr>
          <w:sz w:val="20"/>
          <w:szCs w:val="20"/>
          <w:color w:val="auto"/>
        </w:rPr>
      </w:pPr>
      <w:r>
        <w:rPr>
          <w:rFonts w:ascii="Arial" w:cs="Arial" w:eastAsia="Arial" w:hAnsi="Arial"/>
          <w:sz w:val="14"/>
          <w:szCs w:val="14"/>
          <w:color w:val="auto"/>
        </w:rPr>
        <w:t>Fax +31 (0)70 377 3115</w:t>
      </w:r>
    </w:p>
    <w:p>
      <w:pPr>
        <w:spacing w:after="0"/>
        <w:rPr>
          <w:sz w:val="20"/>
          <w:szCs w:val="20"/>
          <w:color w:val="auto"/>
        </w:rPr>
      </w:pPr>
      <w:r>
        <w:rPr>
          <w:rFonts w:ascii="Arial" w:cs="Arial" w:eastAsia="Arial" w:hAnsi="Arial"/>
          <w:sz w:val="14"/>
          <w:szCs w:val="14"/>
          <w:color w:val="auto"/>
        </w:rPr>
        <w:t>E-mail ir-hague@shell.com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Investor Relations</w:t>
      </w:r>
    </w:p>
    <w:p>
      <w:pPr>
        <w:spacing w:after="0" w:line="218" w:lineRule="auto"/>
        <w:rPr>
          <w:sz w:val="20"/>
          <w:szCs w:val="20"/>
          <w:color w:val="auto"/>
        </w:rPr>
      </w:pPr>
      <w:r>
        <w:rPr>
          <w:rFonts w:ascii="Arial" w:cs="Arial" w:eastAsia="Arial" w:hAnsi="Arial"/>
          <w:sz w:val="14"/>
          <w:szCs w:val="14"/>
          <w:color w:val="auto"/>
        </w:rPr>
        <w:t>Royal Dutch Shell plc</w:t>
      </w:r>
    </w:p>
    <w:p>
      <w:pPr>
        <w:spacing w:after="0" w:line="218" w:lineRule="auto"/>
        <w:rPr>
          <w:sz w:val="20"/>
          <w:szCs w:val="20"/>
          <w:color w:val="auto"/>
        </w:rPr>
      </w:pPr>
      <w:r>
        <w:rPr>
          <w:rFonts w:ascii="Arial" w:cs="Arial" w:eastAsia="Arial" w:hAnsi="Arial"/>
          <w:sz w:val="14"/>
          <w:szCs w:val="14"/>
          <w:color w:val="auto"/>
        </w:rPr>
        <w:t>Tel +44 (0)20 7934 3856</w:t>
      </w:r>
    </w:p>
    <w:p>
      <w:pPr>
        <w:spacing w:after="0" w:line="219" w:lineRule="auto"/>
        <w:rPr>
          <w:sz w:val="20"/>
          <w:szCs w:val="20"/>
          <w:color w:val="auto"/>
        </w:rPr>
      </w:pPr>
      <w:r>
        <w:rPr>
          <w:rFonts w:ascii="Arial" w:cs="Arial" w:eastAsia="Arial" w:hAnsi="Arial"/>
          <w:sz w:val="14"/>
          <w:szCs w:val="14"/>
          <w:color w:val="auto"/>
        </w:rPr>
        <w:t>Fax +44 (0)20 7934 3702</w:t>
      </w:r>
    </w:p>
    <w:p>
      <w:pPr>
        <w:spacing w:after="0"/>
        <w:rPr>
          <w:sz w:val="20"/>
          <w:szCs w:val="20"/>
          <w:color w:val="auto"/>
        </w:rPr>
      </w:pPr>
      <w:r>
        <w:rPr>
          <w:rFonts w:ascii="Arial" w:cs="Arial" w:eastAsia="Arial" w:hAnsi="Arial"/>
          <w:sz w:val="14"/>
          <w:szCs w:val="14"/>
          <w:color w:val="auto"/>
        </w:rPr>
        <w:t>E-mail ir-london@shell.com</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or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Investor Relations</w:t>
      </w:r>
    </w:p>
    <w:p>
      <w:pPr>
        <w:spacing w:after="0" w:line="218" w:lineRule="auto"/>
        <w:rPr>
          <w:sz w:val="20"/>
          <w:szCs w:val="20"/>
          <w:color w:val="auto"/>
        </w:rPr>
      </w:pPr>
      <w:r>
        <w:rPr>
          <w:rFonts w:ascii="Arial" w:cs="Arial" w:eastAsia="Arial" w:hAnsi="Arial"/>
          <w:sz w:val="14"/>
          <w:szCs w:val="14"/>
          <w:color w:val="auto"/>
        </w:rPr>
        <w:t>Shell Oil Company</w:t>
      </w:r>
    </w:p>
    <w:p>
      <w:pPr>
        <w:spacing w:after="0" w:line="218" w:lineRule="auto"/>
        <w:rPr>
          <w:sz w:val="20"/>
          <w:szCs w:val="20"/>
          <w:color w:val="auto"/>
        </w:rPr>
      </w:pPr>
      <w:r>
        <w:rPr>
          <w:rFonts w:ascii="Arial" w:cs="Arial" w:eastAsia="Arial" w:hAnsi="Arial"/>
          <w:sz w:val="14"/>
          <w:szCs w:val="14"/>
          <w:color w:val="auto"/>
        </w:rPr>
        <w:t>630 Fifth Avenue Suite 3166</w:t>
      </w:r>
    </w:p>
    <w:p>
      <w:pPr>
        <w:spacing w:after="0" w:line="219" w:lineRule="auto"/>
        <w:rPr>
          <w:sz w:val="20"/>
          <w:szCs w:val="20"/>
          <w:color w:val="auto"/>
        </w:rPr>
      </w:pPr>
      <w:r>
        <w:rPr>
          <w:rFonts w:ascii="Arial" w:cs="Arial" w:eastAsia="Arial" w:hAnsi="Arial"/>
          <w:sz w:val="14"/>
          <w:szCs w:val="14"/>
          <w:color w:val="auto"/>
        </w:rPr>
        <w:t>New York, NY 10111</w:t>
      </w:r>
    </w:p>
    <w:p>
      <w:pPr>
        <w:spacing w:after="0" w:line="218" w:lineRule="auto"/>
        <w:rPr>
          <w:sz w:val="20"/>
          <w:szCs w:val="20"/>
          <w:color w:val="auto"/>
        </w:rPr>
      </w:pPr>
      <w:r>
        <w:rPr>
          <w:rFonts w:ascii="Arial" w:cs="Arial" w:eastAsia="Arial" w:hAnsi="Arial"/>
          <w:sz w:val="14"/>
          <w:szCs w:val="14"/>
          <w:color w:val="auto"/>
        </w:rPr>
        <w:t>USA</w:t>
      </w:r>
    </w:p>
    <w:p>
      <w:pPr>
        <w:spacing w:after="0" w:line="219" w:lineRule="auto"/>
        <w:rPr>
          <w:sz w:val="20"/>
          <w:szCs w:val="20"/>
          <w:color w:val="auto"/>
        </w:rPr>
      </w:pPr>
      <w:r>
        <w:rPr>
          <w:rFonts w:ascii="Arial" w:cs="Arial" w:eastAsia="Arial" w:hAnsi="Arial"/>
          <w:sz w:val="14"/>
          <w:szCs w:val="14"/>
          <w:color w:val="auto"/>
        </w:rPr>
        <w:t>Tel +1 212 218 3113</w:t>
      </w:r>
    </w:p>
    <w:p>
      <w:pPr>
        <w:spacing w:after="0" w:line="218" w:lineRule="auto"/>
        <w:rPr>
          <w:sz w:val="20"/>
          <w:szCs w:val="20"/>
          <w:color w:val="auto"/>
        </w:rPr>
      </w:pPr>
      <w:r>
        <w:rPr>
          <w:rFonts w:ascii="Arial" w:cs="Arial" w:eastAsia="Arial" w:hAnsi="Arial"/>
          <w:sz w:val="14"/>
          <w:szCs w:val="14"/>
          <w:color w:val="auto"/>
        </w:rPr>
        <w:t>Fax +1 212 218 3114</w:t>
      </w:r>
    </w:p>
    <w:p>
      <w:pPr>
        <w:spacing w:after="0"/>
        <w:rPr>
          <w:sz w:val="20"/>
          <w:szCs w:val="20"/>
          <w:color w:val="auto"/>
        </w:rPr>
      </w:pPr>
      <w:r>
        <w:rPr>
          <w:rFonts w:ascii="Arial" w:cs="Arial" w:eastAsia="Arial" w:hAnsi="Arial"/>
          <w:sz w:val="14"/>
          <w:szCs w:val="14"/>
          <w:color w:val="auto"/>
        </w:rPr>
        <w:t>E-mail ir-newyork@shell.com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Designed by Flag</w:t>
      </w:r>
    </w:p>
    <w:p>
      <w:pPr>
        <w:spacing w:after="0" w:line="218" w:lineRule="auto"/>
        <w:rPr>
          <w:sz w:val="20"/>
          <w:szCs w:val="20"/>
          <w:color w:val="auto"/>
        </w:rPr>
      </w:pPr>
      <w:r>
        <w:rPr>
          <w:rFonts w:ascii="Arial" w:cs="Arial" w:eastAsia="Arial" w:hAnsi="Arial"/>
          <w:sz w:val="14"/>
          <w:szCs w:val="14"/>
          <w:color w:val="auto"/>
        </w:rPr>
        <w:t>Cover illustration by Tim Bradford</w:t>
      </w:r>
    </w:p>
    <w:p>
      <w:pPr>
        <w:spacing w:after="0" w:line="265" w:lineRule="auto"/>
        <w:rPr>
          <w:sz w:val="20"/>
          <w:szCs w:val="20"/>
          <w:color w:val="auto"/>
        </w:rPr>
      </w:pPr>
      <w:r>
        <w:rPr>
          <w:rFonts w:ascii="Arial" w:cs="Arial" w:eastAsia="Arial" w:hAnsi="Arial"/>
          <w:sz w:val="13"/>
          <w:szCs w:val="13"/>
          <w:color w:val="auto"/>
        </w:rPr>
        <w:t>Board photography by Jaap van den Beukel Printed by Taylor Bloxham under ISO 14001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116205</wp:posOffset>
            </wp:positionV>
            <wp:extent cx="1217930" cy="5664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17930" cy="566420"/>
                    </a:xfrm>
                    <a:prstGeom prst="rect">
                      <a:avLst/>
                    </a:prstGeom>
                    <a:noFill/>
                  </pic:spPr>
                </pic:pic>
              </a:graphicData>
            </a:graphic>
          </wp:anchor>
        </w:drawing>
      </w:r>
    </w:p>
    <w:p>
      <w:pPr>
        <w:sectPr>
          <w:pgSz w:w="11900" w:h="16838" w:orient="portrait"/>
          <w:cols w:equalWidth="0" w:num="3">
            <w:col w:w="3460" w:space="420"/>
            <w:col w:w="3160" w:space="720"/>
            <w:col w:w="2560"/>
          </w:cols>
          <w:pgMar w:left="240" w:top="415" w:right="1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0" w:lineRule="exact"/>
        <w:rPr>
          <w:sz w:val="20"/>
          <w:szCs w:val="20"/>
          <w:color w:val="auto"/>
        </w:rPr>
      </w:pPr>
    </w:p>
    <w:p>
      <w:pPr>
        <w:spacing w:after="0"/>
        <w:rPr>
          <w:sz w:val="20"/>
          <w:szCs w:val="20"/>
          <w:color w:val="auto"/>
        </w:rPr>
      </w:pPr>
      <w:r>
        <w:rPr>
          <w:rFonts w:ascii="Arial" w:cs="Arial" w:eastAsia="Arial" w:hAnsi="Arial"/>
          <w:sz w:val="31"/>
          <w:szCs w:val="31"/>
          <w:color w:val="auto"/>
        </w:rPr>
        <w:t>Shell annual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391160</wp:posOffset>
            </wp:positionV>
            <wp:extent cx="7011670" cy="185229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011670" cy="1852295"/>
                    </a:xfrm>
                    <a:prstGeom prst="rect">
                      <a:avLst/>
                    </a:prstGeom>
                    <a:noFill/>
                  </pic:spPr>
                </pic:pic>
              </a:graphicData>
            </a:graphic>
          </wp:anchor>
        </w:drawing>
      </w:r>
    </w:p>
    <w:p>
      <w:pPr>
        <w:sectPr>
          <w:pgSz w:w="11900" w:h="16838" w:orient="portrait"/>
          <w:cols w:equalWidth="0" w:num="1">
            <w:col w:w="10900"/>
          </w:cols>
          <w:pgMar w:left="240" w:top="41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Review and Summary</w:t>
      </w:r>
    </w:p>
    <w:p>
      <w:pPr>
        <w:spacing w:after="0" w:line="220" w:lineRule="auto"/>
        <w:rPr>
          <w:sz w:val="20"/>
          <w:szCs w:val="20"/>
          <w:color w:val="auto"/>
        </w:rPr>
      </w:pPr>
      <w:r>
        <w:rPr>
          <w:rFonts w:ascii="Arial" w:cs="Arial" w:eastAsia="Arial" w:hAnsi="Arial"/>
          <w:sz w:val="14"/>
          <w:szCs w:val="14"/>
          <w:b w:val="1"/>
          <w:bCs w:val="1"/>
          <w:color w:val="auto"/>
        </w:rPr>
        <w:t>Financial Statements 2007</w:t>
      </w:r>
    </w:p>
    <w:p>
      <w:pPr>
        <w:spacing w:after="0"/>
        <w:rPr>
          <w:sz w:val="20"/>
          <w:szCs w:val="20"/>
          <w:color w:val="auto"/>
        </w:rPr>
      </w:pPr>
      <w:r>
        <w:rPr>
          <w:rFonts w:ascii="Arial" w:cs="Arial" w:eastAsia="Arial" w:hAnsi="Arial"/>
          <w:sz w:val="14"/>
          <w:szCs w:val="14"/>
          <w:color w:val="auto"/>
        </w:rPr>
        <w:t>A summarised overview of Shell.</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www.shell.com/annualreport</w:t>
      </w:r>
    </w:p>
    <w:p>
      <w:pPr>
        <w:spacing w:after="0" w:line="200" w:lineRule="exact"/>
        <w:rPr>
          <w:sz w:val="20"/>
          <w:szCs w:val="20"/>
          <w:color w:val="auto"/>
        </w:rPr>
      </w:pPr>
    </w:p>
    <w:p>
      <w:pPr>
        <w:spacing w:after="0" w:line="265" w:lineRule="exact"/>
        <w:rPr>
          <w:sz w:val="20"/>
          <w:szCs w:val="20"/>
          <w:color w:val="auto"/>
        </w:rPr>
      </w:pPr>
    </w:p>
    <w:p>
      <w:pPr>
        <w:ind w:right="1020"/>
        <w:spacing w:after="0" w:line="263" w:lineRule="auto"/>
        <w:rPr>
          <w:sz w:val="20"/>
          <w:szCs w:val="20"/>
          <w:color w:val="auto"/>
        </w:rPr>
      </w:pPr>
      <w:r>
        <w:rPr>
          <w:rFonts w:ascii="Arial" w:cs="Arial" w:eastAsia="Arial" w:hAnsi="Arial"/>
          <w:sz w:val="13"/>
          <w:szCs w:val="13"/>
          <w:b w:val="1"/>
          <w:bCs w:val="1"/>
          <w:color w:val="auto"/>
        </w:rPr>
        <w:t xml:space="preserve">Jaaroverzicht en verkorte jaarrekening 2007 </w:t>
      </w:r>
      <w:r>
        <w:rPr>
          <w:rFonts w:ascii="Arial" w:cs="Arial" w:eastAsia="Arial" w:hAnsi="Arial"/>
          <w:sz w:val="13"/>
          <w:szCs w:val="13"/>
          <w:color w:val="auto"/>
        </w:rPr>
        <w:t>Dutch language version.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www.shell.com/annualreport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PUBLICATIONS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Technology Report</w:t>
      </w:r>
    </w:p>
    <w:p>
      <w:pPr>
        <w:spacing w:after="0" w:line="2" w:lineRule="exact"/>
        <w:rPr>
          <w:sz w:val="20"/>
          <w:szCs w:val="20"/>
          <w:color w:val="auto"/>
        </w:rPr>
      </w:pPr>
    </w:p>
    <w:p>
      <w:pPr>
        <w:ind w:right="160"/>
        <w:spacing w:after="0" w:line="446" w:lineRule="auto"/>
        <w:rPr>
          <w:sz w:val="20"/>
          <w:szCs w:val="20"/>
          <w:color w:val="auto"/>
        </w:rPr>
      </w:pPr>
      <w:r>
        <w:rPr>
          <w:rFonts w:ascii="Arial" w:cs="Arial" w:eastAsia="Arial" w:hAnsi="Arial"/>
          <w:sz w:val="13"/>
          <w:szCs w:val="13"/>
          <w:color w:val="auto"/>
        </w:rPr>
        <w:t xml:space="preserve">An overview of 27 advanced technologies. </w:t>
      </w:r>
      <w:r>
        <w:rPr>
          <w:rFonts w:ascii="Arial" w:cs="Arial" w:eastAsia="Arial" w:hAnsi="Arial"/>
          <w:sz w:val="13"/>
          <w:szCs w:val="13"/>
          <w:b w:val="1"/>
          <w:bCs w:val="1"/>
          <w:color w:val="auto"/>
        </w:rPr>
        <w:t>www.shell.com/technology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b w:val="1"/>
          <w:bCs w:val="1"/>
          <w:color w:val="auto"/>
        </w:rPr>
        <w:t xml:space="preserve">Shell General Business Principles </w:t>
      </w:r>
      <w:r>
        <w:rPr>
          <w:rFonts w:ascii="Arial" w:cs="Arial" w:eastAsia="Arial" w:hAnsi="Arial"/>
          <w:sz w:val="14"/>
          <w:szCs w:val="14"/>
          <w:color w:val="auto"/>
        </w:rPr>
        <w:t>Fundamental principles that govern how each Shell company conducts its affairs.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www.shell.com/sgbp</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Code of Conduct</w:t>
      </w:r>
    </w:p>
    <w:p>
      <w:pPr>
        <w:spacing w:after="0" w:line="2"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Provides standards of behaviour expected from employees.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www.shell.com/codeofconduct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FROM</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color w:val="auto"/>
        </w:rPr>
        <w:t>Royal Dutch Shell plc</w:t>
      </w:r>
    </w:p>
    <w:p>
      <w:pPr>
        <w:spacing w:after="0" w:line="218" w:lineRule="auto"/>
        <w:rPr>
          <w:sz w:val="20"/>
          <w:szCs w:val="20"/>
          <w:color w:val="auto"/>
        </w:rPr>
      </w:pPr>
      <w:r>
        <w:rPr>
          <w:rFonts w:ascii="Arial" w:cs="Arial" w:eastAsia="Arial" w:hAnsi="Arial"/>
          <w:sz w:val="14"/>
          <w:szCs w:val="14"/>
          <w:color w:val="auto"/>
        </w:rPr>
        <w:t>c/o Bankside</w:t>
      </w:r>
    </w:p>
    <w:p>
      <w:pPr>
        <w:ind w:right="720"/>
        <w:spacing w:after="0" w:line="265" w:lineRule="auto"/>
        <w:rPr>
          <w:sz w:val="20"/>
          <w:szCs w:val="20"/>
          <w:color w:val="auto"/>
        </w:rPr>
      </w:pPr>
      <w:r>
        <w:rPr>
          <w:rFonts w:ascii="Arial" w:cs="Arial" w:eastAsia="Arial" w:hAnsi="Arial"/>
          <w:sz w:val="13"/>
          <w:szCs w:val="13"/>
          <w:color w:val="auto"/>
        </w:rPr>
        <w:t>Tel +44 (0)1635 232 700 E-mail bbs@shellbankside.co.uk</w:t>
      </w:r>
    </w:p>
    <w:p>
      <w:pPr>
        <w:spacing w:after="0" w:line="84" w:lineRule="exact"/>
        <w:rPr>
          <w:sz w:val="20"/>
          <w:szCs w:val="20"/>
          <w:color w:val="auto"/>
        </w:rPr>
      </w:pPr>
    </w:p>
    <w:p>
      <w:pPr>
        <w:ind w:right="640"/>
        <w:spacing w:after="0" w:line="328" w:lineRule="auto"/>
        <w:rPr>
          <w:sz w:val="20"/>
          <w:szCs w:val="20"/>
          <w:color w:val="auto"/>
        </w:rPr>
      </w:pPr>
      <w:r>
        <w:rPr>
          <w:rFonts w:ascii="Arial" w:cs="Arial" w:eastAsia="Arial" w:hAnsi="Arial"/>
          <w:sz w:val="12"/>
          <w:szCs w:val="12"/>
          <w:color w:val="auto"/>
        </w:rPr>
        <w:t>Annual Report/20-F Service for US residents – Tel (888) 400 7789</w:t>
      </w:r>
    </w:p>
    <w:p>
      <w:pPr>
        <w:spacing w:after="0" w:line="36" w:lineRule="exact"/>
        <w:rPr>
          <w:sz w:val="20"/>
          <w:szCs w:val="20"/>
          <w:color w:val="auto"/>
        </w:rPr>
      </w:pPr>
    </w:p>
    <w:p>
      <w:pPr>
        <w:ind w:right="760"/>
        <w:spacing w:after="0" w:line="247" w:lineRule="auto"/>
        <w:rPr>
          <w:sz w:val="20"/>
          <w:szCs w:val="20"/>
          <w:color w:val="auto"/>
        </w:rPr>
      </w:pPr>
      <w:r>
        <w:rPr>
          <w:rFonts w:ascii="Arial" w:cs="Arial" w:eastAsia="Arial" w:hAnsi="Arial"/>
          <w:sz w:val="14"/>
          <w:szCs w:val="14"/>
          <w:color w:val="auto"/>
        </w:rPr>
        <w:t xml:space="preserve">More information is available at </w:t>
      </w:r>
      <w:r>
        <w:rPr>
          <w:rFonts w:ascii="Arial" w:cs="Arial" w:eastAsia="Arial" w:hAnsi="Arial"/>
          <w:sz w:val="14"/>
          <w:szCs w:val="14"/>
          <w:b w:val="1"/>
          <w:bCs w:val="1"/>
          <w:color w:val="auto"/>
        </w:rPr>
        <w:t>www.shell.com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190500</wp:posOffset>
            </wp:positionV>
            <wp:extent cx="608965" cy="54102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08965" cy="541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60"/>
        <w:spacing w:after="0" w:line="295" w:lineRule="auto"/>
        <w:rPr>
          <w:sz w:val="20"/>
          <w:szCs w:val="20"/>
          <w:color w:val="auto"/>
        </w:rPr>
      </w:pPr>
      <w:r>
        <w:rPr>
          <w:rFonts w:ascii="Arial" w:cs="Arial" w:eastAsia="Arial" w:hAnsi="Arial"/>
          <w:sz w:val="12"/>
          <w:szCs w:val="12"/>
          <w:b w:val="1"/>
          <w:bCs w:val="1"/>
          <w:color w:val="auto"/>
        </w:rPr>
        <w:t xml:space="preserve">Annual Report and Form 20-F for the year ended December 31, 2007 </w:t>
      </w:r>
      <w:r>
        <w:rPr>
          <w:rFonts w:ascii="Arial" w:cs="Arial" w:eastAsia="Arial" w:hAnsi="Arial"/>
          <w:sz w:val="12"/>
          <w:szCs w:val="12"/>
          <w:color w:val="auto"/>
        </w:rPr>
        <w:t>A comprehensive overview of Shell.</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www.shell.com/annualreport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and Operational</w:t>
      </w:r>
    </w:p>
    <w:p>
      <w:pPr>
        <w:spacing w:after="0" w:line="220" w:lineRule="auto"/>
        <w:rPr>
          <w:sz w:val="20"/>
          <w:szCs w:val="20"/>
          <w:color w:val="auto"/>
        </w:rPr>
      </w:pPr>
      <w:r>
        <w:rPr>
          <w:rFonts w:ascii="Arial" w:cs="Arial" w:eastAsia="Arial" w:hAnsi="Arial"/>
          <w:sz w:val="14"/>
          <w:szCs w:val="14"/>
          <w:b w:val="1"/>
          <w:bCs w:val="1"/>
          <w:color w:val="auto"/>
        </w:rPr>
        <w:t>Information 2003-2007</w:t>
      </w:r>
    </w:p>
    <w:p>
      <w:pPr>
        <w:spacing w:after="0" w:line="219" w:lineRule="auto"/>
        <w:rPr>
          <w:sz w:val="20"/>
          <w:szCs w:val="20"/>
          <w:color w:val="auto"/>
        </w:rPr>
      </w:pPr>
      <w:r>
        <w:rPr>
          <w:rFonts w:ascii="Arial" w:cs="Arial" w:eastAsia="Arial" w:hAnsi="Arial"/>
          <w:sz w:val="14"/>
          <w:szCs w:val="14"/>
          <w:b w:val="1"/>
          <w:bCs w:val="1"/>
          <w:color w:val="auto"/>
        </w:rPr>
        <w:t>(available May 2008)</w:t>
      </w:r>
    </w:p>
    <w:p>
      <w:pPr>
        <w:spacing w:after="0" w:line="229" w:lineRule="auto"/>
        <w:rPr>
          <w:sz w:val="20"/>
          <w:szCs w:val="20"/>
          <w:color w:val="auto"/>
        </w:rPr>
      </w:pPr>
      <w:r>
        <w:rPr>
          <w:rFonts w:ascii="Arial" w:cs="Arial" w:eastAsia="Arial" w:hAnsi="Arial"/>
          <w:sz w:val="14"/>
          <w:szCs w:val="14"/>
          <w:color w:val="auto"/>
        </w:rPr>
        <w:t>Five years’ financial and operational information, including maps of exploration and production activities.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www.shell.com/faoi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160"/>
        <w:spacing w:after="0" w:line="230" w:lineRule="auto"/>
        <w:rPr>
          <w:sz w:val="20"/>
          <w:szCs w:val="20"/>
          <w:color w:val="auto"/>
        </w:rPr>
      </w:pPr>
      <w:r>
        <w:rPr>
          <w:rFonts w:ascii="Arial" w:cs="Arial" w:eastAsia="Arial" w:hAnsi="Arial"/>
          <w:sz w:val="14"/>
          <w:szCs w:val="14"/>
          <w:b w:val="1"/>
          <w:bCs w:val="1"/>
          <w:color w:val="auto"/>
        </w:rPr>
        <w:t>Shell Sustainability Report 2007 (available May 2008)</w:t>
      </w:r>
    </w:p>
    <w:p>
      <w:pPr>
        <w:spacing w:after="0" w:line="265" w:lineRule="auto"/>
        <w:rPr>
          <w:sz w:val="20"/>
          <w:szCs w:val="20"/>
          <w:color w:val="auto"/>
        </w:rPr>
      </w:pPr>
      <w:r>
        <w:rPr>
          <w:rFonts w:ascii="Arial" w:cs="Arial" w:eastAsia="Arial" w:hAnsi="Arial"/>
          <w:sz w:val="13"/>
          <w:szCs w:val="13"/>
          <w:color w:val="auto"/>
        </w:rPr>
        <w:t>Report on progress in contributing to sustainable development.</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www.shell.com/responsibleenergy</w:t>
      </w:r>
    </w:p>
    <w:p>
      <w:pPr>
        <w:sectPr>
          <w:pgSz w:w="11900" w:h="16838" w:orient="portrait"/>
          <w:cols w:equalWidth="0" w:num="4">
            <w:col w:w="2600" w:space="260"/>
            <w:col w:w="2140" w:space="720"/>
            <w:col w:w="2440" w:space="640"/>
            <w:col w:w="2100"/>
          </w:cols>
          <w:pgMar w:left="240" w:top="415" w:right="75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2"/>
          <w:szCs w:val="12"/>
          <w:color w:val="auto"/>
        </w:rPr>
        <w:t>EXHIBITS</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7.1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20" w:type="dxa"/>
            <w:vAlign w:val="bottom"/>
            <w:shd w:val="clear" w:color="auto" w:fill="711470"/>
          </w:tcPr>
          <w:p>
            <w:pPr>
              <w:ind w:left="40"/>
              <w:spacing w:after="0"/>
              <w:rPr>
                <w:sz w:val="20"/>
                <w:szCs w:val="20"/>
                <w:color w:val="auto"/>
              </w:rPr>
            </w:pPr>
            <w:r>
              <w:rPr>
                <w:rFonts w:ascii="Arial" w:cs="Arial" w:eastAsia="Arial" w:hAnsi="Arial"/>
                <w:sz w:val="12"/>
                <w:szCs w:val="12"/>
                <w:b w:val="1"/>
                <w:bCs w:val="1"/>
                <w:color w:val="FFFFFF"/>
              </w:rPr>
              <w:t>Calculation of Ratio of Earnings to Fixed Charges</w:t>
            </w:r>
          </w:p>
        </w:tc>
        <w:tc>
          <w:tcPr>
            <w:tcW w:w="820" w:type="dxa"/>
            <w:vAlign w:val="bottom"/>
            <w:shd w:val="clear" w:color="auto" w:fill="711470"/>
          </w:tcPr>
          <w:p>
            <w:pPr>
              <w:spacing w:after="0"/>
              <w:rPr>
                <w:sz w:val="12"/>
                <w:szCs w:val="12"/>
                <w:color w:val="auto"/>
              </w:rPr>
            </w:pPr>
          </w:p>
        </w:tc>
        <w:tc>
          <w:tcPr>
            <w:tcW w:w="1760" w:type="dxa"/>
            <w:vAlign w:val="bottom"/>
            <w:shd w:val="clear" w:color="auto" w:fill="711470"/>
          </w:tcPr>
          <w:p>
            <w:pPr>
              <w:spacing w:after="0"/>
              <w:rPr>
                <w:sz w:val="12"/>
                <w:szCs w:val="12"/>
                <w:color w:val="auto"/>
              </w:rPr>
            </w:pPr>
          </w:p>
        </w:tc>
        <w:tc>
          <w:tcPr>
            <w:tcW w:w="1360" w:type="dxa"/>
            <w:vAlign w:val="bottom"/>
            <w:shd w:val="clear" w:color="auto" w:fill="711470"/>
          </w:tcPr>
          <w:p>
            <w:pPr>
              <w:spacing w:after="0"/>
              <w:rPr>
                <w:sz w:val="12"/>
                <w:szCs w:val="12"/>
                <w:color w:val="auto"/>
              </w:rPr>
            </w:pPr>
          </w:p>
        </w:tc>
        <w:tc>
          <w:tcPr>
            <w:tcW w:w="960" w:type="dxa"/>
            <w:vAlign w:val="bottom"/>
            <w:shd w:val="clear" w:color="auto" w:fill="711470"/>
          </w:tcPr>
          <w:p>
            <w:pPr>
              <w:spacing w:after="0"/>
              <w:rPr>
                <w:sz w:val="12"/>
                <w:szCs w:val="12"/>
                <w:color w:val="auto"/>
              </w:rPr>
            </w:pPr>
          </w:p>
        </w:tc>
      </w:tr>
      <w:tr>
        <w:trPr>
          <w:trHeight w:val="133"/>
        </w:trPr>
        <w:tc>
          <w:tcPr>
            <w:tcW w:w="6520" w:type="dxa"/>
            <w:vAlign w:val="bottom"/>
            <w:shd w:val="clear" w:color="auto" w:fill="CECAC6"/>
          </w:tcPr>
          <w:p>
            <w:pPr>
              <w:spacing w:after="0"/>
              <w:rPr>
                <w:sz w:val="11"/>
                <w:szCs w:val="11"/>
                <w:color w:val="auto"/>
              </w:rPr>
            </w:pPr>
          </w:p>
        </w:tc>
        <w:tc>
          <w:tcPr>
            <w:tcW w:w="820" w:type="dxa"/>
            <w:vAlign w:val="bottom"/>
            <w:shd w:val="clear" w:color="auto" w:fill="CECAC6"/>
          </w:tcPr>
          <w:p>
            <w:pPr>
              <w:jc w:val="right"/>
              <w:ind w:right="58"/>
              <w:spacing w:after="0" w:line="133" w:lineRule="exact"/>
              <w:rPr>
                <w:sz w:val="20"/>
                <w:szCs w:val="20"/>
                <w:color w:val="auto"/>
              </w:rPr>
            </w:pPr>
            <w:r>
              <w:rPr>
                <w:rFonts w:ascii="Arial" w:cs="Arial" w:eastAsia="Arial" w:hAnsi="Arial"/>
                <w:sz w:val="12"/>
                <w:szCs w:val="12"/>
                <w:color w:val="auto"/>
              </w:rPr>
              <w:t>2007</w:t>
            </w:r>
          </w:p>
        </w:tc>
        <w:tc>
          <w:tcPr>
            <w:tcW w:w="1760" w:type="dxa"/>
            <w:vAlign w:val="bottom"/>
            <w:shd w:val="clear" w:color="auto" w:fill="CECAC6"/>
          </w:tcPr>
          <w:p>
            <w:pPr>
              <w:jc w:val="right"/>
              <w:ind w:right="438"/>
              <w:spacing w:after="0" w:line="133" w:lineRule="exact"/>
              <w:rPr>
                <w:sz w:val="20"/>
                <w:szCs w:val="20"/>
                <w:color w:val="auto"/>
              </w:rPr>
            </w:pPr>
            <w:r>
              <w:rPr>
                <w:rFonts w:ascii="Arial" w:cs="Arial" w:eastAsia="Arial" w:hAnsi="Arial"/>
                <w:sz w:val="12"/>
                <w:szCs w:val="12"/>
                <w:color w:val="auto"/>
              </w:rPr>
              <w:t>2006</w:t>
            </w:r>
          </w:p>
        </w:tc>
        <w:tc>
          <w:tcPr>
            <w:tcW w:w="1360" w:type="dxa"/>
            <w:vAlign w:val="bottom"/>
            <w:shd w:val="clear" w:color="auto" w:fill="CECAC6"/>
          </w:tcPr>
          <w:p>
            <w:pPr>
              <w:jc w:val="right"/>
              <w:ind w:right="418"/>
              <w:spacing w:after="0" w:line="133" w:lineRule="exact"/>
              <w:rPr>
                <w:sz w:val="20"/>
                <w:szCs w:val="20"/>
                <w:color w:val="auto"/>
              </w:rPr>
            </w:pPr>
            <w:r>
              <w:rPr>
                <w:rFonts w:ascii="Arial" w:cs="Arial" w:eastAsia="Arial" w:hAnsi="Arial"/>
                <w:sz w:val="12"/>
                <w:szCs w:val="12"/>
                <w:color w:val="auto"/>
              </w:rPr>
              <w:t>2005</w:t>
            </w:r>
          </w:p>
        </w:tc>
        <w:tc>
          <w:tcPr>
            <w:tcW w:w="960" w:type="dxa"/>
            <w:vAlign w:val="bottom"/>
            <w:shd w:val="clear" w:color="auto" w:fill="CECAC6"/>
          </w:tcPr>
          <w:p>
            <w:pPr>
              <w:jc w:val="right"/>
              <w:ind w:right="38"/>
              <w:spacing w:after="0" w:line="133" w:lineRule="exact"/>
              <w:rPr>
                <w:sz w:val="20"/>
                <w:szCs w:val="20"/>
                <w:color w:val="auto"/>
              </w:rPr>
            </w:pPr>
            <w:r>
              <w:rPr>
                <w:rFonts w:ascii="Arial" w:cs="Arial" w:eastAsia="Arial" w:hAnsi="Arial"/>
                <w:sz w:val="12"/>
                <w:szCs w:val="12"/>
                <w:color w:val="auto"/>
              </w:rPr>
              <w:t>2004</w:t>
            </w:r>
          </w:p>
        </w:tc>
      </w:tr>
      <w:tr>
        <w:trPr>
          <w:trHeight w:val="260"/>
        </w:trPr>
        <w:tc>
          <w:tcPr>
            <w:tcW w:w="6520" w:type="dxa"/>
            <w:vAlign w:val="bottom"/>
          </w:tcPr>
          <w:p>
            <w:pPr>
              <w:spacing w:after="0"/>
              <w:rPr>
                <w:sz w:val="20"/>
                <w:szCs w:val="20"/>
                <w:color w:val="auto"/>
              </w:rPr>
            </w:pPr>
            <w:r>
              <w:rPr>
                <w:rFonts w:ascii="Arial" w:cs="Arial" w:eastAsia="Arial" w:hAnsi="Arial"/>
                <w:sz w:val="12"/>
                <w:szCs w:val="12"/>
                <w:color w:val="auto"/>
              </w:rPr>
              <w:t>Pre-tax income from continuing operations before income from equity investees</w:t>
            </w:r>
          </w:p>
        </w:tc>
        <w:tc>
          <w:tcPr>
            <w:tcW w:w="820" w:type="dxa"/>
            <w:vAlign w:val="bottom"/>
            <w:shd w:val="clear" w:color="auto" w:fill="E4E3E1"/>
          </w:tcPr>
          <w:p>
            <w:pPr>
              <w:jc w:val="right"/>
              <w:ind w:right="58"/>
              <w:spacing w:after="0"/>
              <w:rPr>
                <w:sz w:val="20"/>
                <w:szCs w:val="20"/>
                <w:color w:val="auto"/>
              </w:rPr>
            </w:pPr>
            <w:r>
              <w:rPr>
                <w:rFonts w:ascii="Arial" w:cs="Arial" w:eastAsia="Arial" w:hAnsi="Arial"/>
                <w:sz w:val="12"/>
                <w:szCs w:val="12"/>
                <w:color w:val="auto"/>
              </w:rPr>
              <w:t>42,342</w:t>
            </w:r>
          </w:p>
        </w:tc>
        <w:tc>
          <w:tcPr>
            <w:tcW w:w="1760" w:type="dxa"/>
            <w:vAlign w:val="bottom"/>
          </w:tcPr>
          <w:p>
            <w:pPr>
              <w:jc w:val="right"/>
              <w:ind w:right="438"/>
              <w:spacing w:after="0"/>
              <w:rPr>
                <w:sz w:val="20"/>
                <w:szCs w:val="20"/>
                <w:color w:val="auto"/>
              </w:rPr>
            </w:pPr>
            <w:r>
              <w:rPr>
                <w:rFonts w:ascii="Arial" w:cs="Arial" w:eastAsia="Arial" w:hAnsi="Arial"/>
                <w:sz w:val="12"/>
                <w:szCs w:val="12"/>
                <w:color w:val="auto"/>
              </w:rPr>
              <w:t>37,957</w:t>
            </w:r>
          </w:p>
        </w:tc>
        <w:tc>
          <w:tcPr>
            <w:tcW w:w="1360" w:type="dxa"/>
            <w:vAlign w:val="bottom"/>
          </w:tcPr>
          <w:p>
            <w:pPr>
              <w:jc w:val="right"/>
              <w:ind w:right="418"/>
              <w:spacing w:after="0"/>
              <w:rPr>
                <w:sz w:val="20"/>
                <w:szCs w:val="20"/>
                <w:color w:val="auto"/>
              </w:rPr>
            </w:pPr>
            <w:r>
              <w:rPr>
                <w:rFonts w:ascii="Arial" w:cs="Arial" w:eastAsia="Arial" w:hAnsi="Arial"/>
                <w:sz w:val="12"/>
                <w:szCs w:val="12"/>
                <w:color w:val="auto"/>
              </w:rPr>
              <w:t>37,444</w:t>
            </w:r>
          </w:p>
        </w:tc>
        <w:tc>
          <w:tcPr>
            <w:tcW w:w="960" w:type="dxa"/>
            <w:vAlign w:val="bottom"/>
          </w:tcPr>
          <w:p>
            <w:pPr>
              <w:jc w:val="right"/>
              <w:ind w:right="38"/>
              <w:spacing w:after="0"/>
              <w:rPr>
                <w:sz w:val="20"/>
                <w:szCs w:val="20"/>
                <w:color w:val="auto"/>
              </w:rPr>
            </w:pPr>
            <w:r>
              <w:rPr>
                <w:rFonts w:ascii="Arial" w:cs="Arial" w:eastAsia="Arial" w:hAnsi="Arial"/>
                <w:sz w:val="12"/>
                <w:szCs w:val="12"/>
                <w:color w:val="auto"/>
              </w:rPr>
              <w:t>26,644</w:t>
            </w:r>
          </w:p>
        </w:tc>
      </w:tr>
      <w:tr>
        <w:trPr>
          <w:trHeight w:val="133"/>
        </w:trPr>
        <w:tc>
          <w:tcPr>
            <w:tcW w:w="6520" w:type="dxa"/>
            <w:vAlign w:val="bottom"/>
          </w:tcPr>
          <w:p>
            <w:pPr>
              <w:spacing w:after="0" w:line="133" w:lineRule="exact"/>
              <w:rPr>
                <w:sz w:val="20"/>
                <w:szCs w:val="20"/>
                <w:color w:val="auto"/>
              </w:rPr>
            </w:pPr>
            <w:r>
              <w:rPr>
                <w:rFonts w:ascii="Arial" w:cs="Arial" w:eastAsia="Arial" w:hAnsi="Arial"/>
                <w:sz w:val="12"/>
                <w:szCs w:val="12"/>
                <w:color w:val="auto"/>
              </w:rPr>
              <w:t>Total fixed charges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2,380</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2,258</w:t>
            </w:r>
          </w:p>
        </w:tc>
        <w:tc>
          <w:tcPr>
            <w:tcW w:w="13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1,958</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1,685</w:t>
            </w:r>
          </w:p>
        </w:tc>
      </w:tr>
      <w:tr>
        <w:trPr>
          <w:trHeight w:val="133"/>
        </w:trPr>
        <w:tc>
          <w:tcPr>
            <w:tcW w:w="6520" w:type="dxa"/>
            <w:vAlign w:val="bottom"/>
          </w:tcPr>
          <w:p>
            <w:pPr>
              <w:spacing w:after="0" w:line="133" w:lineRule="exact"/>
              <w:rPr>
                <w:sz w:val="20"/>
                <w:szCs w:val="20"/>
                <w:color w:val="auto"/>
              </w:rPr>
            </w:pPr>
            <w:r>
              <w:rPr>
                <w:rFonts w:ascii="Arial" w:cs="Arial" w:eastAsia="Arial" w:hAnsi="Arial"/>
                <w:sz w:val="12"/>
                <w:szCs w:val="12"/>
                <w:color w:val="auto"/>
              </w:rPr>
              <w:t>Distributed income from equity investees</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6,955</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5,488</w:t>
            </w:r>
          </w:p>
        </w:tc>
        <w:tc>
          <w:tcPr>
            <w:tcW w:w="13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6,709</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4,190</w:t>
            </w:r>
          </w:p>
        </w:tc>
      </w:tr>
      <w:tr>
        <w:trPr>
          <w:trHeight w:val="119"/>
        </w:trPr>
        <w:tc>
          <w:tcPr>
            <w:tcW w:w="6520" w:type="dxa"/>
            <w:vAlign w:val="bottom"/>
          </w:tcPr>
          <w:p>
            <w:pPr>
              <w:spacing w:after="0" w:line="120" w:lineRule="exact"/>
              <w:rPr>
                <w:sz w:val="20"/>
                <w:szCs w:val="20"/>
                <w:color w:val="auto"/>
              </w:rPr>
            </w:pPr>
            <w:r>
              <w:rPr>
                <w:rFonts w:ascii="Arial" w:cs="Arial" w:eastAsia="Arial" w:hAnsi="Arial"/>
                <w:sz w:val="12"/>
                <w:szCs w:val="12"/>
                <w:color w:val="auto"/>
              </w:rPr>
              <w:t>Less: interest capitalised</w:t>
            </w:r>
          </w:p>
        </w:tc>
        <w:tc>
          <w:tcPr>
            <w:tcW w:w="820" w:type="dxa"/>
            <w:vAlign w:val="bottom"/>
            <w:shd w:val="clear" w:color="auto" w:fill="E4E3E1"/>
          </w:tcPr>
          <w:p>
            <w:pPr>
              <w:jc w:val="right"/>
              <w:ind w:right="58"/>
              <w:spacing w:after="0" w:line="120" w:lineRule="exact"/>
              <w:rPr>
                <w:sz w:val="20"/>
                <w:szCs w:val="20"/>
                <w:color w:val="auto"/>
              </w:rPr>
            </w:pPr>
            <w:r>
              <w:rPr>
                <w:rFonts w:ascii="Arial" w:cs="Arial" w:eastAsia="Arial" w:hAnsi="Arial"/>
                <w:sz w:val="12"/>
                <w:szCs w:val="12"/>
                <w:color w:val="auto"/>
              </w:rPr>
              <w:t>667</w:t>
            </w:r>
          </w:p>
        </w:tc>
        <w:tc>
          <w:tcPr>
            <w:tcW w:w="1760" w:type="dxa"/>
            <w:vAlign w:val="bottom"/>
          </w:tcPr>
          <w:p>
            <w:pPr>
              <w:jc w:val="right"/>
              <w:ind w:right="438"/>
              <w:spacing w:after="0" w:line="120" w:lineRule="exact"/>
              <w:rPr>
                <w:sz w:val="20"/>
                <w:szCs w:val="20"/>
                <w:color w:val="auto"/>
              </w:rPr>
            </w:pPr>
            <w:r>
              <w:rPr>
                <w:rFonts w:ascii="Arial" w:cs="Arial" w:eastAsia="Arial" w:hAnsi="Arial"/>
                <w:sz w:val="12"/>
                <w:szCs w:val="12"/>
                <w:color w:val="auto"/>
              </w:rPr>
              <w:t>564</w:t>
            </w:r>
          </w:p>
        </w:tc>
        <w:tc>
          <w:tcPr>
            <w:tcW w:w="1360" w:type="dxa"/>
            <w:vAlign w:val="bottom"/>
          </w:tcPr>
          <w:p>
            <w:pPr>
              <w:jc w:val="right"/>
              <w:ind w:right="418"/>
              <w:spacing w:after="0" w:line="120" w:lineRule="exact"/>
              <w:rPr>
                <w:sz w:val="20"/>
                <w:szCs w:val="20"/>
                <w:color w:val="auto"/>
              </w:rPr>
            </w:pPr>
            <w:r>
              <w:rPr>
                <w:rFonts w:ascii="Arial" w:cs="Arial" w:eastAsia="Arial" w:hAnsi="Arial"/>
                <w:sz w:val="12"/>
                <w:szCs w:val="12"/>
                <w:color w:val="auto"/>
              </w:rPr>
              <w:t>427</w:t>
            </w:r>
          </w:p>
        </w:tc>
        <w:tc>
          <w:tcPr>
            <w:tcW w:w="960" w:type="dxa"/>
            <w:vAlign w:val="bottom"/>
          </w:tcPr>
          <w:p>
            <w:pPr>
              <w:jc w:val="right"/>
              <w:ind w:right="38"/>
              <w:spacing w:after="0" w:line="120" w:lineRule="exact"/>
              <w:rPr>
                <w:sz w:val="20"/>
                <w:szCs w:val="20"/>
                <w:color w:val="auto"/>
              </w:rPr>
            </w:pPr>
            <w:r>
              <w:rPr>
                <w:rFonts w:ascii="Arial" w:cs="Arial" w:eastAsia="Arial" w:hAnsi="Arial"/>
                <w:sz w:val="12"/>
                <w:szCs w:val="12"/>
                <w:color w:val="auto"/>
              </w:rPr>
              <w:t>207</w:t>
            </w:r>
          </w:p>
        </w:tc>
      </w:tr>
      <w:tr>
        <w:trPr>
          <w:trHeight w:val="153"/>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preference security dividend requirements of consolidated subsidiaries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b w:val="1"/>
                <w:bCs w:val="1"/>
                <w:color w:val="auto"/>
              </w:rPr>
              <w:t>–</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7</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w:t>
            </w:r>
          </w:p>
        </w:tc>
      </w:tr>
      <w:tr>
        <w:trPr>
          <w:trHeight w:val="140"/>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earnings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51,010</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45,139</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45,677</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32,303</w:t>
            </w:r>
          </w:p>
        </w:tc>
      </w:tr>
      <w:tr>
        <w:trPr>
          <w:trHeight w:val="134"/>
        </w:trPr>
        <w:tc>
          <w:tcPr>
            <w:tcW w:w="6520" w:type="dxa"/>
            <w:vAlign w:val="bottom"/>
          </w:tcPr>
          <w:p>
            <w:pPr>
              <w:spacing w:after="0" w:line="134" w:lineRule="exact"/>
              <w:rPr>
                <w:sz w:val="20"/>
                <w:szCs w:val="20"/>
                <w:color w:val="auto"/>
              </w:rPr>
            </w:pPr>
            <w:r>
              <w:rPr>
                <w:rFonts w:ascii="Arial" w:cs="Arial" w:eastAsia="Arial" w:hAnsi="Arial"/>
                <w:sz w:val="12"/>
                <w:szCs w:val="12"/>
                <w:color w:val="auto"/>
              </w:rPr>
              <w:t>Interest expensed and capitalised</w:t>
            </w:r>
          </w:p>
        </w:tc>
        <w:tc>
          <w:tcPr>
            <w:tcW w:w="820" w:type="dxa"/>
            <w:vAlign w:val="bottom"/>
            <w:shd w:val="clear" w:color="auto" w:fill="E4E3E1"/>
          </w:tcPr>
          <w:p>
            <w:pPr>
              <w:jc w:val="right"/>
              <w:ind w:right="58"/>
              <w:spacing w:after="0" w:line="134" w:lineRule="exact"/>
              <w:rPr>
                <w:sz w:val="20"/>
                <w:szCs w:val="20"/>
                <w:color w:val="auto"/>
              </w:rPr>
            </w:pPr>
            <w:r>
              <w:rPr>
                <w:rFonts w:ascii="Arial" w:cs="Arial" w:eastAsia="Arial" w:hAnsi="Arial"/>
                <w:sz w:val="12"/>
                <w:szCs w:val="12"/>
                <w:color w:val="auto"/>
              </w:rPr>
              <w:t>1,775</w:t>
            </w:r>
          </w:p>
        </w:tc>
        <w:tc>
          <w:tcPr>
            <w:tcW w:w="1760" w:type="dxa"/>
            <w:vAlign w:val="bottom"/>
          </w:tcPr>
          <w:p>
            <w:pPr>
              <w:jc w:val="right"/>
              <w:ind w:right="438"/>
              <w:spacing w:after="0" w:line="134" w:lineRule="exact"/>
              <w:rPr>
                <w:sz w:val="20"/>
                <w:szCs w:val="20"/>
                <w:color w:val="auto"/>
              </w:rPr>
            </w:pPr>
            <w:r>
              <w:rPr>
                <w:rFonts w:ascii="Arial" w:cs="Arial" w:eastAsia="Arial" w:hAnsi="Arial"/>
                <w:sz w:val="12"/>
                <w:szCs w:val="12"/>
                <w:color w:val="auto"/>
              </w:rPr>
              <w:t>1,713</w:t>
            </w:r>
          </w:p>
        </w:tc>
        <w:tc>
          <w:tcPr>
            <w:tcW w:w="1360" w:type="dxa"/>
            <w:vAlign w:val="bottom"/>
          </w:tcPr>
          <w:p>
            <w:pPr>
              <w:jc w:val="right"/>
              <w:ind w:right="418"/>
              <w:spacing w:after="0" w:line="134" w:lineRule="exact"/>
              <w:rPr>
                <w:sz w:val="20"/>
                <w:szCs w:val="20"/>
                <w:color w:val="auto"/>
              </w:rPr>
            </w:pPr>
            <w:r>
              <w:rPr>
                <w:rFonts w:ascii="Arial" w:cs="Arial" w:eastAsia="Arial" w:hAnsi="Arial"/>
                <w:sz w:val="12"/>
                <w:szCs w:val="12"/>
                <w:color w:val="auto"/>
              </w:rPr>
              <w:t>1,494</w:t>
            </w:r>
          </w:p>
        </w:tc>
        <w:tc>
          <w:tcPr>
            <w:tcW w:w="960" w:type="dxa"/>
            <w:vAlign w:val="bottom"/>
          </w:tcPr>
          <w:p>
            <w:pPr>
              <w:jc w:val="right"/>
              <w:ind w:right="38"/>
              <w:spacing w:after="0" w:line="134" w:lineRule="exact"/>
              <w:rPr>
                <w:sz w:val="20"/>
                <w:szCs w:val="20"/>
                <w:color w:val="auto"/>
              </w:rPr>
            </w:pPr>
            <w:r>
              <w:rPr>
                <w:rFonts w:ascii="Arial" w:cs="Arial" w:eastAsia="Arial" w:hAnsi="Arial"/>
                <w:sz w:val="12"/>
                <w:szCs w:val="12"/>
                <w:color w:val="auto"/>
              </w:rPr>
              <w:t>1,267</w:t>
            </w:r>
          </w:p>
        </w:tc>
      </w:tr>
      <w:tr>
        <w:trPr>
          <w:trHeight w:val="133"/>
        </w:trPr>
        <w:tc>
          <w:tcPr>
            <w:tcW w:w="6520" w:type="dxa"/>
            <w:vAlign w:val="bottom"/>
          </w:tcPr>
          <w:p>
            <w:pPr>
              <w:spacing w:after="0" w:line="133" w:lineRule="exact"/>
              <w:rPr>
                <w:sz w:val="20"/>
                <w:szCs w:val="20"/>
                <w:color w:val="auto"/>
              </w:rPr>
            </w:pPr>
            <w:r>
              <w:rPr>
                <w:rFonts w:ascii="Arial" w:cs="Arial" w:eastAsia="Arial" w:hAnsi="Arial"/>
                <w:sz w:val="12"/>
                <w:szCs w:val="12"/>
                <w:color w:val="auto"/>
              </w:rPr>
              <w:t>Interest within rental expense</w:t>
            </w:r>
          </w:p>
        </w:tc>
        <w:tc>
          <w:tcPr>
            <w:tcW w:w="820" w:type="dxa"/>
            <w:vAlign w:val="bottom"/>
            <w:shd w:val="clear" w:color="auto" w:fill="E4E3E1"/>
          </w:tcPr>
          <w:p>
            <w:pPr>
              <w:jc w:val="right"/>
              <w:ind w:right="58"/>
              <w:spacing w:after="0" w:line="133" w:lineRule="exact"/>
              <w:rPr>
                <w:sz w:val="20"/>
                <w:szCs w:val="20"/>
                <w:color w:val="auto"/>
              </w:rPr>
            </w:pPr>
            <w:r>
              <w:rPr>
                <w:rFonts w:ascii="Arial" w:cs="Arial" w:eastAsia="Arial" w:hAnsi="Arial"/>
                <w:sz w:val="12"/>
                <w:szCs w:val="12"/>
                <w:color w:val="auto"/>
              </w:rPr>
              <w:t>605</w:t>
            </w:r>
          </w:p>
        </w:tc>
        <w:tc>
          <w:tcPr>
            <w:tcW w:w="1760" w:type="dxa"/>
            <w:vAlign w:val="bottom"/>
          </w:tcPr>
          <w:p>
            <w:pPr>
              <w:jc w:val="right"/>
              <w:ind w:right="438"/>
              <w:spacing w:after="0" w:line="133" w:lineRule="exact"/>
              <w:rPr>
                <w:sz w:val="20"/>
                <w:szCs w:val="20"/>
                <w:color w:val="auto"/>
              </w:rPr>
            </w:pPr>
            <w:r>
              <w:rPr>
                <w:rFonts w:ascii="Arial" w:cs="Arial" w:eastAsia="Arial" w:hAnsi="Arial"/>
                <w:sz w:val="12"/>
                <w:szCs w:val="12"/>
                <w:color w:val="auto"/>
              </w:rPr>
              <w:t>545</w:t>
            </w:r>
          </w:p>
        </w:tc>
        <w:tc>
          <w:tcPr>
            <w:tcW w:w="1360" w:type="dxa"/>
            <w:vAlign w:val="bottom"/>
          </w:tcPr>
          <w:p>
            <w:pPr>
              <w:jc w:val="right"/>
              <w:ind w:right="418"/>
              <w:spacing w:after="0" w:line="133" w:lineRule="exact"/>
              <w:rPr>
                <w:sz w:val="20"/>
                <w:szCs w:val="20"/>
                <w:color w:val="auto"/>
              </w:rPr>
            </w:pPr>
            <w:r>
              <w:rPr>
                <w:rFonts w:ascii="Arial" w:cs="Arial" w:eastAsia="Arial" w:hAnsi="Arial"/>
                <w:sz w:val="12"/>
                <w:szCs w:val="12"/>
                <w:color w:val="auto"/>
              </w:rPr>
              <w:t>457</w:t>
            </w:r>
          </w:p>
        </w:tc>
        <w:tc>
          <w:tcPr>
            <w:tcW w:w="960" w:type="dxa"/>
            <w:vAlign w:val="bottom"/>
          </w:tcPr>
          <w:p>
            <w:pPr>
              <w:jc w:val="right"/>
              <w:ind w:right="38"/>
              <w:spacing w:after="0" w:line="133" w:lineRule="exact"/>
              <w:rPr>
                <w:sz w:val="20"/>
                <w:szCs w:val="20"/>
                <w:color w:val="auto"/>
              </w:rPr>
            </w:pPr>
            <w:r>
              <w:rPr>
                <w:rFonts w:ascii="Arial" w:cs="Arial" w:eastAsia="Arial" w:hAnsi="Arial"/>
                <w:sz w:val="12"/>
                <w:szCs w:val="12"/>
                <w:color w:val="auto"/>
              </w:rPr>
              <w:t>409</w:t>
            </w:r>
          </w:p>
        </w:tc>
      </w:tr>
      <w:tr>
        <w:trPr>
          <w:trHeight w:val="139"/>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Less: preference security dividend requirements of consolidated subsidiaries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7</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9</w:t>
            </w:r>
          </w:p>
        </w:tc>
      </w:tr>
      <w:tr>
        <w:trPr>
          <w:trHeight w:val="140"/>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Total fixed charges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2,380</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2,258</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1,958</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1,685</w:t>
            </w:r>
          </w:p>
        </w:tc>
      </w:tr>
      <w:tr>
        <w:trPr>
          <w:trHeight w:val="140"/>
        </w:trPr>
        <w:tc>
          <w:tcPr>
            <w:tcW w:w="65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Ratio earnings/fixed charges</w:t>
            </w:r>
          </w:p>
        </w:tc>
        <w:tc>
          <w:tcPr>
            <w:tcW w:w="820" w:type="dxa"/>
            <w:vAlign w:val="bottom"/>
            <w:tcBorders>
              <w:bottom w:val="single" w:sz="8" w:color="auto"/>
            </w:tcBorders>
            <w:shd w:val="clear" w:color="auto" w:fill="E4E3E1"/>
          </w:tcPr>
          <w:p>
            <w:pPr>
              <w:jc w:val="right"/>
              <w:ind w:right="58"/>
              <w:spacing w:after="0"/>
              <w:rPr>
                <w:sz w:val="20"/>
                <w:szCs w:val="20"/>
                <w:color w:val="auto"/>
              </w:rPr>
            </w:pPr>
            <w:r>
              <w:rPr>
                <w:rFonts w:ascii="Arial" w:cs="Arial" w:eastAsia="Arial" w:hAnsi="Arial"/>
                <w:sz w:val="12"/>
                <w:szCs w:val="12"/>
                <w:color w:val="auto"/>
              </w:rPr>
              <w:t>21.43</w:t>
            </w:r>
          </w:p>
        </w:tc>
        <w:tc>
          <w:tcPr>
            <w:tcW w:w="1760" w:type="dxa"/>
            <w:vAlign w:val="bottom"/>
            <w:tcBorders>
              <w:bottom w:val="single" w:sz="8" w:color="auto"/>
            </w:tcBorders>
          </w:tcPr>
          <w:p>
            <w:pPr>
              <w:jc w:val="right"/>
              <w:ind w:right="438"/>
              <w:spacing w:after="0"/>
              <w:rPr>
                <w:sz w:val="20"/>
                <w:szCs w:val="20"/>
                <w:color w:val="auto"/>
              </w:rPr>
            </w:pPr>
            <w:r>
              <w:rPr>
                <w:rFonts w:ascii="Arial" w:cs="Arial" w:eastAsia="Arial" w:hAnsi="Arial"/>
                <w:sz w:val="12"/>
                <w:szCs w:val="12"/>
                <w:color w:val="auto"/>
              </w:rPr>
              <w:t>19.99</w:t>
            </w:r>
          </w:p>
        </w:tc>
        <w:tc>
          <w:tcPr>
            <w:tcW w:w="1360" w:type="dxa"/>
            <w:vAlign w:val="bottom"/>
            <w:tcBorders>
              <w:bottom w:val="single" w:sz="8" w:color="auto"/>
            </w:tcBorders>
          </w:tcPr>
          <w:p>
            <w:pPr>
              <w:jc w:val="right"/>
              <w:ind w:right="418"/>
              <w:spacing w:after="0"/>
              <w:rPr>
                <w:sz w:val="20"/>
                <w:szCs w:val="20"/>
                <w:color w:val="auto"/>
              </w:rPr>
            </w:pPr>
            <w:r>
              <w:rPr>
                <w:rFonts w:ascii="Arial" w:cs="Arial" w:eastAsia="Arial" w:hAnsi="Arial"/>
                <w:sz w:val="12"/>
                <w:szCs w:val="12"/>
                <w:color w:val="auto"/>
              </w:rPr>
              <w:t>23.33</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19.17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E1</w:t>
      </w:r>
      <w:r>
        <w:rPr>
          <w:sz w:val="20"/>
          <w:szCs w:val="20"/>
          <w:color w:val="auto"/>
        </w:rPr>
        <w:tab/>
      </w:r>
      <w:r>
        <w:rPr>
          <w:rFonts w:ascii="Arial" w:cs="Arial" w:eastAsia="Arial" w:hAnsi="Arial"/>
          <w:sz w:val="12"/>
          <w:szCs w:val="12"/>
          <w:color w:val="auto"/>
        </w:rPr>
        <w:t>Royal Dutch Shell plc</w:t>
      </w:r>
    </w:p>
    <w:p>
      <w:pPr>
        <w:sectPr>
          <w:pgSz w:w="11900" w:h="16838" w:orient="portrait"/>
          <w:cols w:equalWidth="0" w:num="1">
            <w:col w:w="11420"/>
          </w:cols>
          <w:pgMar w:left="240" w:top="925" w:right="239"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b w:val="1"/>
          <w:bCs w:val="1"/>
          <w:color w:val="auto"/>
        </w:rPr>
        <w:t>EXHIBIT 8</w:t>
      </w:r>
    </w:p>
    <w:p>
      <w:pPr>
        <w:spacing w:after="0" w:line="226" w:lineRule="auto"/>
        <w:rPr>
          <w:sz w:val="20"/>
          <w:szCs w:val="20"/>
          <w:color w:val="auto"/>
        </w:rPr>
      </w:pPr>
      <w:r>
        <w:rPr>
          <w:rFonts w:ascii="Arial" w:cs="Arial" w:eastAsia="Arial" w:hAnsi="Arial"/>
          <w:sz w:val="14"/>
          <w:szCs w:val="14"/>
          <w:b w:val="1"/>
          <w:bCs w:val="1"/>
          <w:color w:val="auto"/>
        </w:rPr>
        <w:t>Significant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-53975</wp:posOffset>
            </wp:positionV>
            <wp:extent cx="282575" cy="7882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82575" cy="7882890"/>
                    </a:xfrm>
                    <a:prstGeom prst="rect">
                      <a:avLst/>
                    </a:prstGeom>
                    <a:noFill/>
                  </pic:spPr>
                </pic:pic>
              </a:graphicData>
            </a:graphic>
          </wp:anchor>
        </w:drawing>
      </w:r>
    </w:p>
    <w:p>
      <w:pPr>
        <w:ind w:right="340"/>
        <w:spacing w:after="0" w:line="250" w:lineRule="auto"/>
        <w:rPr>
          <w:sz w:val="20"/>
          <w:szCs w:val="20"/>
          <w:color w:val="auto"/>
        </w:rPr>
      </w:pPr>
      <w:r>
        <w:rPr>
          <w:rFonts w:ascii="Arial" w:cs="Arial" w:eastAsia="Arial" w:hAnsi="Arial"/>
          <w:sz w:val="13"/>
          <w:szCs w:val="13"/>
          <w:color w:val="auto"/>
        </w:rPr>
        <w:t>Significant subsidiaries at December 31, 2007, and Shell’s percentage of share capital (to the nearest whole number) are set out below. All of these subsidiaries have been included in the Consolidated Financial Statements of Shell on pages 112 to 161. Those held directly by the Company are marked with an asterisk(*). A complete list of investments in subsidiary and associated companies and jointly controlled entities will be attached to the Company’s annual return made to the Registrar of Companies.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740" w:type="dxa"/>
            <w:vAlign w:val="bottom"/>
            <w:shd w:val="clear" w:color="auto" w:fill="711470"/>
          </w:tcPr>
          <w:p>
            <w:pPr>
              <w:spacing w:after="0"/>
              <w:rPr>
                <w:sz w:val="11"/>
                <w:szCs w:val="11"/>
                <w:color w:val="auto"/>
              </w:rPr>
            </w:pPr>
          </w:p>
        </w:tc>
        <w:tc>
          <w:tcPr>
            <w:tcW w:w="700" w:type="dxa"/>
            <w:vAlign w:val="bottom"/>
            <w:shd w:val="clear" w:color="auto" w:fill="711470"/>
          </w:tcPr>
          <w:p>
            <w:pPr>
              <w:spacing w:after="0"/>
              <w:rPr>
                <w:sz w:val="11"/>
                <w:szCs w:val="11"/>
                <w:color w:val="auto"/>
              </w:rPr>
            </w:pPr>
          </w:p>
        </w:tc>
        <w:tc>
          <w:tcPr>
            <w:tcW w:w="1920" w:type="dxa"/>
            <w:vAlign w:val="bottom"/>
            <w:shd w:val="clear" w:color="auto" w:fill="711470"/>
          </w:tcPr>
          <w:p>
            <w:pPr>
              <w:spacing w:after="0"/>
              <w:rPr>
                <w:sz w:val="11"/>
                <w:szCs w:val="11"/>
                <w:color w:val="auto"/>
              </w:rPr>
            </w:pPr>
          </w:p>
        </w:tc>
        <w:tc>
          <w:tcPr>
            <w:tcW w:w="2140" w:type="dxa"/>
            <w:vAlign w:val="bottom"/>
            <w:shd w:val="clear" w:color="auto" w:fill="711470"/>
          </w:tcPr>
          <w:p>
            <w:pPr>
              <w:spacing w:after="0"/>
              <w:rPr>
                <w:sz w:val="11"/>
                <w:szCs w:val="11"/>
                <w:color w:val="auto"/>
              </w:rPr>
            </w:pPr>
          </w:p>
        </w:tc>
        <w:tc>
          <w:tcPr>
            <w:tcW w:w="2340" w:type="dxa"/>
            <w:vAlign w:val="bottom"/>
            <w:shd w:val="clear" w:color="auto" w:fill="711470"/>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shd w:val="clear" w:color="auto" w:fill="CECAC6"/>
          </w:tcPr>
          <w:p>
            <w:pPr>
              <w:spacing w:after="0"/>
              <w:rPr>
                <w:sz w:val="11"/>
                <w:szCs w:val="11"/>
                <w:color w:val="auto"/>
              </w:rPr>
            </w:pPr>
          </w:p>
        </w:tc>
        <w:tc>
          <w:tcPr>
            <w:tcW w:w="700" w:type="dxa"/>
            <w:vAlign w:val="bottom"/>
            <w:vMerge w:val="restart"/>
            <w:shd w:val="clear" w:color="auto" w:fill="CECAC6"/>
          </w:tcPr>
          <w:p>
            <w:pPr>
              <w:jc w:val="right"/>
              <w:ind w:right="98"/>
              <w:spacing w:after="0"/>
              <w:rPr>
                <w:sz w:val="20"/>
                <w:szCs w:val="20"/>
                <w:color w:val="auto"/>
              </w:rPr>
            </w:pPr>
            <w:r>
              <w:rPr>
                <w:rFonts w:ascii="Arial" w:cs="Arial" w:eastAsia="Arial" w:hAnsi="Arial"/>
                <w:sz w:val="12"/>
                <w:szCs w:val="12"/>
                <w:b w:val="1"/>
                <w:bCs w:val="1"/>
                <w:color w:val="auto"/>
              </w:rPr>
              <w:t>%</w:t>
            </w:r>
          </w:p>
        </w:tc>
        <w:tc>
          <w:tcPr>
            <w:tcW w:w="1920" w:type="dxa"/>
            <w:vAlign w:val="bottom"/>
            <w:shd w:val="clear" w:color="auto" w:fill="CECAC6"/>
          </w:tcPr>
          <w:p>
            <w:pPr>
              <w:ind w:left="160"/>
              <w:spacing w:after="0" w:line="128" w:lineRule="exact"/>
              <w:rPr>
                <w:sz w:val="20"/>
                <w:szCs w:val="20"/>
                <w:color w:val="auto"/>
              </w:rPr>
            </w:pPr>
            <w:r>
              <w:rPr>
                <w:rFonts w:ascii="Arial" w:cs="Arial" w:eastAsia="Arial" w:hAnsi="Arial"/>
                <w:sz w:val="12"/>
                <w:szCs w:val="12"/>
                <w:color w:val="auto"/>
              </w:rPr>
              <w:t>Country of</w:t>
            </w:r>
          </w:p>
        </w:tc>
        <w:tc>
          <w:tcPr>
            <w:tcW w:w="2140" w:type="dxa"/>
            <w:vAlign w:val="bottom"/>
            <w:shd w:val="clear" w:color="auto" w:fill="CECAC6"/>
          </w:tcPr>
          <w:p>
            <w:pPr>
              <w:spacing w:after="0"/>
              <w:rPr>
                <w:sz w:val="11"/>
                <w:szCs w:val="11"/>
                <w:color w:val="auto"/>
              </w:rPr>
            </w:pPr>
          </w:p>
        </w:tc>
        <w:tc>
          <w:tcPr>
            <w:tcW w:w="234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ECAC6"/>
          </w:tcPr>
          <w:p>
            <w:pPr>
              <w:spacing w:after="0"/>
              <w:rPr>
                <w:sz w:val="20"/>
                <w:szCs w:val="20"/>
                <w:color w:val="auto"/>
              </w:rPr>
            </w:pPr>
            <w:r>
              <w:rPr>
                <w:rFonts w:ascii="Arial" w:cs="Arial" w:eastAsia="Arial" w:hAnsi="Arial"/>
                <w:sz w:val="12"/>
                <w:szCs w:val="12"/>
                <w:color w:val="auto"/>
              </w:rPr>
              <w:t>Subsidiary undertakings</w:t>
            </w:r>
          </w:p>
        </w:tc>
        <w:tc>
          <w:tcPr>
            <w:tcW w:w="700" w:type="dxa"/>
            <w:vAlign w:val="bottom"/>
            <w:vMerge w:val="continue"/>
            <w:shd w:val="clear" w:color="auto" w:fill="CECAC6"/>
          </w:tcPr>
          <w:p>
            <w:pPr>
              <w:spacing w:after="0"/>
              <w:rPr>
                <w:sz w:val="12"/>
                <w:szCs w:val="12"/>
                <w:color w:val="auto"/>
              </w:rPr>
            </w:pPr>
          </w:p>
        </w:tc>
        <w:tc>
          <w:tcPr>
            <w:tcW w:w="1920" w:type="dxa"/>
            <w:vAlign w:val="bottom"/>
            <w:shd w:val="clear" w:color="auto" w:fill="CECAC6"/>
          </w:tcPr>
          <w:p>
            <w:pPr>
              <w:ind w:left="160"/>
              <w:spacing w:after="0"/>
              <w:rPr>
                <w:sz w:val="20"/>
                <w:szCs w:val="20"/>
                <w:color w:val="auto"/>
              </w:rPr>
            </w:pPr>
            <w:r>
              <w:rPr>
                <w:rFonts w:ascii="Arial" w:cs="Arial" w:eastAsia="Arial" w:hAnsi="Arial"/>
                <w:sz w:val="12"/>
                <w:szCs w:val="12"/>
                <w:color w:val="auto"/>
              </w:rPr>
              <w:t>incorporation</w:t>
            </w:r>
          </w:p>
        </w:tc>
        <w:tc>
          <w:tcPr>
            <w:tcW w:w="2140" w:type="dxa"/>
            <w:vAlign w:val="bottom"/>
            <w:shd w:val="clear" w:color="auto" w:fill="CECAC6"/>
          </w:tcPr>
          <w:p>
            <w:pPr>
              <w:ind w:left="380"/>
              <w:spacing w:after="0"/>
              <w:rPr>
                <w:sz w:val="20"/>
                <w:szCs w:val="20"/>
                <w:color w:val="auto"/>
              </w:rPr>
            </w:pPr>
            <w:r>
              <w:rPr>
                <w:rFonts w:ascii="Arial" w:cs="Arial" w:eastAsia="Arial" w:hAnsi="Arial"/>
                <w:sz w:val="12"/>
                <w:szCs w:val="12"/>
                <w:color w:val="auto"/>
              </w:rPr>
              <w:t>Principal activities</w:t>
            </w:r>
          </w:p>
        </w:tc>
        <w:tc>
          <w:tcPr>
            <w:tcW w:w="2340" w:type="dxa"/>
            <w:vAlign w:val="bottom"/>
            <w:shd w:val="clear" w:color="auto" w:fill="CECAC6"/>
          </w:tcPr>
          <w:p>
            <w:pPr>
              <w:ind w:left="400"/>
              <w:spacing w:after="0"/>
              <w:rPr>
                <w:sz w:val="20"/>
                <w:szCs w:val="20"/>
                <w:color w:val="auto"/>
              </w:rPr>
            </w:pPr>
            <w:r>
              <w:rPr>
                <w:rFonts w:ascii="Arial" w:cs="Arial" w:eastAsia="Arial" w:hAnsi="Arial"/>
                <w:sz w:val="12"/>
                <w:szCs w:val="12"/>
                <w:color w:val="auto"/>
              </w:rPr>
              <w:t>Class of shares held</w:t>
            </w:r>
          </w:p>
        </w:tc>
        <w:tc>
          <w:tcPr>
            <w:tcW w:w="0" w:type="dxa"/>
            <w:vAlign w:val="bottom"/>
          </w:tcPr>
          <w:p>
            <w:pPr>
              <w:spacing w:after="0"/>
              <w:rPr>
                <w:sz w:val="1"/>
                <w:szCs w:val="1"/>
                <w:color w:val="auto"/>
              </w:rPr>
            </w:pPr>
          </w:p>
        </w:tc>
      </w:tr>
      <w:tr>
        <w:trPr>
          <w:trHeight w:val="127"/>
        </w:trPr>
        <w:tc>
          <w:tcPr>
            <w:tcW w:w="3740" w:type="dxa"/>
            <w:vAlign w:val="bottom"/>
          </w:tcPr>
          <w:p>
            <w:pPr>
              <w:spacing w:after="0" w:line="128" w:lineRule="exact"/>
              <w:rPr>
                <w:sz w:val="20"/>
                <w:szCs w:val="20"/>
                <w:color w:val="auto"/>
              </w:rPr>
            </w:pPr>
            <w:r>
              <w:rPr>
                <w:rFonts w:ascii="Arial" w:cs="Arial" w:eastAsia="Arial" w:hAnsi="Arial"/>
                <w:sz w:val="12"/>
                <w:szCs w:val="12"/>
                <w:color w:val="auto"/>
              </w:rPr>
              <w:t>Shell Energy Holdings Australia Ltd</w:t>
            </w:r>
          </w:p>
        </w:tc>
        <w:tc>
          <w:tcPr>
            <w:tcW w:w="70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28" w:lineRule="exact"/>
              <w:rPr>
                <w:sz w:val="20"/>
                <w:szCs w:val="20"/>
                <w:color w:val="auto"/>
              </w:rPr>
            </w:pPr>
            <w:r>
              <w:rPr>
                <w:rFonts w:ascii="Arial" w:cs="Arial" w:eastAsia="Arial" w:hAnsi="Arial"/>
                <w:sz w:val="12"/>
                <w:szCs w:val="12"/>
                <w:color w:val="auto"/>
              </w:rPr>
              <w:t>Australia</w:t>
            </w:r>
          </w:p>
        </w:tc>
        <w:tc>
          <w:tcPr>
            <w:tcW w:w="2140" w:type="dxa"/>
            <w:vAlign w:val="bottom"/>
          </w:tcPr>
          <w:p>
            <w:pPr>
              <w:ind w:left="380"/>
              <w:spacing w:after="0" w:line="128"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28" w:lineRule="exact"/>
              <w:rPr>
                <w:sz w:val="20"/>
                <w:szCs w:val="20"/>
                <w:color w:val="auto"/>
              </w:rPr>
            </w:pPr>
            <w:r>
              <w:rPr>
                <w:rFonts w:ascii="Arial" w:cs="Arial" w:eastAsia="Arial" w:hAnsi="Arial"/>
                <w:sz w:val="12"/>
                <w:szCs w:val="12"/>
                <w:color w:val="auto"/>
              </w:rPr>
              <w:t>Redeemable Preference,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Gabon Holdings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Iran Offshore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Oman Trading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Deepwater Borneo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Borneo</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Americas Funding (Canada) ULC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Canada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Olie-OG Gasudvinding Danmark Pipelines ApS</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Denmark</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Gabon</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Gabon</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Algeria Reggane GmbH</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Algeria Zerafa GmbH</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Erdgas Beteiligungsgesellschaft mbH</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Verwaltungsgesellschaft fur Erdgasbeteiligungen mbH</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Italia E&amp;P SpA</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Italy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Exploration New Zealand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New Zealand</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Exploration &amp; Production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Exploration Properties Alpha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Exploration Properties Beta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Offshore Prospecting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Ultra Deep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Nigeria Upstream Ventures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The Shell Petroleum Development Company of Nigeria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A/S Norske Shell</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Norway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Enterprise Oil Norge AS</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Norway</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E&amp;P Ireland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Republic of Ireland</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B.V. Dordtsche Petroleum Maatschappij</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Abu Dhabi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E&amp;P Offshore Services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Egypt Deepwater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Egypt N.V.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EP Middle East Holdings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Exploration and Production Investments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Exploration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International Exploration and Production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Kazakhstan Development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Redeemable, Non-Redeemable</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Offshore North Gabon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Olie-OG Gasudvinding Danmark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Philippines Exploration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Redeemable, Non-Redeemable</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Sakhalin Holdings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Technology Ventures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Syria Shell Petroleum Development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Redeemable, Non-Redeemable</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Enterprise Oil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Enterprise Oil Middle East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Enterprise Oil U.K.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Private Oil Holdings Oman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85</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Saxon Oil Miller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China Exploration and Production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EP Offshore Ventures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Exploration and Production Oman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Property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U.K.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The Mexican Eagle Oil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Pecten Brazil Exploration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Pecten Cameroon Company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80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Pecten Victoria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Exploration &amp; Production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Frontier Oil &amp; Gas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International Pipelines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Oil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Philippines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2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line="133" w:lineRule="exact"/>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20"/>
                <w:szCs w:val="20"/>
                <w:color w:val="auto"/>
              </w:rPr>
            </w:pPr>
            <w:r>
              <w:rPr>
                <w:rFonts w:ascii="Arial" w:cs="Arial" w:eastAsia="Arial" w:hAnsi="Arial"/>
                <w:sz w:val="12"/>
                <w:szCs w:val="12"/>
                <w:color w:val="auto"/>
              </w:rPr>
              <w:t>SWEPI LP</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20" w:type="dxa"/>
            <w:vAlign w:val="bottom"/>
          </w:tcPr>
          <w:p>
            <w:pPr>
              <w:ind w:left="160"/>
              <w:spacing w:after="0"/>
              <w:rPr>
                <w:sz w:val="20"/>
                <w:szCs w:val="20"/>
                <w:color w:val="auto"/>
              </w:rPr>
            </w:pPr>
            <w:r>
              <w:rPr>
                <w:rFonts w:ascii="Arial" w:cs="Arial" w:eastAsia="Arial" w:hAnsi="Arial"/>
                <w:sz w:val="12"/>
                <w:szCs w:val="12"/>
                <w:color w:val="auto"/>
              </w:rPr>
              <w:t>United States of America</w:t>
            </w:r>
          </w:p>
        </w:tc>
        <w:tc>
          <w:tcPr>
            <w:tcW w:w="2140" w:type="dxa"/>
            <w:vAlign w:val="bottom"/>
          </w:tcPr>
          <w:p>
            <w:pPr>
              <w:ind w:left="380"/>
              <w:spacing w:after="0"/>
              <w:rPr>
                <w:sz w:val="20"/>
                <w:szCs w:val="20"/>
                <w:color w:val="auto"/>
              </w:rPr>
            </w:pPr>
            <w:r>
              <w:rPr>
                <w:rFonts w:ascii="Arial" w:cs="Arial" w:eastAsia="Arial" w:hAnsi="Arial"/>
                <w:sz w:val="12"/>
                <w:szCs w:val="12"/>
                <w:color w:val="auto"/>
              </w:rPr>
              <w:t>Exploration &amp; Production</w:t>
            </w:r>
          </w:p>
        </w:tc>
        <w:tc>
          <w:tcPr>
            <w:tcW w:w="2340" w:type="dxa"/>
            <w:vAlign w:val="bottom"/>
          </w:tcPr>
          <w:p>
            <w:pPr>
              <w:ind w:left="400"/>
              <w:spacing w:after="0"/>
              <w:rPr>
                <w:sz w:val="20"/>
                <w:szCs w:val="20"/>
                <w:color w:val="auto"/>
              </w:rPr>
            </w:pPr>
            <w:r>
              <w:rPr>
                <w:rFonts w:ascii="Arial" w:cs="Arial" w:eastAsia="Arial" w:hAnsi="Arial"/>
                <w:sz w:val="12"/>
                <w:szCs w:val="12"/>
                <w:color w:val="auto"/>
              </w:rPr>
              <w:t>Partnership capital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1680845</wp:posOffset>
            </wp:positionV>
            <wp:extent cx="7252970" cy="209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0860"/>
          </w:cols>
          <w:pgMar w:left="240" w:top="925" w:right="79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57"/>
        </w:trPr>
        <w:tc>
          <w:tcPr>
            <w:tcW w:w="3940" w:type="dxa"/>
            <w:vAlign w:val="bottom"/>
          </w:tcPr>
          <w:p>
            <w:pPr>
              <w:spacing w:after="0"/>
              <w:rPr>
                <w:sz w:val="20"/>
                <w:szCs w:val="20"/>
                <w:color w:val="auto"/>
              </w:rPr>
            </w:pPr>
            <w:r>
              <w:rPr>
                <w:rFonts w:ascii="Arial" w:cs="Arial" w:eastAsia="Arial" w:hAnsi="Arial"/>
                <w:sz w:val="12"/>
                <w:szCs w:val="12"/>
                <w:color w:val="auto"/>
              </w:rPr>
              <w:t>EXHIBITS</w:t>
            </w:r>
          </w:p>
        </w:tc>
        <w:tc>
          <w:tcPr>
            <w:tcW w:w="7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940" w:type="dxa"/>
            <w:vAlign w:val="bottom"/>
            <w:shd w:val="clear" w:color="auto" w:fill="711470"/>
          </w:tcPr>
          <w:p>
            <w:pPr>
              <w:spacing w:after="0"/>
              <w:rPr>
                <w:sz w:val="11"/>
                <w:szCs w:val="11"/>
                <w:color w:val="auto"/>
              </w:rPr>
            </w:pPr>
          </w:p>
        </w:tc>
        <w:tc>
          <w:tcPr>
            <w:tcW w:w="720" w:type="dxa"/>
            <w:vAlign w:val="bottom"/>
            <w:shd w:val="clear" w:color="auto" w:fill="711470"/>
          </w:tcPr>
          <w:p>
            <w:pPr>
              <w:spacing w:after="0"/>
              <w:rPr>
                <w:sz w:val="11"/>
                <w:szCs w:val="11"/>
                <w:color w:val="auto"/>
              </w:rPr>
            </w:pPr>
          </w:p>
        </w:tc>
        <w:tc>
          <w:tcPr>
            <w:tcW w:w="1980" w:type="dxa"/>
            <w:vAlign w:val="bottom"/>
            <w:shd w:val="clear" w:color="auto" w:fill="711470"/>
          </w:tcPr>
          <w:p>
            <w:pPr>
              <w:spacing w:after="0"/>
              <w:rPr>
                <w:sz w:val="11"/>
                <w:szCs w:val="11"/>
                <w:color w:val="auto"/>
              </w:rPr>
            </w:pPr>
          </w:p>
        </w:tc>
        <w:tc>
          <w:tcPr>
            <w:tcW w:w="2080" w:type="dxa"/>
            <w:vAlign w:val="bottom"/>
            <w:shd w:val="clear" w:color="auto" w:fill="711470"/>
          </w:tcPr>
          <w:p>
            <w:pPr>
              <w:spacing w:after="0"/>
              <w:rPr>
                <w:sz w:val="11"/>
                <w:szCs w:val="11"/>
                <w:color w:val="auto"/>
              </w:rPr>
            </w:pPr>
          </w:p>
        </w:tc>
        <w:tc>
          <w:tcPr>
            <w:tcW w:w="2700" w:type="dxa"/>
            <w:vAlign w:val="bottom"/>
            <w:shd w:val="clear" w:color="auto" w:fill="711470"/>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940" w:type="dxa"/>
            <w:vAlign w:val="bottom"/>
            <w:shd w:val="clear" w:color="auto" w:fill="CECAC6"/>
          </w:tcPr>
          <w:p>
            <w:pPr>
              <w:spacing w:after="0"/>
              <w:rPr>
                <w:sz w:val="11"/>
                <w:szCs w:val="11"/>
                <w:color w:val="auto"/>
              </w:rPr>
            </w:pPr>
          </w:p>
        </w:tc>
        <w:tc>
          <w:tcPr>
            <w:tcW w:w="720" w:type="dxa"/>
            <w:vAlign w:val="bottom"/>
            <w:vMerge w:val="restart"/>
            <w:shd w:val="clear" w:color="auto" w:fill="CECAC6"/>
          </w:tcPr>
          <w:p>
            <w:pPr>
              <w:jc w:val="right"/>
              <w:ind w:right="98"/>
              <w:spacing w:after="0"/>
              <w:rPr>
                <w:sz w:val="20"/>
                <w:szCs w:val="20"/>
                <w:color w:val="auto"/>
              </w:rPr>
            </w:pPr>
            <w:r>
              <w:rPr>
                <w:rFonts w:ascii="Arial" w:cs="Arial" w:eastAsia="Arial" w:hAnsi="Arial"/>
                <w:sz w:val="12"/>
                <w:szCs w:val="12"/>
                <w:b w:val="1"/>
                <w:bCs w:val="1"/>
                <w:color w:val="auto"/>
              </w:rPr>
              <w:t>%</w:t>
            </w:r>
          </w:p>
        </w:tc>
        <w:tc>
          <w:tcPr>
            <w:tcW w:w="1980" w:type="dxa"/>
            <w:vAlign w:val="bottom"/>
            <w:shd w:val="clear" w:color="auto" w:fill="CECAC6"/>
          </w:tcPr>
          <w:p>
            <w:pPr>
              <w:ind w:left="160"/>
              <w:spacing w:after="0" w:line="128" w:lineRule="exact"/>
              <w:rPr>
                <w:sz w:val="20"/>
                <w:szCs w:val="20"/>
                <w:color w:val="auto"/>
              </w:rPr>
            </w:pPr>
            <w:r>
              <w:rPr>
                <w:rFonts w:ascii="Arial" w:cs="Arial" w:eastAsia="Arial" w:hAnsi="Arial"/>
                <w:sz w:val="12"/>
                <w:szCs w:val="12"/>
                <w:color w:val="auto"/>
              </w:rPr>
              <w:t>Country of</w:t>
            </w:r>
          </w:p>
        </w:tc>
        <w:tc>
          <w:tcPr>
            <w:tcW w:w="2080" w:type="dxa"/>
            <w:vAlign w:val="bottom"/>
            <w:shd w:val="clear" w:color="auto" w:fill="CECAC6"/>
          </w:tcPr>
          <w:p>
            <w:pPr>
              <w:spacing w:after="0"/>
              <w:rPr>
                <w:sz w:val="11"/>
                <w:szCs w:val="11"/>
                <w:color w:val="auto"/>
              </w:rPr>
            </w:pPr>
          </w:p>
        </w:tc>
        <w:tc>
          <w:tcPr>
            <w:tcW w:w="270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940" w:type="dxa"/>
            <w:vAlign w:val="bottom"/>
            <w:shd w:val="clear" w:color="auto" w:fill="CECAC6"/>
          </w:tcPr>
          <w:p>
            <w:pPr>
              <w:spacing w:after="0"/>
              <w:rPr>
                <w:sz w:val="20"/>
                <w:szCs w:val="20"/>
                <w:color w:val="auto"/>
              </w:rPr>
            </w:pPr>
            <w:r>
              <w:rPr>
                <w:rFonts w:ascii="Arial" w:cs="Arial" w:eastAsia="Arial" w:hAnsi="Arial"/>
                <w:sz w:val="12"/>
                <w:szCs w:val="12"/>
                <w:color w:val="auto"/>
              </w:rPr>
              <w:t>Subsidiary undertakings</w:t>
            </w:r>
          </w:p>
        </w:tc>
        <w:tc>
          <w:tcPr>
            <w:tcW w:w="720" w:type="dxa"/>
            <w:vAlign w:val="bottom"/>
            <w:vMerge w:val="continue"/>
            <w:shd w:val="clear" w:color="auto" w:fill="CECAC6"/>
          </w:tcPr>
          <w:p>
            <w:pPr>
              <w:spacing w:after="0"/>
              <w:rPr>
                <w:sz w:val="12"/>
                <w:szCs w:val="12"/>
                <w:color w:val="auto"/>
              </w:rPr>
            </w:pPr>
          </w:p>
        </w:tc>
        <w:tc>
          <w:tcPr>
            <w:tcW w:w="1980" w:type="dxa"/>
            <w:vAlign w:val="bottom"/>
            <w:shd w:val="clear" w:color="auto" w:fill="CECAC6"/>
          </w:tcPr>
          <w:p>
            <w:pPr>
              <w:ind w:left="160"/>
              <w:spacing w:after="0"/>
              <w:rPr>
                <w:sz w:val="20"/>
                <w:szCs w:val="20"/>
                <w:color w:val="auto"/>
              </w:rPr>
            </w:pPr>
            <w:r>
              <w:rPr>
                <w:rFonts w:ascii="Arial" w:cs="Arial" w:eastAsia="Arial" w:hAnsi="Arial"/>
                <w:sz w:val="12"/>
                <w:szCs w:val="12"/>
                <w:color w:val="auto"/>
              </w:rPr>
              <w:t>incorporation</w:t>
            </w:r>
          </w:p>
        </w:tc>
        <w:tc>
          <w:tcPr>
            <w:tcW w:w="2080" w:type="dxa"/>
            <w:vAlign w:val="bottom"/>
            <w:shd w:val="clear" w:color="auto" w:fill="CECAC6"/>
          </w:tcPr>
          <w:p>
            <w:pPr>
              <w:ind w:left="460"/>
              <w:spacing w:after="0"/>
              <w:rPr>
                <w:sz w:val="20"/>
                <w:szCs w:val="20"/>
                <w:color w:val="auto"/>
              </w:rPr>
            </w:pPr>
            <w:r>
              <w:rPr>
                <w:rFonts w:ascii="Arial" w:cs="Arial" w:eastAsia="Arial" w:hAnsi="Arial"/>
                <w:sz w:val="12"/>
                <w:szCs w:val="12"/>
                <w:color w:val="auto"/>
              </w:rPr>
              <w:t>Principal activities</w:t>
            </w:r>
          </w:p>
        </w:tc>
        <w:tc>
          <w:tcPr>
            <w:tcW w:w="2700" w:type="dxa"/>
            <w:vAlign w:val="bottom"/>
            <w:shd w:val="clear" w:color="auto" w:fill="CECAC6"/>
          </w:tcPr>
          <w:p>
            <w:pPr>
              <w:ind w:left="660"/>
              <w:spacing w:after="0"/>
              <w:rPr>
                <w:sz w:val="20"/>
                <w:szCs w:val="20"/>
                <w:color w:val="auto"/>
              </w:rPr>
            </w:pPr>
            <w:r>
              <w:rPr>
                <w:rFonts w:ascii="Arial" w:cs="Arial" w:eastAsia="Arial" w:hAnsi="Arial"/>
                <w:sz w:val="12"/>
                <w:szCs w:val="12"/>
                <w:color w:val="auto"/>
              </w:rPr>
              <w:t>Class of shares held</w:t>
            </w:r>
          </w:p>
        </w:tc>
        <w:tc>
          <w:tcPr>
            <w:tcW w:w="0" w:type="dxa"/>
            <w:vAlign w:val="bottom"/>
          </w:tcPr>
          <w:p>
            <w:pPr>
              <w:spacing w:after="0"/>
              <w:rPr>
                <w:sz w:val="1"/>
                <w:szCs w:val="1"/>
                <w:color w:val="auto"/>
              </w:rPr>
            </w:pPr>
          </w:p>
        </w:tc>
      </w:tr>
      <w:tr>
        <w:trPr>
          <w:trHeight w:val="127"/>
        </w:trPr>
        <w:tc>
          <w:tcPr>
            <w:tcW w:w="3940" w:type="dxa"/>
            <w:vAlign w:val="bottom"/>
          </w:tcPr>
          <w:p>
            <w:pPr>
              <w:spacing w:after="0" w:line="128" w:lineRule="exact"/>
              <w:rPr>
                <w:sz w:val="20"/>
                <w:szCs w:val="20"/>
                <w:color w:val="auto"/>
              </w:rPr>
            </w:pPr>
            <w:r>
              <w:rPr>
                <w:rFonts w:ascii="Arial" w:cs="Arial" w:eastAsia="Arial" w:hAnsi="Arial"/>
                <w:sz w:val="12"/>
                <w:szCs w:val="12"/>
                <w:color w:val="auto"/>
              </w:rPr>
              <w:t>Shell Development (Australia) PTY Ltd</w:t>
            </w:r>
          </w:p>
        </w:tc>
        <w:tc>
          <w:tcPr>
            <w:tcW w:w="720" w:type="dxa"/>
            <w:vAlign w:val="bottom"/>
          </w:tcPr>
          <w:p>
            <w:pPr>
              <w:jc w:val="right"/>
              <w:ind w:right="98"/>
              <w:spacing w:after="0" w:line="128"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28" w:lineRule="exact"/>
              <w:rPr>
                <w:sz w:val="20"/>
                <w:szCs w:val="20"/>
                <w:color w:val="auto"/>
              </w:rPr>
            </w:pPr>
            <w:r>
              <w:rPr>
                <w:rFonts w:ascii="Arial" w:cs="Arial" w:eastAsia="Arial" w:hAnsi="Arial"/>
                <w:sz w:val="12"/>
                <w:szCs w:val="12"/>
                <w:color w:val="auto"/>
              </w:rPr>
              <w:t>Australia</w:t>
            </w:r>
          </w:p>
        </w:tc>
        <w:tc>
          <w:tcPr>
            <w:tcW w:w="2080" w:type="dxa"/>
            <w:vAlign w:val="bottom"/>
          </w:tcPr>
          <w:p>
            <w:pPr>
              <w:ind w:left="460"/>
              <w:spacing w:after="0" w:line="128"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28"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Western Supply &amp; Trading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Barbados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Nominative</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Qatar Shell GTL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Bermuda (Overseas)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Overseas Holdings (Oman)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Coral Cibola Canada Inc</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Canada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Energy North America (Canada) Inc</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Canada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 Preference</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Energy Deutschland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Erneuerbare Energien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Ferngasbeteiligungsgesellschaft 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Sarawak Shell Berhad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Malaysia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Malaysia Trading Sendirian Berhad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Malaysia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MDS (Malaysia) Sendirian Berhad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72</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Malaysia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Redeemable Preference, 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Nigeria Gas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Nigeria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Eastern Trading (PTE)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Redeemable Preference, 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Tankers (Singapore) Private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Espana S.A.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Spain</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Energy Europe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Gas &amp; Power International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Gas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Generating (Holding)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Global Solutions International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Western LNG B.V.</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Energy Trading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Gas Direct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Tankers (UK)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Coral Energy Resources, L.P.</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Partnership capital</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Coral Power, L.L.C.</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Energy North America (US) L.P.</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Partnership capital</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North American LNG</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2"/>
                <w:szCs w:val="12"/>
                <w:color w:val="auto"/>
              </w:rPr>
              <w:t>Shell Windenergy Inc</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United States of America</w:t>
            </w:r>
          </w:p>
        </w:tc>
        <w:tc>
          <w:tcPr>
            <w:tcW w:w="2080" w:type="dxa"/>
            <w:vAlign w:val="bottom"/>
          </w:tcPr>
          <w:p>
            <w:pPr>
              <w:ind w:left="460"/>
              <w:spacing w:after="0"/>
              <w:rPr>
                <w:sz w:val="20"/>
                <w:szCs w:val="20"/>
                <w:color w:val="auto"/>
              </w:rPr>
            </w:pPr>
            <w:r>
              <w:rPr>
                <w:rFonts w:ascii="Arial" w:cs="Arial" w:eastAsia="Arial" w:hAnsi="Arial"/>
                <w:sz w:val="12"/>
                <w:szCs w:val="12"/>
                <w:color w:val="auto"/>
              </w:rPr>
              <w:t>Gas &amp; Power</w:t>
            </w:r>
          </w:p>
        </w:tc>
        <w:tc>
          <w:tcPr>
            <w:tcW w:w="2700" w:type="dxa"/>
            <w:vAlign w:val="bottom"/>
          </w:tcPr>
          <w:p>
            <w:pPr>
              <w:ind w:left="660"/>
              <w:spacing w:after="0"/>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266"/>
        </w:trPr>
        <w:tc>
          <w:tcPr>
            <w:tcW w:w="3940" w:type="dxa"/>
            <w:vAlign w:val="bottom"/>
          </w:tcPr>
          <w:p>
            <w:pPr>
              <w:spacing w:after="0"/>
              <w:rPr>
                <w:sz w:val="20"/>
                <w:szCs w:val="20"/>
                <w:color w:val="auto"/>
              </w:rPr>
            </w:pPr>
            <w:r>
              <w:rPr>
                <w:rFonts w:ascii="Arial" w:cs="Arial" w:eastAsia="Arial" w:hAnsi="Arial"/>
                <w:sz w:val="12"/>
                <w:szCs w:val="12"/>
                <w:color w:val="auto"/>
              </w:rPr>
              <w:t>Shell Canada Ltd</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Canada</w:t>
            </w:r>
          </w:p>
        </w:tc>
        <w:tc>
          <w:tcPr>
            <w:tcW w:w="2080" w:type="dxa"/>
            <w:vAlign w:val="bottom"/>
          </w:tcPr>
          <w:p>
            <w:pPr>
              <w:ind w:left="460"/>
              <w:spacing w:after="0"/>
              <w:rPr>
                <w:sz w:val="20"/>
                <w:szCs w:val="20"/>
                <w:color w:val="auto"/>
              </w:rPr>
            </w:pPr>
            <w:r>
              <w:rPr>
                <w:rFonts w:ascii="Arial" w:cs="Arial" w:eastAsia="Arial" w:hAnsi="Arial"/>
                <w:sz w:val="12"/>
                <w:szCs w:val="12"/>
                <w:color w:val="auto"/>
              </w:rPr>
              <w:t>Oil Sands</w:t>
            </w:r>
          </w:p>
        </w:tc>
        <w:tc>
          <w:tcPr>
            <w:tcW w:w="2700" w:type="dxa"/>
            <w:vAlign w:val="bottom"/>
          </w:tcPr>
          <w:p>
            <w:pPr>
              <w:ind w:left="660"/>
              <w:spacing w:after="0"/>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251"/>
        </w:trPr>
        <w:tc>
          <w:tcPr>
            <w:tcW w:w="3940" w:type="dxa"/>
            <w:vAlign w:val="bottom"/>
          </w:tcPr>
          <w:p>
            <w:pPr>
              <w:spacing w:after="0"/>
              <w:rPr>
                <w:sz w:val="20"/>
                <w:szCs w:val="20"/>
                <w:color w:val="auto"/>
              </w:rPr>
            </w:pPr>
            <w:r>
              <w:rPr>
                <w:rFonts w:ascii="Arial" w:cs="Arial" w:eastAsia="Arial" w:hAnsi="Arial"/>
                <w:sz w:val="12"/>
                <w:szCs w:val="12"/>
                <w:color w:val="auto"/>
              </w:rPr>
              <w:t>Shell Compania Argentina de Petroleo S.A.</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Argentina</w:t>
            </w:r>
          </w:p>
        </w:tc>
        <w:tc>
          <w:tcPr>
            <w:tcW w:w="2080" w:type="dxa"/>
            <w:vAlign w:val="bottom"/>
          </w:tcPr>
          <w:p>
            <w:pPr>
              <w:ind w:left="460"/>
              <w:spacing w:after="0"/>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rPr>
                <w:sz w:val="20"/>
                <w:szCs w:val="20"/>
                <w:color w:val="auto"/>
              </w:rPr>
            </w:pPr>
            <w:r>
              <w:rPr>
                <w:rFonts w:ascii="Arial" w:cs="Arial" w:eastAsia="Arial" w:hAnsi="Arial"/>
                <w:sz w:val="12"/>
                <w:szCs w:val="12"/>
                <w:color w:val="auto"/>
              </w:rPr>
              <w:t>Nominative</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Australia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Australia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Refining (Australia) Proprietary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Australia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The Shell Company of Australia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Australia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Belgian Shell S.A.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Belgium</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Saudi Arabia (Refining)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International Trading Middle East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Brasil Ltda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Brazil</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Quotas</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Chile Sociedad Anonima Comercial e Industrial</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Chile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Czech Republic Akciova Spolecnost</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Czech Republic</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A/S Dansk Shell</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Denmark</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Butagaz SAS</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Compagnie Rhenane de Raffinage S.A.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Couronnaise de Raffinage SAS</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Europe Service Restauration S.A.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J.P. Industrie SAS</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STE d’ Exploitation de Stations-Service d’Autoroutes</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STE de Gestion Mobiliere et Immobiliere S.A.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STE des Petroles Shell SAS</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Deutsche Shell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Deutsche Shell Holding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Deutschland Oil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Direct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Direct Services GmbH</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Hellas A.E.</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Greece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Nominative</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Hong Kong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Hong Kong</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India Marketing Private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India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Italia S.P.A.</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Italy</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New Zealand Holding company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New Zealand</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Pakistan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76</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Pakistan</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Pilipinas Shell Petroleum Corporation</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67</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Philippines</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Polska SP. Z O.O.</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Poland</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Asiatic Petroleum Company (Dublin)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Republic of Ireland</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Aviation Ireland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Republic of Ireland</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Eastern Petroleum (PTE) Ltd</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Redeemable Preference, Ordinary</w:t>
            </w:r>
          </w:p>
        </w:tc>
        <w:tc>
          <w:tcPr>
            <w:tcW w:w="0" w:type="dxa"/>
            <w:vAlign w:val="bottom"/>
          </w:tcPr>
          <w:p>
            <w:pPr>
              <w:spacing w:after="0"/>
              <w:rPr>
                <w:sz w:val="1"/>
                <w:szCs w:val="1"/>
                <w:color w:val="auto"/>
              </w:rPr>
            </w:pPr>
          </w:p>
        </w:tc>
      </w:tr>
      <w:tr>
        <w:trPr>
          <w:trHeight w:val="133"/>
        </w:trPr>
        <w:tc>
          <w:tcPr>
            <w:tcW w:w="3940" w:type="dxa"/>
            <w:vAlign w:val="bottom"/>
          </w:tcPr>
          <w:p>
            <w:pPr>
              <w:spacing w:after="0" w:line="133" w:lineRule="exact"/>
              <w:rPr>
                <w:sz w:val="20"/>
                <w:szCs w:val="20"/>
                <w:color w:val="auto"/>
              </w:rPr>
            </w:pPr>
            <w:r>
              <w:rPr>
                <w:rFonts w:ascii="Arial" w:cs="Arial" w:eastAsia="Arial" w:hAnsi="Arial"/>
                <w:sz w:val="12"/>
                <w:szCs w:val="12"/>
                <w:color w:val="auto"/>
              </w:rPr>
              <w:t>Shell Slovakia S.R.O.</w:t>
            </w:r>
          </w:p>
        </w:tc>
        <w:tc>
          <w:tcPr>
            <w:tcW w:w="72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Slovakia</w:t>
            </w:r>
          </w:p>
        </w:tc>
        <w:tc>
          <w:tcPr>
            <w:tcW w:w="2080" w:type="dxa"/>
            <w:vAlign w:val="bottom"/>
          </w:tcPr>
          <w:p>
            <w:pPr>
              <w:ind w:left="460"/>
              <w:spacing w:after="0" w:line="133" w:lineRule="exact"/>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20"/>
                <w:szCs w:val="20"/>
                <w:color w:val="auto"/>
              </w:rPr>
            </w:pPr>
            <w:r>
              <w:rPr>
                <w:rFonts w:ascii="Arial" w:cs="Arial" w:eastAsia="Arial" w:hAnsi="Arial"/>
                <w:sz w:val="12"/>
                <w:szCs w:val="12"/>
                <w:color w:val="auto"/>
              </w:rPr>
              <w:t>Shell South Africa Energy (PTY) Ltd</w:t>
            </w:r>
          </w:p>
        </w:tc>
        <w:tc>
          <w:tcPr>
            <w:tcW w:w="72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South Africa</w:t>
            </w:r>
          </w:p>
        </w:tc>
        <w:tc>
          <w:tcPr>
            <w:tcW w:w="2080" w:type="dxa"/>
            <w:vAlign w:val="bottom"/>
          </w:tcPr>
          <w:p>
            <w:pPr>
              <w:ind w:left="460"/>
              <w:spacing w:after="0"/>
              <w:rPr>
                <w:sz w:val="20"/>
                <w:szCs w:val="20"/>
                <w:color w:val="auto"/>
              </w:rPr>
            </w:pPr>
            <w:r>
              <w:rPr>
                <w:rFonts w:ascii="Arial" w:cs="Arial" w:eastAsia="Arial" w:hAnsi="Arial"/>
                <w:sz w:val="12"/>
                <w:szCs w:val="12"/>
                <w:color w:val="auto"/>
              </w:rPr>
              <w:t>Oil Products</w:t>
            </w:r>
          </w:p>
        </w:tc>
        <w:tc>
          <w:tcPr>
            <w:tcW w:w="2700" w:type="dxa"/>
            <w:vAlign w:val="bottom"/>
          </w:tcPr>
          <w:p>
            <w:pPr>
              <w:ind w:left="660"/>
              <w:spacing w:after="0"/>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E3</w:t>
      </w:r>
      <w:r>
        <w:rPr>
          <w:sz w:val="20"/>
          <w:szCs w:val="20"/>
          <w:color w:val="auto"/>
        </w:rPr>
        <w:tab/>
      </w:r>
      <w:r>
        <w:rPr>
          <w:rFonts w:ascii="Arial" w:cs="Arial" w:eastAsia="Arial" w:hAnsi="Arial"/>
          <w:sz w:val="12"/>
          <w:szCs w:val="12"/>
          <w:color w:val="auto"/>
        </w:rPr>
        <w:t>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378460</wp:posOffset>
            </wp:positionV>
            <wp:extent cx="7252970" cy="209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52970" cy="20955"/>
                    </a:xfrm>
                    <a:prstGeom prst="rect">
                      <a:avLst/>
                    </a:prstGeom>
                    <a:noFill/>
                  </pic:spPr>
                </pic:pic>
              </a:graphicData>
            </a:graphic>
          </wp:anchor>
        </w:drawing>
      </w:r>
    </w:p>
    <w:p>
      <w:pPr>
        <w:sectPr>
          <w:pgSz w:w="11900" w:h="16838" w:orient="portrait"/>
          <w:cols w:equalWidth="0" w:num="1">
            <w:col w:w="11420"/>
          </w:cols>
          <w:pgMar w:left="240" w:top="924" w:right="23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133"/>
        </w:trPr>
        <w:tc>
          <w:tcPr>
            <w:tcW w:w="3740" w:type="dxa"/>
            <w:vAlign w:val="bottom"/>
            <w:shd w:val="clear" w:color="auto" w:fill="711470"/>
          </w:tcPr>
          <w:p>
            <w:pPr>
              <w:spacing w:after="0"/>
              <w:rPr>
                <w:sz w:val="11"/>
                <w:szCs w:val="11"/>
                <w:color w:val="auto"/>
              </w:rPr>
            </w:pPr>
          </w:p>
        </w:tc>
        <w:tc>
          <w:tcPr>
            <w:tcW w:w="700" w:type="dxa"/>
            <w:vAlign w:val="bottom"/>
            <w:shd w:val="clear" w:color="auto" w:fill="711470"/>
          </w:tcPr>
          <w:p>
            <w:pPr>
              <w:spacing w:after="0"/>
              <w:rPr>
                <w:sz w:val="11"/>
                <w:szCs w:val="11"/>
                <w:color w:val="auto"/>
              </w:rPr>
            </w:pPr>
          </w:p>
        </w:tc>
        <w:tc>
          <w:tcPr>
            <w:tcW w:w="1980" w:type="dxa"/>
            <w:vAlign w:val="bottom"/>
            <w:shd w:val="clear" w:color="auto" w:fill="711470"/>
          </w:tcPr>
          <w:p>
            <w:pPr>
              <w:spacing w:after="0"/>
              <w:rPr>
                <w:sz w:val="11"/>
                <w:szCs w:val="11"/>
                <w:color w:val="auto"/>
              </w:rPr>
            </w:pPr>
          </w:p>
        </w:tc>
        <w:tc>
          <w:tcPr>
            <w:tcW w:w="1900" w:type="dxa"/>
            <w:vAlign w:val="bottom"/>
            <w:shd w:val="clear" w:color="auto" w:fill="711470"/>
          </w:tcPr>
          <w:p>
            <w:pPr>
              <w:spacing w:after="0"/>
              <w:rPr>
                <w:sz w:val="11"/>
                <w:szCs w:val="11"/>
                <w:color w:val="auto"/>
              </w:rPr>
            </w:pPr>
          </w:p>
        </w:tc>
        <w:tc>
          <w:tcPr>
            <w:tcW w:w="2520" w:type="dxa"/>
            <w:vAlign w:val="bottom"/>
            <w:shd w:val="clear" w:color="auto" w:fill="711470"/>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740" w:type="dxa"/>
            <w:vAlign w:val="bottom"/>
            <w:shd w:val="clear" w:color="auto" w:fill="CECAC6"/>
          </w:tcPr>
          <w:p>
            <w:pPr>
              <w:spacing w:after="0"/>
              <w:rPr>
                <w:sz w:val="11"/>
                <w:szCs w:val="11"/>
                <w:color w:val="auto"/>
              </w:rPr>
            </w:pPr>
          </w:p>
        </w:tc>
        <w:tc>
          <w:tcPr>
            <w:tcW w:w="700" w:type="dxa"/>
            <w:vAlign w:val="bottom"/>
            <w:vMerge w:val="restart"/>
            <w:shd w:val="clear" w:color="auto" w:fill="CECAC6"/>
          </w:tcPr>
          <w:p>
            <w:pPr>
              <w:jc w:val="right"/>
              <w:ind w:right="98"/>
              <w:spacing w:after="0"/>
              <w:rPr>
                <w:sz w:val="20"/>
                <w:szCs w:val="20"/>
                <w:color w:val="auto"/>
              </w:rPr>
            </w:pPr>
            <w:r>
              <w:rPr>
                <w:rFonts w:ascii="Arial" w:cs="Arial" w:eastAsia="Arial" w:hAnsi="Arial"/>
                <w:sz w:val="12"/>
                <w:szCs w:val="12"/>
                <w:b w:val="1"/>
                <w:bCs w:val="1"/>
                <w:color w:val="auto"/>
              </w:rPr>
              <w:t>%</w:t>
            </w:r>
          </w:p>
        </w:tc>
        <w:tc>
          <w:tcPr>
            <w:tcW w:w="1980" w:type="dxa"/>
            <w:vAlign w:val="bottom"/>
            <w:shd w:val="clear" w:color="auto" w:fill="CECAC6"/>
          </w:tcPr>
          <w:p>
            <w:pPr>
              <w:ind w:left="160"/>
              <w:spacing w:after="0" w:line="128" w:lineRule="exact"/>
              <w:rPr>
                <w:sz w:val="20"/>
                <w:szCs w:val="20"/>
                <w:color w:val="auto"/>
              </w:rPr>
            </w:pPr>
            <w:r>
              <w:rPr>
                <w:rFonts w:ascii="Arial" w:cs="Arial" w:eastAsia="Arial" w:hAnsi="Arial"/>
                <w:sz w:val="12"/>
                <w:szCs w:val="12"/>
                <w:color w:val="auto"/>
              </w:rPr>
              <w:t>Country of</w:t>
            </w:r>
          </w:p>
        </w:tc>
        <w:tc>
          <w:tcPr>
            <w:tcW w:w="1900" w:type="dxa"/>
            <w:vAlign w:val="bottom"/>
            <w:shd w:val="clear" w:color="auto" w:fill="CECAC6"/>
          </w:tcPr>
          <w:p>
            <w:pPr>
              <w:spacing w:after="0"/>
              <w:rPr>
                <w:sz w:val="11"/>
                <w:szCs w:val="11"/>
                <w:color w:val="auto"/>
              </w:rPr>
            </w:pPr>
          </w:p>
        </w:tc>
        <w:tc>
          <w:tcPr>
            <w:tcW w:w="2520" w:type="dxa"/>
            <w:vAlign w:val="bottom"/>
            <w:shd w:val="clear" w:color="auto" w:fill="CECAC6"/>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ECAC6"/>
          </w:tcPr>
          <w:p>
            <w:pPr>
              <w:spacing w:after="0"/>
              <w:rPr>
                <w:sz w:val="20"/>
                <w:szCs w:val="20"/>
                <w:color w:val="auto"/>
              </w:rPr>
            </w:pPr>
            <w:r>
              <w:rPr>
                <w:rFonts w:ascii="Arial" w:cs="Arial" w:eastAsia="Arial" w:hAnsi="Arial"/>
                <w:sz w:val="12"/>
                <w:szCs w:val="12"/>
                <w:color w:val="auto"/>
              </w:rPr>
              <w:t>Subsidiary undertakings</w:t>
            </w:r>
          </w:p>
        </w:tc>
        <w:tc>
          <w:tcPr>
            <w:tcW w:w="700" w:type="dxa"/>
            <w:vAlign w:val="bottom"/>
            <w:vMerge w:val="continue"/>
            <w:shd w:val="clear" w:color="auto" w:fill="CECAC6"/>
          </w:tcPr>
          <w:p>
            <w:pPr>
              <w:spacing w:after="0"/>
              <w:rPr>
                <w:sz w:val="12"/>
                <w:szCs w:val="12"/>
                <w:color w:val="auto"/>
              </w:rPr>
            </w:pPr>
          </w:p>
        </w:tc>
        <w:tc>
          <w:tcPr>
            <w:tcW w:w="1980" w:type="dxa"/>
            <w:vAlign w:val="bottom"/>
            <w:shd w:val="clear" w:color="auto" w:fill="CECAC6"/>
          </w:tcPr>
          <w:p>
            <w:pPr>
              <w:ind w:left="160"/>
              <w:spacing w:after="0"/>
              <w:rPr>
                <w:sz w:val="20"/>
                <w:szCs w:val="20"/>
                <w:color w:val="auto"/>
              </w:rPr>
            </w:pPr>
            <w:r>
              <w:rPr>
                <w:rFonts w:ascii="Arial" w:cs="Arial" w:eastAsia="Arial" w:hAnsi="Arial"/>
                <w:sz w:val="12"/>
                <w:szCs w:val="12"/>
                <w:color w:val="auto"/>
              </w:rPr>
              <w:t>incorporation</w:t>
            </w:r>
          </w:p>
        </w:tc>
        <w:tc>
          <w:tcPr>
            <w:tcW w:w="1900" w:type="dxa"/>
            <w:vAlign w:val="bottom"/>
            <w:shd w:val="clear" w:color="auto" w:fill="CECAC6"/>
          </w:tcPr>
          <w:p>
            <w:pPr>
              <w:ind w:left="320"/>
              <w:spacing w:after="0"/>
              <w:rPr>
                <w:sz w:val="20"/>
                <w:szCs w:val="20"/>
                <w:color w:val="auto"/>
              </w:rPr>
            </w:pPr>
            <w:r>
              <w:rPr>
                <w:rFonts w:ascii="Arial" w:cs="Arial" w:eastAsia="Arial" w:hAnsi="Arial"/>
                <w:sz w:val="12"/>
                <w:szCs w:val="12"/>
                <w:color w:val="auto"/>
              </w:rPr>
              <w:t>Principal activities</w:t>
            </w:r>
          </w:p>
        </w:tc>
        <w:tc>
          <w:tcPr>
            <w:tcW w:w="2520" w:type="dxa"/>
            <w:vAlign w:val="bottom"/>
            <w:shd w:val="clear" w:color="auto" w:fill="CECAC6"/>
          </w:tcPr>
          <w:p>
            <w:pPr>
              <w:ind w:left="580"/>
              <w:spacing w:after="0"/>
              <w:rPr>
                <w:sz w:val="20"/>
                <w:szCs w:val="20"/>
                <w:color w:val="auto"/>
              </w:rPr>
            </w:pPr>
            <w:r>
              <w:rPr>
                <w:rFonts w:ascii="Arial" w:cs="Arial" w:eastAsia="Arial" w:hAnsi="Arial"/>
                <w:sz w:val="12"/>
                <w:szCs w:val="12"/>
                <w:color w:val="auto"/>
              </w:rPr>
              <w:t>Class of shares held</w:t>
            </w:r>
          </w:p>
        </w:tc>
        <w:tc>
          <w:tcPr>
            <w:tcW w:w="0" w:type="dxa"/>
            <w:vAlign w:val="bottom"/>
          </w:tcPr>
          <w:p>
            <w:pPr>
              <w:spacing w:after="0"/>
              <w:rPr>
                <w:sz w:val="1"/>
                <w:szCs w:val="1"/>
                <w:color w:val="auto"/>
              </w:rPr>
            </w:pPr>
          </w:p>
        </w:tc>
      </w:tr>
      <w:tr>
        <w:trPr>
          <w:trHeight w:val="127"/>
        </w:trPr>
        <w:tc>
          <w:tcPr>
            <w:tcW w:w="3740" w:type="dxa"/>
            <w:vAlign w:val="bottom"/>
          </w:tcPr>
          <w:p>
            <w:pPr>
              <w:spacing w:after="0" w:line="128" w:lineRule="exact"/>
              <w:rPr>
                <w:sz w:val="20"/>
                <w:szCs w:val="20"/>
                <w:color w:val="auto"/>
              </w:rPr>
            </w:pPr>
            <w:r>
              <w:rPr>
                <w:rFonts w:ascii="Arial" w:cs="Arial" w:eastAsia="Arial" w:hAnsi="Arial"/>
                <w:sz w:val="12"/>
                <w:szCs w:val="12"/>
                <w:color w:val="auto"/>
              </w:rPr>
              <w:t>Shell South Africa Marketing (PTY) Ltd</w:t>
            </w:r>
          </w:p>
        </w:tc>
        <w:tc>
          <w:tcPr>
            <w:tcW w:w="700" w:type="dxa"/>
            <w:vAlign w:val="bottom"/>
          </w:tcPr>
          <w:p>
            <w:pPr>
              <w:jc w:val="right"/>
              <w:ind w:right="98"/>
              <w:spacing w:after="0" w:line="128" w:lineRule="exact"/>
              <w:rPr>
                <w:sz w:val="20"/>
                <w:szCs w:val="20"/>
                <w:color w:val="auto"/>
              </w:rPr>
            </w:pPr>
            <w:r>
              <w:rPr>
                <w:rFonts w:ascii="Arial" w:cs="Arial" w:eastAsia="Arial" w:hAnsi="Arial"/>
                <w:sz w:val="12"/>
                <w:szCs w:val="12"/>
                <w:color w:val="auto"/>
              </w:rPr>
              <w:t>75</w:t>
            </w:r>
          </w:p>
        </w:tc>
        <w:tc>
          <w:tcPr>
            <w:tcW w:w="1980" w:type="dxa"/>
            <w:vAlign w:val="bottom"/>
          </w:tcPr>
          <w:p>
            <w:pPr>
              <w:ind w:left="160"/>
              <w:spacing w:after="0" w:line="128" w:lineRule="exact"/>
              <w:rPr>
                <w:sz w:val="20"/>
                <w:szCs w:val="20"/>
                <w:color w:val="auto"/>
              </w:rPr>
            </w:pPr>
            <w:r>
              <w:rPr>
                <w:rFonts w:ascii="Arial" w:cs="Arial" w:eastAsia="Arial" w:hAnsi="Arial"/>
                <w:sz w:val="12"/>
                <w:szCs w:val="12"/>
                <w:color w:val="auto"/>
              </w:rPr>
              <w:t>South Africa</w:t>
            </w:r>
          </w:p>
        </w:tc>
        <w:tc>
          <w:tcPr>
            <w:tcW w:w="1900" w:type="dxa"/>
            <w:vAlign w:val="bottom"/>
          </w:tcPr>
          <w:p>
            <w:pPr>
              <w:ind w:left="320"/>
              <w:spacing w:after="0" w:line="128"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28"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AB Svenska Shell</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Sweden</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Raffinaderi A.B.</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Sweden</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Oliecentrale Nederland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Nederland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Nederland Raffinaderij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Nederland Verkoopmaatschappij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Trademark Management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Tankstation Exploitatie Maatschappij Nederland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Caribbean Investments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U.K. Oil Products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The Shell Company (W.I.)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The Shell Company of Thailand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Trading International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Porducts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Equilon Enterprises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Jiffy Lube International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Pennzoil-Quaker State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Pipeline Company LP</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Trading (US)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SOPC Holdings East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SOPC Holdings West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20"/>
                <w:szCs w:val="20"/>
                <w:color w:val="auto"/>
              </w:rPr>
            </w:pPr>
            <w:r>
              <w:rPr>
                <w:rFonts w:ascii="Arial" w:cs="Arial" w:eastAsia="Arial" w:hAnsi="Arial"/>
                <w:sz w:val="12"/>
                <w:szCs w:val="12"/>
                <w:color w:val="auto"/>
              </w:rPr>
              <w:t>TMR Company</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rPr>
                <w:sz w:val="20"/>
                <w:szCs w:val="20"/>
                <w:color w:val="auto"/>
              </w:rPr>
            </w:pPr>
            <w:r>
              <w:rPr>
                <w:rFonts w:ascii="Arial" w:cs="Arial" w:eastAsia="Arial" w:hAnsi="Arial"/>
                <w:sz w:val="12"/>
                <w:szCs w:val="12"/>
                <w:color w:val="auto"/>
              </w:rPr>
              <w:t>Oil Products</w:t>
            </w:r>
          </w:p>
        </w:tc>
        <w:tc>
          <w:tcPr>
            <w:tcW w:w="2520" w:type="dxa"/>
            <w:vAlign w:val="bottom"/>
          </w:tcPr>
          <w:p>
            <w:pPr>
              <w:ind w:left="580"/>
              <w:spacing w:after="0"/>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251"/>
        </w:trPr>
        <w:tc>
          <w:tcPr>
            <w:tcW w:w="3740" w:type="dxa"/>
            <w:vAlign w:val="bottom"/>
          </w:tcPr>
          <w:p>
            <w:pPr>
              <w:spacing w:after="0"/>
              <w:rPr>
                <w:sz w:val="20"/>
                <w:szCs w:val="20"/>
                <w:color w:val="auto"/>
              </w:rPr>
            </w:pPr>
            <w:r>
              <w:rPr>
                <w:rFonts w:ascii="Arial" w:cs="Arial" w:eastAsia="Arial" w:hAnsi="Arial"/>
                <w:sz w:val="12"/>
                <w:szCs w:val="12"/>
                <w:color w:val="auto"/>
              </w:rPr>
              <w:t>Shell Trading (M.E.) Private Ltd</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Bermuda</w:t>
            </w:r>
          </w:p>
        </w:tc>
        <w:tc>
          <w:tcPr>
            <w:tcW w:w="1900" w:type="dxa"/>
            <w:vAlign w:val="bottom"/>
          </w:tcPr>
          <w:p>
            <w:pPr>
              <w:ind w:left="320"/>
              <w:spacing w:after="0"/>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rPr>
                <w:sz w:val="20"/>
                <w:szCs w:val="20"/>
                <w:color w:val="auto"/>
              </w:rPr>
            </w:pPr>
            <w:r>
              <w:rPr>
                <w:rFonts w:ascii="Arial" w:cs="Arial" w:eastAsia="Arial" w:hAnsi="Arial"/>
                <w:sz w:val="12"/>
                <w:szCs w:val="12"/>
                <w:color w:val="auto"/>
              </w:rPr>
              <w:t>Redeemable Preference,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Americas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Canada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Canada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Canada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 Preference</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Petrochimie Mediterranee S.A.S.</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France</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Deutschland Oil GmbH</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Germany</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Tongyi (Beijing) Petroleum Chemical Co.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People’s Republic of China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Tongyi (Xianyang) Petroleum Chemical Co.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75</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People’s Republic of China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 Yabucoa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Puerto Rico</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Ethylene Glycols (Singapore) Pte.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70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Seraya PTE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Seraya Pioneer (PTE)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Europe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International Chemicals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Montell Holding I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Nederland Chemie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U.K.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SCOGI Louisiana Holdings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 Capital Company</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 LP</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Partnership capital</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Chemicals Arabia LLC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Chemicals</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International Energy Bank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Barbados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Bermuda (Overseas)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Holdings (Bermuda)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Solen Insurance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Bermuda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Hong Kong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Hong Kong</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Luxembourg SARL</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Luxembourg</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Centre East (PTE)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Singapore</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Finance Switzerland AG</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Switzerland</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Solen Versicherungen AG</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Switzerland</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Registered, Voting</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Finance (Netherlands)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International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International Finance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Petroleum N.V. *</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Netherlands B.V.</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the Netherlands</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Energy Investments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Finance (U.K.) plc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Overseas Holdings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Centre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Dollar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Euro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Redeemable, 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Treasury UK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The Shell Transport and Trading Company Ltd</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Kingdom</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 Preference</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 T Exchange,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33"/>
        </w:trPr>
        <w:tc>
          <w:tcPr>
            <w:tcW w:w="3740" w:type="dxa"/>
            <w:vAlign w:val="bottom"/>
          </w:tcPr>
          <w:p>
            <w:pPr>
              <w:spacing w:after="0" w:line="133" w:lineRule="exact"/>
              <w:rPr>
                <w:sz w:val="20"/>
                <w:szCs w:val="20"/>
                <w:color w:val="auto"/>
              </w:rPr>
            </w:pPr>
            <w:r>
              <w:rPr>
                <w:rFonts w:ascii="Arial" w:cs="Arial" w:eastAsia="Arial" w:hAnsi="Arial"/>
                <w:sz w:val="12"/>
                <w:szCs w:val="12"/>
                <w:color w:val="auto"/>
              </w:rPr>
              <w:t>Shell Information Technology Inc.</w:t>
            </w:r>
          </w:p>
        </w:tc>
        <w:tc>
          <w:tcPr>
            <w:tcW w:w="700" w:type="dxa"/>
            <w:vAlign w:val="bottom"/>
          </w:tcPr>
          <w:p>
            <w:pPr>
              <w:jc w:val="right"/>
              <w:ind w:right="98"/>
              <w:spacing w:after="0" w:line="133" w:lineRule="exact"/>
              <w:rPr>
                <w:sz w:val="20"/>
                <w:szCs w:val="20"/>
                <w:color w:val="auto"/>
              </w:rPr>
            </w:pPr>
            <w:r>
              <w:rPr>
                <w:rFonts w:ascii="Arial" w:cs="Arial" w:eastAsia="Arial" w:hAnsi="Arial"/>
                <w:sz w:val="12"/>
                <w:szCs w:val="12"/>
                <w:color w:val="auto"/>
              </w:rPr>
              <w:t>100</w:t>
            </w:r>
          </w:p>
        </w:tc>
        <w:tc>
          <w:tcPr>
            <w:tcW w:w="1980" w:type="dxa"/>
            <w:vAlign w:val="bottom"/>
          </w:tcPr>
          <w:p>
            <w:pPr>
              <w:ind w:left="160"/>
              <w:spacing w:after="0" w:line="133" w:lineRule="exact"/>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line="133" w:lineRule="exact"/>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line="133" w:lineRule="exact"/>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20"/>
                <w:szCs w:val="20"/>
                <w:color w:val="auto"/>
              </w:rPr>
            </w:pPr>
            <w:r>
              <w:rPr>
                <w:rFonts w:ascii="Arial" w:cs="Arial" w:eastAsia="Arial" w:hAnsi="Arial"/>
                <w:sz w:val="12"/>
                <w:szCs w:val="12"/>
                <w:color w:val="auto"/>
              </w:rPr>
              <w:t>Shell Petroleum Inc.</w:t>
            </w:r>
          </w:p>
        </w:tc>
        <w:tc>
          <w:tcPr>
            <w:tcW w:w="700" w:type="dxa"/>
            <w:vAlign w:val="bottom"/>
          </w:tcPr>
          <w:p>
            <w:pPr>
              <w:jc w:val="right"/>
              <w:ind w:right="98"/>
              <w:spacing w:after="0"/>
              <w:rPr>
                <w:sz w:val="20"/>
                <w:szCs w:val="20"/>
                <w:color w:val="auto"/>
              </w:rPr>
            </w:pPr>
            <w:r>
              <w:rPr>
                <w:rFonts w:ascii="Arial" w:cs="Arial" w:eastAsia="Arial" w:hAnsi="Arial"/>
                <w:sz w:val="12"/>
                <w:szCs w:val="12"/>
                <w:color w:val="auto"/>
              </w:rPr>
              <w:t>100</w:t>
            </w:r>
          </w:p>
        </w:tc>
        <w:tc>
          <w:tcPr>
            <w:tcW w:w="1980" w:type="dxa"/>
            <w:vAlign w:val="bottom"/>
          </w:tcPr>
          <w:p>
            <w:pPr>
              <w:ind w:left="160"/>
              <w:spacing w:after="0"/>
              <w:rPr>
                <w:sz w:val="20"/>
                <w:szCs w:val="20"/>
                <w:color w:val="auto"/>
              </w:rPr>
            </w:pPr>
            <w:r>
              <w:rPr>
                <w:rFonts w:ascii="Arial" w:cs="Arial" w:eastAsia="Arial" w:hAnsi="Arial"/>
                <w:sz w:val="12"/>
                <w:szCs w:val="12"/>
                <w:color w:val="auto"/>
              </w:rPr>
              <w:t>United States of America</w:t>
            </w:r>
          </w:p>
        </w:tc>
        <w:tc>
          <w:tcPr>
            <w:tcW w:w="1900" w:type="dxa"/>
            <w:vAlign w:val="bottom"/>
          </w:tcPr>
          <w:p>
            <w:pPr>
              <w:ind w:left="320"/>
              <w:spacing w:after="0"/>
              <w:rPr>
                <w:sz w:val="20"/>
                <w:szCs w:val="20"/>
                <w:color w:val="auto"/>
              </w:rPr>
            </w:pPr>
            <w:r>
              <w:rPr>
                <w:rFonts w:ascii="Arial" w:cs="Arial" w:eastAsia="Arial" w:hAnsi="Arial"/>
                <w:sz w:val="12"/>
                <w:szCs w:val="12"/>
                <w:color w:val="auto"/>
              </w:rPr>
              <w:t>Corporate</w:t>
            </w:r>
          </w:p>
        </w:tc>
        <w:tc>
          <w:tcPr>
            <w:tcW w:w="2520" w:type="dxa"/>
            <w:vAlign w:val="bottom"/>
          </w:tcPr>
          <w:p>
            <w:pPr>
              <w:ind w:left="580"/>
              <w:spacing w:after="0"/>
              <w:rPr>
                <w:sz w:val="20"/>
                <w:szCs w:val="20"/>
                <w:color w:val="auto"/>
              </w:rPr>
            </w:pPr>
            <w:r>
              <w:rPr>
                <w:rFonts w:ascii="Arial" w:cs="Arial" w:eastAsia="Arial" w:hAnsi="Arial"/>
                <w:sz w:val="12"/>
                <w:szCs w:val="12"/>
                <w:color w:val="auto"/>
              </w:rPr>
              <w:t>Ordinary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-5875020</wp:posOffset>
            </wp:positionV>
            <wp:extent cx="282575" cy="7882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82575" cy="788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2"/>
          <w:szCs w:val="12"/>
          <w:b w:val="1"/>
          <w:bCs w:val="1"/>
          <w:color w:val="auto"/>
        </w:rPr>
        <w:t>E4</w:t>
      </w:r>
    </w:p>
    <w:p>
      <w:pPr>
        <w:sectPr>
          <w:pgSz w:w="11900" w:h="16838" w:orient="portrait"/>
          <w:cols w:equalWidth="0" w:num="1">
            <w:col w:w="10860"/>
          </w:cols>
          <w:pgMar w:left="240" w:top="939" w:right="799" w:bottom="1440" w:gutter="0" w:footer="0" w:header="0"/>
        </w:sectPr>
      </w:pPr>
    </w:p>
    <w:bookmarkStart w:id="222" w:name="page223"/>
    <w:bookmarkEnd w:id="222"/>
    <w:p>
      <w:pPr>
        <w:spacing w:after="0"/>
        <w:rPr>
          <w:sz w:val="20"/>
          <w:szCs w:val="20"/>
          <w:color w:val="auto"/>
        </w:rPr>
      </w:pPr>
      <w:r>
        <w:rPr>
          <w:rFonts w:ascii="Arial" w:cs="Arial" w:eastAsia="Arial" w:hAnsi="Arial"/>
          <w:sz w:val="12"/>
          <w:szCs w:val="12"/>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12.1</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Jeroen van der Veer, certify that:</w:t>
      </w:r>
    </w:p>
    <w:p>
      <w:pPr>
        <w:spacing w:after="0" w:line="93" w:lineRule="exact"/>
        <w:rPr>
          <w:sz w:val="20"/>
          <w:szCs w:val="20"/>
          <w:color w:val="auto"/>
        </w:rPr>
      </w:pPr>
    </w:p>
    <w:p>
      <w:pPr>
        <w:ind w:left="200" w:hanging="193"/>
        <w:spacing w:after="0"/>
        <w:tabs>
          <w:tab w:leader="none" w:pos="2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Royal Dutch Shell plc (the “Company”);</w:t>
      </w:r>
    </w:p>
    <w:p>
      <w:pPr>
        <w:spacing w:after="0" w:line="118" w:lineRule="exact"/>
        <w:rPr>
          <w:rFonts w:ascii="Arial" w:cs="Arial" w:eastAsia="Arial" w:hAnsi="Arial"/>
          <w:sz w:val="14"/>
          <w:szCs w:val="14"/>
          <w:color w:val="auto"/>
        </w:rPr>
      </w:pPr>
    </w:p>
    <w:p>
      <w:pPr>
        <w:ind w:left="200" w:right="260" w:hanging="193"/>
        <w:spacing w:after="0" w:line="247" w:lineRule="auto"/>
        <w:tabs>
          <w:tab w:leader="none" w:pos="2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4"/>
          <w:szCs w:val="14"/>
          <w:color w:val="auto"/>
        </w:rPr>
      </w:pPr>
    </w:p>
    <w:p>
      <w:pPr>
        <w:ind w:left="200" w:right="340" w:hanging="193"/>
        <w:spacing w:after="0" w:line="247" w:lineRule="auto"/>
        <w:tabs>
          <w:tab w:leader="none" w:pos="2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Arial" w:cs="Arial" w:eastAsia="Arial" w:hAnsi="Arial"/>
          <w:sz w:val="14"/>
          <w:szCs w:val="14"/>
          <w:color w:val="auto"/>
        </w:rPr>
      </w:pPr>
    </w:p>
    <w:p>
      <w:pPr>
        <w:ind w:left="200" w:hanging="193"/>
        <w:spacing w:after="0"/>
        <w:tabs>
          <w:tab w:leader="none" w:pos="20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w:t>
      </w:r>
    </w:p>
    <w:p>
      <w:pPr>
        <w:spacing w:after="0" w:line="9" w:lineRule="exact"/>
        <w:rPr>
          <w:rFonts w:ascii="Arial" w:cs="Arial" w:eastAsia="Arial" w:hAnsi="Arial"/>
          <w:sz w:val="13"/>
          <w:szCs w:val="13"/>
          <w:color w:val="auto"/>
        </w:rPr>
      </w:pPr>
    </w:p>
    <w:p>
      <w:pPr>
        <w:ind w:left="20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Company and have:</w:t>
      </w:r>
    </w:p>
    <w:p>
      <w:pPr>
        <w:spacing w:after="0" w:line="93" w:lineRule="exact"/>
        <w:rPr>
          <w:rFonts w:ascii="Arial" w:cs="Arial" w:eastAsia="Arial" w:hAnsi="Arial"/>
          <w:sz w:val="13"/>
          <w:szCs w:val="13"/>
          <w:color w:val="auto"/>
        </w:rPr>
      </w:pPr>
    </w:p>
    <w:p>
      <w:pPr>
        <w:jc w:val="both"/>
        <w:ind w:left="600" w:hanging="394"/>
        <w:spacing w:after="0" w:line="235" w:lineRule="auto"/>
        <w:tabs>
          <w:tab w:leader="none" w:pos="60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b w:val="1"/>
          <w:bCs w:val="1"/>
          <w:color w:val="auto"/>
        </w:rPr>
      </w:pPr>
    </w:p>
    <w:p>
      <w:pPr>
        <w:jc w:val="both"/>
        <w:ind w:left="600" w:right="220" w:hanging="394"/>
        <w:spacing w:after="0" w:line="235" w:lineRule="auto"/>
        <w:tabs>
          <w:tab w:leader="none" w:pos="60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b w:val="1"/>
          <w:bCs w:val="1"/>
          <w:color w:val="auto"/>
        </w:rPr>
      </w:pPr>
    </w:p>
    <w:p>
      <w:pPr>
        <w:ind w:left="600" w:right="20" w:hanging="394"/>
        <w:spacing w:after="0" w:line="247" w:lineRule="auto"/>
        <w:tabs>
          <w:tab w:leader="none" w:pos="60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4"/>
          <w:szCs w:val="14"/>
          <w:b w:val="1"/>
          <w:bCs w:val="1"/>
          <w:color w:val="auto"/>
        </w:rPr>
      </w:pPr>
    </w:p>
    <w:p>
      <w:pPr>
        <w:ind w:left="600" w:right="80" w:hanging="394"/>
        <w:spacing w:after="0" w:line="247" w:lineRule="auto"/>
        <w:tabs>
          <w:tab w:leader="none" w:pos="60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94" w:lineRule="exact"/>
        <w:rPr>
          <w:rFonts w:ascii="Arial" w:cs="Arial" w:eastAsia="Arial" w:hAnsi="Arial"/>
          <w:sz w:val="14"/>
          <w:szCs w:val="14"/>
          <w:b w:val="1"/>
          <w:bCs w:val="1"/>
          <w:color w:val="auto"/>
        </w:rPr>
      </w:pPr>
    </w:p>
    <w:p>
      <w:pPr>
        <w:ind w:left="200" w:right="20" w:hanging="193"/>
        <w:spacing w:after="0" w:line="247" w:lineRule="auto"/>
        <w:tabs>
          <w:tab w:leader="none" w:pos="20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Arial" w:cs="Arial" w:eastAsia="Arial" w:hAnsi="Arial"/>
          <w:sz w:val="14"/>
          <w:szCs w:val="14"/>
          <w:color w:val="auto"/>
        </w:rPr>
      </w:pPr>
    </w:p>
    <w:p>
      <w:pPr>
        <w:ind w:left="600" w:right="160" w:hanging="394"/>
        <w:spacing w:after="0" w:line="247" w:lineRule="auto"/>
        <w:tabs>
          <w:tab w:leader="none" w:pos="600" w:val="left"/>
        </w:tabs>
        <w:numPr>
          <w:ilvl w:val="1"/>
          <w:numId w:val="172"/>
        </w:numPr>
        <w:rPr>
          <w:rFonts w:ascii="Arial" w:cs="Arial" w:eastAsia="Arial" w:hAnsi="Arial"/>
          <w:sz w:val="14"/>
          <w:szCs w:val="14"/>
          <w:b w:val="1"/>
          <w:bCs w:val="1"/>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summarise and report financial information; and</w:t>
      </w:r>
    </w:p>
    <w:p>
      <w:pPr>
        <w:spacing w:after="0" w:line="94" w:lineRule="exact"/>
        <w:rPr>
          <w:rFonts w:ascii="Arial" w:cs="Arial" w:eastAsia="Arial" w:hAnsi="Arial"/>
          <w:sz w:val="14"/>
          <w:szCs w:val="14"/>
          <w:b w:val="1"/>
          <w:bCs w:val="1"/>
          <w:color w:val="auto"/>
        </w:rPr>
      </w:pPr>
    </w:p>
    <w:p>
      <w:pPr>
        <w:ind w:left="600" w:hanging="394"/>
        <w:spacing w:after="0"/>
        <w:tabs>
          <w:tab w:leader="none" w:pos="600" w:val="left"/>
        </w:tabs>
        <w:numPr>
          <w:ilvl w:val="1"/>
          <w:numId w:val="172"/>
        </w:numPr>
        <w:rPr>
          <w:rFonts w:ascii="Arial" w:cs="Arial" w:eastAsia="Arial" w:hAnsi="Arial"/>
          <w:sz w:val="13"/>
          <w:szCs w:val="13"/>
          <w:b w:val="1"/>
          <w:bCs w:val="1"/>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Jeroen van der Veer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300990</wp:posOffset>
            </wp:positionV>
            <wp:extent cx="404304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043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Jeroen van der Veer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E5</w:t>
      </w:r>
      <w:r>
        <w:rPr>
          <w:sz w:val="20"/>
          <w:szCs w:val="20"/>
          <w:color w:val="auto"/>
        </w:rPr>
        <w:tab/>
      </w:r>
      <w:r>
        <w:rPr>
          <w:rFonts w:ascii="Arial" w:cs="Arial" w:eastAsia="Arial" w:hAnsi="Arial"/>
          <w:sz w:val="12"/>
          <w:szCs w:val="12"/>
          <w:color w:val="auto"/>
        </w:rPr>
        <w:t>Royal Dutch Shell plc</w:t>
      </w:r>
    </w:p>
    <w:p>
      <w:pPr>
        <w:sectPr>
          <w:pgSz w:w="11900" w:h="16838" w:orient="portrait"/>
          <w:cols w:equalWidth="0" w:num="1">
            <w:col w:w="10540"/>
          </w:cols>
          <w:pgMar w:left="240" w:top="1058" w:right="1119"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b w:val="1"/>
          <w:bCs w:val="1"/>
          <w:color w:val="auto"/>
        </w:rPr>
        <w:t>EXHIBIT 12.2</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 Peter Voser,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-63500</wp:posOffset>
            </wp:positionV>
            <wp:extent cx="282575" cy="56667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82575" cy="5666740"/>
                    </a:xfrm>
                    <a:prstGeom prst="rect">
                      <a:avLst/>
                    </a:prstGeom>
                    <a:noFill/>
                  </pic:spPr>
                </pic:pic>
              </a:graphicData>
            </a:graphic>
          </wp:anchor>
        </w:drawing>
      </w:r>
    </w:p>
    <w:p>
      <w:pPr>
        <w:spacing w:after="0" w:line="87" w:lineRule="exact"/>
        <w:rPr>
          <w:sz w:val="20"/>
          <w:szCs w:val="20"/>
          <w:color w:val="auto"/>
        </w:rPr>
      </w:pPr>
    </w:p>
    <w:p>
      <w:pPr>
        <w:ind w:left="200" w:hanging="193"/>
        <w:spacing w:after="0"/>
        <w:tabs>
          <w:tab w:leader="none" w:pos="2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I have reviewed this Annual Report on Form 20-F of Royal Dutch Shell plc (the “Company”);</w:t>
      </w:r>
    </w:p>
    <w:p>
      <w:pPr>
        <w:spacing w:after="0" w:line="118" w:lineRule="exact"/>
        <w:rPr>
          <w:rFonts w:ascii="Arial" w:cs="Arial" w:eastAsia="Arial" w:hAnsi="Arial"/>
          <w:sz w:val="14"/>
          <w:szCs w:val="14"/>
          <w:color w:val="auto"/>
        </w:rPr>
      </w:pPr>
    </w:p>
    <w:p>
      <w:pPr>
        <w:ind w:left="200" w:right="340" w:hanging="193"/>
        <w:spacing w:after="0" w:line="247" w:lineRule="auto"/>
        <w:tabs>
          <w:tab w:leader="none" w:pos="2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4"/>
          <w:szCs w:val="14"/>
          <w:color w:val="auto"/>
        </w:rPr>
      </w:pPr>
    </w:p>
    <w:p>
      <w:pPr>
        <w:ind w:left="200" w:right="420" w:hanging="193"/>
        <w:spacing w:after="0" w:line="247" w:lineRule="auto"/>
        <w:tabs>
          <w:tab w:leader="none" w:pos="2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Arial" w:cs="Arial" w:eastAsia="Arial" w:hAnsi="Arial"/>
          <w:sz w:val="14"/>
          <w:szCs w:val="14"/>
          <w:color w:val="auto"/>
        </w:rPr>
      </w:pPr>
    </w:p>
    <w:p>
      <w:pPr>
        <w:ind w:left="200" w:hanging="193"/>
        <w:spacing w:after="0"/>
        <w:tabs>
          <w:tab w:leader="none" w:pos="20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The Company’s other certifying officer and I are responsible for establishing and maintaining disclosure controls and procedures (as defined in Exchange Act Rules 13a-15(e) and</w:t>
      </w:r>
    </w:p>
    <w:p>
      <w:pPr>
        <w:spacing w:after="0" w:line="9" w:lineRule="exact"/>
        <w:rPr>
          <w:rFonts w:ascii="Arial" w:cs="Arial" w:eastAsia="Arial" w:hAnsi="Arial"/>
          <w:sz w:val="13"/>
          <w:szCs w:val="13"/>
          <w:color w:val="auto"/>
        </w:rPr>
      </w:pPr>
    </w:p>
    <w:p>
      <w:pPr>
        <w:ind w:left="200"/>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Company and have:</w:t>
      </w:r>
    </w:p>
    <w:p>
      <w:pPr>
        <w:spacing w:after="0" w:line="93" w:lineRule="exact"/>
        <w:rPr>
          <w:rFonts w:ascii="Arial" w:cs="Arial" w:eastAsia="Arial" w:hAnsi="Arial"/>
          <w:sz w:val="13"/>
          <w:szCs w:val="13"/>
          <w:color w:val="auto"/>
        </w:rPr>
      </w:pPr>
    </w:p>
    <w:p>
      <w:pPr>
        <w:jc w:val="both"/>
        <w:ind w:left="600" w:right="80" w:hanging="394"/>
        <w:spacing w:after="0" w:line="235" w:lineRule="auto"/>
        <w:tabs>
          <w:tab w:leader="none" w:pos="600" w:val="left"/>
        </w:tabs>
        <w:numPr>
          <w:ilvl w:val="1"/>
          <w:numId w:val="173"/>
        </w:numPr>
        <w:rPr>
          <w:rFonts w:ascii="Arial" w:cs="Arial" w:eastAsia="Arial" w:hAnsi="Arial"/>
          <w:sz w:val="14"/>
          <w:szCs w:val="14"/>
          <w:b w:val="1"/>
          <w:bCs w:val="1"/>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99" w:lineRule="exact"/>
        <w:rPr>
          <w:rFonts w:ascii="Arial" w:cs="Arial" w:eastAsia="Arial" w:hAnsi="Arial"/>
          <w:sz w:val="14"/>
          <w:szCs w:val="14"/>
          <w:b w:val="1"/>
          <w:bCs w:val="1"/>
          <w:color w:val="auto"/>
        </w:rPr>
      </w:pPr>
    </w:p>
    <w:p>
      <w:pPr>
        <w:jc w:val="both"/>
        <w:ind w:left="600" w:right="300" w:hanging="394"/>
        <w:spacing w:after="0" w:line="235" w:lineRule="auto"/>
        <w:tabs>
          <w:tab w:leader="none" w:pos="600" w:val="left"/>
        </w:tabs>
        <w:numPr>
          <w:ilvl w:val="1"/>
          <w:numId w:val="173"/>
        </w:numPr>
        <w:rPr>
          <w:rFonts w:ascii="Arial" w:cs="Arial" w:eastAsia="Arial" w:hAnsi="Arial"/>
          <w:sz w:val="14"/>
          <w:szCs w:val="14"/>
          <w:b w:val="1"/>
          <w:bCs w:val="1"/>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9" w:lineRule="exact"/>
        <w:rPr>
          <w:rFonts w:ascii="Arial" w:cs="Arial" w:eastAsia="Arial" w:hAnsi="Arial"/>
          <w:sz w:val="14"/>
          <w:szCs w:val="14"/>
          <w:b w:val="1"/>
          <w:bCs w:val="1"/>
          <w:color w:val="auto"/>
        </w:rPr>
      </w:pPr>
    </w:p>
    <w:p>
      <w:pPr>
        <w:ind w:left="600" w:right="100" w:hanging="394"/>
        <w:spacing w:after="0" w:line="247" w:lineRule="auto"/>
        <w:tabs>
          <w:tab w:leader="none" w:pos="600" w:val="left"/>
        </w:tabs>
        <w:numPr>
          <w:ilvl w:val="1"/>
          <w:numId w:val="173"/>
        </w:numPr>
        <w:rPr>
          <w:rFonts w:ascii="Arial" w:cs="Arial" w:eastAsia="Arial" w:hAnsi="Arial"/>
          <w:sz w:val="14"/>
          <w:szCs w:val="14"/>
          <w:b w:val="1"/>
          <w:bCs w:val="1"/>
          <w:color w:val="auto"/>
        </w:rPr>
      </w:pPr>
      <w:r>
        <w:rPr>
          <w:rFonts w:ascii="Arial" w:cs="Arial" w:eastAsia="Arial" w:hAnsi="Arial"/>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4"/>
          <w:szCs w:val="14"/>
          <w:b w:val="1"/>
          <w:bCs w:val="1"/>
          <w:color w:val="auto"/>
        </w:rPr>
      </w:pPr>
    </w:p>
    <w:p>
      <w:pPr>
        <w:ind w:left="600" w:right="160" w:hanging="394"/>
        <w:spacing w:after="0" w:line="247" w:lineRule="auto"/>
        <w:tabs>
          <w:tab w:leader="none" w:pos="600" w:val="left"/>
        </w:tabs>
        <w:numPr>
          <w:ilvl w:val="1"/>
          <w:numId w:val="173"/>
        </w:numPr>
        <w:rPr>
          <w:rFonts w:ascii="Arial" w:cs="Arial" w:eastAsia="Arial" w:hAnsi="Arial"/>
          <w:sz w:val="14"/>
          <w:szCs w:val="14"/>
          <w:b w:val="1"/>
          <w:bCs w:val="1"/>
          <w:color w:val="auto"/>
        </w:rPr>
      </w:pPr>
      <w:r>
        <w:rPr>
          <w:rFonts w:ascii="Arial" w:cs="Arial" w:eastAsia="Arial" w:hAnsi="Arial"/>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81" w:lineRule="exact"/>
        <w:rPr>
          <w:rFonts w:ascii="Arial" w:cs="Arial" w:eastAsia="Arial" w:hAnsi="Arial"/>
          <w:sz w:val="14"/>
          <w:szCs w:val="14"/>
          <w:b w:val="1"/>
          <w:bCs w:val="1"/>
          <w:color w:val="auto"/>
        </w:rPr>
      </w:pPr>
    </w:p>
    <w:p>
      <w:pPr>
        <w:ind w:left="200" w:right="100" w:hanging="193"/>
        <w:spacing w:after="0" w:line="247" w:lineRule="auto"/>
        <w:tabs>
          <w:tab w:leader="none" w:pos="20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81" w:lineRule="exact"/>
        <w:rPr>
          <w:rFonts w:ascii="Arial" w:cs="Arial" w:eastAsia="Arial" w:hAnsi="Arial"/>
          <w:sz w:val="14"/>
          <w:szCs w:val="14"/>
          <w:color w:val="auto"/>
        </w:rPr>
      </w:pPr>
    </w:p>
    <w:p>
      <w:pPr>
        <w:ind w:left="600" w:right="240" w:hanging="394"/>
        <w:spacing w:after="0" w:line="247" w:lineRule="auto"/>
        <w:tabs>
          <w:tab w:leader="none" w:pos="600" w:val="left"/>
        </w:tabs>
        <w:numPr>
          <w:ilvl w:val="1"/>
          <w:numId w:val="173"/>
        </w:numPr>
        <w:rPr>
          <w:rFonts w:ascii="Arial" w:cs="Arial" w:eastAsia="Arial" w:hAnsi="Arial"/>
          <w:sz w:val="14"/>
          <w:szCs w:val="14"/>
          <w:b w:val="1"/>
          <w:bCs w:val="1"/>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summarise and report financial information; and</w:t>
      </w:r>
    </w:p>
    <w:p>
      <w:pPr>
        <w:spacing w:after="0" w:line="94" w:lineRule="exact"/>
        <w:rPr>
          <w:rFonts w:ascii="Arial" w:cs="Arial" w:eastAsia="Arial" w:hAnsi="Arial"/>
          <w:sz w:val="14"/>
          <w:szCs w:val="14"/>
          <w:b w:val="1"/>
          <w:bCs w:val="1"/>
          <w:color w:val="auto"/>
        </w:rPr>
      </w:pPr>
    </w:p>
    <w:p>
      <w:pPr>
        <w:ind w:left="600" w:hanging="394"/>
        <w:spacing w:after="0"/>
        <w:tabs>
          <w:tab w:leader="none" w:pos="600" w:val="left"/>
        </w:tabs>
        <w:numPr>
          <w:ilvl w:val="1"/>
          <w:numId w:val="173"/>
        </w:numPr>
        <w:rPr>
          <w:rFonts w:ascii="Arial" w:cs="Arial" w:eastAsia="Arial" w:hAnsi="Arial"/>
          <w:sz w:val="13"/>
          <w:szCs w:val="13"/>
          <w:b w:val="1"/>
          <w:bCs w:val="1"/>
          <w:color w:val="auto"/>
        </w:rPr>
      </w:pPr>
      <w:r>
        <w:rPr>
          <w:rFonts w:ascii="Arial" w:cs="Arial" w:eastAsia="Arial" w:hAnsi="Arial"/>
          <w:sz w:val="13"/>
          <w:szCs w:val="13"/>
          <w:color w:val="auto"/>
        </w:rPr>
        <w:t>Any fraud, whether or not material, that involves management or other employees who have a significant role in the Company’s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Peter Voser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300990</wp:posOffset>
            </wp:positionV>
            <wp:extent cx="404304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4043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Voser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31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E6</w:t>
      </w:r>
    </w:p>
    <w:p>
      <w:pPr>
        <w:sectPr>
          <w:pgSz w:w="11900" w:h="16838" w:orient="portrait"/>
          <w:cols w:equalWidth="0" w:num="1">
            <w:col w:w="10620"/>
          </w:cols>
          <w:pgMar w:left="240" w:top="619" w:right="1039" w:bottom="1440" w:gutter="0" w:footer="0" w:header="0"/>
        </w:sectPr>
      </w:pPr>
    </w:p>
    <w:bookmarkStart w:id="224" w:name="page225"/>
    <w:bookmarkEnd w:id="224"/>
    <w:p>
      <w:pPr>
        <w:spacing w:after="0"/>
        <w:rPr>
          <w:sz w:val="20"/>
          <w:szCs w:val="20"/>
          <w:color w:val="auto"/>
        </w:rPr>
      </w:pPr>
      <w:r>
        <w:rPr>
          <w:rFonts w:ascii="Arial" w:cs="Arial" w:eastAsia="Arial" w:hAnsi="Arial"/>
          <w:sz w:val="12"/>
          <w:szCs w:val="12"/>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13.1</w:t>
      </w:r>
    </w:p>
    <w:p>
      <w:pPr>
        <w:spacing w:after="0" w:line="127"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In connection with the Annual Report on Form 20-F of Royal Dutch Shell plc (the “Company”) 2007, a corporation organised under the laws of England and Wales for the period ending December 31, 2007, as filed with the Securities and Exchange Commission on the date hereof (the “Report”), each of the undersigned officers of the Company certify pursuant to 18 U.S.C. Section 1350, as adopted pursuant to Section 906 of the Sarbanes-Oxley Act of 2002, to such officer’s knowledge, that:</w:t>
      </w:r>
    </w:p>
    <w:p>
      <w:pPr>
        <w:spacing w:after="0" w:line="87" w:lineRule="exact"/>
        <w:rPr>
          <w:sz w:val="20"/>
          <w:szCs w:val="20"/>
          <w:color w:val="auto"/>
        </w:rPr>
      </w:pPr>
    </w:p>
    <w:p>
      <w:pPr>
        <w:ind w:left="240" w:hanging="233"/>
        <w:spacing w:after="0"/>
        <w:tabs>
          <w:tab w:leader="none" w:pos="24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Report fully complies, in all material respects, with the requirements of Section 13(a) or 15(d) of the Securities Exchange Act of 1934; and</w:t>
      </w:r>
    </w:p>
    <w:p>
      <w:pPr>
        <w:spacing w:after="0" w:line="118" w:lineRule="exact"/>
        <w:rPr>
          <w:rFonts w:ascii="Arial" w:cs="Arial" w:eastAsia="Arial" w:hAnsi="Arial"/>
          <w:sz w:val="14"/>
          <w:szCs w:val="14"/>
          <w:color w:val="auto"/>
        </w:rPr>
      </w:pPr>
    </w:p>
    <w:p>
      <w:pPr>
        <w:ind w:left="240" w:hanging="233"/>
        <w:spacing w:after="0"/>
        <w:tabs>
          <w:tab w:leader="none" w:pos="24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 as of, and for, the periods presented in the Report.</w:t>
      </w:r>
    </w:p>
    <w:p>
      <w:pPr>
        <w:spacing w:after="0" w:line="117"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The foregoing certification is provided solely for purposes of complying with the provisions of Section 906 of the Sarbanes-Oxley Act of 2002 and is not intended to be used or relied upon for any other purpose.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Jeroen van der Veer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300990</wp:posOffset>
            </wp:positionV>
            <wp:extent cx="43472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34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Jeroen van der Veer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Peter Voser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434721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34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Voser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E7</w:t>
      </w:r>
      <w:r>
        <w:rPr>
          <w:sz w:val="20"/>
          <w:szCs w:val="20"/>
          <w:color w:val="auto"/>
        </w:rPr>
        <w:tab/>
      </w:r>
      <w:r>
        <w:rPr>
          <w:rFonts w:ascii="Arial" w:cs="Arial" w:eastAsia="Arial" w:hAnsi="Arial"/>
          <w:sz w:val="12"/>
          <w:szCs w:val="12"/>
          <w:color w:val="auto"/>
        </w:rPr>
        <w:t>Royal Dutch Shell plc</w:t>
      </w:r>
    </w:p>
    <w:p>
      <w:pPr>
        <w:sectPr>
          <w:pgSz w:w="11900" w:h="16838" w:orient="portrait"/>
          <w:cols w:equalWidth="0" w:num="1">
            <w:col w:w="11380"/>
          </w:cols>
          <w:pgMar w:left="240" w:top="911" w:right="279"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7032625</wp:posOffset>
            </wp:positionH>
            <wp:positionV relativeFrom="paragraph">
              <wp:posOffset>41275</wp:posOffset>
            </wp:positionV>
            <wp:extent cx="282575" cy="566674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82575" cy="5666740"/>
                    </a:xfrm>
                    <a:prstGeom prst="rect">
                      <a:avLst/>
                    </a:prstGeom>
                    <a:noFill/>
                  </pic:spPr>
                </pic:pic>
              </a:graphicData>
            </a:graphic>
          </wp:anchor>
        </w:drawing>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4"/>
          <w:szCs w:val="14"/>
          <w:color w:val="auto"/>
        </w:rPr>
        <w:t>We hereby consent to the incorporation by reference in the Registration Statements on Form F-3 (No. 333-126726, 333-126726-01) and the Registration Statement on Form S-8 (No. 333-126715 and 333-141397) of Royal Dutch Shell plc of our report dated March 12, 2008, relating to the Consolidated Financial Statements and the effectiveness of internal control over financial reporting, which appears in this Annual Report on Form 20-F.</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404304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043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London – UK</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2"/>
          <w:szCs w:val="12"/>
          <w:color w:val="auto"/>
        </w:rPr>
        <w:t>Royal Dutch Shell plc</w:t>
      </w:r>
      <w:r>
        <w:rPr>
          <w:sz w:val="20"/>
          <w:szCs w:val="20"/>
          <w:color w:val="auto"/>
        </w:rPr>
        <w:tab/>
      </w:r>
      <w:r>
        <w:rPr>
          <w:rFonts w:ascii="Arial" w:cs="Arial" w:eastAsia="Arial" w:hAnsi="Arial"/>
          <w:sz w:val="11"/>
          <w:szCs w:val="11"/>
          <w:b w:val="1"/>
          <w:bCs w:val="1"/>
          <w:color w:val="auto"/>
        </w:rPr>
        <w:t>E8</w:t>
      </w:r>
    </w:p>
    <w:p>
      <w:pPr>
        <w:sectPr>
          <w:pgSz w:w="11900" w:h="16838" w:orient="portrait"/>
          <w:cols w:equalWidth="0" w:num="1">
            <w:col w:w="10620"/>
          </w:cols>
          <w:pgMar w:left="240" w:top="912" w:right="1039" w:bottom="1440" w:gutter="0" w:footer="0" w:header="0"/>
        </w:sectPr>
      </w:pPr>
    </w:p>
    <w:bookmarkStart w:id="226" w:name="page227"/>
    <w:bookmarkEnd w:id="226"/>
    <w:p>
      <w:pPr>
        <w:spacing w:after="0"/>
        <w:rPr>
          <w:sz w:val="20"/>
          <w:szCs w:val="20"/>
          <w:color w:val="auto"/>
        </w:rPr>
      </w:pPr>
      <w:r>
        <w:rPr>
          <w:rFonts w:ascii="Arial" w:cs="Arial" w:eastAsia="Arial" w:hAnsi="Arial"/>
          <w:sz w:val="12"/>
          <w:szCs w:val="12"/>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99.2</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4"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hereby consent to the incorporation by reference in the Registration Statements on Form F-3 (No. 333-126726, 333-126726-01) and the Registration Statement on Form S-8 (No. 333-126715) of the Royal Dutch Shell Dividend Access Trust of our report dated March 12, 2008, relating to the Royal Dutch Shell Dividend Access Trust Financial Statements, and the effectiveness of internal control over financial reporting, which appears in this Annual Report on Form 20-F.</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434721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434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London – UK</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March 12,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280" w:val="left"/>
        </w:tabs>
        <w:rPr>
          <w:sz w:val="20"/>
          <w:szCs w:val="20"/>
          <w:color w:val="auto"/>
        </w:rPr>
      </w:pPr>
      <w:r>
        <w:rPr>
          <w:rFonts w:ascii="Arial" w:cs="Arial" w:eastAsia="Arial" w:hAnsi="Arial"/>
          <w:sz w:val="12"/>
          <w:szCs w:val="12"/>
          <w:b w:val="1"/>
          <w:bCs w:val="1"/>
          <w:color w:val="auto"/>
        </w:rPr>
        <w:t>E9</w:t>
      </w:r>
      <w:r>
        <w:rPr>
          <w:sz w:val="20"/>
          <w:szCs w:val="20"/>
          <w:color w:val="auto"/>
        </w:rPr>
        <w:tab/>
      </w:r>
      <w:r>
        <w:rPr>
          <w:rFonts w:ascii="Arial" w:cs="Arial" w:eastAsia="Arial" w:hAnsi="Arial"/>
          <w:sz w:val="12"/>
          <w:szCs w:val="12"/>
          <w:color w:val="auto"/>
        </w:rPr>
        <w:t>Royal Dutch Shell plc</w:t>
      </w:r>
    </w:p>
    <w:sectPr>
      <w:pgSz w:w="11900" w:h="16838" w:orient="portrait"/>
      <w:cols w:equalWidth="0" w:num="1">
        <w:col w:w="11220"/>
      </w:cols>
      <w:pgMar w:left="240" w:top="91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lowerRoman"/>
      <w:start w:val="2"/>
    </w:lvl>
  </w:abstractNum>
  <w:abstractNum w:abstractNumId="1">
    <w:nsid w:val="1716703B"/>
    <w:multiLevelType w:val="hybridMultilevel"/>
    <w:lvl w:ilvl="0">
      <w:lvlJc w:val="left"/>
      <w:lvlText w:val="(%1)"/>
      <w:numFmt w:val="lowerLetter"/>
      <w:start w:val="4"/>
    </w:lvl>
  </w:abstractNum>
  <w:abstractNum w:abstractNumId="2">
    <w:nsid w:val="14E17E33"/>
    <w:multiLevelType w:val="hybridMultilevel"/>
    <w:lvl w:ilvl="0">
      <w:lvlJc w:val="left"/>
      <w:lvlText w:val="2"/>
      <w:numFmt w:val="bullet"/>
      <w:start w:val="1"/>
    </w:lvl>
  </w:abstractNum>
  <w:abstractNum w:abstractNumId="3">
    <w:nsid w:val="3222E7CD"/>
    <w:multiLevelType w:val="hybridMultilevel"/>
    <w:lvl w:ilvl="0">
      <w:lvlJc w:val="left"/>
      <w:lvlText w:val="[%1]"/>
      <w:numFmt w:val="upperLetter"/>
      <w:start w:val="1"/>
    </w:lvl>
  </w:abstractNum>
  <w:abstractNum w:abstractNumId="4">
    <w:nsid w:val="74DE0EE3"/>
    <w:multiLevelType w:val="hybridMultilevel"/>
    <w:lvl w:ilvl="0">
      <w:lvlJc w:val="left"/>
      <w:lvlText w:val="[%1]"/>
      <w:numFmt w:val="upperLetter"/>
      <w:start w:val="1"/>
    </w:lvl>
  </w:abstractNum>
  <w:abstractNum w:abstractNumId="5">
    <w:nsid w:val="68EBC550"/>
    <w:multiLevelType w:val="hybridMultilevel"/>
    <w:lvl w:ilvl="0">
      <w:lvlJc w:val="left"/>
      <w:lvlText w:val="6"/>
      <w:numFmt w:val="bullet"/>
      <w:start w:val="1"/>
    </w:lvl>
  </w:abstractNum>
  <w:abstractNum w:abstractNumId="6">
    <w:nsid w:val="2DF6D648"/>
    <w:multiLevelType w:val="hybridMultilevel"/>
    <w:lvl w:ilvl="0">
      <w:lvlJc w:val="left"/>
      <w:lvlText w:val="%1"/>
      <w:numFmt w:val="decimal"/>
      <w:start w:val="10"/>
    </w:lvl>
  </w:abstractNum>
  <w:abstractNum w:abstractNumId="7">
    <w:nsid w:val="46B7D447"/>
    <w:multiLevelType w:val="hybridMultilevel"/>
    <w:lvl w:ilvl="0">
      <w:lvlJc w:val="left"/>
      <w:lvlText w:val="%1"/>
      <w:numFmt w:val="decimal"/>
      <w:start w:val="12"/>
    </w:lvl>
  </w:abstractNum>
  <w:abstractNum w:abstractNumId="8">
    <w:nsid w:val="4A2AC315"/>
    <w:multiLevelType w:val="hybridMultilevel"/>
    <w:lvl w:ilvl="0">
      <w:lvlJc w:val="left"/>
      <w:lvlText w:val="%1"/>
      <w:numFmt w:val="decimal"/>
      <w:start w:val="14"/>
    </w:lvl>
  </w:abstractNum>
  <w:abstractNum w:abstractNumId="9">
    <w:nsid w:val="39EE015C"/>
    <w:multiLevelType w:val="hybridMultilevel"/>
    <w:lvl w:ilvl="0">
      <w:lvlJc w:val="left"/>
      <w:lvlText w:val="•"/>
      <w:numFmt w:val="bullet"/>
      <w:start w:val="1"/>
    </w:lvl>
  </w:abstractNum>
  <w:abstractNum w:abstractNumId="10">
    <w:nsid w:val="57FC4FBB"/>
    <w:multiLevelType w:val="hybridMultilevel"/>
    <w:lvl w:ilvl="0">
      <w:lvlJc w:val="left"/>
      <w:lvlText w:val="[%1]"/>
      <w:numFmt w:val="upperLetter"/>
      <w:start w:val="1"/>
    </w:lvl>
  </w:abstractNum>
  <w:abstractNum w:abstractNumId="11">
    <w:nsid w:val="CC1016F"/>
    <w:multiLevelType w:val="hybridMultilevel"/>
    <w:lvl w:ilvl="0">
      <w:lvlJc w:val="left"/>
      <w:lvlText w:val="%1"/>
      <w:numFmt w:val="decimal"/>
      <w:start w:val="16"/>
    </w:lvl>
  </w:abstractNum>
  <w:abstractNum w:abstractNumId="12">
    <w:nsid w:val="43F18422"/>
    <w:multiLevelType w:val="hybridMultilevel"/>
    <w:lvl w:ilvl="0">
      <w:lvlJc w:val="left"/>
      <w:lvlText w:val="[%1]"/>
      <w:numFmt w:val="upperLetter"/>
      <w:start w:val="1"/>
    </w:lvl>
  </w:abstractNum>
  <w:abstractNum w:abstractNumId="13">
    <w:nsid w:val="60EF0119"/>
    <w:multiLevelType w:val="hybridMultilevel"/>
    <w:lvl w:ilvl="0">
      <w:lvlJc w:val="left"/>
      <w:lvlText w:val="%1"/>
      <w:numFmt w:val="upperLetter"/>
      <w:start w:val="35"/>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1"/>
      <w:numFmt w:val="decimal"/>
      <w:start w:val="18"/>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1]"/>
      <w:numFmt w:val="upperLetter"/>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1]"/>
      <w:numFmt w:val="upperLetter"/>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1"/>
      <w:numFmt w:val="decimal"/>
      <w:start w:val="20"/>
    </w:lvl>
  </w:abstractNum>
  <w:abstractNum w:abstractNumId="22">
    <w:nsid w:val="6AA78F7F"/>
    <w:multiLevelType w:val="hybridMultilevel"/>
    <w:lvl w:ilvl="0">
      <w:lvlJc w:val="left"/>
      <w:lvlText w:val="%1"/>
      <w:numFmt w:val="decimal"/>
      <w:start w:val="22"/>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1]"/>
      <w:numFmt w:val="upperLetter"/>
      <w:start w:val="1"/>
    </w:lvl>
  </w:abstractNum>
  <w:abstractNum w:abstractNumId="25">
    <w:nsid w:val="6A5F7029"/>
    <w:multiLevelType w:val="hybridMultilevel"/>
    <w:lvl w:ilvl="0">
      <w:lvlJc w:val="left"/>
      <w:lvlText w:val="%1"/>
      <w:numFmt w:val="decimal"/>
      <w:start w:val="24"/>
    </w:lvl>
  </w:abstractNum>
  <w:abstractNum w:abstractNumId="26">
    <w:nsid w:val="7D5E18F8"/>
    <w:multiLevelType w:val="hybridMultilevel"/>
    <w:lvl w:ilvl="0">
      <w:lvlJc w:val="left"/>
      <w:lvlText w:val="[%1]"/>
      <w:numFmt w:val="upperLetter"/>
      <w:start w:val="1"/>
    </w:lvl>
  </w:abstractNum>
  <w:abstractNum w:abstractNumId="27">
    <w:nsid w:val="5F3534A4"/>
    <w:multiLevelType w:val="hybridMultilevel"/>
    <w:lvl w:ilvl="0">
      <w:lvlJc w:val="left"/>
      <w:lvlText w:val="[%1]"/>
      <w:numFmt w:val="upperLetter"/>
      <w:start w:val="1"/>
    </w:lvl>
  </w:abstractNum>
  <w:abstractNum w:abstractNumId="28">
    <w:nsid w:val="73A1821B"/>
    <w:multiLevelType w:val="hybridMultilevel"/>
    <w:lvl w:ilvl="0">
      <w:lvlJc w:val="left"/>
      <w:lvlText w:val="[%1]"/>
      <w:numFmt w:val="upperLetter"/>
      <w:start w:val="1"/>
    </w:lvl>
  </w:abstractNum>
  <w:abstractNum w:abstractNumId="29">
    <w:nsid w:val="7DE67713"/>
    <w:multiLevelType w:val="hybridMultilevel"/>
    <w:lvl w:ilvl="0">
      <w:lvlJc w:val="left"/>
      <w:lvlText w:val="%1"/>
      <w:numFmt w:val="decimal"/>
      <w:start w:val="26"/>
    </w:lvl>
  </w:abstractNum>
  <w:abstractNum w:abstractNumId="30">
    <w:nsid w:val="555C55B5"/>
    <w:multiLevelType w:val="hybridMultilevel"/>
    <w:lvl w:ilvl="0">
      <w:lvlJc w:val="left"/>
      <w:lvlText w:val="[%1]"/>
      <w:numFmt w:val="upperLetter"/>
      <w:start w:val="1"/>
    </w:lvl>
  </w:abstractNum>
  <w:abstractNum w:abstractNumId="31">
    <w:nsid w:val="3FA62ACA"/>
    <w:multiLevelType w:val="hybridMultilevel"/>
    <w:lvl w:ilvl="0">
      <w:lvlJc w:val="left"/>
      <w:lvlText w:val="[%1]"/>
      <w:numFmt w:val="upperLetter"/>
      <w:start w:val="1"/>
    </w:lvl>
  </w:abstractNum>
  <w:abstractNum w:abstractNumId="32">
    <w:nsid w:val="14FCE74E"/>
    <w:multiLevelType w:val="hybridMultilevel"/>
    <w:lvl w:ilvl="0">
      <w:lvlJc w:val="left"/>
      <w:lvlText w:val="[%1]"/>
      <w:numFmt w:val="upperLetter"/>
      <w:start w:val="1"/>
    </w:lvl>
  </w:abstractNum>
  <w:abstractNum w:abstractNumId="33">
    <w:nsid w:val="6A3DD3E8"/>
    <w:multiLevelType w:val="hybridMultilevel"/>
    <w:lvl w:ilvl="0">
      <w:lvlJc w:val="left"/>
      <w:lvlText w:val="%1"/>
      <w:numFmt w:val="decimal"/>
      <w:start w:val="28"/>
    </w:lvl>
  </w:abstractNum>
  <w:abstractNum w:abstractNumId="34">
    <w:nsid w:val="71C91298"/>
    <w:multiLevelType w:val="hybridMultilevel"/>
    <w:lvl w:ilvl="0">
      <w:lvlJc w:val="left"/>
      <w:lvlText w:val="%1"/>
      <w:numFmt w:val="decimal"/>
      <w:start w:val="30"/>
    </w:lvl>
  </w:abstractNum>
  <w:abstractNum w:abstractNumId="35">
    <w:nsid w:val="9DAF632"/>
    <w:multiLevelType w:val="hybridMultilevel"/>
    <w:lvl w:ilvl="0">
      <w:lvlJc w:val="left"/>
      <w:lvlText w:val="%1"/>
      <w:numFmt w:val="decimal"/>
      <w:start w:val="32"/>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1]"/>
      <w:numFmt w:val="upperLetter"/>
      <w:start w:val="1"/>
    </w:lvl>
  </w:abstractNum>
  <w:abstractNum w:abstractNumId="38">
    <w:nsid w:val="5092CA79"/>
    <w:multiLevelType w:val="hybridMultilevel"/>
    <w:lvl w:ilvl="0">
      <w:lvlJc w:val="left"/>
      <w:lvlText w:val="%1"/>
      <w:numFmt w:val="decimal"/>
      <w:start w:val="34"/>
    </w:lvl>
  </w:abstractNum>
  <w:abstractNum w:abstractNumId="39">
    <w:nsid w:val="1D545C4D"/>
    <w:multiLevelType w:val="hybridMultilevel"/>
    <w:lvl w:ilvl="0">
      <w:lvlJc w:val="left"/>
      <w:lvlText w:val="%1"/>
      <w:numFmt w:val="decimal"/>
      <w:start w:val="36"/>
    </w:lvl>
  </w:abstractNum>
  <w:abstractNum w:abstractNumId="40">
    <w:nsid w:val="59ADEA3D"/>
    <w:multiLevelType w:val="hybridMultilevel"/>
    <w:lvl w:ilvl="0">
      <w:lvlJc w:val="left"/>
      <w:lvlText w:val="[%1]"/>
      <w:numFmt w:val="upperLetter"/>
      <w:start w:val="1"/>
    </w:lvl>
  </w:abstractNum>
  <w:abstractNum w:abstractNumId="41">
    <w:nsid w:val="288F1A34"/>
    <w:multiLevelType w:val="hybridMultilevel"/>
    <w:lvl w:ilvl="0">
      <w:lvlJc w:val="left"/>
      <w:lvlText w:val="[%1]"/>
      <w:numFmt w:val="upperLetter"/>
      <w:start w:val="1"/>
    </w:lvl>
  </w:abstractNum>
  <w:abstractNum w:abstractNumId="42">
    <w:nsid w:val="2A155DBC"/>
    <w:multiLevelType w:val="hybridMultilevel"/>
    <w:lvl w:ilvl="0">
      <w:lvlJc w:val="left"/>
      <w:lvlText w:val="[%1]"/>
      <w:numFmt w:val="upperLetter"/>
      <w:start w:val="1"/>
    </w:lvl>
  </w:abstractNum>
  <w:abstractNum w:abstractNumId="43">
    <w:nsid w:val="1D9F6E5F"/>
    <w:multiLevelType w:val="hybridMultilevel"/>
    <w:lvl w:ilvl="0">
      <w:lvlJc w:val="left"/>
      <w:lvlText w:val="[%1]"/>
      <w:numFmt w:val="upperLetter"/>
      <w:start w:val="1"/>
    </w:lvl>
  </w:abstractNum>
  <w:abstractNum w:abstractNumId="44">
    <w:nsid w:val="97E1B4E"/>
    <w:multiLevelType w:val="hybridMultilevel"/>
    <w:lvl w:ilvl="0">
      <w:lvlJc w:val="left"/>
      <w:lvlText w:val="%1"/>
      <w:numFmt w:val="decimal"/>
      <w:start w:val="38"/>
    </w:lvl>
  </w:abstractNum>
  <w:abstractNum w:abstractNumId="45">
    <w:nsid w:val="51088277"/>
    <w:multiLevelType w:val="hybridMultilevel"/>
    <w:lvl w:ilvl="0">
      <w:lvlJc w:val="left"/>
      <w:lvlText w:val="%1"/>
      <w:numFmt w:val="decimal"/>
      <w:start w:val="40"/>
    </w:lvl>
  </w:abstractNum>
  <w:abstractNum w:abstractNumId="46">
    <w:nsid w:val="1CA0C5FA"/>
    <w:multiLevelType w:val="hybridMultilevel"/>
    <w:lvl w:ilvl="0">
      <w:lvlJc w:val="left"/>
      <w:lvlText w:val="•"/>
      <w:numFmt w:val="bullet"/>
      <w:start w:val="1"/>
    </w:lvl>
  </w:abstractNum>
  <w:abstractNum w:abstractNumId="47">
    <w:nsid w:val="53584BCB"/>
    <w:multiLevelType w:val="hybridMultilevel"/>
    <w:lvl w:ilvl="0">
      <w:lvlJc w:val="left"/>
      <w:lvlText w:val="[%1]"/>
      <w:numFmt w:val="upperLetter"/>
      <w:start w:val="1"/>
    </w:lvl>
  </w:abstractNum>
  <w:abstractNum w:abstractNumId="48">
    <w:nsid w:val="415E286C"/>
    <w:multiLevelType w:val="hybridMultilevel"/>
    <w:lvl w:ilvl="0">
      <w:lvlJc w:val="left"/>
      <w:lvlText w:val="%1"/>
      <w:numFmt w:val="decimal"/>
      <w:start w:val="42"/>
    </w:lvl>
  </w:abstractNum>
  <w:abstractNum w:abstractNumId="49">
    <w:nsid w:val="7C58FD05"/>
    <w:multiLevelType w:val="hybridMultilevel"/>
    <w:lvl w:ilvl="0">
      <w:lvlJc w:val="left"/>
      <w:lvlText w:val="[%1]"/>
      <w:numFmt w:val="upperLetter"/>
      <w:start w:val="1"/>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1"/>
      <w:numFmt w:val="decimal"/>
      <w:start w:val="44"/>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1"/>
      <w:numFmt w:val="decimal"/>
      <w:start w:val="46"/>
    </w:lvl>
  </w:abstractNum>
  <w:abstractNum w:abstractNumId="55">
    <w:nsid w:val="4BD8591A"/>
    <w:multiLevelType w:val="hybridMultilevel"/>
    <w:lvl w:ilvl="0">
      <w:lvlJc w:val="left"/>
      <w:lvlText w:val="[%1]"/>
      <w:numFmt w:val="upperLetter"/>
      <w:start w:val="1"/>
    </w:lvl>
  </w:abstractNum>
  <w:abstractNum w:abstractNumId="56">
    <w:nsid w:val="78DF6A55"/>
    <w:multiLevelType w:val="hybridMultilevel"/>
    <w:lvl w:ilvl="0">
      <w:lvlJc w:val="left"/>
      <w:lvlText w:val="%1"/>
      <w:numFmt w:val="decimal"/>
      <w:start w:val="48"/>
    </w:lvl>
  </w:abstractNum>
  <w:abstractNum w:abstractNumId="57">
    <w:nsid w:val="39B7AAA2"/>
    <w:multiLevelType w:val="hybridMultilevel"/>
    <w:lvl w:ilvl="0">
      <w:lvlJc w:val="left"/>
      <w:lvlText w:val="[%1]"/>
      <w:numFmt w:val="upperLetter"/>
      <w:start w:val="1"/>
    </w:lvl>
  </w:abstractNum>
  <w:abstractNum w:abstractNumId="58">
    <w:nsid w:val="2B0D8DBE"/>
    <w:multiLevelType w:val="hybridMultilevel"/>
    <w:lvl w:ilvl="0">
      <w:lvlJc w:val="left"/>
      <w:lvlText w:val="[%1]"/>
      <w:numFmt w:val="upperLetter"/>
      <w:start w:val="1"/>
    </w:lvl>
  </w:abstractNum>
  <w:abstractNum w:abstractNumId="59">
    <w:nsid w:val="6C80EC70"/>
    <w:multiLevelType w:val="hybridMultilevel"/>
    <w:lvl w:ilvl="0">
      <w:lvlJc w:val="left"/>
      <w:lvlText w:val="%1"/>
      <w:numFmt w:val="decimal"/>
      <w:start w:val="50"/>
    </w:lvl>
  </w:abstractNum>
  <w:abstractNum w:abstractNumId="60">
    <w:nsid w:val="379E21B5"/>
    <w:multiLevelType w:val="hybridMultilevel"/>
    <w:lvl w:ilvl="0">
      <w:lvlJc w:val="left"/>
      <w:lvlText w:val="[%1]"/>
      <w:numFmt w:val="upperLetter"/>
      <w:start w:val="1"/>
    </w:lvl>
  </w:abstractNum>
  <w:abstractNum w:abstractNumId="61">
    <w:nsid w:val="69E373"/>
    <w:multiLevelType w:val="hybridMultilevel"/>
    <w:lvl w:ilvl="0">
      <w:lvlJc w:val="left"/>
      <w:lvlText w:val="[%1]"/>
      <w:numFmt w:val="upperLetter"/>
      <w:start w:val="1"/>
    </w:lvl>
  </w:abstractNum>
  <w:abstractNum w:abstractNumId="62">
    <w:nsid w:val="2C27173B"/>
    <w:multiLevelType w:val="hybridMultilevel"/>
    <w:lvl w:ilvl="0">
      <w:lvlJc w:val="left"/>
      <w:lvlText w:val="%1"/>
      <w:numFmt w:val="decimal"/>
      <w:start w:val="52"/>
    </w:lvl>
  </w:abstractNum>
  <w:abstractNum w:abstractNumId="63">
    <w:nsid w:val="4C9B0904"/>
    <w:multiLevelType w:val="hybridMultilevel"/>
    <w:lvl w:ilvl="0">
      <w:lvlJc w:val="left"/>
      <w:lvlText w:val="[%1]"/>
      <w:numFmt w:val="upperLetter"/>
      <w:start w:val="1"/>
    </w:lvl>
  </w:abstractNum>
  <w:abstractNum w:abstractNumId="64">
    <w:nsid w:val="6AA7B75C"/>
    <w:multiLevelType w:val="hybridMultilevel"/>
    <w:lvl w:ilvl="0">
      <w:lvlJc w:val="left"/>
      <w:lvlText w:val="•"/>
      <w:numFmt w:val="bullet"/>
      <w:start w:val="1"/>
    </w:lvl>
  </w:abstractNum>
  <w:abstractNum w:abstractNumId="65">
    <w:nsid w:val="1DF029D3"/>
    <w:multiLevelType w:val="hybridMultilevel"/>
    <w:lvl w:ilvl="0">
      <w:lvlJc w:val="left"/>
      <w:lvlText w:val="%1"/>
      <w:numFmt w:val="decimal"/>
      <w:start w:val="54"/>
    </w:lvl>
  </w:abstractNum>
  <w:abstractNum w:abstractNumId="66">
    <w:nsid w:val="5675FF36"/>
    <w:multiLevelType w:val="hybridMultilevel"/>
    <w:lvl w:ilvl="0">
      <w:lvlJc w:val="left"/>
      <w:lvlText w:val="•"/>
      <w:numFmt w:val="bullet"/>
      <w:start w:val="1"/>
    </w:lvl>
  </w:abstractNum>
  <w:abstractNum w:abstractNumId="67">
    <w:nsid w:val="3DD15094"/>
    <w:multiLevelType w:val="hybridMultilevel"/>
    <w:lvl w:ilvl="0">
      <w:lvlJc w:val="left"/>
      <w:lvlText w:val="[%1]"/>
      <w:numFmt w:val="upperLetter"/>
      <w:start w:val="1"/>
    </w:lvl>
  </w:abstractNum>
  <w:abstractNum w:abstractNumId="68">
    <w:nsid w:val="3DB012B3"/>
    <w:multiLevelType w:val="hybridMultilevel"/>
    <w:lvl w:ilvl="0">
      <w:lvlJc w:val="left"/>
      <w:lvlText w:val="%1"/>
      <w:numFmt w:val="decimal"/>
      <w:start w:val="56"/>
    </w:lvl>
  </w:abstractNum>
  <w:abstractNum w:abstractNumId="69">
    <w:nsid w:val="2708C9AF"/>
    <w:multiLevelType w:val="hybridMultilevel"/>
    <w:lvl w:ilvl="0">
      <w:lvlJc w:val="left"/>
      <w:lvlText w:val="%1"/>
      <w:numFmt w:val="decimal"/>
      <w:start w:val="58"/>
    </w:lvl>
  </w:abstractNum>
  <w:abstractNum w:abstractNumId="70">
    <w:nsid w:val="5B25ACE2"/>
    <w:multiLevelType w:val="hybridMultilevel"/>
    <w:lvl w:ilvl="0">
      <w:lvlJc w:val="left"/>
      <w:lvlText w:val="[%1]"/>
      <w:numFmt w:val="upperLetter"/>
      <w:start w:val="1"/>
    </w:lvl>
  </w:abstractNum>
  <w:abstractNum w:abstractNumId="71">
    <w:nsid w:val="175DFCF0"/>
    <w:multiLevelType w:val="hybridMultilevel"/>
    <w:lvl w:ilvl="0">
      <w:lvlJc w:val="left"/>
      <w:lvlText w:val="%1"/>
      <w:numFmt w:val="decimal"/>
      <w:start w:val="60"/>
    </w:lvl>
  </w:abstractNum>
  <w:abstractNum w:abstractNumId="72">
    <w:nsid w:val="4F97E3E4"/>
    <w:multiLevelType w:val="hybridMultilevel"/>
    <w:lvl w:ilvl="0">
      <w:lvlJc w:val="left"/>
      <w:lvlText w:val="[%1]"/>
      <w:numFmt w:val="upperLetter"/>
      <w:start w:val="1"/>
    </w:lvl>
  </w:abstractNum>
  <w:abstractNum w:abstractNumId="73">
    <w:nsid w:val="53B0A9E"/>
    <w:multiLevelType w:val="hybridMultilevel"/>
    <w:lvl w:ilvl="0">
      <w:lvlJc w:val="left"/>
      <w:lvlText w:val="%1"/>
      <w:numFmt w:val="decimal"/>
      <w:start w:val="62"/>
    </w:lvl>
  </w:abstractNum>
  <w:abstractNum w:abstractNumId="74">
    <w:nsid w:val="34FD6B4F"/>
    <w:multiLevelType w:val="hybridMultilevel"/>
    <w:lvl w:ilvl="0">
      <w:lvlJc w:val="left"/>
      <w:lvlText w:val="•"/>
      <w:numFmt w:val="bullet"/>
      <w:start w:val="1"/>
    </w:lvl>
  </w:abstractNum>
  <w:abstractNum w:abstractNumId="75">
    <w:nsid w:val="5915FF32"/>
    <w:multiLevelType w:val="hybridMultilevel"/>
    <w:lvl w:ilvl="0">
      <w:lvlJc w:val="left"/>
      <w:lvlText w:val="%1"/>
      <w:numFmt w:val="decimal"/>
      <w:start w:val="64"/>
    </w:lvl>
  </w:abstractNum>
  <w:abstractNum w:abstractNumId="76">
    <w:nsid w:val="56438D15"/>
    <w:multiLevelType w:val="hybridMultilevel"/>
    <w:lvl w:ilvl="0">
      <w:lvlJc w:val="left"/>
      <w:lvlText w:val="[%1]"/>
      <w:numFmt w:val="upperLetter"/>
      <w:start w:val="1"/>
    </w:lvl>
  </w:abstractNum>
  <w:abstractNum w:abstractNumId="77">
    <w:nsid w:val="519E3149"/>
    <w:multiLevelType w:val="hybridMultilevel"/>
    <w:lvl w:ilvl="0">
      <w:lvlJc w:val="left"/>
      <w:lvlText w:val="[%1]"/>
      <w:numFmt w:val="upperLetter"/>
      <w:start w:val="1"/>
    </w:lvl>
  </w:abstractNum>
  <w:abstractNum w:abstractNumId="78">
    <w:nsid w:val="2C6E4AFD"/>
    <w:multiLevelType w:val="hybridMultilevel"/>
    <w:lvl w:ilvl="0">
      <w:lvlJc w:val="left"/>
      <w:lvlText w:val="%1"/>
      <w:numFmt w:val="decimal"/>
      <w:start w:val="66"/>
    </w:lvl>
  </w:abstractNum>
  <w:abstractNum w:abstractNumId="79">
    <w:nsid w:val="17A1B582"/>
    <w:multiLevelType w:val="hybridMultilevel"/>
    <w:lvl w:ilvl="0">
      <w:lvlJc w:val="left"/>
      <w:lvlText w:val="[%1]"/>
      <w:numFmt w:val="upperLetter"/>
      <w:start w:val="1"/>
    </w:lvl>
  </w:abstractNum>
  <w:abstractNum w:abstractNumId="80">
    <w:nsid w:val="4DF72E4E"/>
    <w:multiLevelType w:val="hybridMultilevel"/>
    <w:lvl w:ilvl="0">
      <w:lvlJc w:val="left"/>
      <w:lvlText w:val="%1"/>
      <w:numFmt w:val="decimal"/>
      <w:start w:val="68"/>
    </w:lvl>
  </w:abstractNum>
  <w:abstractNum w:abstractNumId="81">
    <w:nsid w:val="5046B5A9"/>
    <w:multiLevelType w:val="hybridMultilevel"/>
    <w:lvl w:ilvl="0">
      <w:lvlJc w:val="left"/>
      <w:lvlText w:val="%1"/>
      <w:numFmt w:val="decimal"/>
      <w:start w:val="70"/>
    </w:lvl>
  </w:abstractNum>
  <w:abstractNum w:abstractNumId="82">
    <w:nsid w:val="5D888A08"/>
    <w:multiLevelType w:val="hybridMultilevel"/>
    <w:lvl w:ilvl="0">
      <w:lvlJc w:val="left"/>
      <w:lvlText w:val="%1"/>
      <w:numFmt w:val="decimal"/>
      <w:start w:val="72"/>
    </w:lvl>
  </w:abstractNum>
  <w:abstractNum w:abstractNumId="83">
    <w:nsid w:val="2A082C70"/>
    <w:multiLevelType w:val="hybridMultilevel"/>
    <w:lvl w:ilvl="0">
      <w:lvlJc w:val="left"/>
      <w:lvlText w:val="[%1]"/>
      <w:numFmt w:val="upperLetter"/>
      <w:start w:val="1"/>
    </w:lvl>
  </w:abstractNum>
  <w:abstractNum w:abstractNumId="84">
    <w:nsid w:val="5EC6AFD4"/>
    <w:multiLevelType w:val="hybridMultilevel"/>
    <w:lvl w:ilvl="0">
      <w:lvlJc w:val="left"/>
      <w:lvlText w:val="%1"/>
      <w:numFmt w:val="decimal"/>
      <w:start w:val="74"/>
    </w:lvl>
  </w:abstractNum>
  <w:abstractNum w:abstractNumId="85">
    <w:nsid w:val="19E21BB2"/>
    <w:multiLevelType w:val="hybridMultilevel"/>
    <w:lvl w:ilvl="0">
      <w:lvlJc w:val="left"/>
      <w:lvlText w:val="%1"/>
      <w:numFmt w:val="decimal"/>
      <w:start w:val="76"/>
    </w:lvl>
  </w:abstractNum>
  <w:abstractNum w:abstractNumId="86">
    <w:nsid w:val="75E0858A"/>
    <w:multiLevelType w:val="hybridMultilevel"/>
    <w:lvl w:ilvl="0">
      <w:lvlJc w:val="left"/>
      <w:lvlText w:val="%1"/>
      <w:numFmt w:val="decimal"/>
      <w:start w:val="80"/>
    </w:lvl>
  </w:abstractNum>
  <w:abstractNum w:abstractNumId="87">
    <w:nsid w:val="57A61A29"/>
    <w:multiLevelType w:val="hybridMultilevel"/>
    <w:lvl w:ilvl="0">
      <w:lvlJc w:val="left"/>
      <w:lvlText w:val="%1"/>
      <w:numFmt w:val="decimal"/>
      <w:start w:val="82"/>
    </w:lvl>
  </w:abstractNum>
  <w:abstractNum w:abstractNumId="88">
    <w:nsid w:val="5399C654"/>
    <w:multiLevelType w:val="hybridMultilevel"/>
    <w:lvl w:ilvl="0">
      <w:lvlJc w:val="left"/>
      <w:lvlText w:val="%1"/>
      <w:numFmt w:val="decimal"/>
      <w:start w:val="86"/>
    </w:lvl>
  </w:abstractNum>
  <w:abstractNum w:abstractNumId="89">
    <w:nsid w:val="20EE1348"/>
    <w:multiLevelType w:val="hybridMultilevel"/>
    <w:lvl w:ilvl="0">
      <w:lvlJc w:val="left"/>
      <w:lvlText w:val="%1"/>
      <w:numFmt w:val="decimal"/>
      <w:start w:val="93"/>
    </w:lvl>
  </w:abstractNum>
  <w:abstractNum w:abstractNumId="90">
    <w:nsid w:val="4427069A"/>
    <w:multiLevelType w:val="hybridMultilevel"/>
    <w:lvl w:ilvl="0">
      <w:lvlJc w:val="left"/>
      <w:lvlText w:val="%1"/>
      <w:numFmt w:val="decimal"/>
      <w:start w:val="80"/>
    </w:lvl>
  </w:abstractNum>
  <w:abstractNum w:abstractNumId="91">
    <w:nsid w:val="B37E80A"/>
    <w:multiLevelType w:val="hybridMultilevel"/>
    <w:lvl w:ilvl="0">
      <w:lvlJc w:val="left"/>
      <w:lvlText w:val="A"/>
      <w:numFmt w:val="bullet"/>
      <w:start w:val="1"/>
    </w:lvl>
  </w:abstractNum>
  <w:abstractNum w:abstractNumId="92">
    <w:nsid w:val="2157F6BC"/>
    <w:multiLevelType w:val="hybridMultilevel"/>
    <w:lvl w:ilvl="0">
      <w:lvlJc w:val="left"/>
      <w:lvlText w:val="R"/>
      <w:numFmt w:val="bullet"/>
      <w:start w:val="1"/>
    </w:lvl>
  </w:abstractNum>
  <w:abstractNum w:abstractNumId="93">
    <w:nsid w:val="704E1DD5"/>
    <w:multiLevelType w:val="hybridMultilevel"/>
    <w:lvl w:ilvl="0">
      <w:lvlJc w:val="left"/>
      <w:lvlText w:val="S"/>
      <w:numFmt w:val="bullet"/>
      <w:start w:val="1"/>
    </w:lvl>
  </w:abstractNum>
  <w:abstractNum w:abstractNumId="94">
    <w:nsid w:val="57D2F10E"/>
    <w:multiLevelType w:val="hybridMultilevel"/>
    <w:lvl w:ilvl="0">
      <w:lvlJc w:val="left"/>
      <w:lvlText w:val="%1"/>
      <w:numFmt w:val="decimal"/>
      <w:start w:val="82"/>
    </w:lvl>
  </w:abstractNum>
  <w:abstractNum w:abstractNumId="95">
    <w:nsid w:val="BFFAE18"/>
    <w:multiLevelType w:val="hybridMultilevel"/>
    <w:lvl w:ilvl="0">
      <w:lvlJc w:val="left"/>
      <w:lvlText w:val="•"/>
      <w:numFmt w:val="bullet"/>
      <w:start w:val="1"/>
    </w:lvl>
  </w:abstractNum>
  <w:abstractNum w:abstractNumId="96">
    <w:nsid w:val="E3E47A8"/>
    <w:multiLevelType w:val="hybridMultilevel"/>
    <w:lvl w:ilvl="0">
      <w:lvlJc w:val="left"/>
      <w:lvlText w:val="\endash "/>
      <w:numFmt w:val="bullet"/>
      <w:start w:val="1"/>
    </w:lvl>
  </w:abstractNum>
  <w:abstractNum w:abstractNumId="97">
    <w:nsid w:val="2E48F044"/>
    <w:multiLevelType w:val="hybridMultilevel"/>
    <w:lvl w:ilvl="0">
      <w:lvlJc w:val="left"/>
      <w:lvlText w:val="[%1]"/>
      <w:numFmt w:val="upperLetter"/>
      <w:start w:val="1"/>
    </w:lvl>
  </w:abstractNum>
  <w:abstractNum w:abstractNumId="98">
    <w:nsid w:val="49D0FEAC"/>
    <w:multiLevelType w:val="hybridMultilevel"/>
    <w:lvl w:ilvl="0">
      <w:lvlJc w:val="left"/>
      <w:lvlText w:val="%1"/>
      <w:numFmt w:val="decimal"/>
      <w:start w:val="84"/>
    </w:lvl>
  </w:abstractNum>
  <w:abstractNum w:abstractNumId="99">
    <w:nsid w:val="4BEE5A5B"/>
    <w:multiLevelType w:val="hybridMultilevel"/>
    <w:lvl w:ilvl="0">
      <w:lvlJc w:val="left"/>
      <w:lvlText w:val="%1"/>
      <w:numFmt w:val="decimal"/>
      <w:start w:val="86"/>
    </w:lvl>
  </w:abstractNum>
  <w:abstractNum w:abstractNumId="100">
    <w:nsid w:val="5551B9F3"/>
    <w:multiLevelType w:val="hybridMultilevel"/>
    <w:lvl w:ilvl="0">
      <w:lvlJc w:val="left"/>
      <w:lvlText w:val="[%1]"/>
      <w:numFmt w:val="upperLetter"/>
      <w:start w:val="1"/>
    </w:lvl>
  </w:abstractNum>
  <w:abstractNum w:abstractNumId="101">
    <w:nsid w:val="24F6AB8E"/>
    <w:multiLevelType w:val="hybridMultilevel"/>
    <w:lvl w:ilvl="0">
      <w:lvlJc w:val="left"/>
      <w:lvlText w:val="•"/>
      <w:numFmt w:val="bullet"/>
      <w:start w:val="1"/>
    </w:lvl>
  </w:abstractNum>
  <w:abstractNum w:abstractNumId="102">
    <w:nsid w:val="634C574C"/>
    <w:multiLevelType w:val="hybridMultilevel"/>
    <w:lvl w:ilvl="0">
      <w:lvlJc w:val="left"/>
      <w:lvlText w:val="•"/>
      <w:numFmt w:val="bullet"/>
      <w:start w:val="1"/>
    </w:lvl>
  </w:abstractNum>
  <w:abstractNum w:abstractNumId="103">
    <w:nsid w:val="24E99DD7"/>
    <w:multiLevelType w:val="hybridMultilevel"/>
    <w:lvl w:ilvl="0">
      <w:lvlJc w:val="left"/>
      <w:lvlText w:val="•"/>
      <w:numFmt w:val="bullet"/>
      <w:start w:val="1"/>
    </w:lvl>
  </w:abstractNum>
  <w:abstractNum w:abstractNumId="104">
    <w:nsid w:val="2A31B62D"/>
    <w:multiLevelType w:val="hybridMultilevel"/>
    <w:lvl w:ilvl="0">
      <w:lvlJc w:val="left"/>
      <w:lvlText w:val="%1"/>
      <w:numFmt w:val="decimal"/>
      <w:start w:val="88"/>
    </w:lvl>
  </w:abstractNum>
  <w:abstractNum w:abstractNumId="105">
    <w:nsid w:val="1849C29B"/>
    <w:multiLevelType w:val="hybridMultilevel"/>
    <w:lvl w:ilvl="0">
      <w:lvlJc w:val="left"/>
      <w:lvlText w:val="[%1]"/>
      <w:numFmt w:val="upperLetter"/>
      <w:start w:val="1"/>
    </w:lvl>
  </w:abstractNum>
  <w:abstractNum w:abstractNumId="106">
    <w:nsid w:val="7DFF9D09"/>
    <w:multiLevelType w:val="hybridMultilevel"/>
    <w:lvl w:ilvl="0">
      <w:lvlJc w:val="left"/>
      <w:lvlText w:val="%1"/>
      <w:numFmt w:val="decimal"/>
      <w:start w:val="90"/>
    </w:lvl>
  </w:abstractNum>
  <w:abstractNum w:abstractNumId="107">
    <w:nsid w:val="754342"/>
    <w:multiLevelType w:val="hybridMultilevel"/>
    <w:lvl w:ilvl="0">
      <w:lvlJc w:val="left"/>
      <w:lvlText w:val="•"/>
      <w:numFmt w:val="bullet"/>
      <w:start w:val="1"/>
    </w:lvl>
  </w:abstractNum>
  <w:abstractNum w:abstractNumId="108">
    <w:nsid w:val="69E7F3E5"/>
    <w:multiLevelType w:val="hybridMultilevel"/>
    <w:lvl w:ilvl="0">
      <w:lvlJc w:val="left"/>
      <w:lvlText w:val="%1"/>
      <w:numFmt w:val="decimal"/>
      <w:start w:val="92"/>
    </w:lvl>
  </w:abstractNum>
  <w:abstractNum w:abstractNumId="109">
    <w:nsid w:val="2A6DE806"/>
    <w:multiLevelType w:val="hybridMultilevel"/>
    <w:lvl w:ilvl="0">
      <w:lvlJc w:val="left"/>
      <w:lvlText w:val="•"/>
      <w:numFmt w:val="bullet"/>
      <w:start w:val="1"/>
    </w:lvl>
  </w:abstractNum>
  <w:abstractNum w:abstractNumId="110">
    <w:nsid w:val="1816F8C4"/>
    <w:multiLevelType w:val="hybridMultilevel"/>
    <w:lvl w:ilvl="0">
      <w:lvlJc w:val="left"/>
      <w:lvlText w:val="•"/>
      <w:numFmt w:val="bullet"/>
      <w:start w:val="1"/>
    </w:lvl>
    <w:lvl w:ilvl="1">
      <w:lvlJc w:val="left"/>
      <w:lvlText w:val="%2."/>
      <w:numFmt w:val="decimal"/>
      <w:start w:val="1"/>
    </w:lvl>
  </w:abstractNum>
  <w:abstractNum w:abstractNumId="111">
    <w:nsid w:val="37DF2233"/>
    <w:multiLevelType w:val="hybridMultilevel"/>
    <w:lvl w:ilvl="0">
      <w:lvlJc w:val="left"/>
      <w:lvlText w:val="•"/>
      <w:numFmt w:val="bullet"/>
      <w:start w:val="1"/>
    </w:lvl>
  </w:abstractNum>
  <w:abstractNum w:abstractNumId="112">
    <w:nsid w:val="7AB49DAF"/>
    <w:multiLevelType w:val="hybridMultilevel"/>
    <w:lvl w:ilvl="0">
      <w:lvlJc w:val="left"/>
      <w:lvlText w:val="•"/>
      <w:numFmt w:val="bullet"/>
      <w:start w:val="1"/>
    </w:lvl>
  </w:abstractNum>
  <w:abstractNum w:abstractNumId="113">
    <w:nsid w:val="759F82CD"/>
    <w:multiLevelType w:val="hybridMultilevel"/>
    <w:lvl w:ilvl="0">
      <w:lvlJc w:val="left"/>
      <w:lvlText w:val="%1"/>
      <w:numFmt w:val="decimal"/>
      <w:start w:val="94"/>
    </w:lvl>
  </w:abstractNum>
  <w:abstractNum w:abstractNumId="114">
    <w:nsid w:val="61E74EA3"/>
    <w:multiLevelType w:val="hybridMultilevel"/>
    <w:lvl w:ilvl="0">
      <w:lvlJc w:val="left"/>
      <w:lvlText w:val="[%1]"/>
      <w:numFmt w:val="upperLetter"/>
      <w:start w:val="1"/>
    </w:lvl>
  </w:abstractNum>
  <w:abstractNum w:abstractNumId="115">
    <w:nsid w:val="597B4D84"/>
    <w:multiLevelType w:val="hybridMultilevel"/>
    <w:lvl w:ilvl="0">
      <w:lvlJc w:val="left"/>
      <w:lvlText w:val="[%1]"/>
      <w:numFmt w:val="upperLetter"/>
      <w:start w:val="1"/>
    </w:lvl>
  </w:abstractNum>
  <w:abstractNum w:abstractNumId="116">
    <w:nsid w:val="F819E7F"/>
    <w:multiLevelType w:val="hybridMultilevel"/>
    <w:lvl w:ilvl="0">
      <w:lvlJc w:val="left"/>
      <w:lvlText w:val="%1"/>
      <w:numFmt w:val="decimal"/>
      <w:start w:val="96"/>
    </w:lvl>
  </w:abstractNum>
  <w:abstractNum w:abstractNumId="117">
    <w:nsid w:val="57C7D42D"/>
    <w:multiLevelType w:val="hybridMultilevel"/>
    <w:lvl w:ilvl="0">
      <w:lvlJc w:val="left"/>
      <w:lvlText w:val="[%1]"/>
      <w:numFmt w:val="upperLetter"/>
      <w:start w:val="1"/>
    </w:lvl>
  </w:abstractNum>
  <w:abstractNum w:abstractNumId="118">
    <w:nsid w:val="312167AD"/>
    <w:multiLevelType w:val="hybridMultilevel"/>
    <w:lvl w:ilvl="0">
      <w:lvlJc w:val="left"/>
      <w:lvlText w:val="%1"/>
      <w:numFmt w:val="decimal"/>
      <w:start w:val="98"/>
    </w:lvl>
  </w:abstractNum>
  <w:abstractNum w:abstractNumId="119">
    <w:nsid w:val="631B64D4"/>
    <w:multiLevelType w:val="hybridMultilevel"/>
    <w:lvl w:ilvl="0">
      <w:lvlJc w:val="left"/>
      <w:lvlText w:val="[%1]"/>
      <w:numFmt w:val="upperLetter"/>
      <w:start w:val="1"/>
    </w:lvl>
  </w:abstractNum>
  <w:abstractNum w:abstractNumId="120">
    <w:nsid w:val="78B5E776"/>
    <w:multiLevelType w:val="hybridMultilevel"/>
    <w:lvl w:ilvl="0">
      <w:lvlJc w:val="left"/>
      <w:lvlText w:val="[%1]"/>
      <w:numFmt w:val="upperLetter"/>
      <w:start w:val="1"/>
    </w:lvl>
  </w:abstractNum>
  <w:abstractNum w:abstractNumId="121">
    <w:nsid w:val="75486E47"/>
    <w:multiLevelType w:val="hybridMultilevel"/>
    <w:lvl w:ilvl="0">
      <w:lvlJc w:val="left"/>
      <w:lvlText w:val="[%1]"/>
      <w:numFmt w:val="upperLetter"/>
      <w:start w:val="1"/>
    </w:lvl>
  </w:abstractNum>
  <w:abstractNum w:abstractNumId="122">
    <w:nsid w:val="6E534CDE"/>
    <w:multiLevelType w:val="hybridMultilevel"/>
    <w:lvl w:ilvl="0">
      <w:lvlJc w:val="left"/>
      <w:lvlText w:val="[%1]"/>
      <w:numFmt w:val="upperLetter"/>
      <w:start w:val="1"/>
    </w:lvl>
  </w:abstractNum>
  <w:abstractNum w:abstractNumId="123">
    <w:nsid w:val="1A0DDE32"/>
    <w:multiLevelType w:val="hybridMultilevel"/>
    <w:lvl w:ilvl="0">
      <w:lvlJc w:val="left"/>
      <w:lvlText w:val="[%1]"/>
      <w:numFmt w:val="upperLetter"/>
      <w:start w:val="1"/>
    </w:lvl>
  </w:abstractNum>
  <w:abstractNum w:abstractNumId="124">
    <w:nsid w:val="65968C1C"/>
    <w:multiLevelType w:val="hybridMultilevel"/>
    <w:lvl w:ilvl="0">
      <w:lvlJc w:val="left"/>
      <w:lvlText w:val="[%1]"/>
      <w:numFmt w:val="upperLetter"/>
      <w:start w:val="1"/>
    </w:lvl>
  </w:abstractNum>
  <w:abstractNum w:abstractNumId="125">
    <w:nsid w:val="46263DEC"/>
    <w:multiLevelType w:val="hybridMultilevel"/>
    <w:lvl w:ilvl="0">
      <w:lvlJc w:val="left"/>
      <w:lvlText w:val="[%1]"/>
      <w:numFmt w:val="upperLetter"/>
      <w:start w:val="1"/>
    </w:lvl>
  </w:abstractNum>
  <w:abstractNum w:abstractNumId="126">
    <w:nsid w:val="260D8C4A"/>
    <w:multiLevelType w:val="hybridMultilevel"/>
    <w:lvl w:ilvl="0">
      <w:lvlJc w:val="left"/>
      <w:lvlText w:val="[%1]"/>
      <w:numFmt w:val="upperLetter"/>
      <w:start w:val="1"/>
    </w:lvl>
  </w:abstractNum>
  <w:abstractNum w:abstractNumId="127">
    <w:nsid w:val="73D4D3C4"/>
    <w:multiLevelType w:val="hybridMultilevel"/>
    <w:lvl w:ilvl="0">
      <w:lvlJc w:val="left"/>
      <w:lvlText w:val="[%1]"/>
      <w:numFmt w:val="upperLetter"/>
      <w:start w:val="1"/>
    </w:lvl>
  </w:abstractNum>
  <w:abstractNum w:abstractNumId="128">
    <w:nsid w:val="746F2E30"/>
    <w:multiLevelType w:val="hybridMultilevel"/>
    <w:lvl w:ilvl="0">
      <w:lvlJc w:val="left"/>
      <w:lvlText w:val="[%1]"/>
      <w:numFmt w:val="upperLetter"/>
      <w:start w:val="1"/>
    </w:lvl>
  </w:abstractNum>
  <w:abstractNum w:abstractNumId="129">
    <w:nsid w:val="6FDE8AF6"/>
    <w:multiLevelType w:val="hybridMultilevel"/>
    <w:lvl w:ilvl="0">
      <w:lvlJc w:val="left"/>
      <w:lvlText w:val="%1"/>
      <w:numFmt w:val="decimal"/>
      <w:start w:val="110"/>
    </w:lvl>
  </w:abstractNum>
  <w:abstractNum w:abstractNumId="130">
    <w:nsid w:val="3FC32E20"/>
    <w:multiLevelType w:val="hybridMultilevel"/>
    <w:lvl w:ilvl="0">
      <w:lvlJc w:val="left"/>
      <w:lvlText w:val="•"/>
      <w:numFmt w:val="bullet"/>
      <w:start w:val="1"/>
    </w:lvl>
  </w:abstractNum>
  <w:abstractNum w:abstractNumId="131">
    <w:nsid w:val="49C0E823"/>
    <w:multiLevelType w:val="hybridMultilevel"/>
    <w:lvl w:ilvl="0">
      <w:lvlJc w:val="left"/>
      <w:lvlText w:val="[%1]"/>
      <w:numFmt w:val="upperLetter"/>
      <w:start w:val="1"/>
    </w:lvl>
  </w:abstractNum>
  <w:abstractNum w:abstractNumId="132">
    <w:nsid w:val="14D53685"/>
    <w:multiLevelType w:val="hybridMultilevel"/>
    <w:lvl w:ilvl="0">
      <w:lvlJc w:val="left"/>
      <w:lvlText w:val="[%1]"/>
      <w:numFmt w:val="upperLetter"/>
      <w:start w:val="1"/>
    </w:lvl>
  </w:abstractNum>
  <w:abstractNum w:abstractNumId="133">
    <w:nsid w:val="230F856C"/>
    <w:multiLevelType w:val="hybridMultilevel"/>
    <w:lvl w:ilvl="0">
      <w:lvlJc w:val="left"/>
      <w:lvlText w:val="%1"/>
      <w:numFmt w:val="upperLetter"/>
      <w:start w:val="27"/>
    </w:lvl>
  </w:abstractNum>
  <w:abstractNum w:abstractNumId="134">
    <w:nsid w:val="6EAA85FB"/>
    <w:multiLevelType w:val="hybridMultilevel"/>
    <w:lvl w:ilvl="0">
      <w:lvlJc w:val="left"/>
      <w:lvlText w:val="[%1]"/>
      <w:numFmt w:val="upperLetter"/>
      <w:start w:val="1"/>
    </w:lvl>
  </w:abstractNum>
  <w:abstractNum w:abstractNumId="135">
    <w:nsid w:val="3F06ECB2"/>
    <w:multiLevelType w:val="hybridMultilevel"/>
    <w:lvl w:ilvl="0">
      <w:lvlJc w:val="left"/>
      <w:lvlText w:val="[%1]"/>
      <w:numFmt w:val="upperLetter"/>
      <w:start w:val="1"/>
    </w:lvl>
  </w:abstractNum>
  <w:abstractNum w:abstractNumId="136">
    <w:nsid w:val="3B594807"/>
    <w:multiLevelType w:val="hybridMultilevel"/>
    <w:lvl w:ilvl="0">
      <w:lvlJc w:val="left"/>
      <w:lvlText w:val="[%1]"/>
      <w:numFmt w:val="upperLetter"/>
      <w:start w:val="1"/>
    </w:lvl>
  </w:abstractNum>
  <w:abstractNum w:abstractNumId="137">
    <w:nsid w:val="6CAA2304"/>
    <w:multiLevelType w:val="hybridMultilevel"/>
    <w:lvl w:ilvl="0">
      <w:lvlJc w:val="left"/>
      <w:lvlText w:val="[%1]"/>
      <w:numFmt w:val="upperLetter"/>
      <w:start w:val="1"/>
    </w:lvl>
  </w:abstractNum>
  <w:abstractNum w:abstractNumId="138">
    <w:nsid w:val="3F7C2FF4"/>
    <w:multiLevelType w:val="hybridMultilevel"/>
    <w:lvl w:ilvl="0">
      <w:lvlJc w:val="left"/>
      <w:lvlText w:val="[%1]"/>
      <w:numFmt w:val="upperLetter"/>
      <w:start w:val="1"/>
    </w:lvl>
  </w:abstractNum>
  <w:abstractNum w:abstractNumId="139">
    <w:nsid w:val="25413BEC"/>
    <w:multiLevelType w:val="hybridMultilevel"/>
    <w:lvl w:ilvl="0">
      <w:lvlJc w:val="left"/>
      <w:lvlText w:val="[%1]"/>
      <w:numFmt w:val="upperLetter"/>
      <w:start w:val="1"/>
    </w:lvl>
  </w:abstractNum>
  <w:abstractNum w:abstractNumId="140">
    <w:nsid w:val="17180B0B"/>
    <w:multiLevelType w:val="hybridMultilevel"/>
    <w:lvl w:ilvl="0">
      <w:lvlJc w:val="left"/>
      <w:lvlText w:val="[%1]"/>
      <w:numFmt w:val="upperLetter"/>
      <w:start w:val="1"/>
    </w:lvl>
  </w:abstractNum>
  <w:abstractNum w:abstractNumId="141">
    <w:nsid w:val="579328B9"/>
    <w:multiLevelType w:val="hybridMultilevel"/>
    <w:lvl w:ilvl="0">
      <w:lvlJc w:val="left"/>
      <w:lvlText w:val="[%1]"/>
      <w:numFmt w:val="upperLetter"/>
      <w:start w:val="1"/>
    </w:lvl>
  </w:abstractNum>
  <w:abstractNum w:abstractNumId="142">
    <w:nsid w:val="5D205E20"/>
    <w:multiLevelType w:val="hybridMultilevel"/>
    <w:lvl w:ilvl="0">
      <w:lvlJc w:val="left"/>
      <w:lvlText w:val="[%1]"/>
      <w:numFmt w:val="upperLetter"/>
      <w:start w:val="2"/>
    </w:lvl>
  </w:abstractNum>
  <w:abstractNum w:abstractNumId="143">
    <w:nsid w:val="11CCA8BA"/>
    <w:multiLevelType w:val="hybridMultilevel"/>
    <w:lvl w:ilvl="0">
      <w:lvlJc w:val="left"/>
      <w:lvlText w:val="[%1]"/>
      <w:numFmt w:val="upperLetter"/>
      <w:start w:val="1"/>
    </w:lvl>
  </w:abstractNum>
  <w:abstractNum w:abstractNumId="144">
    <w:nsid w:val="4D32AB86"/>
    <w:multiLevelType w:val="hybridMultilevel"/>
    <w:lvl w:ilvl="0">
      <w:lvlJc w:val="left"/>
      <w:lvlText w:val="[%1]"/>
      <w:numFmt w:val="upperLetter"/>
      <w:start w:val="1"/>
    </w:lvl>
  </w:abstractNum>
  <w:abstractNum w:abstractNumId="145">
    <w:nsid w:val="3F07ACC3"/>
    <w:multiLevelType w:val="hybridMultilevel"/>
    <w:lvl w:ilvl="0">
      <w:lvlJc w:val="left"/>
      <w:lvlText w:val="%1"/>
      <w:numFmt w:val="decimal"/>
      <w:start w:val="160"/>
    </w:lvl>
  </w:abstractNum>
  <w:abstractNum w:abstractNumId="146">
    <w:nsid w:val="6B47F63E"/>
    <w:multiLevelType w:val="hybridMultilevel"/>
    <w:lvl w:ilvl="0">
      <w:lvlJc w:val="left"/>
      <w:lvlText w:val="[%1]"/>
      <w:numFmt w:val="upperLetter"/>
      <w:start w:val="1"/>
    </w:lvl>
  </w:abstractNum>
  <w:abstractNum w:abstractNumId="147">
    <w:nsid w:val="5CB44A05"/>
    <w:multiLevelType w:val="hybridMultilevel"/>
    <w:lvl w:ilvl="0">
      <w:lvlJc w:val="left"/>
      <w:lvlText w:val="%1"/>
      <w:numFmt w:val="decimal"/>
      <w:start w:val="164"/>
    </w:lvl>
  </w:abstractNum>
  <w:abstractNum w:abstractNumId="148">
    <w:nsid w:val="16CF80F1"/>
    <w:multiLevelType w:val="hybridMultilevel"/>
    <w:lvl w:ilvl="0">
      <w:lvlJc w:val="left"/>
      <w:lvlText w:val="[%1]"/>
      <w:numFmt w:val="upperLetter"/>
      <w:start w:val="1"/>
    </w:lvl>
  </w:abstractNum>
  <w:abstractNum w:abstractNumId="149">
    <w:nsid w:val="1C695DEC"/>
    <w:multiLevelType w:val="hybridMultilevel"/>
    <w:lvl w:ilvl="0">
      <w:lvlJc w:val="left"/>
      <w:lvlText w:val="%1"/>
      <w:numFmt w:val="decimal"/>
      <w:start w:val="166"/>
    </w:lvl>
  </w:abstractNum>
  <w:abstractNum w:abstractNumId="150">
    <w:nsid w:val="3FCFAED9"/>
    <w:multiLevelType w:val="hybridMultilevel"/>
    <w:lvl w:ilvl="0">
      <w:lvlJc w:val="left"/>
      <w:lvlText w:val="%1"/>
      <w:numFmt w:val="decimal"/>
      <w:start w:val="168"/>
    </w:lvl>
  </w:abstractNum>
  <w:abstractNum w:abstractNumId="151">
    <w:nsid w:val="F856867"/>
    <w:multiLevelType w:val="hybridMultilevel"/>
    <w:lvl w:ilvl="0">
      <w:lvlJc w:val="left"/>
      <w:lvlText w:val="%1"/>
      <w:numFmt w:val="decimal"/>
      <w:start w:val="170"/>
    </w:lvl>
  </w:abstractNum>
  <w:abstractNum w:abstractNumId="152">
    <w:nsid w:val="11B1CC33"/>
    <w:multiLevelType w:val="hybridMultilevel"/>
    <w:lvl w:ilvl="0">
      <w:lvlJc w:val="left"/>
      <w:lvlText w:val="%1"/>
      <w:numFmt w:val="decimal"/>
      <w:start w:val="172"/>
    </w:lvl>
  </w:abstractNum>
  <w:abstractNum w:abstractNumId="153">
    <w:nsid w:val="2E22FBB7"/>
    <w:multiLevelType w:val="hybridMultilevel"/>
    <w:lvl w:ilvl="0">
      <w:lvlJc w:val="left"/>
      <w:lvlText w:val="•"/>
      <w:numFmt w:val="bullet"/>
      <w:start w:val="1"/>
    </w:lvl>
  </w:abstractNum>
  <w:abstractNum w:abstractNumId="154">
    <w:nsid w:val="29934699"/>
    <w:multiLevelType w:val="hybridMultilevel"/>
    <w:lvl w:ilvl="0">
      <w:lvlJc w:val="left"/>
      <w:lvlText w:val="%1"/>
      <w:numFmt w:val="decimal"/>
      <w:start w:val="174"/>
    </w:lvl>
  </w:abstractNum>
  <w:abstractNum w:abstractNumId="155">
    <w:nsid w:val="77485850"/>
    <w:multiLevelType w:val="hybridMultilevel"/>
    <w:lvl w:ilvl="0">
      <w:lvlJc w:val="left"/>
      <w:lvlText w:val="•"/>
      <w:numFmt w:val="bullet"/>
      <w:start w:val="1"/>
    </w:lvl>
  </w:abstractNum>
  <w:abstractNum w:abstractNumId="156">
    <w:nsid w:val="744939A3"/>
    <w:multiLevelType w:val="hybridMultilevel"/>
    <w:lvl w:ilvl="0">
      <w:lvlJc w:val="left"/>
      <w:lvlText w:val="[%1]"/>
      <w:numFmt w:val="upperLetter"/>
      <w:start w:val="1"/>
    </w:lvl>
  </w:abstractNum>
  <w:abstractNum w:abstractNumId="157">
    <w:nsid w:val="4FA0D2E3"/>
    <w:multiLevelType w:val="hybridMultilevel"/>
    <w:lvl w:ilvl="0">
      <w:lvlJc w:val="left"/>
      <w:lvlText w:val="•"/>
      <w:numFmt w:val="bullet"/>
      <w:start w:val="1"/>
    </w:lvl>
  </w:abstractNum>
  <w:abstractNum w:abstractNumId="158">
    <w:nsid w:val="6B1D2C14"/>
    <w:multiLevelType w:val="hybridMultilevel"/>
    <w:lvl w:ilvl="0">
      <w:lvlJc w:val="left"/>
      <w:lvlText w:val="%1"/>
      <w:numFmt w:val="decimal"/>
      <w:start w:val="176"/>
    </w:lvl>
  </w:abstractNum>
  <w:abstractNum w:abstractNumId="159">
    <w:nsid w:val="68B867D3"/>
    <w:multiLevelType w:val="hybridMultilevel"/>
    <w:lvl w:ilvl="0">
      <w:lvlJc w:val="left"/>
      <w:lvlText w:val="(%1)"/>
      <w:numFmt w:val="lowerRoman"/>
      <w:start w:val="2"/>
    </w:lvl>
  </w:abstractNum>
  <w:abstractNum w:abstractNumId="160">
    <w:nsid w:val="3F7F5DD9"/>
    <w:multiLevelType w:val="hybridMultilevel"/>
    <w:lvl w:ilvl="0">
      <w:lvlJc w:val="left"/>
      <w:lvlText w:val="•"/>
      <w:numFmt w:val="bullet"/>
      <w:start w:val="1"/>
    </w:lvl>
  </w:abstractNum>
  <w:abstractNum w:abstractNumId="161">
    <w:nsid w:val="2AE05A34"/>
    <w:multiLevelType w:val="hybridMultilevel"/>
    <w:lvl w:ilvl="0">
      <w:lvlJc w:val="left"/>
      <w:lvlText w:val="%1"/>
      <w:numFmt w:val="decimal"/>
      <w:start w:val="178"/>
    </w:lvl>
  </w:abstractNum>
  <w:abstractNum w:abstractNumId="162">
    <w:nsid w:val="32794FF7"/>
    <w:multiLevelType w:val="hybridMultilevel"/>
    <w:lvl w:ilvl="0">
      <w:lvlJc w:val="left"/>
      <w:lvlText w:val="•"/>
      <w:numFmt w:val="bullet"/>
      <w:start w:val="1"/>
    </w:lvl>
  </w:abstractNum>
  <w:abstractNum w:abstractNumId="163">
    <w:nsid w:val="5454945E"/>
    <w:multiLevelType w:val="hybridMultilevel"/>
    <w:lvl w:ilvl="0">
      <w:lvlJc w:val="left"/>
      <w:lvlText w:val="%1"/>
      <w:numFmt w:val="decimal"/>
      <w:start w:val="180"/>
    </w:lvl>
  </w:abstractNum>
  <w:abstractNum w:abstractNumId="164">
    <w:nsid w:val="4DEFDFA0"/>
    <w:multiLevelType w:val="hybridMultilevel"/>
    <w:lvl w:ilvl="0">
      <w:lvlJc w:val="left"/>
      <w:lvlText w:val="[%1]"/>
      <w:numFmt w:val="upperLetter"/>
      <w:start w:val="1"/>
    </w:lvl>
  </w:abstractNum>
  <w:abstractNum w:abstractNumId="165">
    <w:nsid w:val="2123D5F2"/>
    <w:multiLevelType w:val="hybridMultilevel"/>
    <w:lvl w:ilvl="0">
      <w:lvlJc w:val="left"/>
      <w:lvlText w:val="[%1]"/>
      <w:numFmt w:val="upperLetter"/>
      <w:start w:val="1"/>
    </w:lvl>
  </w:abstractNum>
  <w:abstractNum w:abstractNumId="166">
    <w:nsid w:val="135B8110"/>
    <w:multiLevelType w:val="hybridMultilevel"/>
    <w:lvl w:ilvl="0">
      <w:lvlJc w:val="left"/>
      <w:lvlText w:val="[%1]"/>
      <w:numFmt w:val="upperLetter"/>
      <w:start w:val="1"/>
    </w:lvl>
  </w:abstractNum>
  <w:abstractNum w:abstractNumId="167">
    <w:nsid w:val="94927A8"/>
    <w:multiLevelType w:val="hybridMultilevel"/>
    <w:lvl w:ilvl="0">
      <w:lvlJc w:val="left"/>
      <w:lvlText w:val="[%1]"/>
      <w:numFmt w:val="upperLetter"/>
      <w:start w:val="1"/>
    </w:lvl>
  </w:abstractNum>
  <w:abstractNum w:abstractNumId="168">
    <w:nsid w:val="DCDF8F6"/>
    <w:multiLevelType w:val="hybridMultilevel"/>
    <w:lvl w:ilvl="0">
      <w:lvlJc w:val="left"/>
      <w:lvlText w:val="2"/>
      <w:numFmt w:val="bullet"/>
      <w:start w:val="1"/>
    </w:lvl>
  </w:abstractNum>
  <w:abstractNum w:abstractNumId="169">
    <w:nsid w:val="52D7B105"/>
    <w:multiLevelType w:val="hybridMultilevel"/>
    <w:lvl w:ilvl="0">
      <w:lvlJc w:val="left"/>
      <w:lvlText w:val="%1"/>
      <w:numFmt w:val="decimal"/>
      <w:start w:val="208"/>
    </w:lvl>
  </w:abstractNum>
  <w:abstractNum w:abstractNumId="170">
    <w:nsid w:val="2E8A6394"/>
    <w:multiLevelType w:val="hybridMultilevel"/>
    <w:lvl w:ilvl="0">
      <w:lvlJc w:val="left"/>
      <w:lvlText w:val="[%1]"/>
      <w:numFmt w:val="upperLetter"/>
      <w:start w:val="1"/>
    </w:lvl>
  </w:abstractNum>
  <w:abstractNum w:abstractNumId="171">
    <w:nsid w:val="24E60401"/>
    <w:multiLevelType w:val="hybridMultilevel"/>
    <w:lvl w:ilvl="0">
      <w:lvlJc w:val="left"/>
      <w:lvlText w:val="%1."/>
      <w:numFmt w:val="decimal"/>
      <w:start w:val="1"/>
    </w:lvl>
    <w:lvl w:ilvl="1">
      <w:lvlJc w:val="left"/>
      <w:lvlText w:val="•"/>
      <w:numFmt w:val="bullet"/>
      <w:start w:val="1"/>
    </w:lvl>
  </w:abstractNum>
  <w:abstractNum w:abstractNumId="172">
    <w:nsid w:val="2A6AD9BE"/>
    <w:multiLevelType w:val="hybridMultilevel"/>
    <w:lvl w:ilvl="0">
      <w:lvlJc w:val="left"/>
      <w:lvlText w:val="%1."/>
      <w:numFmt w:val="decimal"/>
      <w:start w:val="1"/>
    </w:lvl>
    <w:lvl w:ilvl="1">
      <w:lvlJc w:val="left"/>
      <w:lvlText w:val="•"/>
      <w:numFmt w:val="bullet"/>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jpeg"/><Relationship Id="rId652" Type="http://schemas.openxmlformats.org/officeDocument/2006/relationships/image" Target="media/image645.png"/><Relationship Id="rId653" Type="http://schemas.openxmlformats.org/officeDocument/2006/relationships/image" Target="media/image646.jpe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2019-12-15T10:47:38Z</dcterms:created>
  <dcterms:modified xsi:type="dcterms:W3CDTF">2019-12-15T10:47:38Z</dcterms:modified>
</cp:coreProperties>
</file>