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ind w:right="260"/>
        <w:spacing w:after="0" w:line="258" w:lineRule="auto"/>
        <w:rPr>
          <w:sz w:val="20"/>
          <w:szCs w:val="20"/>
          <w:color w:val="auto"/>
        </w:rPr>
      </w:pPr>
      <w:r>
        <w:rPr>
          <w:rFonts w:ascii="Times New Roman" w:cs="Times New Roman" w:eastAsia="Times New Roman" w:hAnsi="Times New Roman"/>
          <w:sz w:val="22"/>
          <w:szCs w:val="22"/>
          <w:color w:val="auto"/>
        </w:rPr>
        <w:t>Shell plc (the “registrant”) is filing the following exhibits on this Report on Form 6-K, which are hereby incorporated by reference:</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Q3 2025 Interim Dividend</w:t>
      </w:r>
    </w:p>
    <w:p>
      <w:pPr>
        <w:spacing w:after="0" w:line="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2026 Dividend Timetable announcement</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Share buyback programme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328" w:right="8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plc Third Quarter 2025 Interim Dividend</w:t>
      </w:r>
    </w:p>
    <w:p>
      <w:pPr>
        <w:spacing w:after="0" w:line="20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London, October 30, 2025 </w:t>
      </w:r>
      <w:r>
        <w:rPr>
          <w:rFonts w:ascii="Times New Roman" w:cs="Times New Roman" w:eastAsia="Times New Roman" w:hAnsi="Times New Roman"/>
          <w:sz w:val="22"/>
          <w:szCs w:val="22"/>
          <w:color w:val="auto"/>
        </w:rPr>
        <w:t>− The Board of Shell plc (the “Company”) (XLON: SHEL, XNYS: SHEL, XAMS: SHELL)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an interim dividend in respect of the third quarter of 2025 of US$ 0.358 per ordinary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Details relating to the third quarter 2025 interim dividend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ordinary share</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(GB00BP6MXD84)</w:t>
            </w:r>
          </w:p>
        </w:tc>
        <w:tc>
          <w:tcPr>
            <w:tcW w:w="2460" w:type="dxa"/>
            <w:vAlign w:val="bottom"/>
            <w:vMerge w:val="restart"/>
          </w:tcPr>
          <w:p>
            <w:pPr>
              <w:ind w:left="540"/>
              <w:spacing w:after="0"/>
              <w:rPr>
                <w:sz w:val="20"/>
                <w:szCs w:val="20"/>
                <w:color w:val="auto"/>
              </w:rPr>
            </w:pPr>
            <w:r>
              <w:rPr>
                <w:rFonts w:ascii="Times New Roman" w:cs="Times New Roman" w:eastAsia="Times New Roman" w:hAnsi="Times New Roman"/>
                <w:sz w:val="22"/>
                <w:szCs w:val="22"/>
                <w:b w:val="1"/>
                <w:bCs w:val="1"/>
                <w:color w:val="auto"/>
              </w:rPr>
              <w:t>Q3 2025</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6"/>
        </w:trPr>
        <w:tc>
          <w:tcPr>
            <w:tcW w:w="2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Shares (US$)</w:t>
            </w:r>
          </w:p>
        </w:tc>
        <w:tc>
          <w:tcPr>
            <w:tcW w:w="2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color w:val="auto"/>
              </w:rPr>
              <w:t>0.358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Shareholders will be able to elect to receive their dividends in US dollars, euros or pounds sterling.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alternative ‘Electronic Election Entitlement’ (‘EEE’) process is available in CREST for dividends with options elections.</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Absent any valid election to the contrary, persons holding their ordinary shares through Euroclear Nederland will receive their dividends in euros.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Absent any valid election to the contrary, shareholders (both holding in certificated and uncertificated form (CREST members)) and persons holding their shares through the Shell Corporate Nominee will receive their dividends in pounds sterling.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pound sterling and euro equivalent dividend payments will be announced on December 8,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 ADS</w:t>
            </w:r>
          </w:p>
        </w:tc>
        <w:tc>
          <w:tcPr>
            <w:tcW w:w="2520" w:type="dxa"/>
            <w:vAlign w:val="bottom"/>
            <w:vMerge w:val="restart"/>
          </w:tcPr>
          <w:p>
            <w:pPr>
              <w:ind w:left="600"/>
              <w:spacing w:after="0"/>
              <w:rPr>
                <w:sz w:val="20"/>
                <w:szCs w:val="20"/>
                <w:color w:val="auto"/>
              </w:rPr>
            </w:pPr>
            <w:r>
              <w:rPr>
                <w:rFonts w:ascii="Times New Roman" w:cs="Times New Roman" w:eastAsia="Times New Roman" w:hAnsi="Times New Roman"/>
                <w:sz w:val="22"/>
                <w:szCs w:val="22"/>
                <w:b w:val="1"/>
                <w:bCs w:val="1"/>
                <w:color w:val="auto"/>
              </w:rPr>
              <w:t>Q3 2025</w:t>
            </w:r>
          </w:p>
        </w:tc>
        <w:tc>
          <w:tcPr>
            <w:tcW w:w="0" w:type="dxa"/>
            <w:vAlign w:val="bottom"/>
          </w:tcPr>
          <w:p>
            <w:pPr>
              <w:spacing w:after="0"/>
              <w:rPr>
                <w:sz w:val="1"/>
                <w:szCs w:val="1"/>
                <w:color w:val="auto"/>
              </w:rPr>
            </w:pPr>
          </w:p>
        </w:tc>
      </w:tr>
      <w:tr>
        <w:trPr>
          <w:trHeight w:val="161"/>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(US7802593050)</w:t>
            </w: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vMerge w:val="continue"/>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Shell ADSs (US$)</w:t>
            </w:r>
          </w:p>
        </w:tc>
        <w:tc>
          <w:tcPr>
            <w:tcW w:w="2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0.716</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 dividends on American Depositary Shares (“ADSs”) will be paid, by default, in US dollars.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ADS represents two ordinary shares. ADSs are evidenced by an American Depositary Receipt (“ADR”) certificate. In many cases the terms ADR and ADS are used interchangeably.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timetable for the third quarter 2025 interim dividend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October 30,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ADSs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14,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 Dividend Date for ordinary shares</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13, 2025</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Record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14,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Closing date for currency election (see Note below)</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November 28, 2025</w:t>
            </w:r>
          </w:p>
        </w:tc>
      </w:tr>
      <w:tr>
        <w:trPr>
          <w:trHeight w:val="26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Pound sterling and euro equivalents announcement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December 8, 2025</w:t>
            </w:r>
          </w:p>
        </w:tc>
      </w:tr>
      <w:tr>
        <w:trPr>
          <w:trHeight w:val="264"/>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Payment date</w:t>
            </w:r>
          </w:p>
        </w:tc>
        <w:tc>
          <w:tcPr>
            <w:tcW w:w="3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color w:val="auto"/>
              </w:rPr>
              <w:t>December 18, 2025</w:t>
            </w:r>
          </w:p>
        </w:tc>
      </w:tr>
      <w:tr>
        <w:trPr>
          <w:trHeight w:val="464"/>
        </w:trPr>
        <w:tc>
          <w:tcPr>
            <w:tcW w:w="5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Note</w:t>
            </w:r>
          </w:p>
        </w:tc>
        <w:tc>
          <w:tcPr>
            <w:tcW w:w="3260" w:type="dxa"/>
            <w:vAlign w:val="bottom"/>
          </w:tcPr>
          <w:p>
            <w:pPr>
              <w:spacing w:after="0"/>
              <w:rPr>
                <w:sz w:val="24"/>
                <w:szCs w:val="24"/>
                <w:color w:val="auto"/>
              </w:rPr>
            </w:pPr>
          </w:p>
        </w:tc>
      </w:tr>
    </w:tbl>
    <w:p>
      <w:pPr>
        <w:spacing w:after="0" w:line="17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 xml:space="preserve">The closing time for the dividend currency election is </w:t>
      </w:r>
      <w:r>
        <w:rPr>
          <w:rFonts w:ascii="Times New Roman" w:cs="Times New Roman" w:eastAsia="Times New Roman" w:hAnsi="Times New Roman"/>
          <w:sz w:val="22"/>
          <w:szCs w:val="22"/>
          <w:b w:val="1"/>
          <w:bCs w:val="1"/>
          <w:color w:val="auto"/>
        </w:rPr>
        <w:t>11:00am</w:t>
      </w:r>
      <w:r>
        <w:rPr>
          <w:rFonts w:ascii="Times New Roman" w:cs="Times New Roman" w:eastAsia="Times New Roman" w:hAnsi="Times New Roman"/>
          <w:sz w:val="22"/>
          <w:szCs w:val="22"/>
          <w:color w:val="auto"/>
        </w:rPr>
        <w:t xml:space="preserve"> GMT on 28 November 2025. A different currency election date / time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 cash dividends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uncertain as to the tax treatment of any dividends you should consult your tax advisor.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Reinvestment Programmes (“DRIP”)</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following organisations offer Dividend Reinvestment Plans (“DRIPs”) which enable the Company’s shareholders to elect to have their dividend payments used to purchase the Company’s shares:</w:t>
      </w:r>
    </w:p>
    <w:p>
      <w:pPr>
        <w:spacing w:after="0" w:line="158"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22"/>
          <w:szCs w:val="22"/>
          <w:color w:val="auto"/>
        </w:rPr>
        <w:t>Equiniti Financial Services Limited (“EFSL”), for those holding shares (a) directly on the register as certificate holder or as CREST Member and (b) via the Shell Corporate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ABN-AMRO NV (“ABN”) for Financial Intermediaries holding shares via Euroclear Nederland;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JPMorgan Chase Bank, N.A. (“JPM”) for holders of ADSs;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-94615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Other DRIPs may also be available from the intermediary through which investors hold their shares and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DRIP offerors provide their DRIPs fully on their account and not on behalf of the Company. Interested parties should contact the relevant DRIP offeror directly.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More information can be found at https://www.shell.com/drip</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To be eligible to participate in the DRIPs for the next dividend, shareholders must make a valid dividend reinvestment election before the published date for the close of elections.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Media: </w:t>
      </w:r>
      <w:r>
        <w:rPr>
          <w:rFonts w:ascii="Times New Roman" w:cs="Times New Roman" w:eastAsia="Times New Roman" w:hAnsi="Times New Roman"/>
          <w:sz w:val="22"/>
          <w:szCs w:val="22"/>
          <w:color w:val="auto"/>
        </w:rPr>
        <w:t>International +44 (0) 207 934 5550; U.S. and Canada: https://www.shell.us/about-us/news-and-insights/media/submit-an-inquiry.html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11" w:lineRule="exact"/>
        <w:rPr>
          <w:sz w:val="20"/>
          <w:szCs w:val="20"/>
          <w:color w:val="auto"/>
        </w:rPr>
      </w:pPr>
    </w:p>
    <w:p>
      <w:pPr>
        <w:jc w:val="both"/>
        <w:ind w:firstLine="8"/>
        <w:spacing w:after="0" w:line="231" w:lineRule="auto"/>
        <w:tabs>
          <w:tab w:leader="none" w:pos="34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October 30, 2025.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 carbon intensity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w:t>
      </w:r>
    </w:p>
    <w:p>
      <w:pPr>
        <w:sectPr>
          <w:pgSz w:w="11900" w:h="16845" w:orient="portrait"/>
          <w:cols w:equalWidth="0" w:num="1">
            <w:col w:w="11240"/>
          </w:cols>
          <w:pgMar w:left="320" w:top="112" w:right="339" w:bottom="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2"/>
          <w:szCs w:val="22"/>
          <w:color w:val="auto"/>
        </w:rPr>
        <w:t>controls its own emissions. The use of the terms Shell’s “net carbon intensity” or NCI is for convenience only and not intended to suggest these emissions are those of Shell plc or its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net-zero emissions target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non-GAAP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adjusted earnings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and any amendment thereto, File No 1-32575, available on the SEC website www.sec.gov.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Additional regulated information required to be disclosed under the laws of the United Kingdom</w:t>
      </w:r>
    </w:p>
    <w:p>
      <w:pPr>
        <w:sectPr>
          <w:pgSz w:w="11900" w:h="16838" w:orient="portrait"/>
          <w:cols w:equalWidth="0" w:num="1">
            <w:col w:w="11240"/>
          </w:cols>
          <w:pgMar w:left="320" w:top="111" w:right="339" w:bottom="1440" w:gutter="0" w:footer="0" w:header="0"/>
        </w:sectPr>
      </w:pPr>
    </w:p>
    <w:bookmarkStart w:id="6" w:name="page7"/>
    <w:bookmarkEnd w:id="6"/>
    <w:p>
      <w:pPr>
        <w:ind w:left="988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PLC 2026 INTERIM DIVIDEND TIMETABLE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London, October 30,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Shell plc today announced the intended timetable for the 2026 quarterly interim 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2026 Interim Dividend Timetable</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293"/>
        </w:trPr>
        <w:tc>
          <w:tcPr>
            <w:tcW w:w="21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Event</w:t>
            </w:r>
          </w:p>
        </w:tc>
        <w:tc>
          <w:tcPr>
            <w:tcW w:w="1620" w:type="dxa"/>
            <w:vAlign w:val="bottom"/>
            <w:tcBorders>
              <w:top w:val="single" w:sz="8" w:color="auto"/>
              <w:right w:val="single" w:sz="8" w:color="auto"/>
            </w:tcBorders>
          </w:tcPr>
          <w:p>
            <w:pPr>
              <w:spacing w:after="0" w:line="293" w:lineRule="exact"/>
              <w:rPr>
                <w:sz w:val="20"/>
                <w:szCs w:val="20"/>
                <w:color w:val="auto"/>
              </w:rPr>
            </w:pPr>
            <w:r>
              <w:rPr>
                <w:rFonts w:ascii="Times New Roman" w:cs="Times New Roman" w:eastAsia="Times New Roman" w:hAnsi="Times New Roman"/>
                <w:sz w:val="21"/>
                <w:szCs w:val="21"/>
                <w:b w:val="1"/>
                <w:bCs w:val="1"/>
                <w:color w:val="auto"/>
              </w:rPr>
              <w:t>4</w:t>
            </w:r>
            <w:r>
              <w:rPr>
                <w:rFonts w:ascii="Times New Roman" w:cs="Times New Roman" w:eastAsia="Times New Roman" w:hAnsi="Times New Roman"/>
                <w:sz w:val="33"/>
                <w:szCs w:val="33"/>
                <w:b w:val="1"/>
                <w:bCs w:val="1"/>
                <w:color w:val="auto"/>
                <w:vertAlign w:val="superscript"/>
              </w:rPr>
              <w:t>th</w:t>
            </w:r>
            <w:r>
              <w:rPr>
                <w:rFonts w:ascii="Times New Roman" w:cs="Times New Roman" w:eastAsia="Times New Roman" w:hAnsi="Times New Roman"/>
                <w:sz w:val="21"/>
                <w:szCs w:val="21"/>
                <w:b w:val="1"/>
                <w:bCs w:val="1"/>
                <w:color w:val="auto"/>
              </w:rPr>
              <w:t xml:space="preserve"> Quarter 2025</w:t>
            </w:r>
          </w:p>
        </w:tc>
        <w:tc>
          <w:tcPr>
            <w:tcW w:w="1620" w:type="dxa"/>
            <w:vAlign w:val="bottom"/>
            <w:tcBorders>
              <w:top w:val="single" w:sz="8" w:color="auto"/>
              <w:right w:val="single" w:sz="8" w:color="auto"/>
            </w:tcBorders>
          </w:tcPr>
          <w:p>
            <w:pPr>
              <w:spacing w:after="0" w:line="293" w:lineRule="exact"/>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33"/>
                <w:szCs w:val="33"/>
                <w:b w:val="1"/>
                <w:bCs w:val="1"/>
                <w:color w:val="auto"/>
                <w:vertAlign w:val="superscript"/>
              </w:rPr>
              <w:t>st</w:t>
            </w:r>
            <w:r>
              <w:rPr>
                <w:rFonts w:ascii="Times New Roman" w:cs="Times New Roman" w:eastAsia="Times New Roman" w:hAnsi="Times New Roman"/>
                <w:sz w:val="21"/>
                <w:szCs w:val="21"/>
                <w:b w:val="1"/>
                <w:bCs w:val="1"/>
                <w:color w:val="auto"/>
              </w:rPr>
              <w:t xml:space="preserve"> Quarter 2026</w:t>
            </w:r>
          </w:p>
        </w:tc>
        <w:tc>
          <w:tcPr>
            <w:tcW w:w="1640" w:type="dxa"/>
            <w:vAlign w:val="bottom"/>
            <w:tcBorders>
              <w:top w:val="single" w:sz="8" w:color="auto"/>
              <w:right w:val="single" w:sz="8" w:color="auto"/>
            </w:tcBorders>
          </w:tcPr>
          <w:p>
            <w:pPr>
              <w:ind w:left="20"/>
              <w:spacing w:after="0" w:line="293" w:lineRule="exact"/>
              <w:rPr>
                <w:sz w:val="20"/>
                <w:szCs w:val="20"/>
                <w:color w:val="auto"/>
              </w:rPr>
            </w:pPr>
            <w:r>
              <w:rPr>
                <w:rFonts w:ascii="Times New Roman" w:cs="Times New Roman" w:eastAsia="Times New Roman" w:hAnsi="Times New Roman"/>
                <w:sz w:val="21"/>
                <w:szCs w:val="21"/>
                <w:b w:val="1"/>
                <w:bCs w:val="1"/>
                <w:color w:val="auto"/>
              </w:rPr>
              <w:t>2</w:t>
            </w:r>
            <w:r>
              <w:rPr>
                <w:rFonts w:ascii="Times New Roman" w:cs="Times New Roman" w:eastAsia="Times New Roman" w:hAnsi="Times New Roman"/>
                <w:sz w:val="33"/>
                <w:szCs w:val="33"/>
                <w:b w:val="1"/>
                <w:bCs w:val="1"/>
                <w:color w:val="auto"/>
                <w:vertAlign w:val="superscript"/>
              </w:rPr>
              <w:t>nd</w:t>
            </w:r>
            <w:r>
              <w:rPr>
                <w:rFonts w:ascii="Times New Roman" w:cs="Times New Roman" w:eastAsia="Times New Roman" w:hAnsi="Times New Roman"/>
                <w:sz w:val="21"/>
                <w:szCs w:val="21"/>
                <w:b w:val="1"/>
                <w:bCs w:val="1"/>
                <w:color w:val="auto"/>
              </w:rPr>
              <w:t xml:space="preserve"> Quarter</w:t>
            </w:r>
          </w:p>
        </w:tc>
        <w:tc>
          <w:tcPr>
            <w:tcW w:w="1640" w:type="dxa"/>
            <w:vAlign w:val="bottom"/>
            <w:tcBorders>
              <w:top w:val="single" w:sz="8" w:color="auto"/>
              <w:right w:val="single" w:sz="8" w:color="auto"/>
            </w:tcBorders>
          </w:tcPr>
          <w:p>
            <w:pPr>
              <w:ind w:left="20"/>
              <w:spacing w:after="0" w:line="293" w:lineRule="exact"/>
              <w:rPr>
                <w:sz w:val="20"/>
                <w:szCs w:val="20"/>
                <w:color w:val="auto"/>
              </w:rPr>
            </w:pPr>
            <w:r>
              <w:rPr>
                <w:rFonts w:ascii="Times New Roman" w:cs="Times New Roman" w:eastAsia="Times New Roman" w:hAnsi="Times New Roman"/>
                <w:sz w:val="21"/>
                <w:szCs w:val="21"/>
                <w:b w:val="1"/>
                <w:bCs w:val="1"/>
                <w:color w:val="auto"/>
                <w:w w:val="99"/>
              </w:rPr>
              <w:t>3</w:t>
            </w:r>
            <w:r>
              <w:rPr>
                <w:rFonts w:ascii="Times New Roman" w:cs="Times New Roman" w:eastAsia="Times New Roman" w:hAnsi="Times New Roman"/>
                <w:sz w:val="33"/>
                <w:szCs w:val="33"/>
                <w:b w:val="1"/>
                <w:bCs w:val="1"/>
                <w:color w:val="auto"/>
                <w:w w:val="99"/>
                <w:vertAlign w:val="superscript"/>
              </w:rPr>
              <w:t>rd</w:t>
            </w:r>
            <w:r>
              <w:rPr>
                <w:rFonts w:ascii="Times New Roman" w:cs="Times New Roman" w:eastAsia="Times New Roman" w:hAnsi="Times New Roman"/>
                <w:sz w:val="21"/>
                <w:szCs w:val="21"/>
                <w:b w:val="1"/>
                <w:bCs w:val="1"/>
                <w:color w:val="auto"/>
                <w:w w:val="99"/>
              </w:rPr>
              <w:t xml:space="preserve"> Quarter 2026</w:t>
            </w:r>
          </w:p>
        </w:tc>
      </w:tr>
      <w:tr>
        <w:trPr>
          <w:trHeight w:val="287"/>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2026</w:t>
            </w:r>
          </w:p>
        </w:tc>
        <w:tc>
          <w:tcPr>
            <w:tcW w:w="1640" w:type="dxa"/>
            <w:vAlign w:val="bottom"/>
            <w:tcBorders>
              <w:bottom w:val="single" w:sz="8" w:color="auto"/>
              <w:right w:val="single" w:sz="8" w:color="auto"/>
            </w:tcBorders>
          </w:tcPr>
          <w:p>
            <w:pPr>
              <w:spacing w:after="0"/>
              <w:rPr>
                <w:sz w:val="24"/>
                <w:szCs w:val="24"/>
                <w:color w:val="auto"/>
              </w:rPr>
            </w:pPr>
          </w:p>
        </w:tc>
      </w:tr>
      <w:tr>
        <w:trPr>
          <w:trHeight w:val="264"/>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Announcement date</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February 5, 2026</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May 7, 2026</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July 30, 2026</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October 29, 2026</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Ex- Dividend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20,</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22,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14,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13,</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ADSs</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2026</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2026</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Ex- Dividend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19,</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21,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13,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12,</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ordinary shares</w:t>
            </w: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2026</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2026</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Record date</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February 20,</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May 22,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14,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13,</w:t>
            </w:r>
          </w:p>
        </w:tc>
      </w:tr>
      <w:tr>
        <w:trPr>
          <w:trHeight w:val="283"/>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2026</w:t>
            </w: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2026</w:t>
            </w: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Closing date for</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6, 2026</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June 8,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August 28,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November 27,</w:t>
            </w:r>
          </w:p>
        </w:tc>
      </w:tr>
      <w:tr>
        <w:trPr>
          <w:trHeight w:val="243"/>
        </w:trPr>
        <w:tc>
          <w:tcPr>
            <w:tcW w:w="21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currency election (see</w:t>
            </w: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2026</w:t>
            </w: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Note below)</w:t>
            </w: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Pounds sterling and</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16, 2026</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June 15,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September 7,</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w w:val="97"/>
              </w:rPr>
              <w:t>December 7, 2026</w:t>
            </w:r>
          </w:p>
        </w:tc>
      </w:tr>
      <w:tr>
        <w:trPr>
          <w:trHeight w:val="243"/>
        </w:trPr>
        <w:tc>
          <w:tcPr>
            <w:tcW w:w="21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euro equivalents</w:t>
            </w: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4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1640" w:type="dxa"/>
            <w:vAlign w:val="bottom"/>
            <w:tcBorders>
              <w:right w:val="single" w:sz="8" w:color="auto"/>
            </w:tcBorders>
          </w:tcPr>
          <w:p>
            <w:pPr>
              <w:spacing w:after="0"/>
              <w:rPr>
                <w:sz w:val="21"/>
                <w:szCs w:val="21"/>
                <w:color w:val="auto"/>
              </w:rPr>
            </w:pPr>
          </w:p>
        </w:tc>
      </w:tr>
      <w:tr>
        <w:trPr>
          <w:trHeight w:val="283"/>
        </w:trPr>
        <w:tc>
          <w:tcPr>
            <w:tcW w:w="21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announcement date</w:t>
            </w: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r>
      <w:tr>
        <w:trPr>
          <w:trHeight w:val="223"/>
        </w:trPr>
        <w:tc>
          <w:tcPr>
            <w:tcW w:w="216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Payment date</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March 30, 2026</w:t>
            </w:r>
          </w:p>
        </w:tc>
        <w:tc>
          <w:tcPr>
            <w:tcW w:w="1620" w:type="dxa"/>
            <w:vAlign w:val="bottom"/>
            <w:tcBorders>
              <w:right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June 29, 2026</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September 21,</w:t>
            </w:r>
          </w:p>
        </w:tc>
        <w:tc>
          <w:tcPr>
            <w:tcW w:w="164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December 21,</w:t>
            </w:r>
          </w:p>
        </w:tc>
      </w:tr>
      <w:tr>
        <w:trPr>
          <w:trHeight w:val="283"/>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2026</w:t>
            </w:r>
          </w:p>
        </w:tc>
        <w:tc>
          <w:tcPr>
            <w:tcW w:w="1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18"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22"/>
          <w:szCs w:val="22"/>
          <w:color w:val="auto"/>
        </w:rPr>
        <w:t>A different currency election date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2026 interim dividend timetable is also available on www.shell.com/dividend.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Media: </w:t>
      </w:r>
      <w:r>
        <w:rPr>
          <w:rFonts w:ascii="Times New Roman" w:cs="Times New Roman" w:eastAsia="Times New Roman" w:hAnsi="Times New Roman"/>
          <w:sz w:val="22"/>
          <w:szCs w:val="22"/>
          <w:color w:val="auto"/>
        </w:rPr>
        <w:t>International +44 (0) 207 934 5550; U.S. and Canada: https://www.shell.us/about-us/news-and-insights/media/submit-an-inquiry.html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w:t>
      </w:r>
    </w:p>
    <w:p>
      <w:pPr>
        <w:sectPr>
          <w:pgSz w:w="11900" w:h="16838" w:orient="portrait"/>
          <w:cols w:equalWidth="0" w:num="1">
            <w:col w:w="11240"/>
          </w:cols>
          <w:pgMar w:left="320" w:top="108" w:right="339" w:bottom="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1"/>
          <w:szCs w:val="21"/>
          <w:color w:val="auto"/>
        </w:rPr>
        <w:t>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2" w:lineRule="exact"/>
        <w:rPr>
          <w:sz w:val="20"/>
          <w:szCs w:val="20"/>
          <w:color w:val="auto"/>
        </w:rPr>
      </w:pPr>
    </w:p>
    <w:p>
      <w:pPr>
        <w:jc w:val="both"/>
        <w:ind w:firstLine="8"/>
        <w:spacing w:after="0" w:line="231" w:lineRule="auto"/>
        <w:tabs>
          <w:tab w:leader="none" w:pos="34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October 30, 2025.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 carbon intensity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Shell’s net-zero emissions target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non-GAAP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adjusted earnings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and any amendment thereto, File No 1-32575, available on the SEC website www.sec.gov.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Additional regulated information required to be disclosed under the laws of the United Kingdom</w:t>
      </w:r>
    </w:p>
    <w:p>
      <w:pPr>
        <w:sectPr>
          <w:pgSz w:w="11900" w:h="16838" w:orient="portrait"/>
          <w:cols w:equalWidth="0" w:num="1">
            <w:col w:w="11240"/>
          </w:cols>
          <w:pgMar w:left="320" w:top="111" w:right="339" w:bottom="1440" w:gutter="0" w:footer="0" w:header="0"/>
        </w:sectPr>
      </w:pPr>
    </w:p>
    <w:bookmarkStart w:id="8" w:name="page9"/>
    <w:bookmarkEnd w:id="8"/>
    <w:p>
      <w:pPr>
        <w:ind w:left="988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announces commencement of a share buyback programme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30, 2025</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Shell plc (the ‘Company’) today announces the commencement of a $3.5 billion share buyback programme covering an aggregate contract term of approximately three months (the ‘programme’). The purpose of the programme is to reduce the issued share capital of the Company. All shares repurchased as part of the programme will be cancelled. It is intended that, subject to market conditions, the programme will be completed prior to the Company’s Q4 2025 results announcement.</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has entered into an arrangement with a single broker consisting of two irrevocable, non-discretionary contracts, to enable the purchase of ordinary shares on both London market exchanges (the London Stock Exchange and/or on BATS and/or on Chi-X) (pursuant to one ‘London contract’) and Netherlands exchanges (Euronext Amsterdam and/or on CBOE Europe DXE and/or on Turquoise Europe) (pursuant to one ‘Netherlands contract’) for a period up to and including January 30, 2026. The aggregate maximum consideration for the purchase of ordinary shares under the London contract is $1.75 billion and the maximum consideration for the purchase of ordinary shares under the Netherlands contract is $1.75 billion. Purchases under the London contract will be carried out in accordance with the Company’s authority to repurchase shares on-market and will be effected within certain contractually agreed parameters. Purchases under the Netherlands contract will be carried out in accordance with the Company’s authority to repurchase shares off-market pursuant to the off-market share buyback contract approved by its shareholders and the parameters set out therein.</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maximum number of ordinary shares which may be purchased or committed to be purchased by the Company under the programme (across both contracts) is 500,000,000, which is the maximum number remaining as of the date of this announcement pursuant to the relevant authorities granted by shareholders at the Company's 2025 Annual General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broker will make its trading decisions in relation to the Company's securities independently of the Company.</w:t>
      </w:r>
    </w:p>
    <w:p>
      <w:pPr>
        <w:spacing w:after="0" w:line="206"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The programme will be conducted in accordance with Chapter 9 of the UK Listing Rules,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w:t>
      </w:r>
    </w:p>
    <w:p>
      <w:pPr>
        <w:sectPr>
          <w:pgSz w:w="11900" w:h="16838" w:orient="portrait"/>
          <w:cols w:equalWidth="0" w:num="1">
            <w:col w:w="11240"/>
          </w:cols>
          <w:pgMar w:left="320" w:top="108" w:right="339" w:bottom="0" w:gutter="0" w:footer="0" w:header="0"/>
        </w:sectPr>
      </w:pPr>
    </w:p>
    <w:bookmarkStart w:id="9" w:name="page10"/>
    <w:bookmarkEnd w:id="9"/>
    <w:p>
      <w:pPr>
        <w:jc w:val="both"/>
        <w:spacing w:after="0" w:line="243" w:lineRule="auto"/>
        <w:rPr>
          <w:sz w:val="20"/>
          <w:szCs w:val="20"/>
          <w:color w:val="auto"/>
        </w:rPr>
      </w:pPr>
      <w:r>
        <w:rPr>
          <w:rFonts w:ascii="Times New Roman" w:cs="Times New Roman" w:eastAsia="Times New Roman" w:hAnsi="Times New Roman"/>
          <w:sz w:val="21"/>
          <w:szCs w:val="21"/>
          <w:color w:val="auto"/>
        </w:rPr>
        <w:t>‘‘anticipate’’;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4" w:lineRule="exact"/>
        <w:rPr>
          <w:sz w:val="20"/>
          <w:szCs w:val="20"/>
          <w:color w:val="auto"/>
        </w:rPr>
      </w:pPr>
    </w:p>
    <w:p>
      <w:pPr>
        <w:jc w:val="both"/>
        <w:ind w:firstLine="8"/>
        <w:spacing w:after="0" w:line="231" w:lineRule="auto"/>
        <w:tabs>
          <w:tab w:leader="none" w:pos="34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and amendment thereto for the year ended December 31, 2024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October 30, 2025.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Shell’s net carbon intensity</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Shell’s net-zero emissions target</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Scope 1, Scope 2 and NCI targets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non-GAAP measures</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announcement may contain certain forward-looking non-GAAP measures such as adjusted earnings and divestments.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websites referred to in this announcement do not form part of this announcement.</w:t>
      </w:r>
    </w:p>
    <w:p>
      <w:pPr>
        <w:spacing w:after="0" w:line="206"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We may have used certain terms, such as resources, in this announcement that the United States Securities and Exchange Commission (SEC) strictly prohibits us from including in our filings with the SEC. Investors are urged to consider closely the disclosure in our Form 20-F and any amendment thereto, File No 1-32575, available on the SEC website www.sec.gov.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sectPr>
      <w:pgSz w:w="11900" w:h="16838" w:orient="portrait"/>
      <w:cols w:equalWidth="0" w:num="1">
        <w:col w:w="11240"/>
      </w:cols>
      <w:pgMar w:left="320" w:top="111" w:right="339" w:bottom="35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lowerLetter"/>
      <w:start w:val="2"/>
    </w:lvl>
  </w:abstractNum>
  <w:abstractNum w:abstractNumId="1">
    <w:nsid w:val="19495CFF"/>
    <w:multiLevelType w:val="hybridMultilevel"/>
    <w:lvl w:ilvl="0">
      <w:lvlJc w:val="left"/>
      <w:lvlText w:val="(%1)"/>
      <w:numFmt w:val="lowerLetter"/>
      <w:start w:val="14"/>
    </w:lvl>
  </w:abstractNum>
  <w:abstractNum w:abstractNumId="2">
    <w:nsid w:val="2AE8944A"/>
    <w:multiLevelType w:val="hybridMultilevel"/>
    <w:lvl w:ilvl="0">
      <w:lvlJc w:val="left"/>
      <w:lvlText w:val="(%1)"/>
      <w:numFmt w:val="lowerLetter"/>
      <w:start w:val="14"/>
    </w:lvl>
  </w:abstractNum>
  <w:abstractNum w:abstractNumId="3">
    <w:nsid w:val="625558EC"/>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2025-10-30T10:33:32Z</dcterms:created>
  <dcterms:modified xsi:type="dcterms:W3CDTF">2025-10-30T10:33:32Z</dcterms:modified>
</cp:coreProperties>
</file>