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1320" w:right="196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ISSUER PURSUANT TO RULE 13a-16 OR 15d-16 UNDER THE SECURITIES EXCHANGE ACT OF 1934</w:t>
      </w:r>
    </w:p>
    <w:p>
      <w:pPr>
        <w:spacing w:after="0" w:line="167"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For the month of July 2025</w:t>
      </w:r>
    </w:p>
    <w:p>
      <w:pPr>
        <w:spacing w:after="0" w:line="206"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auto"/>
        </w:rPr>
        <w:t>Commission File Number: 1-32575</w:t>
      </w:r>
    </w:p>
    <w:p>
      <w:pPr>
        <w:spacing w:after="0" w:line="199"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9"/>
          <w:szCs w:val="29"/>
          <w:b w:val="1"/>
          <w:bCs w:val="1"/>
          <w:color w:val="auto"/>
        </w:rPr>
        <w:t>Shell plc</w:t>
      </w:r>
    </w:p>
    <w:p>
      <w:pPr>
        <w:spacing w:after="0" w:line="39"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178"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2"/>
          <w:szCs w:val="22"/>
          <w:b w:val="1"/>
          <w:bCs w:val="1"/>
          <w:color w:val="auto"/>
        </w:rPr>
        <w:t>England and Wales</w:t>
      </w:r>
    </w:p>
    <w:p>
      <w:pPr>
        <w:spacing w:after="0" w:line="18"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22"/>
          <w:szCs w:val="22"/>
          <w:color w:val="auto"/>
        </w:rPr>
        <w:t>(Jurisdiction of incorporation or organization)</w:t>
      </w:r>
    </w:p>
    <w:p>
      <w:pPr>
        <w:spacing w:after="0" w:line="178"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Shell Centre</w:t>
      </w:r>
    </w:p>
    <w:p>
      <w:pPr>
        <w:spacing w:after="0" w:line="8"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2"/>
          <w:szCs w:val="22"/>
          <w:b w:val="1"/>
          <w:bCs w:val="1"/>
          <w:color w:val="auto"/>
        </w:rPr>
        <w:t>London, SE1 7NA</w:t>
      </w:r>
    </w:p>
    <w:p>
      <w:pPr>
        <w:jc w:val="center"/>
        <w:ind w:right="-1059"/>
        <w:spacing w:after="0" w:line="230" w:lineRule="auto"/>
        <w:rPr>
          <w:sz w:val="20"/>
          <w:szCs w:val="20"/>
          <w:color w:val="auto"/>
        </w:rPr>
      </w:pPr>
      <w:r>
        <w:rPr>
          <w:rFonts w:ascii="Times New Roman" w:cs="Times New Roman" w:eastAsia="Times New Roman" w:hAnsi="Times New Roman"/>
          <w:sz w:val="22"/>
          <w:szCs w:val="22"/>
          <w:b w:val="1"/>
          <w:bCs w:val="1"/>
          <w:color w:val="auto"/>
        </w:rPr>
        <w:t>United Kingdom</w:t>
      </w:r>
    </w:p>
    <w:p>
      <w:pPr>
        <w:spacing w:after="0" w:line="1"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78"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________________________________</w:t>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Indicate by check mark whether the registrant files or will file annual reports under cover of Form 20-F or Form 40-F.</w:t>
      </w:r>
    </w:p>
    <w:p>
      <w:pPr>
        <w:spacing w:after="0" w:line="218" w:lineRule="exact"/>
        <w:rPr>
          <w:sz w:val="24"/>
          <w:szCs w:val="24"/>
          <w:color w:val="auto"/>
        </w:rPr>
      </w:pPr>
    </w:p>
    <w:p>
      <w:pPr>
        <w:ind w:left="4120"/>
        <w:spacing w:after="0"/>
        <w:tabs>
          <w:tab w:leader="none" w:pos="5820" w:val="left"/>
          <w:tab w:leader="none" w:pos="7040" w:val="left"/>
        </w:tabs>
        <w:rPr>
          <w:sz w:val="20"/>
          <w:szCs w:val="20"/>
          <w:color w:val="auto"/>
        </w:rPr>
      </w:pPr>
      <w:r>
        <w:rPr>
          <w:rFonts w:ascii="Times New Roman" w:cs="Times New Roman" w:eastAsia="Times New Roman" w:hAnsi="Times New Roman"/>
          <w:sz w:val="22"/>
          <w:szCs w:val="22"/>
          <w:color w:val="auto"/>
        </w:rPr>
        <w:t>Form 20-F [ X ]</w:t>
      </w:r>
      <w:r>
        <w:rPr>
          <w:sz w:val="20"/>
          <w:szCs w:val="20"/>
          <w:color w:val="auto"/>
        </w:rPr>
        <w:tab/>
      </w:r>
      <w:r>
        <w:rPr>
          <w:rFonts w:ascii="Times New Roman" w:cs="Times New Roman" w:eastAsia="Times New Roman" w:hAnsi="Times New Roman"/>
          <w:sz w:val="22"/>
          <w:szCs w:val="22"/>
          <w:color w:val="auto"/>
        </w:rPr>
        <w:t>Form 40-F [</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200"/>
          </w:cols>
          <w:pgMar w:left="320" w:top="543" w:right="1379" w:bottom="1440" w:gutter="0" w:footer="0" w:header="0"/>
        </w:sectPr>
      </w:pPr>
    </w:p>
    <w:bookmarkStart w:id="1" w:name="page2"/>
    <w:bookmarkEnd w:id="1"/>
    <w:p>
      <w:pPr>
        <w:ind w:right="260"/>
        <w:spacing w:after="0" w:line="259" w:lineRule="auto"/>
        <w:rPr>
          <w:sz w:val="20"/>
          <w:szCs w:val="20"/>
          <w:color w:val="auto"/>
        </w:rPr>
      </w:pPr>
      <w:r>
        <w:rPr>
          <w:rFonts w:ascii="Times New Roman" w:cs="Times New Roman" w:eastAsia="Times New Roman" w:hAnsi="Times New Roman"/>
          <w:sz w:val="22"/>
          <w:szCs w:val="22"/>
          <w:color w:val="auto"/>
        </w:rPr>
        <w:t>Shell plc (the “registrant”) is filing the following exhibits on this Report on Form 6-K, which are hereby incorporated by reference: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280" w:type="dxa"/>
            <w:vAlign w:val="bottom"/>
          </w:tcPr>
          <w:p>
            <w:pPr>
              <w:spacing w:after="0"/>
              <w:rPr>
                <w:sz w:val="17"/>
                <w:szCs w:val="17"/>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1600" w:type="dxa"/>
            <w:vAlign w:val="bottom"/>
            <w:gridSpan w:val="2"/>
          </w:tcPr>
          <w:p>
            <w:pPr>
              <w:spacing w:after="0"/>
              <w:rPr>
                <w:sz w:val="17"/>
                <w:szCs w:val="17"/>
                <w:color w:val="auto"/>
              </w:rPr>
            </w:pPr>
          </w:p>
        </w:tc>
      </w:tr>
      <w:tr>
        <w:trPr>
          <w:trHeight w:val="41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Q2 2025 Interim Dividend</w:t>
            </w:r>
          </w:p>
        </w:tc>
      </w:tr>
      <w:tr>
        <w:trPr>
          <w:trHeight w:val="20"/>
        </w:trPr>
        <w:tc>
          <w:tcPr>
            <w:tcW w:w="3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3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2</w:t>
            </w: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Commencement of Share buyback</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Report on Form 6-K is incorporated by reference into:</w:t>
      </w:r>
    </w:p>
    <w:p>
      <w:pPr>
        <w:spacing w:after="0" w:line="225" w:lineRule="exact"/>
        <w:rPr>
          <w:sz w:val="20"/>
          <w:szCs w:val="20"/>
          <w:color w:val="auto"/>
        </w:rPr>
      </w:pPr>
    </w:p>
    <w:p>
      <w:pPr>
        <w:ind w:left="560" w:hanging="498"/>
        <w:spacing w:after="0" w:line="282" w:lineRule="auto"/>
        <w:tabs>
          <w:tab w:leader="none" w:pos="5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on Form F-3 of Shell plc, Shell Finance US Inc. and Shell International Finance B.V. (Registration Numbers 333-276068, 333-276068-01 and 333-276068-02); and</w:t>
      </w:r>
    </w:p>
    <w:p>
      <w:pPr>
        <w:spacing w:after="0" w:line="161" w:lineRule="exact"/>
        <w:rPr>
          <w:rFonts w:ascii="Times New Roman" w:cs="Times New Roman" w:eastAsia="Times New Roman" w:hAnsi="Times New Roman"/>
          <w:sz w:val="18"/>
          <w:szCs w:val="18"/>
          <w:color w:val="auto"/>
        </w:rPr>
      </w:pPr>
    </w:p>
    <w:p>
      <w:pPr>
        <w:ind w:left="580" w:hanging="505"/>
        <w:spacing w:after="0"/>
        <w:tabs>
          <w:tab w:leader="none" w:pos="58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Statements on Form S-8 of Shell plc (Registration Numbers 333-262396 and 333-272192).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700"/>
          </w:cols>
          <w:pgMar w:left="320" w:top="111" w:right="87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Shell plc</w:t>
            </w:r>
          </w:p>
        </w:tc>
        <w:tc>
          <w:tcPr>
            <w:tcW w:w="400" w:type="dxa"/>
            <w:vAlign w:val="bottom"/>
          </w:tcPr>
          <w:p>
            <w:pPr>
              <w:spacing w:after="0"/>
              <w:rPr>
                <w:sz w:val="17"/>
                <w:szCs w:val="17"/>
                <w:color w:val="auto"/>
              </w:rPr>
            </w:pPr>
          </w:p>
        </w:tc>
      </w:tr>
      <w:tr>
        <w:trPr>
          <w:trHeight w:val="237"/>
        </w:trPr>
        <w:tc>
          <w:tcPr>
            <w:tcW w:w="7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608"/>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Date: July 31, 2025</w:t>
            </w:r>
          </w:p>
        </w:tc>
        <w:tc>
          <w:tcPr>
            <w:tcW w:w="18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SEAN ASHLEY</w:t>
            </w:r>
          </w:p>
        </w:tc>
      </w:tr>
      <w:tr>
        <w:trPr>
          <w:trHeight w:val="218"/>
        </w:trPr>
        <w:tc>
          <w:tcPr>
            <w:tcW w:w="7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Sean Ashley</w:t>
            </w:r>
          </w:p>
        </w:tc>
      </w:tr>
      <w:tr>
        <w:trPr>
          <w:trHeight w:val="234"/>
        </w:trPr>
        <w:tc>
          <w:tcPr>
            <w:tcW w:w="7700" w:type="dxa"/>
            <w:vAlign w:val="bottom"/>
          </w:tcPr>
          <w:p>
            <w:pPr>
              <w:spacing w:after="0"/>
              <w:rPr>
                <w:sz w:val="20"/>
                <w:szCs w:val="20"/>
                <w:color w:val="auto"/>
              </w:rPr>
            </w:pPr>
          </w:p>
        </w:tc>
        <w:tc>
          <w:tcPr>
            <w:tcW w:w="18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Company Secretary</w:t>
            </w:r>
          </w:p>
        </w:tc>
      </w:tr>
    </w:tbl>
    <w:p>
      <w:pPr>
        <w:sectPr>
          <w:pgSz w:w="11900" w:h="16838" w:orient="portrait"/>
          <w:cols w:equalWidth="0" w:num="1">
            <w:col w:w="11160"/>
          </w:cols>
          <w:pgMar w:left="320" w:top="324" w:right="4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Shell plc Second Quarter 2025 Interim Dividend</w:t>
      </w:r>
    </w:p>
    <w:p>
      <w:pPr>
        <w:spacing w:after="0" w:line="206" w:lineRule="exact"/>
        <w:rPr>
          <w:sz w:val="20"/>
          <w:szCs w:val="20"/>
          <w:color w:val="auto"/>
        </w:rPr>
      </w:pPr>
    </w:p>
    <w:p>
      <w:pPr>
        <w:ind w:right="60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London, July 31, 2025 </w:t>
      </w:r>
      <w:r>
        <w:rPr>
          <w:rFonts w:ascii="Times New Roman" w:cs="Times New Roman" w:eastAsia="Times New Roman" w:hAnsi="Times New Roman"/>
          <w:sz w:val="22"/>
          <w:szCs w:val="22"/>
          <w:color w:val="auto"/>
        </w:rPr>
        <w:t>− The Board of Shell plc (the “Company”) (XLON: SHEL, XNYS: SHEL, XAMS: SHELL) today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announced an interim dividend in respect of the second quarter of 2025 of US$ 0.358 per ordinary share.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Details relating to the second quarter 2025 interim dividend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30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Per ordinary share</w:t>
            </w:r>
          </w:p>
        </w:tc>
        <w:tc>
          <w:tcPr>
            <w:tcW w:w="2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23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(GB00BP6MXD84)</w:t>
            </w:r>
          </w:p>
        </w:tc>
        <w:tc>
          <w:tcPr>
            <w:tcW w:w="2460" w:type="dxa"/>
            <w:vAlign w:val="bottom"/>
            <w:vMerge w:val="restart"/>
          </w:tcPr>
          <w:p>
            <w:pPr>
              <w:ind w:left="540"/>
              <w:spacing w:after="0"/>
              <w:rPr>
                <w:sz w:val="20"/>
                <w:szCs w:val="20"/>
                <w:color w:val="auto"/>
              </w:rPr>
            </w:pPr>
            <w:r>
              <w:rPr>
                <w:rFonts w:ascii="Times New Roman" w:cs="Times New Roman" w:eastAsia="Times New Roman" w:hAnsi="Times New Roman"/>
                <w:sz w:val="22"/>
                <w:szCs w:val="22"/>
                <w:b w:val="1"/>
                <w:bCs w:val="1"/>
                <w:color w:val="auto"/>
              </w:rPr>
              <w:t>Q2 2025</w:t>
            </w:r>
          </w:p>
        </w:tc>
        <w:tc>
          <w:tcPr>
            <w:tcW w:w="0" w:type="dxa"/>
            <w:vAlign w:val="bottom"/>
          </w:tcPr>
          <w:p>
            <w:pPr>
              <w:spacing w:after="0"/>
              <w:rPr>
                <w:sz w:val="1"/>
                <w:szCs w:val="1"/>
                <w:color w:val="auto"/>
              </w:rPr>
            </w:pPr>
          </w:p>
        </w:tc>
      </w:tr>
      <w:tr>
        <w:trPr>
          <w:trHeight w:val="121"/>
        </w:trPr>
        <w:tc>
          <w:tcPr>
            <w:tcW w:w="2300" w:type="dxa"/>
            <w:vAlign w:val="bottom"/>
          </w:tcPr>
          <w:p>
            <w:pPr>
              <w:spacing w:after="0"/>
              <w:rPr>
                <w:sz w:val="10"/>
                <w:szCs w:val="10"/>
                <w:color w:val="auto"/>
              </w:rPr>
            </w:pPr>
          </w:p>
        </w:tc>
        <w:tc>
          <w:tcPr>
            <w:tcW w:w="2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66"/>
        </w:trPr>
        <w:tc>
          <w:tcPr>
            <w:tcW w:w="23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Shell Shares (US$)</w:t>
            </w:r>
          </w:p>
        </w:tc>
        <w:tc>
          <w:tcPr>
            <w:tcW w:w="24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22"/>
                <w:szCs w:val="22"/>
                <w:color w:val="auto"/>
              </w:rPr>
              <w:t>0.358</w:t>
            </w: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Shareholders will be able to elect to receive their dividends in US dollars, euros or pounds sterling.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alternative ‘Electronic Election Entitlement’ (‘EEE’) process is available in CREST for dividends with options elections.</w:t>
      </w:r>
    </w:p>
    <w:p>
      <w:pPr>
        <w:spacing w:after="0" w:line="206"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Absent any valid election to the contrary, persons holding their ordinary shares through Euroclear Nederland will receive their dividends in euros.</w:t>
      </w:r>
    </w:p>
    <w:p>
      <w:pPr>
        <w:spacing w:after="0" w:line="15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21"/>
          <w:szCs w:val="21"/>
          <w:color w:val="auto"/>
        </w:rPr>
        <w:t>Absent any valid election to the contrary, shareholders (both holding in certificated and uncertificated form (CREST members)) and persons holding their shares through the Shell Corporate Nominee will receive their dividends in pounds sterling.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pound sterling and euro equivalent dividend payments will be announced on September 8, 2025.</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24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Per ADS</w:t>
            </w:r>
          </w:p>
        </w:tc>
        <w:tc>
          <w:tcPr>
            <w:tcW w:w="2520" w:type="dxa"/>
            <w:vAlign w:val="bottom"/>
            <w:vMerge w:val="restart"/>
          </w:tcPr>
          <w:p>
            <w:pPr>
              <w:ind w:left="600"/>
              <w:spacing w:after="0"/>
              <w:rPr>
                <w:sz w:val="20"/>
                <w:szCs w:val="20"/>
                <w:color w:val="auto"/>
              </w:rPr>
            </w:pPr>
            <w:r>
              <w:rPr>
                <w:rFonts w:ascii="Times New Roman" w:cs="Times New Roman" w:eastAsia="Times New Roman" w:hAnsi="Times New Roman"/>
                <w:sz w:val="22"/>
                <w:szCs w:val="22"/>
                <w:b w:val="1"/>
                <w:bCs w:val="1"/>
                <w:color w:val="auto"/>
              </w:rPr>
              <w:t>Q2 2025</w:t>
            </w:r>
          </w:p>
        </w:tc>
        <w:tc>
          <w:tcPr>
            <w:tcW w:w="0" w:type="dxa"/>
            <w:vAlign w:val="bottom"/>
          </w:tcPr>
          <w:p>
            <w:pPr>
              <w:spacing w:after="0"/>
              <w:rPr>
                <w:sz w:val="1"/>
                <w:szCs w:val="1"/>
                <w:color w:val="auto"/>
              </w:rPr>
            </w:pPr>
          </w:p>
        </w:tc>
      </w:tr>
      <w:tr>
        <w:trPr>
          <w:trHeight w:val="161"/>
        </w:trPr>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(US7802593050)</w:t>
            </w:r>
          </w:p>
        </w:tc>
        <w:tc>
          <w:tcPr>
            <w:tcW w:w="2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240" w:type="dxa"/>
            <w:vAlign w:val="bottom"/>
            <w:tcBorders>
              <w:bottom w:val="single" w:sz="8" w:color="auto"/>
            </w:tcBorders>
            <w:vMerge w:val="continue"/>
          </w:tcPr>
          <w:p>
            <w:pPr>
              <w:spacing w:after="0"/>
              <w:rPr>
                <w:sz w:val="10"/>
                <w:szCs w:val="10"/>
                <w:color w:val="auto"/>
              </w:rPr>
            </w:pPr>
          </w:p>
        </w:tc>
        <w:tc>
          <w:tcPr>
            <w:tcW w:w="25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Shell ADSs (US$)</w:t>
            </w:r>
          </w:p>
        </w:tc>
        <w:tc>
          <w:tcPr>
            <w:tcW w:w="25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22"/>
                <w:szCs w:val="22"/>
                <w:color w:val="auto"/>
              </w:rPr>
              <w:t>0.716</w:t>
            </w: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Cash dividends on American Depositary Shares (“ADSs”) will be paid, by default, in US dollars.</w:t>
      </w:r>
    </w:p>
    <w:p>
      <w:pPr>
        <w:spacing w:after="0" w:line="20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Each ADS represents two ordinary shares. ADSs are evidenced by an American Depositary Receipt (“ADR”) certificate. In many cases the terms ADR and ADS are used interchangeably.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Dividend timetable for the second quarter 2025 interim dividend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Event</w:t>
            </w:r>
          </w:p>
        </w:tc>
        <w:tc>
          <w:tcPr>
            <w:tcW w:w="32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22"/>
                <w:szCs w:val="22"/>
                <w:b w:val="1"/>
                <w:bCs w:val="1"/>
                <w:color w:val="auto"/>
              </w:rPr>
              <w:t>Date</w:t>
            </w:r>
          </w:p>
        </w:tc>
      </w:tr>
      <w:tr>
        <w:trPr>
          <w:trHeight w:val="264"/>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Announcement date</w:t>
            </w:r>
          </w:p>
        </w:tc>
        <w:tc>
          <w:tcPr>
            <w:tcW w:w="32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22"/>
                <w:szCs w:val="22"/>
                <w:color w:val="auto"/>
              </w:rPr>
              <w:t>July 31, 2025</w:t>
            </w:r>
          </w:p>
        </w:tc>
      </w:tr>
      <w:tr>
        <w:trPr>
          <w:trHeight w:val="263"/>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Ex- Dividend Date for ADSs</w:t>
            </w:r>
          </w:p>
        </w:tc>
        <w:tc>
          <w:tcPr>
            <w:tcW w:w="32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22"/>
                <w:szCs w:val="22"/>
                <w:color w:val="auto"/>
              </w:rPr>
              <w:t>August 15, 2025</w:t>
            </w:r>
          </w:p>
        </w:tc>
      </w:tr>
      <w:tr>
        <w:trPr>
          <w:trHeight w:val="263"/>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Ex- Dividend Date for ordinary shares</w:t>
            </w:r>
          </w:p>
        </w:tc>
        <w:tc>
          <w:tcPr>
            <w:tcW w:w="32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22"/>
                <w:szCs w:val="22"/>
                <w:color w:val="auto"/>
              </w:rPr>
              <w:t>August 14, 2025</w:t>
            </w:r>
          </w:p>
        </w:tc>
      </w:tr>
      <w:tr>
        <w:trPr>
          <w:trHeight w:val="264"/>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Record date</w:t>
            </w:r>
          </w:p>
        </w:tc>
        <w:tc>
          <w:tcPr>
            <w:tcW w:w="32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22"/>
                <w:szCs w:val="22"/>
                <w:color w:val="auto"/>
              </w:rPr>
              <w:t>August 15, 2025</w:t>
            </w:r>
          </w:p>
        </w:tc>
      </w:tr>
      <w:tr>
        <w:trPr>
          <w:trHeight w:val="263"/>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Closing of currency election date (see Note below)</w:t>
            </w:r>
          </w:p>
        </w:tc>
        <w:tc>
          <w:tcPr>
            <w:tcW w:w="32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22"/>
                <w:szCs w:val="22"/>
                <w:color w:val="auto"/>
              </w:rPr>
              <w:t>September 1, 2025</w:t>
            </w:r>
          </w:p>
        </w:tc>
      </w:tr>
      <w:tr>
        <w:trPr>
          <w:trHeight w:val="263"/>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Pound sterling and euro equivalents announcement date</w:t>
            </w:r>
          </w:p>
        </w:tc>
        <w:tc>
          <w:tcPr>
            <w:tcW w:w="32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22"/>
                <w:szCs w:val="22"/>
                <w:color w:val="auto"/>
              </w:rPr>
              <w:t>September 8, 2025</w:t>
            </w:r>
          </w:p>
        </w:tc>
      </w:tr>
      <w:tr>
        <w:trPr>
          <w:trHeight w:val="264"/>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Payment date</w:t>
            </w:r>
          </w:p>
        </w:tc>
        <w:tc>
          <w:tcPr>
            <w:tcW w:w="32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22"/>
                <w:szCs w:val="22"/>
                <w:color w:val="auto"/>
              </w:rPr>
              <w:t>September 22, 2025</w:t>
            </w:r>
          </w:p>
        </w:tc>
      </w:tr>
      <w:tr>
        <w:trPr>
          <w:trHeight w:val="464"/>
        </w:trPr>
        <w:tc>
          <w:tcPr>
            <w:tcW w:w="53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Note</w:t>
            </w:r>
          </w:p>
        </w:tc>
        <w:tc>
          <w:tcPr>
            <w:tcW w:w="3260" w:type="dxa"/>
            <w:vAlign w:val="bottom"/>
          </w:tcPr>
          <w:p>
            <w:pPr>
              <w:spacing w:after="0"/>
              <w:rPr>
                <w:sz w:val="24"/>
                <w:szCs w:val="24"/>
                <w:color w:val="auto"/>
              </w:rPr>
            </w:pPr>
          </w:p>
        </w:tc>
      </w:tr>
    </w:tbl>
    <w:p>
      <w:pPr>
        <w:spacing w:after="0" w:line="17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A different currency election date may apply to shareholders holding shares in a securities account with a bank or financial institution ultimately holding through Euroclear Nederland. This may also apply to other shareholders who do not hold their shares either directly on the Register of Members or in the corporate sponsored nominee arrangement. Shareholders can contact their broker, financial intermediary, bank or financial institution for the election deadline that applies.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Taxation - cash dividends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you are uncertain as to the tax treatment of any dividends you should consult your tax advisor.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Dividend Reinvestment Programmes (“DRIP”)</w:t>
      </w:r>
    </w:p>
    <w:p>
      <w:pPr>
        <w:spacing w:after="0" w:line="21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The following organisations offer Dividend Reinvestment Plans (“DRIPs”) which enable the Company’s shareholders to elect to have their dividend payments used to purchase the Company’s shares:</w:t>
      </w:r>
    </w:p>
    <w:p>
      <w:pPr>
        <w:spacing w:after="0" w:line="158" w:lineRule="exact"/>
        <w:rPr>
          <w:sz w:val="20"/>
          <w:szCs w:val="20"/>
          <w:color w:val="auto"/>
        </w:rPr>
      </w:pPr>
    </w:p>
    <w:p>
      <w:pPr>
        <w:ind w:left="540" w:right="20"/>
        <w:spacing w:after="0" w:line="258" w:lineRule="auto"/>
        <w:rPr>
          <w:sz w:val="20"/>
          <w:szCs w:val="20"/>
          <w:color w:val="auto"/>
        </w:rPr>
      </w:pPr>
      <w:r>
        <w:rPr>
          <w:rFonts w:ascii="Times New Roman" w:cs="Times New Roman" w:eastAsia="Times New Roman" w:hAnsi="Times New Roman"/>
          <w:sz w:val="22"/>
          <w:szCs w:val="22"/>
          <w:color w:val="auto"/>
        </w:rPr>
        <w:t>Equiniti Financial Services Limited (“EFSL”), for those holding shares (a) directly on the register as certificate holder or as CREST Member and (b) via the Shell Corporate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ABN-AMRO NV (“ABN”) for Financial Intermediaries holding shares via Euroclear Nederland;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108" w:right="339" w:bottom="0" w:gutter="0" w:footer="0" w:header="0"/>
        </w:sectPr>
      </w:pPr>
    </w:p>
    <w:bookmarkStart w:id="4" w:name="page5"/>
    <w:bookmarkEnd w:id="4"/>
    <w:p>
      <w:pPr>
        <w:ind w:left="540"/>
        <w:spacing w:after="0"/>
        <w:rPr>
          <w:sz w:val="20"/>
          <w:szCs w:val="20"/>
          <w:color w:val="auto"/>
        </w:rPr>
      </w:pPr>
      <w:r>
        <w:rPr>
          <w:rFonts w:ascii="Times New Roman" w:cs="Times New Roman" w:eastAsia="Times New Roman" w:hAnsi="Times New Roman"/>
          <w:sz w:val="22"/>
          <w:szCs w:val="22"/>
          <w:color w:val="auto"/>
        </w:rPr>
        <w:t>JPMorgan Chase Bank, N.A. (“JPM”) for holders of ADSs;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-94615</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Other DRIPs may also be available from the intermediary through which investors hold their shares and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2"/>
          <w:szCs w:val="22"/>
          <w:color w:val="auto"/>
        </w:rPr>
        <w:t>These DRIP offerors provide their DRIPs fully on their account and not on behalf of the Company. Interested parties should contact the relevant DRIP offeror directly.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More information can be found at https://www.shell.com/drip</w:t>
      </w:r>
    </w:p>
    <w:p>
      <w:pPr>
        <w:spacing w:after="0" w:line="206"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To be eligible to participate in the DRIPs for the next dividend, shareholders must make a valid dividend reinvestment election before the published date for the close of elections.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Enquiries</w:t>
      </w:r>
    </w:p>
    <w:p>
      <w:pPr>
        <w:spacing w:after="0" w:line="18"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Media: </w:t>
      </w:r>
      <w:r>
        <w:rPr>
          <w:rFonts w:ascii="Times New Roman" w:cs="Times New Roman" w:eastAsia="Times New Roman" w:hAnsi="Times New Roman"/>
          <w:sz w:val="22"/>
          <w:szCs w:val="22"/>
          <w:color w:val="auto"/>
        </w:rPr>
        <w:t>International +44 (0) 207 934 5550; U.S. and Canada: https://www.shell.us/about-us/news-and-insights/media/submit-an-inquiry.html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Cautionary Note</w:t>
      </w:r>
    </w:p>
    <w:p>
      <w:pPr>
        <w:spacing w:after="0" w:line="21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companies in which Shell plc directly and indirectly owns investments are separate legal entities. In this announcement “Shell”, “Shell Group” and “Group” are sometimes used for convenience to reference Shell plc and its subsidiaries in general. Likewise, the words “we”, “us” and “our” are also used to refer to Shell plc and its subsidiaries in general or to those who work for them. These terms are also used where no useful purpose is served by identifying the particular entity or entities. ‘‘Subsidiaries’’, “Shell subsidiaries” and “Shell companies” as used in this announcement refer to entities over which Shell plc either directly or indirectly has control. The terms “joint venture”, “joint operations”, “joint arrangements”, and “associates” may also be used to refer to a commercial arrangement in which Shell has a direct or indirect ownership interest with one or more parties. The term “Shell interest” is used for convenience to indicate the direct and/or indirect ownership interest held by Shell in an entity or unincorporated joint arrangement, after exclusion of all third-party interest.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1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This announcement contains forward-looking statements (within the meaning of the U.S. Private Securities Litigation Reform Act of 1995) concerning the financial condition, results of operations and businesses of Shell. All statements other than statements of historical fact are, or may be deemed to be, forward-looking statements. Forward-looking statements are statements of future expectations that are based on management’s current expectations and assumptions and involve known and unknown risks and uncertainties that could cause actual results, performance or events to differ materially from those expressed or implied in these statements. Forward-looking statements include, among other things, statements concerning the potential exposure of Shell to market risks and statements expressing management’s expectations, beliefs, estimates, forecasts, projections and assumptions. These forward-looking statements are identified by their use of terms and phrases such as “aim”; “ambition”; ‘‘anticipate’’; “aspire”; “aspiration”; ‘‘believe’’; “commit”; “commitment”; ‘‘could’’; “desire”; ‘‘estimate’’; ‘‘expect’’; ‘‘goals’’; ‘‘intend’’; ‘‘may’’; “milestones”; ‘‘objectives’’; ‘‘outlook’’; ‘‘plan’’; ‘‘probably’’; ‘‘project’’; ‘‘risks’’; “schedule”; ‘‘seek’’; ‘‘should’’; ‘‘target’’; “vision”; ‘‘will’’; “would” and similar terms and phrases. There are a number of factors that could affect the future operations of Shell and could cause those results to differ materially from those expressed in the forward-looking statements included in this announcement, including (without limitation): (a) price fluctuations in crude oil and natural gas; (b) changes in demand for Shell’s products; (c) currency fluctuations; (d) drilling and production results; (e) reserves estimates; (f) loss of market share and industry competition; (g) environmental and physical risks, including climate change; (h) risks associated with the identification of suitable potential acquisition properties and targets, and successful negotiation and completion of such transactions; (i) the risk of doing business in developing countries and countries subject to international sanctions; (j) legislative, judicial, fiscal and regulatory developments including tariffs and regulatory measures addressing climate change; (k) economic and financial market conditions in various countries and regions; (l) political risks, including the risks of expropriation and renegotiation of the terms of contracts with governmental entities, delays or advancements in the approval of projects and delays in the reimbursement for shared costs; (m) risks associated with the impact of pandemics, regional conflicts, such as the Russia-Ukraine war and the conflict in the Middle East, and a significant cyber security, data privacy, or IT incident;</w:t>
      </w:r>
    </w:p>
    <w:p>
      <w:pPr>
        <w:spacing w:after="0" w:line="13" w:lineRule="exact"/>
        <w:rPr>
          <w:sz w:val="20"/>
          <w:szCs w:val="20"/>
          <w:color w:val="auto"/>
        </w:rPr>
      </w:pPr>
    </w:p>
    <w:p>
      <w:pPr>
        <w:jc w:val="both"/>
        <w:ind w:firstLine="8"/>
        <w:spacing w:after="0" w:line="231" w:lineRule="auto"/>
        <w:tabs>
          <w:tab w:leader="none" w:pos="347"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pace of the energy transition; and (o) changes in trading conditions. No assurance is provided that future dividend payments will match or exceed previous dividend payments. All forward-looking statements contained in this announcement are expressly qualified in their entirety by the cautionary statements contained or referred to in this section. Readers should not place undue reliance on forward-looking statements. Additional risk factors that may affect future results are contained in Shell plc’s Form 20-F and amendment thereto for the year ended December 31, 2024 (available at www.shell.com/investors/news-and-filings/sec-filings.html and www.sec.gov). These risk factors also expressly qualify all forward-looking statements contained in this announcement and should be considered by the reader. Each forward-looking statement speaks only as of the date of this announcement, July 31, 2025. Neither Shell plc nor any of its subsidiaries undertake any obligation to publicly update or revise any forward-looking statement as a result of new information, future events or other information. In light of these risks, results could differ materially from those stated, implied or inferred from the forward-looking statements contained in this announcement.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Shell’s net carbon intensity</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Also, in this announcement we may refer to Shell’s “net carbon intensity” (NCI), which includes Shell’s carbon emissions from the production of our energy products, our suppliers’ carbon emissions in supplying energy for that production and our customers’ carbon emissions associated with their use of the energy products we sell. Shell’s NCI also includes the emissions</w:t>
      </w:r>
    </w:p>
    <w:p>
      <w:pPr>
        <w:sectPr>
          <w:pgSz w:w="11900" w:h="16838" w:orient="portrait"/>
          <w:cols w:equalWidth="0" w:num="1">
            <w:col w:w="11240"/>
          </w:cols>
          <w:pgMar w:left="320" w:top="112" w:right="339" w:bottom="0" w:gutter="0" w:footer="0" w:header="0"/>
        </w:sectPr>
      </w:pPr>
    </w:p>
    <w:bookmarkStart w:id="5" w:name="page6"/>
    <w:bookmarkEnd w:id="5"/>
    <w:p>
      <w:pPr>
        <w:jc w:val="both"/>
        <w:spacing w:after="0" w:line="244" w:lineRule="auto"/>
        <w:rPr>
          <w:sz w:val="20"/>
          <w:szCs w:val="20"/>
          <w:color w:val="auto"/>
        </w:rPr>
      </w:pPr>
      <w:r>
        <w:rPr>
          <w:rFonts w:ascii="Times New Roman" w:cs="Times New Roman" w:eastAsia="Times New Roman" w:hAnsi="Times New Roman"/>
          <w:sz w:val="22"/>
          <w:szCs w:val="22"/>
          <w:color w:val="auto"/>
        </w:rPr>
        <w:t>associated with the production and use of energy products produced by others which Shell purchases for resale. Shell only controls its own emissions. The use of the terms Shell’s “net carbon intensity” or NCI is for convenience only and not intended to suggest these emissions are those of Shell plc or its subsidiaries.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Shell’s net-zero emissions target</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Shell’s operating plan and outlook are forecasted for a three-year period and ten-year period, respectively, and are updated every year. They reflect the current economic environment and what we can reasonably expect to see over the next three and ten years. Accordingly, the outlook reflects our Scope 1, Scope 2 and NCI targets over the next ten years. However, Shell’s operating plan and outlook cannot reflect our 2050 net-zero emissions target, as this target is outside our planning period. Such future operating plans and outlooks could include changes to our portfolio, efficiency improvements and the use of carbon capture and storage and carbon credits. In the future, as society moves towards net-zero emissions, we expect Shell’s operating plans and outlooks to reflect this movement. However, if society is not net zero in 2050, as of today, there would be significant risk that Shell may not meet this target.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non-GAAP measures</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This announcement may contain certain forward-looking non-GAAP measures such as adjusted earnings and divestments. We are unable to provide a reconciliation of these forward-looking non-GAAP measures to the most comparable GAAP financial measures because certain information needed to reconcile those non-GAAP measures to the most comparable GAAP financial measures is dependent on future events some of which are outside the control of Shell, such as oil and gas prices, interest rates and exchange rates. Moreover, estimating such GAAP measures with the required precision necessary to provide a meaningful reconciliation is extremely difficult and could not be accomplished without unreasonable effort. Non-GAAP measures in respect of future periods which cannot be reconciled to the most comparable GAAP financial measure are calculated in a manner which is consistent with the accounting policies applied in Shell plc’s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contents of websites referred to in this announcement do not form part of this announcement.</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We may have used certain terms, such as resources, in this announcement that the United States Securities and Exchange Commission (SEC) strictly prohibits us from including in our filings with the SEC. Investors are urged to consider closely the disclosure in our Form 20-F and any amendment thereto, File No 1-32575, available on the SEC website www.sec.gov.</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LEI number of Shell plc: 21380068P1DRHMJ8KU70</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Classification: Additional regulated information required to be disclosed under the laws of the United Kingdom</w:t>
      </w:r>
    </w:p>
    <w:p>
      <w:pPr>
        <w:sectPr>
          <w:pgSz w:w="11900" w:h="16838" w:orient="portrait"/>
          <w:cols w:equalWidth="0" w:num="1">
            <w:col w:w="11240"/>
          </w:cols>
          <w:pgMar w:left="320" w:top="111"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Shell announces commencement of a share buyback programme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Shell plc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Shell announces commencement of a share buyback programme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July 31, 2025</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Shell plc (the ‘Company’) today announces the commencement of a $3.5 billion share buyback programme covering an aggregate contract term of approximately three months (the ‘programme’). The purpose of the programme is to reduce the issued share capital of the Company. All shares repurchased as part of the programme will be cancelled. It is intended that, subject to market conditions, the programme will be completed prior to the Company’s Q3 2025 results announcement.</w:t>
      </w:r>
    </w:p>
    <w:p>
      <w:pPr>
        <w:spacing w:after="0" w:line="18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Company has entered into an arrangement with a single broker consisting of two irrevocable, non-discretionary contracts, to enable the purchase of ordinary shares on both London market exchanges (the London Stock Exchange and/or on BATS and/or on Chi-X) (pursuant to one ‘London contract’) and Netherlands exchanges (Euronext Amsterdam and/or on CBOE Europe DXE and/or on Turquoise Europe) (pursuant to one ‘Netherlands contract’) for a period up to and including October 24, 2025. The aggregate maximum consideration for the purchase of ordinary shares under the London contract is $1.75 billion and the maximum consideration for the purchase of ordinary shares under the Netherlands contract is $1.75 billion. Purchases under the London contract will be carried out in accordance with the Company’s authority to repurchase shares on-market and will be effected within certain contractually agreed parameters. Purchases under the Netherlands contract will be carried out in accordance with the Company’s authority to repurchase shares off-market pursuant to the off-market share buyback contract approved by its shareholders and the parameters set out therein.</w:t>
      </w:r>
    </w:p>
    <w:p>
      <w:pPr>
        <w:spacing w:after="0" w:line="17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maximum number of ordinary shares which may be purchased or committed to be purchased by the Company under the programme (across both contracts) is 602,100,000, which is the maximum number remaining as of the date of this announcement pursuant to the relevant authorities granted by shareholders at the Company's 2025 Annual General Meeting.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broker will make its trading decisions in relation to the Company's securities independently of the Company.</w:t>
      </w:r>
    </w:p>
    <w:p>
      <w:pPr>
        <w:spacing w:after="0" w:line="20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programme will be conducted in accordance with Chapter 9 of the UK Listing Rules,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including by relevant statutory instruments (including, The Market Abuse (Amendment) (EU Exit) Regulations (SI 2019/310)), from time to time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including by relevant statutory instruments (including, The Market Abuse (Amendment) (EU Exit) Regulations (SI 2019/310)), from time to time.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Enquiries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Media: International +44 (0) 207 934 5550; U.S. and Canada: https://www.shell.us/about-us/news-and-insights/media/submit-an-inquiry.html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Cautionary Note</w:t>
      </w:r>
    </w:p>
    <w:p>
      <w:pPr>
        <w:spacing w:after="0" w:line="21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companies in which Shell plc directly and indirectly owns investments are separate legal entities. In this announcement “Shell”, “Shell Group” and “Group” are sometimes used for convenience to reference Shell plc and its subsidiaries in general. Likewise, the words “we”, “us” and “our” are also used to refer to Shell plc and its subsidiaries in general or to those who work for them. These terms are also used where no useful purpose is served by identifying the particular entity or entities. ‘‘Subsidiaries’’, “Shell subsidiaries” and “Shell companies” as used in this announcement refer to entities over which Shell plc either directly or indirectly has control. The terms “joint venture”, “joint operations”, “joint arrangements”, and “associates” may also be used to refer to a commercial arrangement in which Shell has a direct or indirect ownership interest with one or more parties. The term “Shell interest” is used for convenience to indicate the direct and/or indirect ownership interest held by Shell in an entity or unincorporated joint arrangement, after exclusion of all third-party interest.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Forward-Looking statements</w:t>
      </w:r>
    </w:p>
    <w:p>
      <w:pPr>
        <w:spacing w:after="0" w:line="21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This announcement contains forward-looking statements (within the meaning of the U.S. Private Securities Litigation Reform Act of 1995) concerning the financial condition, results of operations and businesses of Shell. All statements other than statements of historical fact are, or may be deemed to be, forward-looking statements. Forward-looking statements are statements of future expectations that are based on management’s current expectations and assumptions and involve known and unknown risks and uncertainties that could cause actual results, performance or events to differ materially from those expressed or implied in these statements. Forward-looking statements include, among other things, statements concerning the potential exposure of</w:t>
      </w:r>
    </w:p>
    <w:p>
      <w:pPr>
        <w:sectPr>
          <w:pgSz w:w="11900" w:h="16838" w:orient="portrait"/>
          <w:cols w:equalWidth="0" w:num="1">
            <w:col w:w="11240"/>
          </w:cols>
          <w:pgMar w:left="320" w:top="108" w:right="339" w:bottom="0" w:gutter="0" w:footer="0" w:header="0"/>
        </w:sectPr>
      </w:pPr>
    </w:p>
    <w:bookmarkStart w:id="7" w:name="page8"/>
    <w:bookmarkEnd w:id="7"/>
    <w:p>
      <w:pPr>
        <w:jc w:val="both"/>
        <w:spacing w:after="0" w:line="243" w:lineRule="auto"/>
        <w:rPr>
          <w:sz w:val="20"/>
          <w:szCs w:val="20"/>
          <w:color w:val="auto"/>
        </w:rPr>
      </w:pPr>
      <w:r>
        <w:rPr>
          <w:rFonts w:ascii="Times New Roman" w:cs="Times New Roman" w:eastAsia="Times New Roman" w:hAnsi="Times New Roman"/>
          <w:sz w:val="21"/>
          <w:szCs w:val="21"/>
          <w:color w:val="auto"/>
        </w:rPr>
        <w:t>Shell to market risks and statements expressing management’s expectations, beliefs, estimates, forecasts, projections and assumptions. These forward-looking statements are identified by their use of terms and phrases such as “aim”; “ambition”; ‘‘anticipate’’; “aspire”; “aspiration”; ‘‘believe’’; “commit”; “commitment”; ‘‘could’’; “desire”; ‘‘estimate’’; ‘‘expect’’; ‘‘goals’’; ‘‘intend’’; ‘‘may’’; “milestones”; ‘‘objectives’’; ‘‘outlook’’; ‘‘plan’’; ‘‘probably’’; ‘‘project’’; ‘‘risks’’; “schedule”; ‘‘seek’’; ‘‘should’’; ‘‘target’’; “vision”; ‘‘will’’; “would” and similar terms and phrases. There are a number of factors that could affect the future operations of Shell and could cause those results to differ materially from those expressed in the forward-looking statements included in this announcement, including (without limitation): (a) price fluctuations in crude oil and natural gas; (b) changes in demand for Shell’s products; (c) currency fluctuations; (d) drilling and production results; (e) reserves estimates; (f) loss of market share and industry competition; (g) environmental and physical risks, including climate change; (h) risks associated with the identification of suitable potential acquisition properties and targets, and successful negotiation and completion of such transactions; (i) the risk of doing business in developing countries and countries subject to international sanctions; (j) legislative, judicial, fiscal and regulatory developments including tariffs and regulatory measures addressing climate change; (k) economic and financial market conditions in various countries and regions; (l) political risks, including the risks of expropriation and renegotiation of the terms of contracts with governmental entities, delays or advancements in the approval of projects and delays in the reimbursement for shared costs; (m) risks associated with the impact of pandemics, regional conflicts, such as the Russia-Ukraine war and the conflict in the Middle East, and a significant cyber security, data privacy or IT incident;</w:t>
      </w:r>
    </w:p>
    <w:p>
      <w:pPr>
        <w:spacing w:after="0" w:line="1" w:lineRule="exact"/>
        <w:rPr>
          <w:sz w:val="20"/>
          <w:szCs w:val="20"/>
          <w:color w:val="auto"/>
        </w:rPr>
      </w:pPr>
    </w:p>
    <w:p>
      <w:pPr>
        <w:jc w:val="both"/>
        <w:ind w:firstLine="8"/>
        <w:spacing w:after="0" w:line="231" w:lineRule="auto"/>
        <w:tabs>
          <w:tab w:leader="none" w:pos="347"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pace of the energy transition; and (o) changes in trading conditions. No assurance is provided that future dividend payments will match or exceed previous dividend payments. All forward-looking statements contained in this announcement are expressly qualified in their entirety by the cautionary statements contained or referred to in this section. Readers should not place undue reliance on forward-looking statements. Additional risk factors that may affect future results are contained in Shell plc’s Form 20-F and amendment thereto for the year ended December 31, 2024 (available at www.shell.com/investors/news-and-filings/sec-filings.html and www.sec.gov). These risk factors also expressly qualify all forward-looking statements contained in this announcement and should be considered by the reader. Each forward-looking statement speaks only as of the date of this announcement, July 31, 2025. Neither Shell plc nor any of its subsidiaries undertake any obligation to publicly update or revise any forward-looking statement as a result of new information, future events or other information. In light of these risks, results could differ materially from those stated, implied or inferred from the forward-looking statements contained in this announcement.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Shell’s net carbon intensity</w:t>
      </w:r>
    </w:p>
    <w:p>
      <w:pPr>
        <w:spacing w:after="0" w:line="210"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22"/>
          <w:szCs w:val="22"/>
          <w:color w:val="auto"/>
        </w:rPr>
        <w:t>Also, in this announcement we may refer to Shell’s “net carbon intensity” (NCI), which includes Shell’s carbon emissions from the production of our energy products, our suppliers’ carbon emissions in supplying energy for that production and our customers’ carbon emissions associated with their use of the energy products we sell. Shell’s NCI also includes the emissions associated with the production and use of energy products produced by others which Shell purchases for resale. Shell only controls its own emissions. The use of the terms Shell’s “net carbon intensity” or NCI is for convenience only and not intended to suggest these emissions are those of Shell plc or its subsidiaries.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Shell’s net-zero emissions target</w:t>
      </w:r>
    </w:p>
    <w:p>
      <w:pPr>
        <w:spacing w:after="0" w:line="21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Shell’s operating plan and outlook are forecasted for a three-year period and ten-year period, respectively, and are updated every year. They reflect the current economic environment and what we can reasonably expect to see over the next three and ten years. Accordingly, the outlook reflects our Scope 1, Scope 2 and NCI targets over the next ten years. However, Shell’s operating plan and outlook cannot reflect our 2050 net-zero emissions target, as this target is outside our planning period. Such future operating plans and outlooks could include changes to our portfolio, efficiency improvements and the use of carbon capture and storage and carbon credits. In the future, as society moves towards net-zero emissions, we expect Shell’s operating plans and outlooks to reflect this movement. However, if society is not net zero in 2050, as of today, there would be significant risk that Shell may not meet this target.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Forward-Looking non-GAAP measures</w:t>
      </w:r>
    </w:p>
    <w:p>
      <w:pPr>
        <w:spacing w:after="0" w:line="21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This announcement may contain certain forward-looking non-GAAP measures such as adjusted earnings and divestments. We are unable to provide a reconciliation of these forward-looking non-GAAP measures to the most comparable GAAP financial measures because certain information needed to reconcile those non-GAAP measures to the most comparable GAAP financial measures is dependent on future events some of which are outside the control of Shell, such as oil and gas prices, interest rates and exchange rates. Moreover, estimating such GAAP measures with the required precision necessary to provide a meaningful reconciliation is extremely difficult and could not be accomplished without unreasonable effort. Non-GAAP measures in respect of future periods which cannot be reconciled to the most comparable GAAP financial measure are calculated in a manner which is consistent with the accounting policies applied in Shell plc’s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contents of websites referred to in this announcement do not form part of this announcement.</w:t>
      </w:r>
    </w:p>
    <w:p>
      <w:pPr>
        <w:spacing w:after="0" w:line="206" w:lineRule="exact"/>
        <w:rPr>
          <w:sz w:val="20"/>
          <w:szCs w:val="20"/>
          <w:color w:val="auto"/>
        </w:rPr>
      </w:pPr>
    </w:p>
    <w:p>
      <w:pPr>
        <w:ind w:right="300"/>
        <w:spacing w:after="0" w:line="244" w:lineRule="auto"/>
        <w:rPr>
          <w:sz w:val="20"/>
          <w:szCs w:val="20"/>
          <w:color w:val="auto"/>
        </w:rPr>
      </w:pPr>
      <w:r>
        <w:rPr>
          <w:rFonts w:ascii="Times New Roman" w:cs="Times New Roman" w:eastAsia="Times New Roman" w:hAnsi="Times New Roman"/>
          <w:sz w:val="22"/>
          <w:szCs w:val="22"/>
          <w:color w:val="auto"/>
        </w:rPr>
        <w:t>We may have used certain terms, such as resources, in this announcement that the United States Securities and Exchange Commission (SEC) strictly prohibits us from including in our filings with the SEC. Investors are urged to consider closely the disclosure in our Form 20-F and any amendment thereto, File No 1-32575, available on the SEC website www.sec.gov.</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LEI number of Shell plc: 21380068P1DRHMJ8KU70</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Classification: Acquisition or disposal of the issuer’s own shares.</w:t>
      </w:r>
    </w:p>
    <w:sectPr>
      <w:pgSz w:w="11900" w:h="16838" w:orient="portrait"/>
      <w:cols w:equalWidth="0" w:num="1">
        <w:col w:w="11240"/>
      </w:cols>
      <w:pgMar w:left="320" w:top="111" w:right="339"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lvl w:ilvl="1">
      <w:lvlJc w:val="left"/>
      <w:lvlText w:val="(%2)"/>
      <w:numFmt w:val="lowerLetter"/>
      <w:start w:val="2"/>
    </w:lvl>
  </w:abstractNum>
  <w:abstractNum w:abstractNumId="1">
    <w:nsid w:val="74B0DC51"/>
    <w:multiLevelType w:val="hybridMultilevel"/>
    <w:lvl w:ilvl="0">
      <w:lvlJc w:val="left"/>
      <w:lvlText w:val="(%1)"/>
      <w:numFmt w:val="lowerLetter"/>
      <w:start w:val="14"/>
    </w:lvl>
  </w:abstractNum>
  <w:abstractNum w:abstractNumId="2">
    <w:nsid w:val="19495CFF"/>
    <w:multiLevelType w:val="hybridMultilevel"/>
    <w:lvl w:ilvl="0">
      <w:lvlJc w:val="left"/>
      <w:lvlText w:val="(%1)"/>
      <w:numFmt w:val="lowerLetter"/>
      <w:start w:val="1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2025-07-31T08:44:05Z</dcterms:created>
  <dcterms:modified xsi:type="dcterms:W3CDTF">2025-07-31T08:44:05Z</dcterms:modified>
</cp:coreProperties>
</file>