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s>
        <w:rPr>
          <w:sz w:val="20"/>
          <w:szCs w:val="20"/>
          <w:color w:val="auto"/>
        </w:rPr>
      </w:pPr>
      <w:r>
        <w:rPr>
          <w:rFonts w:ascii="Times New Roman" w:cs="Times New Roman" w:eastAsia="Times New Roman" w:hAnsi="Times New Roman"/>
          <w:sz w:val="22"/>
          <w:szCs w:val="22"/>
          <w:color w:val="auto"/>
        </w:rPr>
        <w:t>Form 20-F [ X ]</w:t>
        <w:tab/>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01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0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01/05/2026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457,396</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33.4100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32.6200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33.1349</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01/05/2026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160,854</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33.4100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32.5950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33.0912</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01/05/2026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75,479</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33.4050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32.6200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33.0843</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05 February 2026.</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respect of this programme, Morgan Stanley &amp; Co. International Plc will make trading decisions in relation to the securities independently of the Company for a period from 05 February 2026 up to and including 01 May 2026.</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Morgan Stanley &amp; Co. International Plc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Shell_PDF_2026-05-01 (https://ml-eu.globenewswire.com/Resource/Download/7bd44957-68b4-48d2-a42f-359229e149a5)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07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0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1,000,000</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£ 31.6200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£ 30.9450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£ 31.2733</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230,000</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£ 31.6200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£ 30.9500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£ 31.2774</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07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07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20260507_Shell RNS - full version (https://ml-eu.globenewswire.com/Resource/Download/92976e38-2e9e-4265-b3d7-81d0717b91ac)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08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0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08/05/2026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900,000</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£ 31.1500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£ 30.7850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£ 30.9945</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08/05/2026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200,000</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£ 31.1450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£ 30.7950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£ 30.9899</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08/05/2026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96,870</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£ 31.1400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£ 30.8050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£ 31.0050</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07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07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20260508_Shell RNS - full version (https://ml-eu.globenewswire.com/Resource/Download/e986182e-1796-4194-837c-cc234c5a2915)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11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0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6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 per</w:t>
            </w:r>
          </w:p>
        </w:tc>
        <w:tc>
          <w:tcPr>
            <w:tcW w:w="16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w:t>
            </w:r>
          </w:p>
        </w:tc>
        <w:tc>
          <w:tcPr>
            <w:tcW w:w="16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1,000,000</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£ 31.3850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£ 31.1100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£ 31.2742</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250,000</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£ 31.3800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£ 31.1100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£ 31.2650</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11/05/2026</w:t>
            </w: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110,000</w:t>
            </w:r>
          </w:p>
        </w:tc>
        <w:tc>
          <w:tcPr>
            <w:tcW w:w="1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£ 31.3750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£ 31.1150</w:t>
            </w:r>
          </w:p>
        </w:tc>
        <w:tc>
          <w:tcPr>
            <w:tcW w:w="1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£ 31.2587</w:t>
            </w:r>
          </w:p>
        </w:tc>
        <w:tc>
          <w:tcPr>
            <w:tcW w:w="1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07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07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20260511_Shell RNS - full version (https://ml-eu.globenewswire.com/Resource/Download/c3fd7581-2e0a-429c-88bb-4bace6b1a3ff)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12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884,427</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£ 31.8400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£ 31.4700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£ 31.6056</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£ 31.8400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£ 31.4700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£ 31.6193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£ 31.8300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£ 31.4700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£ 31.6265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07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07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20260512_Shell RNS - full version (https://ml-eu.globenewswire.com/Resource/Download/6e8252aa-7571-4fe6-8a47-065b9d5e3850)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13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695,984</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£ 31.7000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£ 31.5272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£ 31.6950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£ 31.5164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64,564</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£ 31.6900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£ 31.4150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£ 31.5172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20260513_Shell RNS - full version (https://ml-eu.globenewswire.com/Resource/Download/5eea11a5-32c1-4e8e-8cae-a3603b4d1cf6)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14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864,663</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£ 31.5600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£ 31.3100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£ 31.4400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£ 31.5550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£ 31.3100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£ 31.4395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132,633</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£ 31.5450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£ 31.3150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£ 31.4391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20260514_Shell RNS - full version (https://ml-eu.globenewswire.com/Resource/Download/5270e55d-8f3a-40b4-a9f8-4a571269ae1f)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15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£ 31.9350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£ 31.4900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£ 31.7236</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£ 31.9300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£ 31.7259</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£ 31.9300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£ 31.4900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£ 31.7243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20260515_Shell RNS - full version (https://ml-eu.globenewswire.com/Resource/Download/3e141888-3bcc-43d9-8ab5-c001e96a840b)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18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231,000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£ 32.8000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£ 32.1300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£ 32.4578</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20260518_Shell RNS - full version (https://ml-eu.globenewswire.com/Resource/Download/bc04a68b-b4d5-456a-bf07-b8d513983b6a)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19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225,000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£ 33.0900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£ 32.7350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£ 32.8939</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20260519_Shell RNS - full version (https://ml-eu.globenewswire.com/Resource/Download/6e05bc89-f169-4a0e-a9ab-7fa6e9d30cb8)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20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£ 33.1000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£ 32.4250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£ 32.7997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20260520_Shell RNS - full version (https://ml-eu.globenewswire.com/Resource/Download/62ffb260-4b1d-4583-8f13-f3dc4b7b0bfc)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21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1,355,000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£ 32.6900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£ 32.0800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£ 32.4373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341,000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£ 32.6850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£ 32.0700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£ 32.4415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238,659</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£ 32.6800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£ 32.1450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£ 32.4585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20260521_Shell RNS - full version (https://ml-eu.globenewswire.com/Resource/Download/ae2ca67b-7ed8-436c-a41a-8e0b0fa7d74b)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22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1,360,000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£ 32.3950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£ 31.9250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£ 32.1707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£ 32.3950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£ 31.9250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£ 32.1690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278,677</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£ 32.3900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£ 31.9300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£ 32.1431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20260522_Shell RNS - full version (https://ml-eu.globenewswire.com/Resource/Download/da861bcf-c82d-40ef-8a7b-3d718e6d72e2)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26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1,372,000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£ 32.2100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£ 31.6500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£ 31.9667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343,000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£ 32.2150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£ 31.6600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£ 31.9633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281,453</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£ 32.2050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£ 31.6550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£ 31.9453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20260526_Shell RNS - full version (https://ml-eu.globenewswire.com/Resource/Download/c534bf09-1db5-4c9c-87b5-621a094c590e)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27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1,412,896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£ 31.3750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£ 30.9050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£ 31.1254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351,000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£ 31.3700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£ 30.9200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£ 31.1252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215,349</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£ 31.3650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£ 30.9100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£ 31.1233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20260527_Shell RNS - full version (https://ml-eu.globenewswire.com/Resource/Download/32808735-f9ac-4dd1-ac96-02794bd9cde1)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28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1,300,000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£ 31.5800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£ 31.1450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£ 31.3891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£ 31.5800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£ 31.1500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£ 31.3878</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229,384</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£ 31.5800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£ 31.1500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£ 31.3817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20260528_Shell RNS - full version (https://ml-eu.globenewswire.com/Resource/Download/e0fa6047-10e7-4fc3-ba2c-82b1626a9474)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29 May, 2026 it purchased the following number of Shares for cancellation.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information on Shares purchased according to trading venue: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Purchase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Volume weighted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Venue</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£ 31.4700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£ 31.0800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£ 31.2809</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10"/>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140,000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£ 31.4600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£ 31.0850</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£ 31.2904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r>
        <w:trPr>
          <w:trHeight w:val="209"/>
        </w:trPr>
        <w:tc>
          <w:tcPr>
            <w:tcW w:w="1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29/05/2026</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BATS (BXE)</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 purchases form part of the Company's share buy-back programme previously announced on 7 May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7 May 2026 up to and including 24 July 2026.</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such share purchases will be effected within certain pre-set parameters and in accordance with the Company's general authority to repurchase shares.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 U.S. and Canada: https://www.shell.us/about-us/news-and-insights/media/submit-an-inquiry.html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20260529_Shell RNS - full version (https://ml-eu.globenewswire.com/Resource/Download/7eda8a30-1d87-4853-b253-01540486b818)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61"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w:t>
      </w:r>
    </w:p>
    <w:p>
      <w:pPr>
        <w:ind w:left="560" w:hanging="498"/>
        <w:spacing w:after="0"/>
        <w:tabs>
          <w:tab w:leader="none" w:pos="5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on Form F-4 of Shell Finance US Inc. and Shell plc (Registration Numbers 333-296155 and 333-296155-01); and</w:t>
      </w:r>
    </w:p>
    <w:p>
      <w:pPr>
        <w:spacing w:after="0" w:line="231" w:lineRule="exact"/>
        <w:rPr>
          <w:rFonts w:ascii="Times New Roman" w:cs="Times New Roman" w:eastAsia="Times New Roman" w:hAnsi="Times New Roman"/>
          <w:sz w:val="17"/>
          <w:szCs w:val="17"/>
          <w:color w:val="auto"/>
        </w:rPr>
      </w:pPr>
    </w:p>
    <w:p>
      <w:pPr>
        <w:ind w:left="560" w:hanging="498"/>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688" w:right="879" w:bottom="1440" w:gutter="0" w:footer="0" w:header="0"/>
        </w:sectPr>
      </w:pPr>
    </w:p>
    <w:bookmarkStart w:id="19" w:name="page20"/>
    <w:bookmarkEnd w:id="19"/>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500" w:type="dxa"/>
            <w:vAlign w:val="bottom"/>
            <w:gridSpan w:val="2"/>
          </w:tcPr>
          <w:p>
            <w:pPr>
              <w:spacing w:after="0"/>
              <w:rPr>
                <w:sz w:val="17"/>
                <w:szCs w:val="17"/>
                <w:color w:val="auto"/>
              </w:rPr>
            </w:pPr>
          </w:p>
        </w:tc>
      </w:tr>
      <w:tr>
        <w:trPr>
          <w:trHeight w:val="237"/>
        </w:trPr>
        <w:tc>
          <w:tcPr>
            <w:tcW w:w="44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3340" w:type="dxa"/>
            <w:vAlign w:val="bottom"/>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Karen Heslop</w:t>
            </w:r>
          </w:p>
        </w:tc>
        <w:tc>
          <w:tcPr>
            <w:tcW w:w="220" w:type="dxa"/>
            <w:vAlign w:val="bottom"/>
          </w:tcPr>
          <w:p>
            <w:pPr>
              <w:spacing w:after="0"/>
              <w:rPr>
                <w:sz w:val="24"/>
                <w:szCs w:val="24"/>
                <w:color w:val="auto"/>
              </w:rPr>
            </w:pPr>
          </w:p>
        </w:tc>
      </w:tr>
      <w:tr>
        <w:trPr>
          <w:trHeight w:val="218"/>
        </w:trPr>
        <w:tc>
          <w:tcPr>
            <w:tcW w:w="4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Karen Heslop</w:t>
            </w:r>
          </w:p>
        </w:tc>
      </w:tr>
      <w:tr>
        <w:trPr>
          <w:trHeight w:val="234"/>
        </w:trPr>
        <w:tc>
          <w:tcPr>
            <w:tcW w:w="4480" w:type="dxa"/>
            <w:vAlign w:val="bottom"/>
          </w:tcPr>
          <w:p>
            <w:pPr>
              <w:spacing w:after="0"/>
              <w:rPr>
                <w:sz w:val="20"/>
                <w:szCs w:val="20"/>
                <w:color w:val="auto"/>
              </w:rPr>
            </w:pPr>
          </w:p>
        </w:tc>
        <w:tc>
          <w:tcPr>
            <w:tcW w:w="5120" w:type="dxa"/>
            <w:vAlign w:val="bottom"/>
            <w:gridSpan w:val="5"/>
          </w:tcPr>
          <w:p>
            <w:pPr>
              <w:jc w:val="center"/>
              <w:ind w:left="3030"/>
              <w:spacing w:after="0"/>
              <w:rPr>
                <w:sz w:val="20"/>
                <w:szCs w:val="20"/>
                <w:color w:val="auto"/>
              </w:rPr>
            </w:pPr>
            <w:r>
              <w:rPr>
                <w:rFonts w:ascii="Times New Roman" w:cs="Times New Roman" w:eastAsia="Times New Roman" w:hAnsi="Times New Roman"/>
                <w:sz w:val="18"/>
                <w:szCs w:val="18"/>
                <w:color w:val="auto"/>
                <w:w w:val="99"/>
              </w:rPr>
              <w:t>Deputy Company Secretary</w:t>
            </w:r>
          </w:p>
        </w:tc>
      </w:tr>
    </w:tbl>
    <w:p>
      <w:pPr>
        <w:spacing w:after="0" w:line="1" w:lineRule="exact"/>
        <w:rPr>
          <w:sz w:val="20"/>
          <w:szCs w:val="20"/>
          <w:color w:val="auto"/>
        </w:rPr>
      </w:pPr>
    </w:p>
    <w:sectPr>
      <w:pgSz w:w="11900" w:h="16838" w:orient="portrait"/>
      <w:cols w:equalWidth="0" w:num="1">
        <w:col w:w="10280"/>
      </w:cols>
      <w:pgMar w:left="320" w:top="10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2026-06-01T12:45:54Z</dcterms:created>
  <dcterms:modified xsi:type="dcterms:W3CDTF">2026-06-01T12:45:54Z</dcterms:modified>
</cp:coreProperties>
</file>