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7"/>
        </w:rPr>
      </w:pPr>
      <w:r>
        <w:rPr>
          <w:rFonts w:ascii="Times New Roman;serif" w:hAnsi="Times New Roman;serif"/>
          <w:b/>
          <w:color w:val="000000"/>
          <w:sz w:val="27"/>
        </w:rPr>
        <w:t>UNITED STATES 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 xml:space="preserve">Form 6-K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month of February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Commission File Number: 1-32575 </w:t>
      </w:r>
    </w:p>
    <w:p>
      <w:pPr>
        <w:pStyle w:val="TextBody"/>
        <w:bidi w:val="0"/>
        <w:spacing w:lineRule="auto" w:line="288" w:before="0" w:after="120"/>
        <w:jc w:val="center"/>
        <w:rPr>
          <w:rFonts w:ascii="Times New Roman;serif" w:hAnsi="Times New Roman;serif"/>
          <w:b/>
          <w:color w:val="000000"/>
          <w:sz w:val="48"/>
        </w:rPr>
      </w:pPr>
      <w:r>
        <w:rPr>
          <w:rFonts w:ascii="Times New Roman;serif" w:hAnsi="Times New Roman;serif"/>
          <w:b/>
          <w:color w:val="000000"/>
          <w:sz w:val="48"/>
        </w:rPr>
        <w:t xml:space="preserve">Shell plc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England and Wales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 or organization)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Shell Centre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London, SE1 7NA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40-F.</w:t>
      </w:r>
    </w:p>
    <w:p>
      <w:pPr>
        <w:pStyle w:val="TextBody"/>
        <w:bidi w:val="0"/>
        <w:spacing w:lineRule="auto" w:line="288" w:before="0" w:after="120"/>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Shell plc (the “Registrant”) is filing the following exhibits on this Report on Form 6-K, each of which is hereby incorporated by reference:</w:t>
      </w:r>
    </w:p>
    <w:tbl>
      <w:tblPr>
        <w:tblW w:w="9900" w:type="dxa"/>
        <w:jc w:val="left"/>
        <w:tblInd w:w="0" w:type="dxa"/>
        <w:tblLayout w:type="fixed"/>
        <w:tblCellMar>
          <w:top w:w="28" w:type="dxa"/>
          <w:left w:w="28" w:type="dxa"/>
          <w:bottom w:w="28" w:type="dxa"/>
          <w:right w:w="28" w:type="dxa"/>
        </w:tblCellMar>
      </w:tblPr>
      <w:tblGrid>
        <w:gridCol w:w="272"/>
        <w:gridCol w:w="239"/>
        <w:gridCol w:w="240"/>
        <w:gridCol w:w="2671"/>
        <w:gridCol w:w="2671"/>
        <w:gridCol w:w="380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5exhibit991.htm">
              <w:r>
                <w:rPr>
                  <w:rStyle w:val="InternetLink"/>
                  <w:rFonts w:ascii="Times New Roman;serif" w:hAnsi="Times New Roman;serif"/>
                  <w:b w:val="false"/>
                  <w:color w:val="0000FF"/>
                  <w:sz w:val="20"/>
                  <w:u w:val="single"/>
                </w:rPr>
                <w:t>99.1</w:t>
              </w:r>
            </w:hyperlink>
          </w:p>
        </w:tc>
        <w:tc>
          <w:tcPr>
            <w:tcW w:w="9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release.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5exhibit992.htm">
              <w:r>
                <w:rPr>
                  <w:rStyle w:val="InternetLink"/>
                  <w:rFonts w:ascii="Times New Roman;serif" w:hAnsi="Times New Roman;serif"/>
                  <w:b w:val="false"/>
                  <w:color w:val="0000FF"/>
                  <w:sz w:val="20"/>
                  <w:u w:val="single"/>
                </w:rPr>
                <w:t>99.2</w:t>
              </w:r>
            </w:hyperlink>
          </w:p>
        </w:tc>
        <w:tc>
          <w:tcPr>
            <w:tcW w:w="9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Shell plc – Three and twelve month periods ended December 31, 2025 Unaudited Condensed Financial Report.</w:t>
            </w:r>
          </w:p>
        </w:tc>
      </w:tr>
    </w:tbl>
    <w:p>
      <w:pPr>
        <w:pStyle w:val="TextBody"/>
        <w:bidi w:val="0"/>
        <w:spacing w:lineRule="auto" w:line="288" w:before="0" w:after="120"/>
        <w:jc w:val="left"/>
        <w:rPr/>
      </w:pPr>
      <w:r>
        <w:rPr>
          <w:rFonts w:ascii="Times New Roman;serif" w:hAnsi="Times New Roman;serif"/>
          <w:b w:val="false"/>
          <w:color w:val="000000"/>
          <w:sz w:val="20"/>
          <w:shd w:fill="FFFFFF" w:val="clear"/>
        </w:rPr>
        <w:t>This Report on Form 6-K contains the Unaudited Cond</w:t>
      </w:r>
      <w:r>
        <w:rPr>
          <w:rFonts w:ascii="Times New Roman;serif" w:hAnsi="Times New Roman;serif"/>
          <w:b w:val="false"/>
          <w:color w:val="000000"/>
          <w:sz w:val="20"/>
        </w:rPr>
        <w:t>ensed Financial Report. This Unaudited Condensed Financial Report contains the Unaudited Condensed Consolidated Financial Statements of the Registrant and its subsidiaries for the three and twelve month periods ended December 31, 2025, and Business Review in respect of such periods.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on Form 6-K is incorporated by reference into:</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the Registration Statement on Form F-3 of Shell plc, Shell Finance US Inc. and Shell International Finance B.V. (Registration Numbers 333-276068, 333-276068-01 and 333-276068-02); and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 the Registration Statements on Form S-8 of Shell plc (Registration Numbers 333-262396, 333-272192 and 333-292109).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Shell plc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(Registrant)</w:t>
      </w:r>
    </w:p>
    <w:tbl>
      <w:tblPr>
        <w:tblW w:w="2654" w:type="dxa"/>
        <w:jc w:val="left"/>
        <w:tblInd w:w="0" w:type="dxa"/>
        <w:tblLayout w:type="fixed"/>
        <w:tblCellMar>
          <w:top w:w="28" w:type="dxa"/>
          <w:left w:w="28" w:type="dxa"/>
          <w:bottom w:w="28" w:type="dxa"/>
          <w:right w:w="28" w:type="dxa"/>
        </w:tblCellMar>
      </w:tblPr>
      <w:tblGrid>
        <w:gridCol w:w="151"/>
        <w:gridCol w:w="134"/>
        <w:gridCol w:w="135"/>
        <w:gridCol w:w="654"/>
        <w:gridCol w:w="654"/>
        <w:gridCol w:w="92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Ashley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Sean Ashley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Company Secretary</w:t>
            </w:r>
          </w:p>
        </w:tc>
      </w:tr>
    </w:tbl>
    <w:p>
      <w:pPr>
        <w:pStyle w:val="TextBody"/>
        <w:bidi w:val="0"/>
        <w:spacing w:lineRule="auto" w:line="288" w:before="0" w:after="120"/>
        <w:jc w:val="left"/>
        <w:rPr/>
      </w:pPr>
      <w:r>
        <w:rPr>
          <w:rFonts w:ascii="Times New Roman;serif" w:hAnsi="Times New Roman;serif"/>
          <w:b w:val="false"/>
          <w:color w:val="000000"/>
          <w:sz w:val="20"/>
        </w:rPr>
        <w:t>Dat</w:t>
      </w:r>
      <w:r>
        <w:rPr>
          <w:rFonts w:ascii="Times New Roman;serif" w:hAnsi="Times New Roman;serif"/>
          <w:b w:val="false"/>
          <w:color w:val="000000"/>
          <w:sz w:val="20"/>
          <w:shd w:fill="FFFFFF" w:val="clear"/>
        </w:rPr>
        <w:t>e: February 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br/>
        <w:t>Regulatory release</w:t>
      </w:r>
    </w:p>
    <w:p>
      <w:pPr>
        <w:pStyle w:val="TextBody"/>
        <w:bidi w:val="0"/>
        <w:spacing w:before="0" w:after="120"/>
        <w:jc w:val="righ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Three and twelve month periods ended December 31, 2025</w:t>
        <w:br/>
        <w:t>Unaudited Condensed Financial Report</w:t>
      </w:r>
    </w:p>
    <w:p>
      <w:pPr>
        <w:pStyle w:val="TextBody"/>
        <w:bidi w:val="0"/>
        <w:spacing w:lineRule="auto" w:line="288" w:before="0" w:after="120"/>
        <w:jc w:val="both"/>
        <w:rPr/>
      </w:pPr>
      <w:r>
        <w:rPr>
          <w:rFonts w:ascii="Times New Roman;serif" w:hAnsi="Times New Roman;serif"/>
          <w:b w:val="false"/>
          <w:color w:val="000000"/>
          <w:sz w:val="20"/>
        </w:rPr>
        <w:t xml:space="preserve">On </w:t>
      </w:r>
      <w:r>
        <w:rPr>
          <w:rFonts w:ascii="Times New Roman;serif" w:hAnsi="Times New Roman;serif"/>
          <w:b w:val="false"/>
          <w:color w:val="000000"/>
          <w:sz w:val="20"/>
          <w:shd w:fill="FFFFFF" w:val="clear"/>
        </w:rPr>
        <w:t>February 5, 2026</w:t>
      </w:r>
      <w:r>
        <w:rPr>
          <w:rFonts w:ascii="Times New Roman;serif" w:hAnsi="Times New Roman;serif"/>
          <w:b w:val="false"/>
          <w:color w:val="000000"/>
          <w:sz w:val="20"/>
        </w:rPr>
        <w:t xml:space="preserve">, Shell plc released the Unaudited Condensed Financial Report for three and twelve month periods ended December 31, 2025, of Shell plc and its subsidiaries (collectively, “Shell”). </w:t>
      </w:r>
    </w:p>
    <w:tbl>
      <w:tblPr>
        <w:tblW w:w="3465" w:type="dxa"/>
        <w:jc w:val="left"/>
        <w:tblInd w:w="0" w:type="dxa"/>
        <w:tblLayout w:type="fixed"/>
        <w:tblCellMar>
          <w:top w:w="28" w:type="dxa"/>
          <w:left w:w="28" w:type="dxa"/>
          <w:bottom w:w="28" w:type="dxa"/>
          <w:right w:w="28" w:type="dxa"/>
        </w:tblCellMar>
      </w:tblPr>
      <w:tblGrid>
        <w:gridCol w:w="537"/>
        <w:gridCol w:w="472"/>
        <w:gridCol w:w="476"/>
        <w:gridCol w:w="579"/>
        <w:gridCol w:w="579"/>
        <w:gridCol w:w="822"/>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Contact – Media</w:t>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+44 (0) 207 934 5550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+1 832 337 4355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Shell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and twelve month periods ended December 31, 2025</w:t>
        <w:br/>
        <w:t>Unaudited Condensed Financial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w:t>
                      </w:r>
                    </w:p>
                  </w:txbxContent>
                </v:textbox>
                <w10:wrap type="none"/>
              </v:rect>
            </w:pict>
          </mc:Fallback>
        </mc:AlternateContent>
      </w:r>
    </w:p>
    <w:tbl>
      <w:tblPr>
        <w:tblW w:w="5757" w:type="dxa"/>
        <w:jc w:val="left"/>
        <w:tblInd w:w="0" w:type="dxa"/>
        <w:tblLayout w:type="fixed"/>
        <w:tblCellMar>
          <w:top w:w="28" w:type="dxa"/>
          <w:left w:w="28" w:type="dxa"/>
          <w:bottom w:w="28" w:type="dxa"/>
          <w:right w:w="28" w:type="dxa"/>
        </w:tblCellMar>
      </w:tblPr>
      <w:tblGrid>
        <w:gridCol w:w="1951"/>
        <w:gridCol w:w="1715"/>
        <w:gridCol w:w="1719"/>
        <w:gridCol w:w="109"/>
        <w:gridCol w:w="109"/>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SHELL PLC</w:t>
            </w:r>
          </w:p>
          <w:p>
            <w:pPr>
              <w:pStyle w:val="TableContents"/>
              <w:bidi w:val="0"/>
              <w:spacing w:lineRule="auto" w:line="240" w:before="60" w:after="283"/>
              <w:jc w:val="left"/>
              <w:rPr/>
            </w:pPr>
            <w:r>
              <w:rPr>
                <w:rFonts w:ascii="Times New Roman;serif" w:hAnsi="Times New Roman;serif"/>
                <w:b w:val="false"/>
                <w:color w:val="000000"/>
                <w:sz w:val="20"/>
              </w:rPr>
              <w:t>4</w:t>
            </w:r>
            <w:r>
              <w:rPr>
                <w:rFonts w:ascii="Times New Roman;serif" w:hAnsi="Times New Roman;serif"/>
                <w:b w:val="false"/>
                <w:color w:val="000000"/>
                <w:sz w:val="13"/>
              </w:rPr>
              <w:t xml:space="preserve">th </w:t>
            </w:r>
            <w:r>
              <w:rPr>
                <w:rFonts w:ascii="Times New Roman;serif" w:hAnsi="Times New Roman;serif"/>
                <w:b w:val="false"/>
                <w:color w:val="000000"/>
                <w:sz w:val="20"/>
              </w:rPr>
              <w:t xml:space="preserve">QUARTER 2025 AND FULL YEAR UNAUDITED RESULTS </w:t>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SUMMARY OF UNAUDITED RESULTS</w:t>
      </w:r>
    </w:p>
    <w:tbl>
      <w:tblPr>
        <w:tblW w:w="10205" w:type="dxa"/>
        <w:jc w:val="left"/>
        <w:tblInd w:w="0" w:type="dxa"/>
        <w:tblLayout w:type="fixed"/>
        <w:tblCellMar>
          <w:top w:w="28" w:type="dxa"/>
          <w:left w:w="28" w:type="dxa"/>
          <w:bottom w:w="28" w:type="dxa"/>
          <w:right w:w="28" w:type="dxa"/>
        </w:tblCellMar>
      </w:tblPr>
      <w:tblGrid>
        <w:gridCol w:w="460"/>
        <w:gridCol w:w="276"/>
        <w:gridCol w:w="219"/>
        <w:gridCol w:w="360"/>
        <w:gridCol w:w="361"/>
        <w:gridCol w:w="224"/>
        <w:gridCol w:w="376"/>
        <w:gridCol w:w="345"/>
        <w:gridCol w:w="224"/>
        <w:gridCol w:w="125"/>
        <w:gridCol w:w="125"/>
        <w:gridCol w:w="126"/>
        <w:gridCol w:w="1312"/>
        <w:gridCol w:w="1312"/>
        <w:gridCol w:w="1326"/>
        <w:gridCol w:w="225"/>
        <w:gridCol w:w="225"/>
        <w:gridCol w:w="226"/>
        <w:gridCol w:w="389"/>
        <w:gridCol w:w="391"/>
        <w:gridCol w:w="228"/>
        <w:gridCol w:w="360"/>
        <w:gridCol w:w="361"/>
        <w:gridCol w:w="156"/>
        <w:gridCol w:w="136"/>
        <w:gridCol w:w="136"/>
        <w:gridCol w:w="201"/>
      </w:tblGrid>
      <w:tr>
        <w:trPr/>
        <w:tc>
          <w:tcPr>
            <w:tcW w:w="4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2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9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9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9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%¹</w:t>
            </w:r>
          </w:p>
        </w:tc>
        <w:tc>
          <w:tcPr>
            <w:tcW w:w="395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Reference</w:t>
            </w:r>
          </w:p>
        </w:tc>
        <w:tc>
          <w:tcPr>
            <w:tcW w:w="100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7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r>
      <w:tr>
        <w:trPr/>
        <w:tc>
          <w:tcPr>
            <w:tcW w:w="9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22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2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95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Shell plc shareholders</w:t>
            </w:r>
          </w:p>
        </w:tc>
        <w:tc>
          <w:tcPr>
            <w:tcW w:w="67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16,094 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95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95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r>
      <w:tr>
        <w:trPr/>
        <w:tc>
          <w:tcPr>
            <w:tcW w:w="95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95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56,135</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65,803</w:t>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9,438 </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22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13,162 </w:t>
            </w:r>
          </w:p>
        </w:tc>
        <w:tc>
          <w:tcPr>
            <w:tcW w:w="22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95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67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42,863</w:t>
            </w:r>
          </w:p>
        </w:tc>
        <w:tc>
          <w:tcPr>
            <w:tcW w:w="87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54,687</w:t>
            </w:r>
          </w:p>
        </w:tc>
        <w:tc>
          <w:tcPr>
            <w:tcW w:w="47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w:t>
            </w:r>
          </w:p>
        </w:tc>
        <w:tc>
          <w:tcPr>
            <w:tcW w:w="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95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22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22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capital expenditure</w:t>
            </w:r>
          </w:p>
        </w:tc>
        <w:tc>
          <w:tcPr>
            <w:tcW w:w="67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78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20,915 </w:t>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21,085 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95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operating expenses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95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95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r>
      <w:tr>
        <w:trPr/>
        <w:tc>
          <w:tcPr>
            <w:tcW w:w="9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94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94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7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ROACE</w:t>
            </w:r>
          </w:p>
        </w:tc>
        <w:tc>
          <w:tcPr>
            <w:tcW w:w="67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100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87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47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75,643 </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73,977 </w:t>
            </w:r>
          </w:p>
        </w:tc>
        <w:tc>
          <w:tcPr>
            <w:tcW w:w="22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77,078 </w:t>
            </w:r>
          </w:p>
        </w:tc>
        <w:tc>
          <w:tcPr>
            <w:tcW w:w="22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5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67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78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75,643 </w:t>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77,078 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95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45,687</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45,687</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38,809</w:t>
            </w:r>
          </w:p>
        </w:tc>
        <w:tc>
          <w:tcPr>
            <w:tcW w:w="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Gearing</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22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22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95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production available for sale (thousand boe/d)</w:t>
            </w:r>
          </w:p>
        </w:tc>
        <w:tc>
          <w:tcPr>
            <w:tcW w:w="67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22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9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94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94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37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95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w:t>
            </w:r>
          </w:p>
        </w:tc>
        <w:tc>
          <w:tcPr>
            <w:tcW w:w="67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47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 ($)</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955"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0.372</w:t>
            </w:r>
          </w:p>
        </w:tc>
        <w:tc>
          <w:tcPr>
            <w:tcW w:w="945"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0.358</w:t>
            </w:r>
          </w:p>
        </w:tc>
        <w:tc>
          <w:tcPr>
            <w:tcW w:w="945"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0.358</w:t>
            </w:r>
          </w:p>
        </w:tc>
        <w:tc>
          <w:tcPr>
            <w:tcW w:w="376"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950"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per share ($)</w:t>
            </w:r>
          </w:p>
        </w:tc>
        <w:tc>
          <w:tcPr>
            <w:tcW w:w="676"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877"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473"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lineRule="auto" w:line="288" w:before="0" w:after="0"/>
        <w:ind w:left="0" w:right="0" w:hanging="142"/>
        <w:jc w:val="left"/>
        <w:rPr/>
      </w:pPr>
      <w:r>
        <w:rPr>
          <w:rFonts w:ascii="Times New Roman;serif" w:hAnsi="Times New Roman;serif"/>
          <w:b w:val="false"/>
          <w:color w:val="000000"/>
          <w:sz w:val="13"/>
        </w:rPr>
        <w:t>1.</w:t>
      </w:r>
      <w:r>
        <w:rPr>
          <w:rFonts w:ascii="Times New Roman;serif" w:hAnsi="Times New Roman;serif"/>
          <w:b w:val="false"/>
          <w:color w:val="000000"/>
          <w:sz w:val="20"/>
        </w:rPr>
        <w:t>Q4 on Q3 change</w:t>
      </w:r>
    </w:p>
    <w:p>
      <w:pPr>
        <w:pStyle w:val="TextBody"/>
        <w:bidi w:val="0"/>
        <w:spacing w:lineRule="auto" w:line="288" w:before="12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Income attributable to Shell plc shareholders</w:t>
      </w:r>
      <w:r>
        <w:rPr>
          <w:rFonts w:ascii="Times New Roman;serif" w:hAnsi="Times New Roman;serif"/>
          <w:b w:val="false"/>
          <w:color w:val="000000"/>
          <w:sz w:val="20"/>
        </w:rPr>
        <w:t xml:space="preserve">, compared with the third quarter 2025, reflected unfavourable tax movements, including the annual (non-cash) reassessment of deferred taxes, lower Marketing margins, lower realised prices and higher operating expenses. </w:t>
      </w:r>
    </w:p>
    <w:p>
      <w:pPr>
        <w:pStyle w:val="TextBody"/>
        <w:bidi w:val="0"/>
        <w:spacing w:lineRule="auto" w:line="268" w:before="120" w:after="120"/>
        <w:jc w:val="left"/>
        <w:rPr/>
      </w:pPr>
      <w:r>
        <w:rPr>
          <w:rFonts w:ascii="Times New Roman;serif" w:hAnsi="Times New Roman;serif"/>
          <w:b w:val="false"/>
          <w:color w:val="000000"/>
          <w:sz w:val="20"/>
        </w:rPr>
        <w:t>Fourth quarter 2025 income attributable to Shell plc shareholders also included gains on disposal of assets, mainly related to the incorporation of the Adura joint venture in the UK</w:t>
      </w:r>
      <w:r>
        <w:rPr>
          <w:rFonts w:ascii="Times New Roman;serif" w:hAnsi="Times New Roman;serif"/>
          <w:b w:val="false"/>
          <w:color w:val="000000"/>
          <w:sz w:val="13"/>
        </w:rPr>
        <w:t>2</w:t>
      </w:r>
      <w:r>
        <w:rPr>
          <w:rFonts w:ascii="Times New Roman;serif" w:hAnsi="Times New Roman;serif"/>
          <w:b w:val="false"/>
          <w:color w:val="000000"/>
          <w:sz w:val="20"/>
        </w:rPr>
        <w:t xml:space="preserve">, and impairment charges. These items are included in identified items amounting to a net gain of $1.2 billion in the quarter. This compares with identified items in the third quarter 2025 which amounted to a net loss of $0.1 billion. </w:t>
      </w:r>
    </w:p>
    <w:p>
      <w:pPr>
        <w:pStyle w:val="TextBody"/>
        <w:bidi w:val="0"/>
        <w:spacing w:lineRule="auto" w:line="288" w:before="120" w:after="120"/>
        <w:jc w:val="left"/>
        <w:rPr/>
      </w:pPr>
      <w:r>
        <w:rPr>
          <w:rFonts w:ascii="Times New Roman;serif" w:hAnsi="Times New Roman;serif"/>
          <w:b/>
          <w:color w:val="000000"/>
          <w:sz w:val="20"/>
        </w:rPr>
        <w:t xml:space="preserve">Adjusted Earnings </w:t>
      </w:r>
      <w:r>
        <w:rPr>
          <w:rFonts w:ascii="Times New Roman;serif" w:hAnsi="Times New Roman;serif"/>
          <w:b w:val="false"/>
          <w:color w:val="000000"/>
          <w:sz w:val="20"/>
        </w:rPr>
        <w:t>and</w:t>
      </w:r>
      <w:r>
        <w:rPr>
          <w:color w:val="000000"/>
        </w:rPr>
        <w:t xml:space="preserve"> </w:t>
      </w:r>
      <w:r>
        <w:rPr>
          <w:rFonts w:ascii="Times New Roman;serif" w:hAnsi="Times New Roman;serif"/>
          <w:b/>
          <w:color w:val="000000"/>
          <w:sz w:val="20"/>
        </w:rPr>
        <w:t>Adjusted EBITDA</w:t>
      </w:r>
      <w:r>
        <w:rPr>
          <w:rFonts w:ascii="Times New Roman;serif" w:hAnsi="Times New Roman;serif"/>
          <w:b/>
          <w:color w:val="000000"/>
          <w:sz w:val="13"/>
        </w:rPr>
        <w:t>3</w:t>
      </w:r>
      <w:r>
        <w:rPr>
          <w:color w:val="000000"/>
        </w:rPr>
        <w:t xml:space="preserve"> </w:t>
      </w:r>
      <w:r>
        <w:rPr>
          <w:rFonts w:ascii="Times New Roman;serif" w:hAnsi="Times New Roman;serif"/>
          <w:b w:val="false"/>
          <w:color w:val="000000"/>
          <w:sz w:val="20"/>
        </w:rPr>
        <w:t>were driven by the same factors as income attributable to Shell plc shareholders and adjusted for the above identified items and the cost of supplies adjustment of $0.3 billion.</w:t>
      </w:r>
    </w:p>
    <w:p>
      <w:pPr>
        <w:pStyle w:val="TextBody"/>
        <w:bidi w:val="0"/>
        <w:spacing w:lineRule="auto" w:line="288"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fourth quarter 2025 was $9.4 billion and primarily driven by Adjusted EBITDA, working capital inflows of $1.3 billion and dividends (net of profits) from joint ventures and associates of $0.9 billion. These inflows were partly offset by tax payments of $2.6 billion and net outflows relating to the timing impact of payments for emissions certificates and biofuel programmes of $0.8 billion</w:t>
      </w:r>
      <w:r>
        <w:rPr>
          <w:rFonts w:ascii="Times New Roman;serif" w:hAnsi="Times New Roman;serif"/>
          <w:b w:val="false"/>
          <w:color w:val="000000"/>
          <w:sz w:val="13"/>
        </w:rPr>
        <w:t>4</w:t>
      </w:r>
      <w:r>
        <w:rPr>
          <w:rFonts w:ascii="Times New Roman;serif" w:hAnsi="Times New Roman;serif"/>
          <w:b w:val="false"/>
          <w:color w:val="000000"/>
          <w:sz w:val="20"/>
        </w:rPr>
        <w:t xml:space="preserve">. </w:t>
      </w:r>
    </w:p>
    <w:p>
      <w:pPr>
        <w:pStyle w:val="TextBody"/>
        <w:bidi w:val="0"/>
        <w:spacing w:lineRule="auto" w:line="288" w:before="120" w:after="120"/>
        <w:jc w:val="left"/>
        <w:rPr/>
      </w:pPr>
      <w:r>
        <w:rPr>
          <w:rFonts w:ascii="Times New Roman;serif" w:hAnsi="Times New Roman;serif"/>
          <w:b/>
          <w:color w:val="000000"/>
          <w:sz w:val="20"/>
        </w:rPr>
        <w:t>Cash flow from investing activities</w:t>
      </w:r>
      <w:r>
        <w:rPr>
          <w:color w:val="000000"/>
        </w:rPr>
        <w:t xml:space="preserve"> </w:t>
      </w:r>
      <w:r>
        <w:rPr>
          <w:rFonts w:ascii="Times New Roman;serif" w:hAnsi="Times New Roman;serif"/>
          <w:b w:val="false"/>
          <w:color w:val="000000"/>
          <w:sz w:val="20"/>
        </w:rPr>
        <w:t xml:space="preserve">for the fourth quarter 2025 was an outflow of $5.2 billion, and included cash capital expenditure of $6.0 billion. This outflow was partly offset by interest received of $0.5 billion. </w:t>
      </w:r>
    </w:p>
    <w:p>
      <w:pPr>
        <w:pStyle w:val="TextBody"/>
        <w:bidi w:val="0"/>
        <w:spacing w:lineRule="auto" w:line="268"/>
        <w:jc w:val="left"/>
        <w:rPr/>
      </w:pPr>
      <w:r>
        <w:rPr>
          <w:rFonts w:ascii="Times New Roman;serif" w:hAnsi="Times New Roman;serif"/>
          <w:b/>
          <w:color w:val="000000"/>
          <w:sz w:val="20"/>
        </w:rPr>
        <w:t>Net debt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Gearing</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At the end of the fourth quarter 2025, net debt was $45.7 billion, compared with $41.2 billion at the end of the third quarter 2025. This reflects free cash flow of $4.2 billion, more than offset by share buybacks of $3.4 billion, cash dividends paid to Shell plc shareholders of $2.1 billion, lease additions of $1.8 billion and interest payments of $1.2 billion. Gearing was 20.7% at the end of the fourth quarter 2025, compared with 18.8% at the end of the third quarter 2025, mainly driven by higher net debt.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w:t>
                      </w:r>
                    </w:p>
                  </w:txbxContent>
                </v:textbox>
                <w10:wrap type="none"/>
              </v:rect>
            </w:pict>
          </mc:Fallback>
        </mc:AlternateContent>
      </w:r>
    </w:p>
    <w:p>
      <w:pPr>
        <w:pStyle w:val="TextBody"/>
        <w:bidi w:val="0"/>
        <w:spacing w:lineRule="auto" w:line="276" w:before="120" w:after="120"/>
        <w:jc w:val="left"/>
        <w:rPr/>
      </w:pPr>
      <w:r>
        <w:rPr>
          <w:rFonts w:ascii="Times New Roman;serif" w:hAnsi="Times New Roman;serif"/>
          <w:b/>
          <w:color w:val="000000"/>
          <w:sz w:val="20"/>
        </w:rPr>
        <w:t xml:space="preserve">Shareholder distributions: </w:t>
      </w:r>
      <w:r>
        <w:rPr>
          <w:rFonts w:ascii="Times New Roman;serif" w:hAnsi="Times New Roman;serif"/>
          <w:b w:val="false"/>
          <w:color w:val="000000"/>
          <w:sz w:val="20"/>
        </w:rPr>
        <w:t>Total shareholder distributions in the quarter amounted to $5.5 billion comprising repurchases of shares of $3.4 billion and cash dividends paid to Shell plc shareholders of $2.1 billion. Dividends to be paid to Shell plc shareholders for the fourth quarter 2025 amount to $0.372 per share. Shell has now completed $3.5 billion of share buybacks announced in the third quarter 2025 results announcement. Today, Shell announces a share buyback programme of $3.5 billion which is expected to be completed by the first quarter 2026 results announcement.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Full Year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Income attributable to Shell plc shareholders</w:t>
      </w:r>
      <w:r>
        <w:rPr>
          <w:rFonts w:ascii="Times New Roman;serif" w:hAnsi="Times New Roman;serif"/>
          <w:b w:val="false"/>
          <w:color w:val="000000"/>
          <w:sz w:val="20"/>
        </w:rPr>
        <w:t>, compared with the full year 2024, reflected lower realised liquids and LNG prices, lower trading and optimisation and lower Chemicals margins, partly offset by higher volumes, lower operating expenses, favourable tax movements and higher Marketing margins.</w:t>
      </w:r>
    </w:p>
    <w:p>
      <w:pPr>
        <w:pStyle w:val="TextBody"/>
        <w:bidi w:val="0"/>
        <w:spacing w:lineRule="auto" w:line="288" w:before="120" w:after="120"/>
        <w:jc w:val="left"/>
        <w:rPr/>
      </w:pPr>
      <w:r>
        <w:rPr>
          <w:rFonts w:ascii="Times New Roman;serif" w:hAnsi="Times New Roman;serif"/>
          <w:b w:val="false"/>
          <w:color w:val="000000"/>
          <w:sz w:val="20"/>
        </w:rPr>
        <w:t>Our continued focus on performance, discipline and simplification has helped deliver $5.1 billion of pre-tax structural cost reductions</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since 2022. Of these reductions, $2.0 billion was delivered in the full year 2025.</w:t>
      </w:r>
    </w:p>
    <w:p>
      <w:pPr>
        <w:pStyle w:val="TextBody"/>
        <w:bidi w:val="0"/>
        <w:spacing w:lineRule="auto" w:line="288" w:before="120" w:after="120"/>
        <w:jc w:val="left"/>
        <w:rPr/>
      </w:pPr>
      <w:r>
        <w:rPr>
          <w:rFonts w:ascii="Times New Roman;serif" w:hAnsi="Times New Roman;serif"/>
          <w:b w:val="false"/>
          <w:color w:val="000000"/>
          <w:sz w:val="20"/>
        </w:rPr>
        <w:t>Full year 2025 income attributable to Shell plc shareholders also included impairment charges, gains on disposal of assets, mainly related to the incorporation of the Adura joint venture in the UK</w:t>
      </w:r>
      <w:r>
        <w:rPr>
          <w:rFonts w:ascii="Times New Roman;serif" w:hAnsi="Times New Roman;serif"/>
          <w:b w:val="false"/>
          <w:color w:val="000000"/>
          <w:sz w:val="13"/>
        </w:rPr>
        <w:t>2</w:t>
      </w:r>
      <w:r>
        <w:rPr>
          <w:rFonts w:ascii="Times New Roman;serif" w:hAnsi="Times New Roman;serif"/>
          <w:b w:val="false"/>
          <w:color w:val="000000"/>
          <w:sz w:val="20"/>
        </w:rPr>
        <w:t>, and favourable movements due to the fair value accounting of commodity derivatives. These items are included in identified items amounting to a net loss of $0.1 billion. This compares with identified items in the full year 2024 which amounted to a net loss of $7.4 billion.</w:t>
      </w:r>
    </w:p>
    <w:p>
      <w:pPr>
        <w:pStyle w:val="TextBody"/>
        <w:bidi w:val="0"/>
        <w:spacing w:lineRule="auto" w:line="288" w:before="120" w:after="120"/>
        <w:jc w:val="left"/>
        <w:rPr/>
      </w:pPr>
      <w:r>
        <w:rPr>
          <w:rFonts w:ascii="Times New Roman;serif" w:hAnsi="Times New Roman;serif"/>
          <w:b/>
          <w:color w:val="000000"/>
          <w:sz w:val="20"/>
        </w:rPr>
        <w:t xml:space="preserve">Adjusted Earnings </w:t>
      </w:r>
      <w:r>
        <w:rPr>
          <w:rFonts w:ascii="Times New Roman;serif" w:hAnsi="Times New Roman;serif"/>
          <w:b w:val="false"/>
          <w:color w:val="000000"/>
          <w:sz w:val="20"/>
        </w:rPr>
        <w:t>and</w:t>
      </w:r>
      <w:r>
        <w:rPr>
          <w:color w:val="000000"/>
        </w:rPr>
        <w:t xml:space="preserve"> </w:t>
      </w:r>
      <w:r>
        <w:rPr>
          <w:rFonts w:ascii="Times New Roman;serif" w:hAnsi="Times New Roman;serif"/>
          <w:b/>
          <w:color w:val="000000"/>
          <w:sz w:val="20"/>
        </w:rPr>
        <w:t>Adjusted EBITDA</w:t>
      </w:r>
      <w:r>
        <w:rPr>
          <w:rFonts w:ascii="Times New Roman;serif" w:hAnsi="Times New Roman;serif"/>
          <w:b/>
          <w:color w:val="000000"/>
          <w:sz w:val="13"/>
        </w:rPr>
        <w:t>3</w:t>
      </w:r>
      <w:r>
        <w:rPr>
          <w:color w:val="000000"/>
        </w:rPr>
        <w:t xml:space="preserve"> </w:t>
      </w:r>
      <w:r>
        <w:rPr>
          <w:rFonts w:ascii="Times New Roman;serif" w:hAnsi="Times New Roman;serif"/>
          <w:b w:val="false"/>
          <w:color w:val="000000"/>
          <w:sz w:val="20"/>
        </w:rPr>
        <w:t>for the full year 2025 were driven by the same factors as income attributable to Shell plc shareholders and adjusted for identified items and the cost of supplies adjustment of $0.6 billion.</w:t>
      </w:r>
    </w:p>
    <w:p>
      <w:pPr>
        <w:pStyle w:val="TextBody"/>
        <w:bidi w:val="0"/>
        <w:spacing w:lineRule="auto" w:line="288"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full year 2025 was $42.9 billion, and primarily driven by Adjusted EBITDA and dividends (net of profits) from joint ventures and associates of $2.6 billion. This inflow was partly offset by tax payments of $11.6 billion and working capital outflows of $1.8 billion. </w:t>
      </w:r>
    </w:p>
    <w:p>
      <w:pPr>
        <w:pStyle w:val="TextBody"/>
        <w:bidi w:val="0"/>
        <w:spacing w:lineRule="auto" w:line="288" w:before="120" w:after="120"/>
        <w:jc w:val="left"/>
        <w:rPr/>
      </w:pPr>
      <w:r>
        <w:rPr>
          <w:rFonts w:ascii="Times New Roman;serif" w:hAnsi="Times New Roman;serif"/>
          <w:b/>
          <w:color w:val="000000"/>
          <w:sz w:val="20"/>
        </w:rPr>
        <w:t xml:space="preserve">Cash flow from investing activities </w:t>
      </w:r>
      <w:r>
        <w:rPr>
          <w:rFonts w:ascii="Times New Roman;serif" w:hAnsi="Times New Roman;serif"/>
          <w:b w:val="false"/>
          <w:color w:val="000000"/>
          <w:sz w:val="20"/>
        </w:rPr>
        <w:t xml:space="preserve">for the full year 2025 was an outflow of $16.8 billion and included cash capital expenditure of $20.9 billion. This outflow was partly offset by divestment proceeds of $2.4 billion and interest received of $2.0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 xml:space="preserve">This Unaudited Condensed Financial Report, together with supplementary financial and operational disclosure for this quarter, is available at www.shell.com/investors </w:t>
      </w:r>
      <w:r>
        <w:rPr>
          <w:rFonts w:ascii="Times New Roman;serif" w:hAnsi="Times New Roman;serif"/>
          <w:b w:val="false"/>
          <w:color w:val="000000"/>
          <w:sz w:val="13"/>
        </w:rPr>
        <w:t>6</w:t>
      </w:r>
      <w:r>
        <w:rPr>
          <w:rFonts w:ascii="Times New Roman;serif" w:hAnsi="Times New Roman;serif"/>
          <w:b w:val="false"/>
          <w:color w:val="000000"/>
          <w:sz w:val="20"/>
        </w:rPr>
        <w:t xml:space="preserve">. Details of progress to date on the financial targets that were </w:t>
      </w:r>
    </w:p>
    <w:p>
      <w:pPr>
        <w:pStyle w:val="TextBody"/>
        <w:bidi w:val="0"/>
        <w:spacing w:lineRule="auto" w:line="288" w:before="0" w:after="0"/>
        <w:jc w:val="left"/>
        <w:rPr/>
      </w:pPr>
      <w:r>
        <w:rPr>
          <w:rFonts w:ascii="Times New Roman;serif" w:hAnsi="Times New Roman;serif"/>
          <w:b w:val="false"/>
          <w:color w:val="000000"/>
          <w:sz w:val="20"/>
        </w:rPr>
        <w:t xml:space="preserve">announced during Capital Markets Day in March 2025 is available at www.shell.com/2025-progress-on-cmd25.html </w:t>
      </w:r>
      <w:r>
        <w:rPr>
          <w:rFonts w:ascii="Times New Roman;serif" w:hAnsi="Times New Roman;serif"/>
          <w:b w:val="false"/>
          <w:color w:val="000000"/>
          <w:sz w:val="13"/>
        </w:rPr>
        <w:t>6</w:t>
      </w:r>
      <w:r>
        <w:rPr>
          <w:rFonts w:ascii="Times New Roman;serif" w:hAnsi="Times New Roman;serif"/>
          <w:b w:val="false"/>
          <w:color w:val="000000"/>
          <w:sz w:val="20"/>
        </w:rPr>
        <w:t>.</w:t>
      </w:r>
    </w:p>
    <w:p>
      <w:pPr>
        <w:pStyle w:val="TextBody"/>
        <w:bidi w:val="0"/>
        <w:spacing w:lineRule="auto" w:line="288" w:before="0" w:after="0"/>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All earnings amounts are shown post-tax, unless stated otherwise.</w:t>
      </w:r>
    </w:p>
    <w:p>
      <w:pPr>
        <w:pStyle w:val="TextBody"/>
        <w:bidi w:val="0"/>
        <w:spacing w:lineRule="auto" w:line="288" w:before="0" w:after="0"/>
        <w:ind w:left="0" w:right="0" w:hanging="270"/>
        <w:jc w:val="left"/>
        <w:rPr/>
      </w:pPr>
      <w:r>
        <w:rPr>
          <w:rFonts w:ascii="Times New Roman;serif" w:hAnsi="Times New Roman;serif"/>
          <w:b w:val="false"/>
          <w:color w:val="000000"/>
          <w:sz w:val="13"/>
        </w:rPr>
        <w:t>2.</w:t>
      </w:r>
      <w:r>
        <w:rPr>
          <w:rFonts w:ascii="Times New Roman;serif" w:hAnsi="Times New Roman;serif"/>
          <w:b w:val="false"/>
          <w:color w:val="000000"/>
          <w:sz w:val="20"/>
        </w:rPr>
        <w:t>See Note 7 “Other notes to the unaudited Condensed Consolidated Financial Statements” for further details.</w:t>
      </w:r>
    </w:p>
    <w:p>
      <w:pPr>
        <w:pStyle w:val="TextBody"/>
        <w:bidi w:val="0"/>
        <w:spacing w:lineRule="auto" w:line="288" w:before="0" w:after="0"/>
        <w:ind w:left="0" w:right="0" w:hanging="270"/>
        <w:jc w:val="left"/>
        <w:rPr/>
      </w:pPr>
      <w:r>
        <w:rPr>
          <w:rFonts w:ascii="Times New Roman;serif" w:hAnsi="Times New Roman;serif"/>
          <w:b w:val="false"/>
          <w:color w:val="000000"/>
          <w:sz w:val="13"/>
        </w:rPr>
        <w:t>3.</w:t>
      </w:r>
      <w:r>
        <w:rPr>
          <w:rFonts w:ascii="Times New Roman;serif" w:hAnsi="Times New Roman;serif"/>
          <w:b w:val="false"/>
          <w:color w:val="000000"/>
          <w:sz w:val="20"/>
        </w:rPr>
        <w:t>Adjusted EBITDA is without taxation, exploration well write-offs and depreciation, depletion and amortisation (DD&amp;A) expenses.</w:t>
      </w:r>
    </w:p>
    <w:p>
      <w:pPr>
        <w:pStyle w:val="TextBody"/>
        <w:bidi w:val="0"/>
        <w:spacing w:lineRule="auto" w:line="288" w:before="0" w:after="0"/>
        <w:ind w:left="0" w:right="0" w:hanging="270"/>
        <w:jc w:val="left"/>
        <w:rPr/>
      </w:pPr>
      <w:r>
        <w:rPr>
          <w:rFonts w:ascii="Times New Roman;serif" w:hAnsi="Times New Roman;serif"/>
          <w:b w:val="false"/>
          <w:color w:val="000000"/>
          <w:sz w:val="12"/>
        </w:rPr>
        <w:t>4.</w:t>
      </w:r>
      <w:r>
        <w:rPr>
          <w:rFonts w:ascii="Times New Roman;serif" w:hAnsi="Times New Roman;serif"/>
          <w:b w:val="false"/>
          <w:color w:val="000000"/>
          <w:sz w:val="20"/>
        </w:rPr>
        <w:t xml:space="preserve">Includes $1.4 billion payments for the Brennstoffemissionshandelsgesetz (Fuel Emissions Trading Act). </w:t>
      </w:r>
    </w:p>
    <w:p>
      <w:pPr>
        <w:pStyle w:val="TextBody"/>
        <w:bidi w:val="0"/>
        <w:spacing w:lineRule="auto" w:line="288" w:before="0" w:after="0"/>
        <w:ind w:left="0" w:right="0" w:hanging="270"/>
        <w:jc w:val="left"/>
        <w:rPr/>
      </w:pPr>
      <w:r>
        <w:rPr>
          <w:rFonts w:ascii="Times New Roman;serif" w:hAnsi="Times New Roman;serif"/>
          <w:b w:val="false"/>
          <w:color w:val="000000"/>
          <w:sz w:val="13"/>
        </w:rPr>
        <w:t>5.</w:t>
      </w:r>
      <w:r>
        <w:rPr>
          <w:rFonts w:ascii="Times New Roman;serif" w:hAnsi="Times New Roman;serif"/>
          <w:b w:val="false"/>
          <w:color w:val="000000"/>
          <w:sz w:val="20"/>
        </w:rPr>
        <w:t>See Reference J "Structural cost reduction" for further details.</w:t>
      </w:r>
    </w:p>
    <w:p>
      <w:pPr>
        <w:pStyle w:val="TextBody"/>
        <w:bidi w:val="0"/>
        <w:spacing w:lineRule="auto" w:line="288" w:before="0" w:after="0"/>
        <w:ind w:left="0" w:right="0" w:hanging="270"/>
        <w:jc w:val="left"/>
        <w:rPr/>
      </w:pPr>
      <w:r>
        <w:rPr>
          <w:rFonts w:ascii="Times New Roman;serif" w:hAnsi="Times New Roman;serif"/>
          <w:b w:val="false"/>
          <w:color w:val="000000"/>
          <w:sz w:val="13"/>
        </w:rPr>
        <w:t>6.</w:t>
      </w:r>
      <w:r>
        <w:rPr>
          <w:rFonts w:ascii="Times New Roman;serif" w:hAnsi="Times New Roman;serif"/>
          <w:b w:val="false"/>
          <w:color w:val="000000"/>
          <w:sz w:val="20"/>
        </w:rPr>
        <w:t>Not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FF0000"/>
          <w:sz w:val="20"/>
        </w:rPr>
      </w:pPr>
      <w:r>
        <w:rPr>
          <w:rFonts w:ascii="Times New Roman;serif" w:hAnsi="Times New Roman;serif"/>
          <w:b/>
          <w:color w:val="FF0000"/>
          <w:sz w:val="20"/>
        </w:rPr>
        <w:t xml:space="preserve">PORTFOLIO DEVELOPMENTS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Integrated Gas</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took a final investment decision (FID) on the Gorgon Stage 3 development in Australia (Shell interest 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Upstream</w:t>
      </w:r>
    </w:p>
    <w:p>
      <w:pPr>
        <w:pStyle w:val="TextBody"/>
        <w:bidi w:val="0"/>
        <w:spacing w:lineRule="atLeast"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In October 2025, we announced, together with Sunlink Energies and Resources Limited, a FID on the HI gas project offshore Nigeria (Shell interest 40%).</w:t>
      </w:r>
    </w:p>
    <w:p>
      <w:pPr>
        <w:pStyle w:val="TextBody"/>
        <w:bidi w:val="0"/>
        <w:spacing w:lineRule="atLeast"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In November 2025, we completed the previously announced agreement to increase our stake in the OML 118 Production Sharing Contract (OML 118 PSC) in Nigeria from 55% to 65%.</w:t>
      </w:r>
    </w:p>
    <w:p>
      <w:pPr>
        <w:pStyle w:val="TextBody"/>
        <w:bidi w:val="0"/>
        <w:spacing w:lineRule="atLeast"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along with Equinor ASA, completed a deal to combine our UK offshore oil and gas operations to form a new company Adura, which is jointly owned by Equinor (50%) and Shell (50%). </w:t>
      </w:r>
    </w:p>
    <w:p>
      <w:pPr>
        <w:pStyle w:val="TextBody"/>
        <w:bidi w:val="0"/>
        <w:spacing w:lineRule="atLeast"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In December 2025, following an auction, we secured additional equity in Brazil's pre-salt oil projects. With this acquisition, we will increase our participating interest in the Atapu unit from 16.663% to 16.917% and the Mero unit from 19.3% to 20%. Both projects are located in the offshore Santos Basin.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w:t>
                      </w:r>
                    </w:p>
                  </w:txbxContent>
                </v:textbox>
                <w10:wrap type="none"/>
              </v:rect>
            </w:pict>
          </mc:Fallback>
        </mc:AlternateConten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announced a FID on a waterflood project at the Kaikias field (Shell 100% working interest) in the US Gulf of America.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F0000"/>
          <w:sz w:val="20"/>
        </w:rPr>
      </w:pPr>
      <w:r>
        <w:rPr>
          <w:rFonts w:ascii="Times New Roman;serif" w:hAnsi="Times New Roman;serif"/>
          <w:b/>
          <w:color w:val="FF0000"/>
          <w:sz w:val="20"/>
        </w:rPr>
        <w:t>PERFORMANCE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INTEGRATED GAS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5"/>
        <w:gridCol w:w="296"/>
        <w:gridCol w:w="228"/>
        <w:gridCol w:w="308"/>
        <w:gridCol w:w="308"/>
        <w:gridCol w:w="234"/>
        <w:gridCol w:w="308"/>
        <w:gridCol w:w="308"/>
        <w:gridCol w:w="234"/>
        <w:gridCol w:w="139"/>
        <w:gridCol w:w="139"/>
        <w:gridCol w:w="143"/>
        <w:gridCol w:w="1401"/>
        <w:gridCol w:w="1358"/>
        <w:gridCol w:w="1380"/>
        <w:gridCol w:w="275"/>
        <w:gridCol w:w="275"/>
        <w:gridCol w:w="276"/>
        <w:gridCol w:w="360"/>
        <w:gridCol w:w="361"/>
        <w:gridCol w:w="193"/>
        <w:gridCol w:w="360"/>
        <w:gridCol w:w="361"/>
        <w:gridCol w:w="156"/>
        <w:gridCol w:w="136"/>
        <w:gridCol w:w="136"/>
        <w:gridCol w:w="197"/>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ind w:left="0" w:right="0" w:hanging="284"/>
              <w:jc w:val="left"/>
              <w:rPr>
                <w:sz w:val="4"/>
                <w:szCs w:val="4"/>
              </w:rPr>
            </w:pPr>
            <w:r>
              <w:rPr>
                <w:sz w:val="4"/>
                <w:szCs w:val="4"/>
              </w:rPr>
            </w:r>
          </w:p>
        </w:tc>
      </w:tr>
      <w:tr>
        <w:trPr/>
        <w:tc>
          <w:tcPr>
            <w:tcW w:w="29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8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8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4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%¹</w:t>
            </w:r>
          </w:p>
        </w:tc>
        <w:tc>
          <w:tcPr>
            <w:tcW w:w="413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9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413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Income/(loss) for the period</w:t>
            </w:r>
          </w:p>
        </w:tc>
        <w:tc>
          <w:tcPr>
            <w:tcW w:w="82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413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8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14,086 </w:t>
            </w:r>
          </w:p>
        </w:tc>
        <w:tc>
          <w:tcPr>
            <w:tcW w:w="19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16,909 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413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Liquids production available for sale (thousand b/d)</w:t>
            </w:r>
          </w:p>
        </w:tc>
        <w:tc>
          <w:tcPr>
            <w:tcW w:w="82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9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production available for sale (million scf/d)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available for sale (thousand boe/d)</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22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413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LNG liquefaction volumes (million tonnes)</w:t>
            </w:r>
          </w:p>
        </w:tc>
        <w:tc>
          <w:tcPr>
            <w:tcW w:w="82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9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228"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234"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234"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139"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LNG sales volumes (million tonnes)</w:t>
            </w:r>
          </w:p>
        </w:tc>
        <w:tc>
          <w:tcPr>
            <w:tcW w:w="826"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93"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lineRule="auto" w:line="288" w:before="0" w:after="0"/>
        <w:ind w:left="0" w:right="0" w:hanging="142"/>
        <w:jc w:val="left"/>
        <w:rPr/>
      </w:pPr>
      <w:r>
        <w:rPr>
          <w:rFonts w:ascii="Times New Roman;serif" w:hAnsi="Times New Roman;serif"/>
          <w:b w:val="false"/>
          <w:color w:val="000000"/>
          <w:sz w:val="13"/>
        </w:rPr>
        <w:t>1.</w:t>
      </w:r>
      <w:r>
        <w:rPr>
          <w:rFonts w:ascii="Times New Roman;serif" w:hAnsi="Times New Roman;serif"/>
          <w:b w:val="false"/>
          <w:color w:val="000000"/>
          <w:sz w:val="20"/>
        </w:rPr>
        <w:t>Q4 on Q3 change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Integrated Gas segment includes liquefied natural gas (LNG) and the conversion of natural gas into gas-to-liquids (GTL) fuels and other products. The segment includes natural gas and liquids exploration and extraction, and the operation of the upstream and midstream infrastructure necessary to deliver these to market. Integrated Gas also includes the marketing, trading and optimisation of LNG. </w:t>
      </w:r>
    </w:p>
    <w:p>
      <w:pPr>
        <w:pStyle w:val="TextBody"/>
        <w:bidi w:val="0"/>
        <w:spacing w:lineRule="auto" w:line="268" w:before="120" w:after="283"/>
        <w:jc w:val="left"/>
        <w:rPr/>
      </w:pPr>
      <w:r>
        <w:rPr>
          <w:rFonts w:ascii="Times New Roman;serif" w:hAnsi="Times New Roman;serif"/>
          <w:b/>
          <w:color w:val="000000"/>
          <w:sz w:val="20"/>
        </w:rPr>
        <w:t>Quarter Analysis</w:t>
      </w:r>
      <w:r>
        <w:rPr>
          <w:rFonts w:ascii="Times New Roman;serif" w:hAnsi="Times New Roman;serif"/>
          <w:b/>
          <w:color w:val="000000"/>
          <w:sz w:val="13"/>
        </w:rPr>
        <w:t xml:space="preserve">1 </w:t>
      </w:r>
    </w:p>
    <w:p>
      <w:pPr>
        <w:pStyle w:val="TextBody"/>
        <w:bidi w:val="0"/>
        <w:spacing w:lineRule="auto" w:line="268" w:before="120" w:after="283"/>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compared with the third quarter 2025, reflected unfavourable tax movements ($260 million), lower realised prices (decrease of $163 million), and higher operating expenses (increase of $147 million), partly offset by higher volumes (increase of $101 million).</w:t>
      </w:r>
    </w:p>
    <w:p>
      <w:pPr>
        <w:pStyle w:val="TextBody"/>
        <w:bidi w:val="0"/>
        <w:spacing w:lineRule="auto" w:line="268" w:before="0" w:after="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fourth quarter 2025 included favourable movements of $225 million due to the fair value accounting of commodity derivatives. These favourable movements compare with the third quarter 2025 which included favourable movements of $129 million due to the fair value accounting of commodity derivatives, and onerous contract related remeasurement of $99 million. As part of Shell's normal business, commodity derivative contracts are entered into as hedges for mitigation of economic exposures on future purchases, sales and inventory.</w:t>
      </w:r>
    </w:p>
    <w:p>
      <w:pPr>
        <w:pStyle w:val="TextBody"/>
        <w:bidi w:val="0"/>
        <w:spacing w:lineRule="auto" w:line="288"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2</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fourth quarter 2025 was primarily driven by Adjusted EBITDA, net cash inflows related to derivatives of $319 million and working capital inflows of $301 million, partly offset by tax payments of $724 million.</w:t>
      </w:r>
    </w:p>
    <w:p>
      <w:pPr>
        <w:pStyle w:val="TextBody"/>
        <w:bidi w:val="0"/>
        <w:spacing w:lineRule="auto" w:line="288" w:before="120" w:after="120"/>
        <w:jc w:val="left"/>
        <w:rPr/>
      </w:pPr>
      <w:r>
        <w:rPr>
          <w:rFonts w:ascii="Times New Roman;serif" w:hAnsi="Times New Roman;serif"/>
          <w:b/>
          <w:color w:val="000000"/>
          <w:sz w:val="20"/>
        </w:rPr>
        <w:t>Total oil and gas production</w:t>
      </w:r>
      <w:r>
        <w:rPr>
          <w:rFonts w:ascii="Times New Roman;serif" w:hAnsi="Times New Roman;serif"/>
          <w:b w:val="false"/>
          <w:color w:val="000000"/>
          <w:sz w:val="20"/>
        </w:rPr>
        <w:t>, compared with the third quarter 2025, increased by 2% mainly due to ramp-up in Canada</w:t>
      </w:r>
      <w:r>
        <w:rPr>
          <w:rFonts w:ascii="Times New Roman;serif" w:hAnsi="Times New Roman;serif"/>
          <w:b w:val="false"/>
          <w:color w:val="000000"/>
          <w:sz w:val="20"/>
          <w:shd w:fill="FFFFFF" w:val="clear"/>
        </w:rPr>
        <w:t>. LNG liquefacti</w:t>
      </w:r>
      <w:r>
        <w:rPr>
          <w:rFonts w:ascii="Times New Roman;serif" w:hAnsi="Times New Roman;serif"/>
          <w:b w:val="false"/>
          <w:color w:val="000000"/>
          <w:sz w:val="20"/>
        </w:rPr>
        <w:t xml:space="preserve">on volumes increased by 7% mainly due to lower maintenance across the portfolio and LNG Canada ramp-up.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 xml:space="preserve">Full Year Analysis </w:t>
      </w:r>
      <w:r>
        <w:rPr>
          <w:rFonts w:ascii="Times New Roman;serif" w:hAnsi="Times New Roman;serif"/>
          <w:b/>
          <w:color w:val="000000"/>
          <w:sz w:val="13"/>
        </w:rPr>
        <w:t>1</w:t>
      </w:r>
    </w:p>
    <w:p>
      <w:pPr>
        <w:pStyle w:val="TextBody"/>
        <w:bidi w:val="0"/>
        <w:spacing w:lineRule="auto" w:line="268" w:before="120" w:after="283"/>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compared with the full year 2024, reflected the combined effect of lower contributions from trading and optimisation and lower realised prices (decrease of $3,034 million), higher depreciation, depletion and amortisation expenses (increase of $407 million), and lower volumes (decrease of $250 million), partly offset by lower well write-offs (decrease of $252 million), and favourable tax movements ($102 million).</w:t>
      </w:r>
    </w:p>
    <w:p>
      <w:pPr>
        <w:pStyle w:val="TextBody"/>
        <w:bidi w:val="0"/>
        <w:spacing w:lineRule="auto" w:line="268"/>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 xml:space="preserve">in the full year 2025 included favourable movements of $1,171 million due to the fair value accounting of commodity derivatives, partly offset by impairment charges of $433 million. These favourable movements and charges are part of identified items and compare with the full year 2024 which included unfavourable movements of $1,088 million due to the fair value accounting of commodity derivatives, impairment charges of $363 million, and a net loss of $96 million related to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 of assets. As part of Shell's normal business, commodity derivative contracts are entered into as hedges for mitigation of economic exposures on future purchases, sales and inventory.</w:t>
      </w:r>
    </w:p>
    <w:p>
      <w:pPr>
        <w:pStyle w:val="TextBody"/>
        <w:bidi w:val="0"/>
        <w:spacing w:lineRule="auto" w:line="288"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2</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full year 2025 was primarily driven by Adjusted EBITDA, and net cash inflows related to derivatives of $1,487 million. These inflows were partly offset by tax payments of $3,261 million and working capital outflows of $835 million.</w:t>
      </w:r>
    </w:p>
    <w:p>
      <w:pPr>
        <w:pStyle w:val="TextBody"/>
        <w:bidi w:val="0"/>
        <w:spacing w:lineRule="auto" w:line="288" w:before="120" w:after="120"/>
        <w:jc w:val="left"/>
        <w:rPr/>
      </w:pPr>
      <w:r>
        <w:rPr>
          <w:rFonts w:ascii="Times New Roman;serif" w:hAnsi="Times New Roman;serif"/>
          <w:b/>
          <w:color w:val="000000"/>
          <w:sz w:val="20"/>
        </w:rPr>
        <w:t>Total oil and gas production</w:t>
      </w:r>
      <w:r>
        <w:rPr>
          <w:rFonts w:ascii="Times New Roman;serif" w:hAnsi="Times New Roman;serif"/>
          <w:b w:val="false"/>
          <w:color w:val="000000"/>
          <w:sz w:val="20"/>
        </w:rPr>
        <w:t>, compared with the full year 2024, decreased by 2% mainly due to natural field decline across the portfolio. LNG liquefaction volumes decreased by 2% mainly due to ownership restructuring in Trinidad and Tobago, and higher maintenance across the portfolio, partly offset by LNG Canada ramp-up.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lineRule="auto" w:line="268" w:before="0" w:after="0"/>
        <w:ind w:left="0" w:right="0" w:hanging="272"/>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Adjusted EBITDA is without taxation, exploration well write-offs and DD&amp;A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UPSTREAM</w:t>
      </w:r>
    </w:p>
    <w:tbl>
      <w:tblPr>
        <w:tblW w:w="10205" w:type="dxa"/>
        <w:jc w:val="left"/>
        <w:tblInd w:w="0" w:type="dxa"/>
        <w:tblLayout w:type="fixed"/>
        <w:tblCellMar>
          <w:top w:w="28" w:type="dxa"/>
          <w:left w:w="28" w:type="dxa"/>
          <w:bottom w:w="28" w:type="dxa"/>
          <w:right w:w="28" w:type="dxa"/>
        </w:tblCellMar>
      </w:tblPr>
      <w:tblGrid>
        <w:gridCol w:w="335"/>
        <w:gridCol w:w="296"/>
        <w:gridCol w:w="227"/>
        <w:gridCol w:w="308"/>
        <w:gridCol w:w="308"/>
        <w:gridCol w:w="232"/>
        <w:gridCol w:w="308"/>
        <w:gridCol w:w="308"/>
        <w:gridCol w:w="232"/>
        <w:gridCol w:w="175"/>
        <w:gridCol w:w="175"/>
        <w:gridCol w:w="176"/>
        <w:gridCol w:w="1382"/>
        <w:gridCol w:w="1336"/>
        <w:gridCol w:w="1357"/>
        <w:gridCol w:w="275"/>
        <w:gridCol w:w="275"/>
        <w:gridCol w:w="276"/>
        <w:gridCol w:w="360"/>
        <w:gridCol w:w="361"/>
        <w:gridCol w:w="156"/>
        <w:gridCol w:w="360"/>
        <w:gridCol w:w="361"/>
        <w:gridCol w:w="156"/>
        <w:gridCol w:w="136"/>
        <w:gridCol w:w="136"/>
        <w:gridCol w:w="198"/>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0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4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5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84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84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5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%¹</w:t>
            </w:r>
          </w:p>
        </w:tc>
        <w:tc>
          <w:tcPr>
            <w:tcW w:w="40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22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c>
          <w:tcPr>
            <w:tcW w:w="407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for the period</w:t>
            </w:r>
          </w:p>
        </w:tc>
        <w:tc>
          <w:tcPr>
            <w:tcW w:w="82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407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22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407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8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22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07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Liquids production available for sale (thousand b/d)</w:t>
            </w:r>
          </w:p>
        </w:tc>
        <w:tc>
          <w:tcPr>
            <w:tcW w:w="82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877"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470"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production available for sale (million scf/d)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227"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232"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232"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4075"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available for sale (thousand boe/d)</w:t>
            </w:r>
          </w:p>
        </w:tc>
        <w:tc>
          <w:tcPr>
            <w:tcW w:w="826"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ind w:left="0" w:right="0" w:hanging="142"/>
        <w:jc w:val="left"/>
        <w:rPr/>
      </w:pPr>
      <w:r>
        <w:rPr>
          <w:rFonts w:ascii="Times New Roman;serif" w:hAnsi="Times New Roman;serif"/>
          <w:b w:val="false"/>
          <w:color w:val="000000"/>
          <w:sz w:val="13"/>
        </w:rPr>
        <w:t>1.</w:t>
      </w:r>
      <w:r>
        <w:rPr>
          <w:rFonts w:ascii="Times New Roman;serif" w:hAnsi="Times New Roman;serif"/>
          <w:b w:val="false"/>
          <w:color w:val="000000"/>
          <w:sz w:val="20"/>
        </w:rPr>
        <w:t>Q4 on Q3 change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Upstream segment includes exploration and extraction of crude oil, natural gas and natural gas liquids. The segment also markets and transports oil and gas, and operates the infrastructure necessary to deliver these to the market.</w:t>
      </w:r>
    </w:p>
    <w:p>
      <w:pPr>
        <w:pStyle w:val="TextBody"/>
        <w:bidi w:val="0"/>
        <w:spacing w:lineRule="auto" w:line="288" w:before="12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120" w:after="120"/>
        <w:jc w:val="left"/>
        <w:rPr/>
      </w:pPr>
      <w:r>
        <w:rPr>
          <w:rFonts w:ascii="Times New Roman;serif" w:hAnsi="Times New Roman;serif"/>
          <w:b/>
          <w:color w:val="000000"/>
          <w:sz w:val="20"/>
        </w:rPr>
        <w:t>Adjusted Earning</w:t>
      </w:r>
      <w:r>
        <w:rPr>
          <w:rFonts w:ascii="Times New Roman;serif" w:hAnsi="Times New Roman;serif"/>
          <w:b/>
          <w:color w:val="000000"/>
          <w:sz w:val="20"/>
          <w:shd w:fill="FFFFFF" w:val="clear"/>
        </w:rPr>
        <w:t>s</w:t>
      </w:r>
      <w:r>
        <w:rPr>
          <w:rFonts w:ascii="Times New Roman;serif" w:hAnsi="Times New Roman;serif"/>
          <w:b w:val="false"/>
          <w:color w:val="000000"/>
          <w:sz w:val="20"/>
          <w:shd w:fill="FFFFFF" w:val="clear"/>
        </w:rPr>
        <w:t xml:space="preserve">, compared with the </w:t>
      </w:r>
      <w:r>
        <w:rPr>
          <w:rFonts w:ascii="Times New Roman;serif" w:hAnsi="Times New Roman;serif"/>
          <w:b w:val="false"/>
          <w:color w:val="000000"/>
          <w:sz w:val="20"/>
        </w:rPr>
        <w:t>third quarter 2025</w:t>
      </w:r>
      <w:r>
        <w:rPr>
          <w:rFonts w:ascii="Times New Roman;serif" w:hAnsi="Times New Roman;serif"/>
          <w:b w:val="false"/>
          <w:color w:val="000000"/>
          <w:sz w:val="20"/>
          <w:shd w:fill="FFFFFF" w:val="clear"/>
        </w:rPr>
        <w:t>, reflected lower realised liquid prices (decrease of $486 million) and higher operating expenses (increase of $115 million), partly offset by a comparative favourable movement related to the rebalancing of participation interests in Brazil in the third quarter 2025 ($271 million)</w:t>
      </w:r>
      <w:r>
        <w:rPr>
          <w:rFonts w:ascii="Times New Roman;serif" w:hAnsi="Times New Roman;serif"/>
          <w:b w:val="false"/>
          <w:color w:val="000000"/>
          <w:sz w:val="13"/>
          <w:shd w:fill="FFFFFF" w:val="clear"/>
        </w:rPr>
        <w:t>2</w:t>
      </w:r>
      <w:r>
        <w:rPr>
          <w:rFonts w:ascii="Times New Roman;serif" w:hAnsi="Times New Roman;serif"/>
          <w:b w:val="false"/>
          <w:color w:val="000000"/>
          <w:sz w:val="20"/>
          <w:shd w:fill="FFFFFF" w:val="clear"/>
        </w:rPr>
        <w:t xml:space="preserve">. </w:t>
      </w:r>
    </w:p>
    <w:p>
      <w:pPr>
        <w:pStyle w:val="TextBody"/>
        <w:bidi w:val="0"/>
        <w:spacing w:lineRule="auto" w:line="288" w:before="120" w:after="120"/>
        <w:jc w:val="left"/>
        <w:rPr/>
      </w:pPr>
      <w:r>
        <w:rPr>
          <w:rFonts w:ascii="Times New Roman;serif" w:hAnsi="Times New Roman;serif"/>
          <w:b/>
          <w:color w:val="000000"/>
          <w:sz w:val="20"/>
        </w:rPr>
        <w:t>Identified</w:t>
      </w:r>
      <w:r>
        <w:rPr>
          <w:color w:val="000000"/>
        </w:rPr>
        <w:t xml:space="preserve"> </w:t>
      </w:r>
      <w:r>
        <w:rPr>
          <w:rFonts w:ascii="Times New Roman;serif" w:hAnsi="Times New Roman;serif"/>
          <w:b/>
          <w:color w:val="000000"/>
          <w:sz w:val="20"/>
        </w:rPr>
        <w:t>items</w:t>
      </w:r>
      <w:r>
        <w:rPr>
          <w:color w:val="000000"/>
        </w:rPr>
        <w:t xml:space="preserve"> </w:t>
      </w:r>
      <w:r>
        <w:rPr>
          <w:rFonts w:ascii="Times New Roman;serif" w:hAnsi="Times New Roman;serif"/>
          <w:b w:val="false"/>
          <w:color w:val="000000"/>
          <w:sz w:val="20"/>
        </w:rPr>
        <w:t>in the fourth quarter 2025</w:t>
      </w:r>
      <w:r>
        <w:rPr>
          <w:color w:val="000000"/>
          <w:shd w:fill="FFFFFF" w:val="clear"/>
        </w:rPr>
        <w:t xml:space="preserve"> </w:t>
      </w:r>
      <w:r>
        <w:rPr>
          <w:rFonts w:ascii="Times New Roman;serif" w:hAnsi="Times New Roman;serif"/>
          <w:b w:val="false"/>
          <w:color w:val="000000"/>
          <w:sz w:val="20"/>
          <w:shd w:fill="FFFFFF" w:val="clear"/>
        </w:rPr>
        <w:t>included gains on the disposal of assets of $2,282 million, mainly related to the incorporation of the Adura joint venture in the UK</w:t>
      </w:r>
      <w:r>
        <w:rPr>
          <w:rFonts w:ascii="Times New Roman;serif" w:hAnsi="Times New Roman;serif"/>
          <w:b w:val="false"/>
          <w:color w:val="000000"/>
          <w:sz w:val="13"/>
          <w:shd w:fill="FFFFFF" w:val="clear"/>
        </w:rPr>
        <w:t>3</w:t>
      </w:r>
      <w:r>
        <w:rPr>
          <w:rFonts w:ascii="Times New Roman;serif" w:hAnsi="Times New Roman;serif"/>
          <w:b w:val="false"/>
          <w:color w:val="000000"/>
          <w:sz w:val="20"/>
          <w:shd w:fill="FFFFFF" w:val="clear"/>
        </w:rPr>
        <w:t xml:space="preserve">. These gains compare with the </w:t>
      </w:r>
      <w:r>
        <w:rPr>
          <w:rFonts w:ascii="Times New Roman;serif" w:hAnsi="Times New Roman;serif"/>
          <w:b w:val="false"/>
          <w:color w:val="000000"/>
          <w:sz w:val="20"/>
        </w:rPr>
        <w:t xml:space="preserve">third quarter 2025 which included losses of $101 million related to the impact of inflationary adjustments in Argentinian peso on a deferred tax position, partly offset by a gain of $42 million related to the impact of the strengthening Brazilian real on a deferred tax position. </w:t>
      </w:r>
    </w:p>
    <w:p>
      <w:pPr>
        <w:pStyle w:val="TextBody"/>
        <w:bidi w:val="0"/>
        <w:spacing w:lineRule="auto" w:line="288"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4</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fourth quarter 2025 was primarily driven by Adjusted EBITDA, partly offset by tax payments of $1,859 million.</w:t>
      </w:r>
    </w:p>
    <w:p>
      <w:pPr>
        <w:pStyle w:val="TextBody"/>
        <w:bidi w:val="0"/>
        <w:spacing w:lineRule="auto" w:line="288" w:before="120" w:after="120"/>
        <w:jc w:val="left"/>
        <w:rPr/>
      </w:pPr>
      <w:r>
        <w:rPr>
          <w:rFonts w:ascii="Times New Roman;serif" w:hAnsi="Times New Roman;serif"/>
          <w:b/>
          <w:color w:val="000000"/>
          <w:sz w:val="20"/>
        </w:rPr>
        <w:t>Total production</w:t>
      </w:r>
      <w:r>
        <w:rPr>
          <w:rFonts w:ascii="Times New Roman;serif" w:hAnsi="Times New Roman;serif"/>
          <w:b w:val="false"/>
          <w:color w:val="000000"/>
          <w:sz w:val="20"/>
        </w:rPr>
        <w:t xml:space="preserve">, compared with the third quarter 2025, increased mainly </w:t>
      </w:r>
      <w:r>
        <w:rPr>
          <w:rFonts w:ascii="Times New Roman;serif" w:hAnsi="Times New Roman;serif"/>
          <w:b w:val="false"/>
          <w:color w:val="000000"/>
          <w:sz w:val="20"/>
          <w:shd w:fill="FFFFFF" w:val="clear"/>
        </w:rPr>
        <w:t>due to new oil production and comparative help from higher planned maintenance in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Full Year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 xml:space="preserve">was driven by the same factors as Adjusted Earnings and includes the impact of identified items. </w:t>
      </w:r>
    </w:p>
    <w:p>
      <w:pPr>
        <w:pStyle w:val="TextBody"/>
        <w:bidi w:val="0"/>
        <w:spacing w:lineRule="auto" w:line="276" w:before="0" w:after="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full year 2024, reflected lower realised liquids prices (decrease of $2,924 million), </w:t>
      </w:r>
      <w:r>
        <w:rPr>
          <w:rFonts w:ascii="Times New Roman;serif" w:hAnsi="Times New Roman;serif"/>
          <w:b w:val="false"/>
          <w:color w:val="000000"/>
          <w:sz w:val="20"/>
          <w:shd w:fill="FFFFFF" w:val="clear"/>
        </w:rPr>
        <w:t>and the comparative unfavourable impact of gas storage effects (decrease of $662 million)</w:t>
      </w:r>
      <w:r>
        <w:rPr>
          <w:rFonts w:ascii="Times New Roman;serif" w:hAnsi="Times New Roman;serif"/>
          <w:b w:val="false"/>
          <w:color w:val="000000"/>
          <w:sz w:val="20"/>
        </w:rPr>
        <w:t>. These net unfavourable movements were partly offset by lower well write-offs (decrease of $915 million) and higher volumes (increase of $901 million).</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full year 2025 included gains on the disposal of assets of $2,806 million, mainly related to the incorporation of the Adura joint venture in the UK</w:t>
      </w:r>
      <w:r>
        <w:rPr>
          <w:rFonts w:ascii="Times New Roman;serif" w:hAnsi="Times New Roman;serif"/>
          <w:b w:val="false"/>
          <w:color w:val="000000"/>
          <w:sz w:val="13"/>
          <w:shd w:fill="FFFFFF" w:val="clear"/>
        </w:rPr>
        <w:t>3</w:t>
      </w:r>
      <w:r>
        <w:rPr>
          <w:rFonts w:ascii="Times New Roman;serif" w:hAnsi="Times New Roman;serif"/>
          <w:b w:val="false"/>
          <w:color w:val="000000"/>
          <w:sz w:val="20"/>
        </w:rPr>
        <w:t>, partly offset by a charge of $536 million related to the UK Energy Profits Levy</w:t>
      </w:r>
      <w:r>
        <w:rPr>
          <w:rFonts w:ascii="Times New Roman;serif" w:hAnsi="Times New Roman;serif"/>
          <w:b w:val="false"/>
          <w:color w:val="000000"/>
          <w:sz w:val="13"/>
        </w:rPr>
        <w:t xml:space="preserve">5 </w:t>
      </w:r>
      <w:r>
        <w:rPr>
          <w:rFonts w:ascii="Times New Roman;serif" w:hAnsi="Times New Roman;serif"/>
          <w:b w:val="false"/>
          <w:color w:val="000000"/>
          <w:sz w:val="20"/>
        </w:rPr>
        <w:t xml:space="preserve">and impairment charges of $162 million. These gains and charges compare with the full year 2024 which included a loss of $325 million related to the impact of the weakening Brazilian real on a deferred tax position, net impairment charges and reversals of $323 million and charges of $214 million related to redundancy and restructuring, partly offset by gains of $638 million related to the impact of inflationary adjustments in Argentinian peso on a deferred tax position. </w:t>
      </w:r>
    </w:p>
    <w:p>
      <w:pPr>
        <w:pStyle w:val="TextBody"/>
        <w:bidi w:val="0"/>
        <w:spacing w:lineRule="auto" w:line="288"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4</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120" w:after="120"/>
        <w:jc w:val="left"/>
        <w:rPr/>
      </w:pPr>
      <w:r>
        <w:rPr>
          <w:rFonts w:ascii="Times New Roman;serif" w:hAnsi="Times New Roman;serif"/>
          <w:b/>
          <w:color w:val="000000"/>
          <w:sz w:val="20"/>
        </w:rPr>
        <w:t>Cash flow from operating activities</w:t>
      </w:r>
      <w:r>
        <w:rPr>
          <w:color w:val="000000"/>
        </w:rPr>
        <w:t xml:space="preserve"> </w:t>
      </w:r>
      <w:r>
        <w:rPr>
          <w:rFonts w:ascii="Times New Roman;serif" w:hAnsi="Times New Roman;serif"/>
          <w:b w:val="false"/>
          <w:color w:val="000000"/>
          <w:sz w:val="20"/>
        </w:rPr>
        <w:t>for the full year 2025 was primarily driven by Adjusted EBITDA and dividends (net of profits) from joint ventures and associates of $1,448 million. These inflows were partly offset by tax payments of $7,415 million and movements in decommissioning and other provisions of $1,087 million.</w:t>
      </w:r>
    </w:p>
    <w:p>
      <w:pPr>
        <w:pStyle w:val="TextBody"/>
        <w:bidi w:val="0"/>
        <w:spacing w:lineRule="auto" w:line="288" w:before="120" w:after="120"/>
        <w:jc w:val="left"/>
        <w:rPr/>
      </w:pPr>
      <w:r>
        <w:rPr>
          <w:rFonts w:ascii="Times New Roman;serif" w:hAnsi="Times New Roman;serif"/>
          <w:b/>
          <w:color w:val="000000"/>
          <w:sz w:val="20"/>
          <w:shd w:fill="FFFFFF" w:val="clear"/>
        </w:rPr>
        <w:t>Total production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full year 2025 was </w:t>
      </w:r>
      <w:r>
        <w:rPr>
          <w:rFonts w:ascii="Times New Roman;serif" w:hAnsi="Times New Roman;serif"/>
          <w:b w:val="false"/>
          <w:color w:val="000000"/>
          <w:sz w:val="20"/>
          <w:shd w:fill="FFFFFF" w:val="clear"/>
        </w:rPr>
        <w:t xml:space="preserve">in line with the full year 2024, with reductions due to the Shell Petroleum Development Company of Nigeria (SPDC) Limited divestment and field decline offset by new oil production.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7</w:t>
                      </w:r>
                    </w:p>
                  </w:txbxContent>
                </v:textbox>
                <w10:wrap type="none"/>
              </v:rect>
            </w:pict>
          </mc:Fallback>
        </mc:AlternateContent>
      </w:r>
    </w:p>
    <w:p>
      <w:pPr>
        <w:pStyle w:val="TextBody"/>
        <w:bidi w:val="0"/>
        <w:spacing w:lineRule="auto" w:line="288" w:before="0" w:after="0"/>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lineRule="auto" w:line="288" w:before="0" w:after="0"/>
        <w:ind w:left="0" w:right="0" w:hanging="272"/>
        <w:jc w:val="left"/>
        <w:rPr/>
      </w:pPr>
      <w:r>
        <w:rPr>
          <w:rFonts w:ascii="Times New Roman;serif" w:hAnsi="Times New Roman;serif"/>
          <w:b w:val="false"/>
          <w:color w:val="000000"/>
          <w:sz w:val="12"/>
          <w:shd w:fill="FFFFFF" w:val="clear"/>
        </w:rPr>
        <w:t>2.</w:t>
      </w:r>
      <w:r>
        <w:rPr>
          <w:rFonts w:ascii="Times New Roman;serif" w:hAnsi="Times New Roman;serif"/>
          <w:b w:val="false"/>
          <w:color w:val="000000"/>
          <w:sz w:val="18"/>
        </w:rPr>
        <w:t>Reflects the finalisation of the redetermination proposal for the unitised Tupi field and subsequent submission to the Brazilian National Agency of Petroleum, Natural Gas and Biofuels (ANP)</w:t>
      </w:r>
    </w:p>
    <w:p>
      <w:pPr>
        <w:pStyle w:val="TextBody"/>
        <w:bidi w:val="0"/>
        <w:spacing w:lineRule="auto" w:line="288" w:before="0" w:after="0"/>
        <w:ind w:left="0" w:right="0" w:hanging="272"/>
        <w:jc w:val="left"/>
        <w:rPr/>
      </w:pPr>
      <w:r>
        <w:rPr>
          <w:rFonts w:ascii="Times New Roman;serif" w:hAnsi="Times New Roman;serif"/>
          <w:b w:val="false"/>
          <w:color w:val="000000"/>
          <w:sz w:val="12"/>
        </w:rPr>
        <w:t>3.</w:t>
      </w:r>
      <w:r>
        <w:rPr>
          <w:rFonts w:ascii="Times New Roman;serif" w:hAnsi="Times New Roman;serif"/>
          <w:b w:val="false"/>
          <w:color w:val="000000"/>
          <w:sz w:val="18"/>
        </w:rPr>
        <w:t>See Note 7 “Other notes to the unaudited Condensed Consolidated Financial Statements” for further details.</w:t>
      </w:r>
    </w:p>
    <w:p>
      <w:pPr>
        <w:pStyle w:val="TextBody"/>
        <w:bidi w:val="0"/>
        <w:spacing w:lineRule="auto" w:line="288" w:before="0" w:after="0"/>
        <w:ind w:left="0" w:right="0" w:hanging="272"/>
        <w:jc w:val="left"/>
        <w:rPr/>
      </w:pPr>
      <w:r>
        <w:rPr>
          <w:rFonts w:ascii="Times New Roman;serif" w:hAnsi="Times New Roman;serif"/>
          <w:b w:val="false"/>
          <w:color w:val="000000"/>
          <w:sz w:val="12"/>
        </w:rPr>
        <w:t>4.</w:t>
      </w:r>
      <w:r>
        <w:rPr>
          <w:rFonts w:ascii="Times New Roman;serif" w:hAnsi="Times New Roman;serif"/>
          <w:b w:val="false"/>
          <w:color w:val="000000"/>
          <w:sz w:val="18"/>
        </w:rPr>
        <w:t>Adjusted EBITDA is without taxation, exploration well write-offs and</w:t>
      </w:r>
      <w:r>
        <w:rPr>
          <w:color w:val="000000"/>
          <w:shd w:fill="FFFFFF" w:val="clear"/>
        </w:rPr>
        <w:t xml:space="preserve"> </w:t>
      </w:r>
      <w:r>
        <w:rPr>
          <w:rFonts w:ascii="Times New Roman;serif" w:hAnsi="Times New Roman;serif"/>
          <w:b w:val="false"/>
          <w:color w:val="000000"/>
          <w:sz w:val="18"/>
          <w:shd w:fill="FFFFFF" w:val="clear"/>
        </w:rPr>
        <w:t>DD&amp;A expenses.</w:t>
      </w:r>
    </w:p>
    <w:p>
      <w:pPr>
        <w:pStyle w:val="TextBody"/>
        <w:bidi w:val="0"/>
        <w:spacing w:lineRule="auto" w:line="288" w:before="0" w:after="0"/>
        <w:ind w:left="0" w:right="0" w:hanging="272"/>
        <w:jc w:val="left"/>
        <w:rPr/>
      </w:pPr>
      <w:r>
        <w:rPr>
          <w:rFonts w:ascii="Times New Roman;serif" w:hAnsi="Times New Roman;serif"/>
          <w:b w:val="false"/>
          <w:color w:val="000000"/>
          <w:sz w:val="12"/>
          <w:shd w:fill="FFFFFF" w:val="clear"/>
        </w:rPr>
        <w:t>5.</w:t>
      </w:r>
      <w:r>
        <w:rPr>
          <w:rFonts w:ascii="Times New Roman;serif" w:hAnsi="Times New Roman;serif"/>
          <w:b w:val="false"/>
          <w:color w:val="000000"/>
          <w:sz w:val="18"/>
          <w:shd w:fill="FFFFFF" w:val="clear"/>
        </w:rPr>
        <w:t>Included in Other identified items. See Note 2 "Segment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MARKETING</w:t>
      </w:r>
    </w:p>
    <w:tbl>
      <w:tblPr>
        <w:tblW w:w="10205" w:type="dxa"/>
        <w:jc w:val="left"/>
        <w:tblInd w:w="0" w:type="dxa"/>
        <w:tblLayout w:type="fixed"/>
        <w:tblCellMar>
          <w:top w:w="28" w:type="dxa"/>
          <w:left w:w="28" w:type="dxa"/>
          <w:bottom w:w="28" w:type="dxa"/>
          <w:right w:w="28" w:type="dxa"/>
        </w:tblCellMar>
      </w:tblPr>
      <w:tblGrid>
        <w:gridCol w:w="344"/>
        <w:gridCol w:w="287"/>
        <w:gridCol w:w="233"/>
        <w:gridCol w:w="109"/>
        <w:gridCol w:w="109"/>
        <w:gridCol w:w="109"/>
        <w:gridCol w:w="312"/>
        <w:gridCol w:w="304"/>
        <w:gridCol w:w="239"/>
        <w:gridCol w:w="109"/>
        <w:gridCol w:w="109"/>
        <w:gridCol w:w="109"/>
        <w:gridCol w:w="312"/>
        <w:gridCol w:w="304"/>
        <w:gridCol w:w="239"/>
        <w:gridCol w:w="109"/>
        <w:gridCol w:w="109"/>
        <w:gridCol w:w="109"/>
        <w:gridCol w:w="160"/>
        <w:gridCol w:w="160"/>
        <w:gridCol w:w="161"/>
        <w:gridCol w:w="1074"/>
        <w:gridCol w:w="1051"/>
        <w:gridCol w:w="1067"/>
        <w:gridCol w:w="275"/>
        <w:gridCol w:w="275"/>
        <w:gridCol w:w="276"/>
        <w:gridCol w:w="341"/>
        <w:gridCol w:w="343"/>
        <w:gridCol w:w="156"/>
        <w:gridCol w:w="341"/>
        <w:gridCol w:w="343"/>
        <w:gridCol w:w="156"/>
        <w:gridCol w:w="136"/>
        <w:gridCol w:w="136"/>
        <w:gridCol w:w="199"/>
      </w:tblGrid>
      <w:tr>
        <w:trPr/>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val="false"/>
                <w:color w:val="000000"/>
                <w:sz w:val="20"/>
              </w:rPr>
              <w:t>¹</w:t>
            </w:r>
          </w:p>
        </w:tc>
        <w:tc>
          <w:tcPr>
            <w:tcW w:w="31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8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3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3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3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3192"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for the period</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1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6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3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3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23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192"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8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68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233"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239"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239"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192"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sales volumes (thousand b/d)</w:t>
            </w:r>
          </w:p>
        </w:tc>
        <w:tc>
          <w:tcPr>
            <w:tcW w:w="826" w:type="dxa"/>
            <w:gridSpan w:val="3"/>
            <w:tcBorders>
              <w:top w:val="single" w:sz="2"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lineRule="auto" w:line="288" w:before="0" w:after="0"/>
        <w:ind w:left="0" w:right="0" w:hanging="142"/>
        <w:jc w:val="left"/>
        <w:rPr/>
      </w:pPr>
      <w:r>
        <w:rPr>
          <w:rFonts w:ascii="Times New Roman;serif" w:hAnsi="Times New Roman;serif"/>
          <w:b w:val="false"/>
          <w:color w:val="000000"/>
          <w:sz w:val="13"/>
        </w:rPr>
        <w:t>1.</w:t>
      </w:r>
      <w:r>
        <w:rPr>
          <w:rFonts w:ascii="Times New Roman;serif" w:hAnsi="Times New Roman;serif"/>
          <w:b w:val="false"/>
          <w:color w:val="000000"/>
          <w:sz w:val="20"/>
        </w:rPr>
        <w:t>Q4 on Q3 change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Marketing segment comprises the Mobility, Lubricants, and Sectors and Decarbonisation businesses. Mobility operates Shell’s retail network including electric vehicle charging services and the wholesale commercial fuels business which provides fuels for transport and industry. Lubricants produces, markets and sells lubricants for road transport and machinery used in manufacturing, mining, power generation, agriculture and construction. Sectors and Decarbonisation sells fuels, speciality products and services, including low-carbon energy solutions to a range of commercial customers including the aviation, marine, and agricultural sectors. </w:t>
      </w:r>
    </w:p>
    <w:p>
      <w:pPr>
        <w:pStyle w:val="TextBody"/>
        <w:bidi w:val="0"/>
        <w:spacing w:lineRule="auto" w:line="268" w:before="12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68"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third quarter 2025, reflected lower Marketing margins (decrease of $490 million) including lower Mobility and Lubricants margins due to seasonal impact of lower volumes and lower Sectors and Decarbonisation margins and unfavourable tax movements ($285 million), which included the (non-cash) reassessment of deferred tax in a joint venture. </w:t>
      </w:r>
    </w:p>
    <w:p>
      <w:pPr>
        <w:pStyle w:val="TextBody"/>
        <w:bidi w:val="0"/>
        <w:spacing w:lineRule="auto" w:line="268" w:before="120" w:after="283"/>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fourth quarter 2025 included impairment charges of $527 million. These charges compare with the third quarter 2025 which included impairment charges of $579 million and provisions of $186 million</w:t>
      </w:r>
      <w:r>
        <w:rPr>
          <w:rFonts w:ascii="Times New Roman;serif" w:hAnsi="Times New Roman;serif"/>
          <w:b w:val="false"/>
          <w:color w:val="000000"/>
          <w:sz w:val="13"/>
        </w:rPr>
        <w:t>2</w:t>
      </w:r>
      <w:r>
        <w:rPr>
          <w:rFonts w:ascii="Times New Roman;serif" w:hAnsi="Times New Roman;serif"/>
          <w:b w:val="false"/>
          <w:color w:val="000000"/>
          <w:sz w:val="20"/>
        </w:rPr>
        <w:t>, both items in the third quarter mainly related to the decision not to restart construction of the planned biofuels facility at the Shell Energy and Chemicals Park in Rotterdam.</w:t>
      </w:r>
    </w:p>
    <w:p>
      <w:pPr>
        <w:pStyle w:val="TextBody"/>
        <w:bidi w:val="0"/>
        <w:spacing w:lineRule="auto" w:line="268"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3</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120" w:after="120"/>
        <w:jc w:val="left"/>
        <w:rPr/>
      </w:pPr>
      <w:r>
        <w:rPr>
          <w:rFonts w:ascii="Times New Roman;serif" w:hAnsi="Times New Roman;serif"/>
          <w:b/>
          <w:color w:val="000000"/>
          <w:sz w:val="20"/>
        </w:rPr>
        <w:t>Cash flow from operating activities</w:t>
      </w:r>
      <w:r>
        <w:rPr>
          <w:color w:val="000000"/>
        </w:rPr>
        <w:t xml:space="preserve"> </w:t>
      </w:r>
      <w:r>
        <w:rPr>
          <w:rFonts w:ascii="Times New Roman;serif" w:hAnsi="Times New Roman;serif"/>
          <w:b w:val="false"/>
          <w:color w:val="000000"/>
          <w:sz w:val="20"/>
        </w:rPr>
        <w:t xml:space="preserve">for the fourth quarter 2025 was primarily driven by net outflows relating to the timing impact of payments for emission certificates and biofuel programmes of $1,230 million, non-cash cost of supplies adjustment of $174 million, taxes paid of $149 million and working capital outflows of $112 million. These outflows were partly offset by inflows from Adjusted EBITDA and dividends (net of profits) from joint ventures and associates of $308 million. </w:t>
      </w:r>
    </w:p>
    <w:p>
      <w:pPr>
        <w:pStyle w:val="TextBody"/>
        <w:bidi w:val="0"/>
        <w:spacing w:lineRule="auto" w:line="288" w:before="120" w:after="120"/>
        <w:jc w:val="left"/>
        <w:rPr/>
      </w:pPr>
      <w:r>
        <w:rPr>
          <w:rFonts w:ascii="Times New Roman;serif" w:hAnsi="Times New Roman;serif"/>
          <w:b/>
          <w:color w:val="000000"/>
          <w:sz w:val="20"/>
        </w:rPr>
        <w:t>Marketing sales volumes</w:t>
      </w:r>
      <w:r>
        <w:rPr>
          <w:color w:val="000000"/>
        </w:rPr>
        <w:t xml:space="preserve"> </w:t>
      </w:r>
      <w:r>
        <w:rPr>
          <w:rFonts w:ascii="Times New Roman;serif" w:hAnsi="Times New Roman;serif"/>
          <w:b w:val="false"/>
          <w:color w:val="000000"/>
          <w:sz w:val="20"/>
        </w:rPr>
        <w:t>(comprising hydrocarbon sales), compared with the third quarter 2025, decreased mainly due to seasonality.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9</w:t>
                      </w:r>
                    </w:p>
                  </w:txbxContent>
                </v:textbox>
                <w10:wrap type="none"/>
              </v:rect>
            </w:pict>
          </mc:Fallback>
        </mc:AlternateContent>
      </w:r>
    </w:p>
    <w:p>
      <w:pPr>
        <w:pStyle w:val="TextBody"/>
        <w:bidi w:val="0"/>
        <w:spacing w:lineRule="auto" w:line="268" w:before="120" w:after="120"/>
        <w:jc w:val="left"/>
        <w:rPr/>
      </w:pPr>
      <w:r>
        <w:rPr>
          <w:rFonts w:ascii="Times New Roman;serif" w:hAnsi="Times New Roman;serif"/>
          <w:b/>
          <w:color w:val="000000"/>
          <w:sz w:val="20"/>
        </w:rPr>
        <w:t>Full Year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compared with the full year 2024, reflected higher Marketing margins (increase of $413 million) including higher Mobility and Lubricants margins due to improved unit margins, partly compensated by lower Sectors and Decarbonisation margins. This was partly offset by unfavourable tax movements ($326 million).</w:t>
      </w:r>
    </w:p>
    <w:p>
      <w:pPr>
        <w:pStyle w:val="TextBody"/>
        <w:bidi w:val="0"/>
        <w:spacing w:lineRule="auto" w:line="268" w:before="0" w:after="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full year 2025 included impairment charges of $1,384 million and provisions of $186 million</w:t>
      </w:r>
      <w:r>
        <w:rPr>
          <w:rFonts w:ascii="Times New Roman;serif" w:hAnsi="Times New Roman;serif"/>
          <w:b w:val="false"/>
          <w:color w:val="000000"/>
          <w:sz w:val="13"/>
        </w:rPr>
        <w:t>2</w:t>
      </w:r>
      <w:r>
        <w:rPr>
          <w:rFonts w:ascii="Times New Roman;serif" w:hAnsi="Times New Roman;serif"/>
          <w:b w:val="false"/>
          <w:color w:val="000000"/>
          <w:sz w:val="20"/>
        </w:rPr>
        <w:t>, both of which included the impact of the decision not to restart construction of the planned biofuels facility at the Shell Energy and Chemicals Park in Rotterdam. These charges and provisions compare with the full year 2024 which included impairment charges of $1,423 million mainly related to the pausing of construction of the biofuels facility, net losses of $386 million related to the sale of assets and charges of $215 million related to redundancy and restructuring.</w:t>
      </w:r>
    </w:p>
    <w:p>
      <w:pPr>
        <w:pStyle w:val="TextBody"/>
        <w:bidi w:val="0"/>
        <w:spacing w:lineRule="auto" w:line="288" w:before="120" w:after="283"/>
        <w:jc w:val="left"/>
        <w:rPr/>
      </w:pPr>
      <w:r>
        <w:rPr>
          <w:rFonts w:ascii="Times New Roman;serif" w:hAnsi="Times New Roman;serif"/>
          <w:b/>
          <w:color w:val="000000"/>
          <w:sz w:val="20"/>
        </w:rPr>
        <w:t>Adjusted EBITDA</w:t>
      </w:r>
      <w:r>
        <w:rPr>
          <w:rFonts w:ascii="Times New Roman;serif" w:hAnsi="Times New Roman;serif"/>
          <w:b/>
          <w:color w:val="000000"/>
          <w:sz w:val="13"/>
        </w:rPr>
        <w:t>3</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full year 2025 was primarily driven by Adjusted EBITDA and dividends (net of profits/losses) from joint ventures and associates of $729 million. These inflows were partly offset by working capital outflows of $609 million, taxes paid of $566 million, net outflows relating to the timing impact of payments related to emission certificates and biofuel programmes of $310 million and non-cash cost of supplies adjustment of $305 million.</w:t>
      </w:r>
    </w:p>
    <w:p>
      <w:pPr>
        <w:pStyle w:val="TextBody"/>
        <w:bidi w:val="0"/>
        <w:spacing w:lineRule="auto" w:line="288" w:before="0" w:after="0"/>
        <w:jc w:val="left"/>
        <w:rPr/>
      </w:pPr>
      <w:r>
        <w:rPr>
          <w:rFonts w:ascii="Times New Roman;serif" w:hAnsi="Times New Roman;serif"/>
          <w:b/>
          <w:color w:val="000000"/>
          <w:sz w:val="20"/>
        </w:rPr>
        <w:t>Marketing sales volumes</w:t>
      </w:r>
      <w:r>
        <w:rPr>
          <w:color w:val="000000"/>
        </w:rPr>
        <w:t xml:space="preserve"> </w:t>
      </w:r>
      <w:r>
        <w:rPr>
          <w:rFonts w:ascii="Times New Roman;serif" w:hAnsi="Times New Roman;serif"/>
          <w:b w:val="false"/>
          <w:color w:val="000000"/>
          <w:sz w:val="20"/>
        </w:rPr>
        <w:t>(comprising hydrocarbon sales), compared with the full year 2024, decreased mainly in Mobility due to portfolio changes, including the impact of divestments, and in Sectors and Decarbonisation.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lineRule="auto" w:line="268" w:before="0" w:after="0"/>
        <w:ind w:left="0" w:right="0" w:hanging="272"/>
        <w:jc w:val="left"/>
        <w:rPr/>
      </w:pPr>
      <w:r>
        <w:rPr>
          <w:rFonts w:ascii="Times New Roman;serif" w:hAnsi="Times New Roman;serif"/>
          <w:b w:val="false"/>
          <w:color w:val="000000"/>
          <w:sz w:val="12"/>
          <w:shd w:fill="FFFFFF" w:val="clear"/>
        </w:rPr>
        <w:t>2.</w:t>
      </w:r>
      <w:r>
        <w:rPr>
          <w:rFonts w:ascii="Times New Roman;serif" w:hAnsi="Times New Roman;serif"/>
          <w:b w:val="false"/>
          <w:color w:val="000000"/>
          <w:sz w:val="18"/>
          <w:shd w:fill="FFFFFF" w:val="clear"/>
        </w:rPr>
        <w:t>Included in Other identified items. See Note 2 "Segment Information".</w:t>
      </w:r>
    </w:p>
    <w:p>
      <w:pPr>
        <w:pStyle w:val="TextBody"/>
        <w:bidi w:val="0"/>
        <w:spacing w:lineRule="auto" w:line="268" w:before="0" w:after="0"/>
        <w:ind w:left="0" w:right="0" w:hanging="272"/>
        <w:jc w:val="left"/>
        <w:rPr/>
      </w:pPr>
      <w:r>
        <w:rPr>
          <w:rFonts w:ascii="Times New Roman;serif" w:hAnsi="Times New Roman;serif"/>
          <w:b w:val="false"/>
          <w:color w:val="000000"/>
          <w:sz w:val="12"/>
        </w:rPr>
        <w:t>3.</w:t>
      </w:r>
      <w:r>
        <w:rPr>
          <w:rFonts w:ascii="Times New Roman;serif" w:hAnsi="Times New Roman;serif"/>
          <w:b w:val="false"/>
          <w:color w:val="000000"/>
          <w:sz w:val="18"/>
        </w:rPr>
        <w:t xml:space="preserve">Adjusted EBITDA is without taxation and DD&amp;A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CHEMICALS AND PRODUCTS</w:t>
      </w:r>
    </w:p>
    <w:tbl>
      <w:tblPr>
        <w:tblW w:w="10194" w:type="dxa"/>
        <w:jc w:val="left"/>
        <w:tblInd w:w="0" w:type="dxa"/>
        <w:tblLayout w:type="fixed"/>
        <w:tblCellMar>
          <w:top w:w="28" w:type="dxa"/>
          <w:left w:w="28" w:type="dxa"/>
          <w:bottom w:w="28" w:type="dxa"/>
          <w:right w:w="28" w:type="dxa"/>
        </w:tblCellMar>
      </w:tblPr>
      <w:tblGrid>
        <w:gridCol w:w="344"/>
        <w:gridCol w:w="287"/>
        <w:gridCol w:w="240"/>
        <w:gridCol w:w="109"/>
        <w:gridCol w:w="109"/>
        <w:gridCol w:w="109"/>
        <w:gridCol w:w="308"/>
        <w:gridCol w:w="308"/>
        <w:gridCol w:w="246"/>
        <w:gridCol w:w="109"/>
        <w:gridCol w:w="109"/>
        <w:gridCol w:w="109"/>
        <w:gridCol w:w="312"/>
        <w:gridCol w:w="304"/>
        <w:gridCol w:w="246"/>
        <w:gridCol w:w="109"/>
        <w:gridCol w:w="109"/>
        <w:gridCol w:w="109"/>
        <w:gridCol w:w="160"/>
        <w:gridCol w:w="160"/>
        <w:gridCol w:w="161"/>
        <w:gridCol w:w="1204"/>
        <w:gridCol w:w="1204"/>
        <w:gridCol w:w="1222"/>
        <w:gridCol w:w="275"/>
        <w:gridCol w:w="275"/>
        <w:gridCol w:w="276"/>
        <w:gridCol w:w="188"/>
        <w:gridCol w:w="188"/>
        <w:gridCol w:w="195"/>
        <w:gridCol w:w="227"/>
        <w:gridCol w:w="227"/>
        <w:gridCol w:w="235"/>
        <w:gridCol w:w="123"/>
        <w:gridCol w:w="123"/>
        <w:gridCol w:w="175"/>
      </w:tblGrid>
      <w:tr>
        <w:trPr/>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%¹</w:t>
            </w:r>
          </w:p>
        </w:tc>
        <w:tc>
          <w:tcPr>
            <w:tcW w:w="363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5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c>
          <w:tcPr>
            <w:tcW w:w="3630"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for the period</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68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42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c>
          <w:tcPr>
            <w:tcW w:w="36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5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6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4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630"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8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5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w:t>
            </w:r>
          </w:p>
        </w:tc>
        <w:tc>
          <w:tcPr>
            <w:tcW w:w="68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w:t>
            </w:r>
          </w:p>
        </w:tc>
        <w:tc>
          <w:tcPr>
            <w:tcW w:w="42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0"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Refinery processing intake (thousand b/d)</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w:t>
            </w:r>
          </w:p>
        </w:tc>
        <w:tc>
          <w:tcPr>
            <w:tcW w:w="68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42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6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240"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24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24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630"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Chemicals sales volumes (thousand tonnes)</w:t>
            </w:r>
          </w:p>
        </w:tc>
        <w:tc>
          <w:tcPr>
            <w:tcW w:w="826"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w:t>
            </w:r>
          </w:p>
        </w:tc>
        <w:tc>
          <w:tcPr>
            <w:tcW w:w="689"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w:t>
            </w:r>
          </w:p>
        </w:tc>
        <w:tc>
          <w:tcPr>
            <w:tcW w:w="42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bl>
    <w:p>
      <w:pPr>
        <w:pStyle w:val="TextBody"/>
        <w:bidi w:val="0"/>
        <w:spacing w:lineRule="auto" w:line="288" w:before="0" w:after="0"/>
        <w:ind w:left="0" w:right="0" w:hanging="142"/>
        <w:jc w:val="left"/>
        <w:rPr/>
      </w:pPr>
      <w:r>
        <w:rPr>
          <w:rFonts w:ascii="Times New Roman;serif" w:hAnsi="Times New Roman;serif"/>
          <w:b w:val="false"/>
          <w:color w:val="000000"/>
          <w:sz w:val="13"/>
        </w:rPr>
        <w:t>1.</w:t>
      </w:r>
      <w:r>
        <w:rPr>
          <w:rFonts w:ascii="Times New Roman;serif" w:hAnsi="Times New Roman;serif"/>
          <w:b w:val="false"/>
          <w:color w:val="000000"/>
          <w:sz w:val="20"/>
        </w:rPr>
        <w:t>Q4 on Q3 change</w:t>
      </w:r>
    </w:p>
    <w:p>
      <w:pPr>
        <w:pStyle w:val="TextBody"/>
        <w:bidi w:val="0"/>
        <w:spacing w:lineRule="auto" w:line="268" w:before="120" w:after="120"/>
        <w:jc w:val="left"/>
        <w:rPr/>
      </w:pPr>
      <w:r>
        <w:rPr>
          <w:rFonts w:ascii="Times New Roman;serif" w:hAnsi="Times New Roman;serif"/>
          <w:b w:val="false"/>
          <w:color w:val="000000"/>
          <w:sz w:val="20"/>
          <w:shd w:fill="FFFFFF" w:val="clear"/>
        </w:rPr>
        <w:t>The Chemicals and Products segment includes chemicals manufacturing plants with their own marketing network; and refineries, which turn crude oil and other feedstocks into a range of oil products that are moved and marketed around the world for domestic, industrial and transport use. The segment also includes the pipeline business, trading and optimisation of crude oil, oil products and petrochemicals, and oil sands activities (the extraction of bitumen from mined oil sands and its conversion into synthetic crude oil).</w:t>
      </w:r>
      <w:r>
        <w:rPr>
          <w:rFonts w:ascii="Times New Roman;serif" w:hAnsi="Times New Roman;serif"/>
          <w:b/>
          <w:color w:val="000000"/>
          <w:sz w:val="13"/>
          <w:shd w:fill="FFFFFF" w:val="clear"/>
        </w:rPr>
        <w:t>1</w:t>
      </w:r>
    </w:p>
    <w:p>
      <w:pPr>
        <w:pStyle w:val="TextBody"/>
        <w:bidi w:val="0"/>
        <w:spacing w:lineRule="auto" w:line="268" w:before="120" w:after="120"/>
        <w:jc w:val="left"/>
        <w:rPr/>
      </w:pPr>
      <w:r>
        <w:rPr>
          <w:rFonts w:ascii="Times New Roman;serif" w:hAnsi="Times New Roman;serif"/>
          <w:b/>
          <w:color w:val="000000"/>
          <w:sz w:val="20"/>
          <w:shd w:fill="FFFFFF" w:val="clear"/>
        </w:rPr>
        <w:t>Quarter Analysis</w:t>
      </w:r>
      <w:r>
        <w:rPr>
          <w:rFonts w:ascii="Times New Roman;serif" w:hAnsi="Times New Roman;serif"/>
          <w:b/>
          <w:color w:val="000000"/>
          <w:sz w:val="13"/>
        </w:rPr>
        <w:t>2</w:t>
      </w:r>
    </w:p>
    <w:p>
      <w:pPr>
        <w:pStyle w:val="TextBody"/>
        <w:bidi w:val="0"/>
        <w:spacing w:lineRule="auto" w:line="268"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68"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third quarter 2025, reflected lower Chemicals margins (decrease of $263 million) and lower Products margins (decrease of $155 million), mainly driven by lower trading and optimisation and partly offset by higher refining margins. Adjusted Earnings also reflected higher operating expenses (increase of $125 million) and unfavourable tax movements ($117 million), which included the (non-cash) reassessment of deferred tax in a joint venture.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2025, Chemicals had negative Adjusted Earnings of $589 million and Products had positive Adjusted Earnings of $523 million. </w:t>
      </w:r>
    </w:p>
    <w:p>
      <w:pPr>
        <w:pStyle w:val="TextBody"/>
        <w:bidi w:val="0"/>
        <w:spacing w:lineRule="auto" w:line="288" w:before="120" w:after="12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 xml:space="preserve">in the fourth quarter 2025 included impairment charges of $187 million and net losses from the disposal of assets of $127 million. These charges and losses compare with the third quarter 2025 which included net gains from the disposal of assets of $710 million mainly relating to gains from the sale of our interest in Colonial Enterprises, Inc., and impairment charges of $107 million. </w:t>
      </w:r>
    </w:p>
    <w:p>
      <w:pPr>
        <w:pStyle w:val="TextBody"/>
        <w:bidi w:val="0"/>
        <w:spacing w:lineRule="auto" w:line="268"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3</w:t>
      </w:r>
      <w:r>
        <w:rPr>
          <w:color w:val="000000"/>
        </w:rPr>
        <w:t xml:space="preserve"> </w:t>
      </w:r>
      <w:r>
        <w:rPr>
          <w:rFonts w:ascii="Times New Roman;serif" w:hAnsi="Times New Roman;serif"/>
          <w:b w:val="false"/>
          <w:color w:val="000000"/>
          <w:sz w:val="20"/>
        </w:rPr>
        <w:t xml:space="preserve">was driven by the same factors as Adjusted Earnings. </w:t>
      </w:r>
    </w:p>
    <w:p>
      <w:pPr>
        <w:pStyle w:val="TextBody"/>
        <w:bidi w:val="0"/>
        <w:spacing w:lineRule="auto" w:line="288" w:before="120" w:after="120"/>
        <w:jc w:val="left"/>
        <w:rPr/>
      </w:pPr>
      <w:r>
        <w:rPr>
          <w:rFonts w:ascii="Times New Roman;serif" w:hAnsi="Times New Roman;serif"/>
          <w:b/>
          <w:color w:val="000000"/>
          <w:sz w:val="20"/>
        </w:rPr>
        <w:t>Cash flow from operating activities</w:t>
      </w:r>
      <w:r>
        <w:rPr>
          <w:color w:val="000000"/>
        </w:rPr>
        <w:t xml:space="preserve"> </w:t>
      </w:r>
      <w:r>
        <w:rPr>
          <w:rFonts w:ascii="Times New Roman;serif" w:hAnsi="Times New Roman;serif"/>
          <w:b w:val="false"/>
          <w:color w:val="000000"/>
          <w:sz w:val="20"/>
        </w:rPr>
        <w:t xml:space="preserve">for the fourth quarter 2025 was primarily driven by Adjusted EBITDA, working capital inflows of $561 million, dividends (net of profits) from joint ventures and associates of $308 million and net inflows related to the timing impact of payments for emission certificates and biofuel programmes of $276 million. These inflows were partly offset by non-cash cost of supplies adjustment of $248 million. </w:t>
      </w:r>
    </w:p>
    <w:p>
      <w:pPr>
        <w:pStyle w:val="TextBody"/>
        <w:bidi w:val="0"/>
        <w:spacing w:lineRule="auto" w:line="288" w:before="120" w:after="120"/>
        <w:jc w:val="left"/>
        <w:rPr/>
      </w:pPr>
      <w:r>
        <w:rPr>
          <w:rFonts w:ascii="Times New Roman;serif" w:hAnsi="Times New Roman;serif"/>
          <w:b/>
          <w:color w:val="000000"/>
          <w:sz w:val="20"/>
        </w:rPr>
        <w:t>Refinery utilisation</w:t>
      </w:r>
      <w:r>
        <w:rPr>
          <w:color w:val="000000"/>
        </w:rPr>
        <w:t xml:space="preserve"> </w:t>
      </w:r>
      <w:r>
        <w:rPr>
          <w:rFonts w:ascii="Times New Roman;serif" w:hAnsi="Times New Roman;serif"/>
          <w:b w:val="false"/>
          <w:color w:val="000000"/>
          <w:sz w:val="20"/>
        </w:rPr>
        <w:t>was 95% compared with 96% in the third quarter 2025.</w:t>
      </w:r>
    </w:p>
    <w:p>
      <w:pPr>
        <w:pStyle w:val="TextBody"/>
        <w:bidi w:val="0"/>
        <w:spacing w:lineRule="auto" w:line="288" w:before="120" w:after="120"/>
        <w:jc w:val="left"/>
        <w:rPr/>
      </w:pPr>
      <w:r>
        <w:rPr>
          <w:rFonts w:ascii="Times New Roman;serif" w:hAnsi="Times New Roman;serif"/>
          <w:b/>
          <w:color w:val="000000"/>
          <w:sz w:val="20"/>
        </w:rPr>
        <w:t>Chemicals manufacturing plant utilisation</w:t>
      </w:r>
      <w:r>
        <w:rPr>
          <w:color w:val="000000"/>
        </w:rPr>
        <w:t xml:space="preserve"> </w:t>
      </w:r>
      <w:r>
        <w:rPr>
          <w:rFonts w:ascii="Times New Roman;serif" w:hAnsi="Times New Roman;serif"/>
          <w:b w:val="false"/>
          <w:color w:val="000000"/>
          <w:sz w:val="20"/>
        </w:rPr>
        <w:t xml:space="preserve">was 76% compared with 80% in the third quarter 2025, mainly due to higher planned and unplanned maintenance.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Full Year Analysis</w:t>
      </w:r>
      <w:r>
        <w:rPr>
          <w:rFonts w:ascii="Times New Roman;serif" w:hAnsi="Times New Roman;serif"/>
          <w:b/>
          <w:color w:val="000000"/>
          <w:sz w:val="13"/>
        </w:rPr>
        <w:t>2</w:t>
      </w:r>
    </w:p>
    <w:p>
      <w:pPr>
        <w:pStyle w:val="TextBody"/>
        <w:bidi w:val="0"/>
        <w:spacing w:lineRule="auto" w:line="26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full year 2024, reflected lower Products margins (decrease of $972 million) driven mainly by lower trading and optimisation, partly offset by higher refining margins. Adjusted Earnings also reflected lower Chemicals margins (decrease of $604 million) and unfavourable tax movements ($485 million). These net unfavourable movements were partly offset by lower operating expenses (decrease of $138 million).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full year 2025, Chemicals had negative Adjusted Earnings of $1,125 million and Products had positive Adjusted Earnings of $2,177 million.</w:t>
      </w:r>
    </w:p>
    <w:p>
      <w:pPr>
        <w:pStyle w:val="TextBody"/>
        <w:bidi w:val="0"/>
        <w:spacing w:lineRule="auto" w:line="288" w:before="120" w:after="120"/>
        <w:jc w:val="left"/>
        <w:rPr/>
      </w:pPr>
      <w:r>
        <w:rPr>
          <w:rFonts w:ascii="Times New Roman;serif" w:hAnsi="Times New Roman;serif"/>
          <w:b/>
          <w:color w:val="000000"/>
          <w:sz w:val="20"/>
        </w:rPr>
        <w:t xml:space="preserve">Identified items </w:t>
      </w:r>
      <w:r>
        <w:rPr>
          <w:rFonts w:ascii="Times New Roman;serif" w:hAnsi="Times New Roman;serif"/>
          <w:b w:val="false"/>
          <w:color w:val="000000"/>
          <w:sz w:val="20"/>
        </w:rPr>
        <w:t xml:space="preserve">in the full year 2025 included impairment charges of $634 million and net gains from the disposal of assets of $564 million mainly relating to gains from the sale of our interest in Colonial Enterprises, Inc. These charges and gains compare with the full year 2024 which included net impairment charges and reversals of $1,176 million mainly relating to assets in Singapore.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11</w:t>
                      </w:r>
                    </w:p>
                  </w:txbxContent>
                </v:textbox>
                <w10:wrap type="none"/>
              </v:rect>
            </w:pict>
          </mc:Fallback>
        </mc:AlternateContent>
      </w:r>
    </w:p>
    <w:p>
      <w:pPr>
        <w:pStyle w:val="TextBody"/>
        <w:bidi w:val="0"/>
        <w:spacing w:lineRule="auto" w:line="268"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3</w:t>
      </w:r>
      <w:r>
        <w:rPr>
          <w:color w:val="000000"/>
        </w:rPr>
        <w:t xml:space="preserve"> </w:t>
      </w:r>
      <w:r>
        <w:rPr>
          <w:rFonts w:ascii="Times New Roman;serif" w:hAnsi="Times New Roman;serif"/>
          <w:b w:val="false"/>
          <w:color w:val="000000"/>
          <w:sz w:val="20"/>
        </w:rPr>
        <w:t xml:space="preserve">was driven by the same factors as Adjusted Earnings. </w:t>
      </w:r>
    </w:p>
    <w:p>
      <w:pPr>
        <w:pStyle w:val="TextBody"/>
        <w:bidi w:val="0"/>
        <w:spacing w:lineRule="auto" w:line="288"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full year 2025 was primarily driven by Adjusted EBITDA, net inflows related to the timing impact of payments for emission certificates and biofuel programmes of $1,260 million and dividends (net of profits) from joint ventures and associates of $404 million. These inflows were partly offset by net cash outflows relating to commodity derivatives of $761 million and non-cash cost of supplies adjustment of $567 million. </w:t>
      </w:r>
    </w:p>
    <w:p>
      <w:pPr>
        <w:pStyle w:val="TextBody"/>
        <w:bidi w:val="0"/>
        <w:spacing w:lineRule="auto" w:line="288" w:before="120" w:after="120"/>
        <w:jc w:val="left"/>
        <w:rPr/>
      </w:pPr>
      <w:r>
        <w:rPr>
          <w:rFonts w:ascii="Times New Roman;serif" w:hAnsi="Times New Roman;serif"/>
          <w:b/>
          <w:color w:val="000000"/>
          <w:sz w:val="20"/>
        </w:rPr>
        <w:t>Refinery utilisation</w:t>
      </w:r>
      <w:r>
        <w:rPr>
          <w:color w:val="000000"/>
        </w:rPr>
        <w:t xml:space="preserve"> </w:t>
      </w:r>
      <w:r>
        <w:rPr>
          <w:rFonts w:ascii="Times New Roman;serif" w:hAnsi="Times New Roman;serif"/>
          <w:b w:val="false"/>
          <w:color w:val="000000"/>
          <w:sz w:val="20"/>
        </w:rPr>
        <w:t xml:space="preserve">was 92% compared with 85% in the full year 2024, mainly due to lower planned maintenance in 2025. </w:t>
      </w:r>
    </w:p>
    <w:p>
      <w:pPr>
        <w:pStyle w:val="TextBody"/>
        <w:bidi w:val="0"/>
        <w:spacing w:lineRule="auto" w:line="288" w:before="120" w:after="120"/>
        <w:jc w:val="left"/>
        <w:rPr/>
      </w:pPr>
      <w:r>
        <w:rPr>
          <w:rFonts w:ascii="Times New Roman;serif" w:hAnsi="Times New Roman;serif"/>
          <w:b/>
          <w:color w:val="000000"/>
          <w:sz w:val="20"/>
        </w:rPr>
        <w:t>Chemicals manufacturing plant utilisation</w:t>
      </w:r>
      <w:r>
        <w:rPr>
          <w:color w:val="000000"/>
        </w:rPr>
        <w:t xml:space="preserve"> </w:t>
      </w:r>
      <w:r>
        <w:rPr>
          <w:rFonts w:ascii="Times New Roman;serif" w:hAnsi="Times New Roman;serif"/>
          <w:b w:val="false"/>
          <w:color w:val="000000"/>
          <w:sz w:val="20"/>
        </w:rPr>
        <w:t>was 78% compared with 76% in the full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In November 2025, we completed the previously announced agreement with Canadian Natural Resources Limited to swap our remaining 10% mining interest and associated synthetic crude oil reserves in exchange for an additional 10% interest in the Scotford upgrader and Quest Carbon Capture (CCS) facility (oil sands swap). Following completion of this swap, Shell no longer has any oil sands activities.</w:t>
      </w:r>
    </w:p>
    <w:p>
      <w:pPr>
        <w:pStyle w:val="TextBody"/>
        <w:bidi w:val="0"/>
        <w:spacing w:lineRule="auto" w:line="288" w:before="0" w:after="0"/>
        <w:ind w:left="0" w:right="0" w:hanging="272"/>
        <w:jc w:val="left"/>
        <w:rPr>
          <w:rFonts w:ascii="Times New Roman;serif" w:hAnsi="Times New Roman;serif"/>
          <w:b w:val="false"/>
          <w:color w:val="000000"/>
          <w:sz w:val="18"/>
        </w:rPr>
      </w:pPr>
      <w:r>
        <w:rPr>
          <w:rFonts w:ascii="Times New Roman;serif" w:hAnsi="Times New Roman;serif"/>
          <w:b w:val="false"/>
          <w:color w:val="000000"/>
          <w:sz w:val="18"/>
        </w:rPr>
        <w:t>2.All earnings amounts are shown post-tax, unless stated otherwise.</w:t>
      </w:r>
    </w:p>
    <w:p>
      <w:pPr>
        <w:pStyle w:val="TextBody"/>
        <w:bidi w:val="0"/>
        <w:spacing w:lineRule="auto" w:line="268" w:before="0" w:after="0"/>
        <w:ind w:left="0" w:right="0" w:hanging="272"/>
        <w:jc w:val="left"/>
        <w:rPr/>
      </w:pPr>
      <w:r>
        <w:rPr>
          <w:rFonts w:ascii="Times New Roman;serif" w:hAnsi="Times New Roman;serif"/>
          <w:b w:val="false"/>
          <w:color w:val="000000"/>
          <w:sz w:val="12"/>
        </w:rPr>
        <w:t>3.</w:t>
      </w:r>
      <w:r>
        <w:rPr>
          <w:rFonts w:ascii="Times New Roman;serif" w:hAnsi="Times New Roman;serif"/>
          <w:b w:val="false"/>
          <w:color w:val="000000"/>
          <w:sz w:val="18"/>
        </w:rPr>
        <w:t xml:space="preserve">Adjusted EBITDA is without taxation and DD&amp;A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RENEWABLES AND ENERGY SOLUTIONS</w:t>
      </w:r>
    </w:p>
    <w:tbl>
      <w:tblPr>
        <w:tblW w:w="10205" w:type="dxa"/>
        <w:jc w:val="left"/>
        <w:tblInd w:w="0" w:type="dxa"/>
        <w:tblLayout w:type="fixed"/>
        <w:tblCellMar>
          <w:top w:w="28" w:type="dxa"/>
          <w:left w:w="28" w:type="dxa"/>
          <w:bottom w:w="28" w:type="dxa"/>
          <w:right w:w="28" w:type="dxa"/>
        </w:tblCellMar>
      </w:tblPr>
      <w:tblGrid>
        <w:gridCol w:w="287"/>
        <w:gridCol w:w="247"/>
        <w:gridCol w:w="211"/>
        <w:gridCol w:w="109"/>
        <w:gridCol w:w="109"/>
        <w:gridCol w:w="109"/>
        <w:gridCol w:w="244"/>
        <w:gridCol w:w="236"/>
        <w:gridCol w:w="216"/>
        <w:gridCol w:w="109"/>
        <w:gridCol w:w="109"/>
        <w:gridCol w:w="109"/>
        <w:gridCol w:w="334"/>
        <w:gridCol w:w="336"/>
        <w:gridCol w:w="216"/>
        <w:gridCol w:w="109"/>
        <w:gridCol w:w="109"/>
        <w:gridCol w:w="109"/>
        <w:gridCol w:w="160"/>
        <w:gridCol w:w="160"/>
        <w:gridCol w:w="161"/>
        <w:gridCol w:w="1272"/>
        <w:gridCol w:w="1167"/>
        <w:gridCol w:w="1184"/>
        <w:gridCol w:w="275"/>
        <w:gridCol w:w="275"/>
        <w:gridCol w:w="276"/>
        <w:gridCol w:w="188"/>
        <w:gridCol w:w="188"/>
        <w:gridCol w:w="195"/>
        <w:gridCol w:w="221"/>
        <w:gridCol w:w="221"/>
        <w:gridCol w:w="226"/>
        <w:gridCol w:w="210"/>
        <w:gridCol w:w="210"/>
        <w:gridCol w:w="308"/>
      </w:tblGrid>
      <w:tr>
        <w:trPr/>
        <w:tc>
          <w:tcPr>
            <w:tcW w:w="2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7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7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%¹</w:t>
            </w:r>
          </w:p>
        </w:tc>
        <w:tc>
          <w:tcPr>
            <w:tcW w:w="36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5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72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3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1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21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w:t>
            </w:r>
          </w:p>
        </w:tc>
        <w:tc>
          <w:tcPr>
            <w:tcW w:w="3623"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for the period</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668"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72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6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5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6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72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+3,541</w:t>
            </w:r>
          </w:p>
        </w:tc>
      </w:tr>
      <w:tr>
        <w:trPr/>
        <w:tc>
          <w:tcPr>
            <w:tcW w:w="53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1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1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c>
          <w:tcPr>
            <w:tcW w:w="3623"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82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5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668"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w:t>
            </w:r>
          </w:p>
        </w:tc>
        <w:tc>
          <w:tcPr>
            <w:tcW w:w="728"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Cash capital expenditure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w:t>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w:t>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1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1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623"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External power sales (terawatt hours)</w:t>
            </w:r>
            <w:r>
              <w:rPr>
                <w:rFonts w:ascii="Times New Roman;serif" w:hAnsi="Times New Roman;serif"/>
                <w:b w:val="false"/>
                <w:color w:val="000000"/>
                <w:sz w:val="13"/>
              </w:rPr>
              <w:t>2</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668"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728"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534"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11"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1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1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623"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of pipeline gas to end-use customers (terawatt hours)</w:t>
            </w:r>
            <w:r>
              <w:rPr>
                <w:rFonts w:ascii="Times New Roman;serif" w:hAnsi="Times New Roman;serif"/>
                <w:b w:val="false"/>
                <w:color w:val="000000"/>
                <w:sz w:val="13"/>
              </w:rPr>
              <w:t>3</w:t>
            </w:r>
          </w:p>
        </w:tc>
        <w:tc>
          <w:tcPr>
            <w:tcW w:w="826"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668"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728"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lineRule="auto" w:line="288" w:before="0" w:after="0"/>
        <w:ind w:left="0" w:right="0" w:hanging="142"/>
        <w:jc w:val="left"/>
        <w:rPr/>
      </w:pPr>
      <w:r>
        <w:rPr>
          <w:rFonts w:ascii="Times New Roman;serif" w:hAnsi="Times New Roman;serif"/>
          <w:b w:val="false"/>
          <w:color w:val="000000"/>
          <w:sz w:val="13"/>
        </w:rPr>
        <w:t>1.</w:t>
      </w:r>
      <w:r>
        <w:rPr>
          <w:rFonts w:ascii="Times New Roman;serif" w:hAnsi="Times New Roman;serif"/>
          <w:b w:val="false"/>
          <w:color w:val="000000"/>
          <w:sz w:val="20"/>
        </w:rPr>
        <w:t>Q4 on Q3 change</w:t>
      </w:r>
    </w:p>
    <w:p>
      <w:pPr>
        <w:pStyle w:val="TextBody"/>
        <w:bidi w:val="0"/>
        <w:spacing w:lineRule="auto" w:line="288" w:before="0" w:after="0"/>
        <w:ind w:left="0" w:right="0" w:hanging="142"/>
        <w:jc w:val="left"/>
        <w:rPr/>
      </w:pPr>
      <w:r>
        <w:rPr>
          <w:rFonts w:ascii="Times New Roman;serif" w:hAnsi="Times New Roman;serif"/>
          <w:b w:val="false"/>
          <w:color w:val="000000"/>
          <w:sz w:val="13"/>
        </w:rPr>
        <w:t>2.</w:t>
      </w:r>
      <w:r>
        <w:rPr>
          <w:rFonts w:ascii="Times New Roman;serif" w:hAnsi="Times New Roman;serif"/>
          <w:b w:val="false"/>
          <w:color w:val="000000"/>
          <w:sz w:val="20"/>
        </w:rPr>
        <w:t>Physical power sales to third parties; excluding financial trades and physical trade with brokers, investors, financial institutions, trading platforms, and wholesale traders.</w:t>
      </w:r>
      <w:r>
        <w:rPr>
          <w:color w:val="000000"/>
        </w:rPr>
        <w:t xml:space="preserve"> </w:t>
      </w:r>
    </w:p>
    <w:p>
      <w:pPr>
        <w:pStyle w:val="TextBody"/>
        <w:bidi w:val="0"/>
        <w:spacing w:lineRule="auto" w:line="288" w:before="0" w:after="0"/>
        <w:ind w:left="0" w:right="0" w:hanging="142"/>
        <w:jc w:val="left"/>
        <w:rPr/>
      </w:pPr>
      <w:r>
        <w:rPr>
          <w:rFonts w:ascii="Times New Roman;serif" w:hAnsi="Times New Roman;serif"/>
          <w:b w:val="false"/>
          <w:color w:val="000000"/>
          <w:sz w:val="13"/>
        </w:rPr>
        <w:t>3.</w:t>
      </w:r>
      <w:r>
        <w:rPr>
          <w:rFonts w:ascii="Times New Roman;serif" w:hAnsi="Times New Roman;serif"/>
          <w:b w:val="false"/>
          <w:color w:val="000000"/>
          <w:sz w:val="20"/>
        </w:rPr>
        <w:t>Physical natural gas sales to third parties; excluding financial trades and physical trade with brokers, investors, financial institutions, trading platforms, and wholesale traders. Excluding sales of natural gas by other segments and LNG sales.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Renewables and Energy Solutions segment includes renewable power generation; the marketing, trading and optimisation of power and pipeline gas; and carbon credits. It also includes the production and marketing of hydrogen; development of commercial carbon capture and storage hubs; investment in nature-based projects that avoid or reduce carbon emissions; and Shell Ventures, which invests in or works with start-ups and other early-stage businesses to help them scale-up and grow. </w:t>
      </w:r>
    </w:p>
    <w:p>
      <w:pPr>
        <w:pStyle w:val="TextBody"/>
        <w:bidi w:val="0"/>
        <w:spacing w:lineRule="auto" w:line="276" w:before="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76"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76"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third quarter 2025, reflected a favourable fair valuation of an investment ($67 million).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Most Renewables and Energy Solutions activities were loss-making in the fourth quarter 2025, these were more than offset by positive Adjusted Earnings from trading and optimisation and energy marketing. </w:t>
      </w:r>
    </w:p>
    <w:p>
      <w:pPr>
        <w:pStyle w:val="TextBody"/>
        <w:bidi w:val="0"/>
        <w:spacing w:lineRule="auto" w:line="268" w:before="120" w:after="12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 xml:space="preserve">in the fourth quarter 2025 included net impairment charges of $156 million. These net charges compare with the third quarter 2025 which included gains of $134 million related to the disposal of assets, partly offset by unfavourable movements of $87 million due to the fair value accounting of commodity derivatives. As part of Shell's normal business, commodity derivative contracts are entered into as hedges for mitigation of economic exposures on future purchases, sales and inventory. </w:t>
      </w:r>
    </w:p>
    <w:p>
      <w:pPr>
        <w:pStyle w:val="TextBody"/>
        <w:bidi w:val="0"/>
        <w:spacing w:lineRule="auto" w:line="268"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2</w:t>
      </w:r>
      <w:r>
        <w:rPr>
          <w:color w:val="000000"/>
        </w:rPr>
        <w:t xml:space="preserve"> </w:t>
      </w:r>
      <w:r>
        <w:rPr>
          <w:rFonts w:ascii="Times New Roman;serif" w:hAnsi="Times New Roman;serif"/>
          <w:b w:val="false"/>
          <w:color w:val="000000"/>
          <w:sz w:val="20"/>
        </w:rPr>
        <w:t xml:space="preserve">was driven by the same factors as Adjusted Earnings. </w:t>
      </w:r>
    </w:p>
    <w:p>
      <w:pPr>
        <w:pStyle w:val="TextBody"/>
        <w:bidi w:val="0"/>
        <w:spacing w:lineRule="auto" w:line="276"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fourth quarter 2025 was primarily driven by working capital outflows of $704 million and net cash outflows related to derivatives of $150 million. These outflows were partly offset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Full Year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76" w:before="120" w:after="283"/>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full year 2024, reflected lower operating expenses (decrease of $279 million) and higher margins (increase of $229 million), mainly due to higher generation and energy marketing margins.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Most Renewables and Energy Solutions activities were loss-making for the full year 2025, these were more than offset by positive Adjusted Earnings from trading and optimisation. </w:t>
      </w:r>
    </w:p>
    <w:p>
      <w:pPr>
        <w:pStyle w:val="TextBody"/>
        <w:bidi w:val="0"/>
        <w:spacing w:lineRule="auto" w:line="288" w:before="120" w:after="12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full year 2025 included impairment charges of $334 million and unfavourable movements of $299 million relating to the fair value accounting of commodity derivatives. These charges and unfavourable movements compare with the full year 2024 which included net impairment charges and reversals of $1,085 million mainly relating to renewable generation assets in North America, partly offset by favourable movements of $300 million relating to the fair value accounting of commodity derivatives and a net gain on sale of assets of $94 million.</w:t>
      </w:r>
    </w:p>
    <w:p>
      <w:pPr>
        <w:pStyle w:val="TextBody"/>
        <w:bidi w:val="0"/>
        <w:spacing w:lineRule="auto" w:line="268"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2</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Cash flow from operating activities</w:t>
      </w:r>
      <w:r>
        <w:rPr>
          <w:color w:val="000000"/>
        </w:rPr>
        <w:t xml:space="preserve"> </w:t>
      </w:r>
      <w:r>
        <w:rPr>
          <w:rFonts w:ascii="Times New Roman;serif" w:hAnsi="Times New Roman;serif"/>
          <w:b w:val="false"/>
          <w:color w:val="000000"/>
          <w:sz w:val="20"/>
        </w:rPr>
        <w:t>for the full year 2025 was primarily driven by Adjusted EBITDA and working capital inflows of $508 million. These inflows were partly offset by net cash outflows related to derivatives of $657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lineRule="auto" w:line="268"/>
        <w:ind w:left="0" w:right="0" w:hanging="272"/>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Adjusted EBITDA is without taxation and DD&amp;A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13</w:t>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Additional Growth Measures</w:t>
      </w:r>
    </w:p>
    <w:tbl>
      <w:tblPr>
        <w:tblW w:w="9660"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244"/>
        <w:gridCol w:w="244"/>
        <w:gridCol w:w="246"/>
        <w:gridCol w:w="109"/>
        <w:gridCol w:w="109"/>
        <w:gridCol w:w="109"/>
        <w:gridCol w:w="244"/>
        <w:gridCol w:w="244"/>
        <w:gridCol w:w="246"/>
        <w:gridCol w:w="109"/>
        <w:gridCol w:w="109"/>
        <w:gridCol w:w="109"/>
        <w:gridCol w:w="140"/>
        <w:gridCol w:w="140"/>
        <w:gridCol w:w="141"/>
        <w:gridCol w:w="1373"/>
        <w:gridCol w:w="1373"/>
        <w:gridCol w:w="1378"/>
        <w:gridCol w:w="109"/>
        <w:gridCol w:w="109"/>
        <w:gridCol w:w="109"/>
        <w:gridCol w:w="203"/>
        <w:gridCol w:w="203"/>
        <w:gridCol w:w="156"/>
        <w:gridCol w:w="203"/>
        <w:gridCol w:w="203"/>
        <w:gridCol w:w="156"/>
        <w:gridCol w:w="136"/>
        <w:gridCol w:w="136"/>
        <w:gridCol w:w="19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%¹</w:t>
            </w:r>
          </w:p>
        </w:tc>
        <w:tc>
          <w:tcPr>
            <w:tcW w:w="41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749"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power generation capacity (gigawatt):</w:t>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412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color w:val="000000"/>
              </w:rPr>
              <w:t xml:space="preserve">– </w:t>
            </w:r>
            <w:r>
              <w:rPr>
                <w:rFonts w:ascii="Times New Roman;serif" w:hAnsi="Times New Roman;serif"/>
                <w:b w:val="false"/>
                <w:color w:val="000000"/>
                <w:sz w:val="20"/>
              </w:rPr>
              <w:t>In operation</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509"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0"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4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4124" w:type="dxa"/>
            <w:gridSpan w:val="3"/>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56" w:before="0" w:after="0"/>
              <w:jc w:val="left"/>
              <w:rPr/>
            </w:pPr>
            <w:r>
              <w:rPr>
                <w:color w:val="000000"/>
              </w:rPr>
              <w:t xml:space="preserve">– </w:t>
            </w:r>
            <w:r>
              <w:rPr>
                <w:rFonts w:ascii="Times New Roman;serif" w:hAnsi="Times New Roman;serif"/>
                <w:b w:val="false"/>
                <w:color w:val="000000"/>
                <w:sz w:val="20"/>
              </w:rPr>
              <w:t>Under construction and/or committed for sale</w:t>
            </w:r>
            <w:r>
              <w:rPr>
                <w:rFonts w:ascii="Times New Roman;serif" w:hAnsi="Times New Roman;serif"/>
                <w:b w:val="false"/>
                <w:color w:val="000000"/>
                <w:sz w:val="13"/>
              </w:rPr>
              <w:t>3</w:t>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bottom w:val="single" w:sz="2"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2"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bl>
    <w:p>
      <w:pPr>
        <w:pStyle w:val="TextBody"/>
        <w:bidi w:val="0"/>
        <w:spacing w:lineRule="auto" w:line="288" w:before="0" w:after="0"/>
        <w:ind w:left="0" w:right="0" w:hanging="142"/>
        <w:jc w:val="left"/>
        <w:rPr/>
      </w:pPr>
      <w:r>
        <w:rPr>
          <w:rFonts w:ascii="Times New Roman;serif" w:hAnsi="Times New Roman;serif"/>
          <w:b w:val="false"/>
          <w:color w:val="000000"/>
          <w:sz w:val="13"/>
        </w:rPr>
        <w:t>1.</w:t>
      </w:r>
      <w:r>
        <w:rPr>
          <w:rFonts w:ascii="Times New Roman;serif" w:hAnsi="Times New Roman;serif"/>
          <w:b w:val="false"/>
          <w:color w:val="000000"/>
          <w:sz w:val="20"/>
        </w:rPr>
        <w:t>Q4 on Q3 change</w:t>
      </w:r>
    </w:p>
    <w:p>
      <w:pPr>
        <w:pStyle w:val="TextBody"/>
        <w:bidi w:val="0"/>
        <w:spacing w:lineRule="auto" w:line="288" w:before="0" w:after="0"/>
        <w:ind w:left="0" w:right="0" w:hanging="142"/>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Shell's equity share of renewable generation capacity post commercial operation date. It excludes Shell's equity share of associates where information cannot be obtained. </w:t>
      </w:r>
    </w:p>
    <w:p>
      <w:pPr>
        <w:pStyle w:val="TextBody"/>
        <w:bidi w:val="0"/>
        <w:spacing w:lineRule="auto" w:line="268" w:before="0" w:after="0"/>
        <w:ind w:left="0" w:right="0" w:hanging="142"/>
        <w:jc w:val="left"/>
        <w:rPr/>
      </w:pPr>
      <w:r>
        <w:rPr>
          <w:rFonts w:ascii="Times New Roman;serif" w:hAnsi="Times New Roman;serif"/>
          <w:b w:val="false"/>
          <w:color w:val="000000"/>
          <w:sz w:val="13"/>
        </w:rPr>
        <w:t>3.</w:t>
      </w:r>
      <w:r>
        <w:rPr>
          <w:rFonts w:ascii="Times New Roman;serif" w:hAnsi="Times New Roman;serif"/>
          <w:b w:val="false"/>
          <w:color w:val="000000"/>
          <w:sz w:val="20"/>
        </w:rPr>
        <w:t>Shell's equity share of renewable generation capacity under construction and/or committed for sale under long-term offtake agreements (PPA). It excludes Shell's equity share of associates where information cannot be obtained.</w:t>
      </w:r>
    </w:p>
    <w:p>
      <w:pPr>
        <w:pStyle w:val="TextBody"/>
        <w:bidi w:val="0"/>
        <w:spacing w:before="0" w:after="0"/>
        <w:jc w:val="left"/>
        <w:rPr/>
      </w:pPr>
      <w:r>
        <w:rPr/>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Renewable power generation capacity under construction and/or committed for sale decreased compared to 2024 due to transfers to capacity in operation, withdrawal from the Atlantic Shores Offshore Wind project, and other dilution in ownership interests and divestments.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w:t>
      </w:r>
    </w:p>
    <w:tbl>
      <w:tblPr>
        <w:tblW w:w="8878" w:type="dxa"/>
        <w:jc w:val="left"/>
        <w:tblInd w:w="0" w:type="dxa"/>
        <w:tblLayout w:type="fixed"/>
        <w:tblCellMar>
          <w:top w:w="28" w:type="dxa"/>
          <w:left w:w="28" w:type="dxa"/>
          <w:bottom w:w="28" w:type="dxa"/>
          <w:right w:w="28" w:type="dxa"/>
        </w:tblCellMar>
      </w:tblPr>
      <w:tblGrid>
        <w:gridCol w:w="296"/>
        <w:gridCol w:w="259"/>
        <w:gridCol w:w="240"/>
        <w:gridCol w:w="109"/>
        <w:gridCol w:w="109"/>
        <w:gridCol w:w="109"/>
        <w:gridCol w:w="270"/>
        <w:gridCol w:w="270"/>
        <w:gridCol w:w="246"/>
        <w:gridCol w:w="109"/>
        <w:gridCol w:w="109"/>
        <w:gridCol w:w="109"/>
        <w:gridCol w:w="270"/>
        <w:gridCol w:w="270"/>
        <w:gridCol w:w="246"/>
        <w:gridCol w:w="109"/>
        <w:gridCol w:w="109"/>
        <w:gridCol w:w="109"/>
        <w:gridCol w:w="980"/>
        <w:gridCol w:w="980"/>
        <w:gridCol w:w="995"/>
        <w:gridCol w:w="275"/>
        <w:gridCol w:w="275"/>
        <w:gridCol w:w="276"/>
        <w:gridCol w:w="344"/>
        <w:gridCol w:w="346"/>
        <w:gridCol w:w="156"/>
        <w:gridCol w:w="344"/>
        <w:gridCol w:w="346"/>
        <w:gridCol w:w="213"/>
      </w:tblGrid>
      <w:tr>
        <w:trPr/>
        <w:tc>
          <w:tcPr>
            <w:tcW w:w="2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7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0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5"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for the period</w:t>
            </w:r>
          </w:p>
        </w:tc>
        <w:tc>
          <w:tcPr>
            <w:tcW w:w="82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Identified items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40"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4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826"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690"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w:t>
            </w:r>
          </w:p>
        </w:tc>
        <w:tc>
          <w:tcPr>
            <w:tcW w:w="213"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Corporate segment covers the non-operating activities supporting Shell. The segment comprises Shell’s holdings and treasury organisation; headquarters and central functions; self-insurance activities; and a centrally managed longer-term innovation portfolio. All finance expenses, income and related taxes are included in Corporate Adjusted Earnings rather than in the earnings of business segments.</w:t>
      </w:r>
    </w:p>
    <w:p>
      <w:pPr>
        <w:pStyle w:val="TextBody"/>
        <w:bidi w:val="0"/>
        <w:spacing w:lineRule="auto" w:line="264" w:before="12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64"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120" w:after="120"/>
        <w:jc w:val="left"/>
        <w:rPr/>
      </w:pPr>
      <w:r>
        <w:rPr>
          <w:rFonts w:ascii="Times New Roman;serif" w:hAnsi="Times New Roman;serif"/>
          <w:b/>
          <w:color w:val="000000"/>
          <w:sz w:val="20"/>
        </w:rPr>
        <w:t>Adjusted Earnings,</w:t>
      </w:r>
      <w:r>
        <w:rPr>
          <w:color w:val="000000"/>
        </w:rPr>
        <w:t xml:space="preserve"> </w:t>
      </w:r>
      <w:r>
        <w:rPr>
          <w:rFonts w:ascii="Times New Roman;serif" w:hAnsi="Times New Roman;serif"/>
          <w:b w:val="false"/>
          <w:color w:val="000000"/>
          <w:sz w:val="20"/>
        </w:rPr>
        <w:t xml:space="preserve">compared with the third quarter 2025, reflected unfavourable tax movements ($278 million) partly offset by favourable net interest movements ($114 million). </w:t>
      </w:r>
    </w:p>
    <w:p>
      <w:pPr>
        <w:pStyle w:val="TextBody"/>
        <w:bidi w:val="0"/>
        <w:spacing w:lineRule="auto" w:line="268"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2</w:t>
      </w:r>
      <w:r>
        <w:rPr>
          <w:color w:val="000000"/>
        </w:rPr>
        <w:t xml:space="preserve"> </w:t>
      </w:r>
      <w:r>
        <w:rPr>
          <w:rFonts w:ascii="Times New Roman;serif" w:hAnsi="Times New Roman;serif"/>
          <w:b w:val="false"/>
          <w:color w:val="000000"/>
          <w:sz w:val="20"/>
        </w:rPr>
        <w:t>was mainly driven by unfavourable foreign exchange rate effects.</w:t>
      </w:r>
    </w:p>
    <w:p>
      <w:pPr>
        <w:pStyle w:val="TextBody"/>
        <w:bidi w:val="0"/>
        <w:spacing w:lineRule="auto" w:line="276"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fourth quarter 2025 was primarily driven by Adjusted EBITDA.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Full Year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76"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full year 2024, were primarily driven by favourable tax movements ($825 million), partly offset by unfavourable net interest movements ($440 million) and currency exchange rate effects ($191 million). </w:t>
      </w:r>
    </w:p>
    <w:p>
      <w:pPr>
        <w:pStyle w:val="TextBody"/>
        <w:bidi w:val="0"/>
        <w:spacing w:lineRule="auto" w:line="276" w:before="120" w:after="283"/>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full year 2024 included reclassifications from equity to profit and loss of cumulative currency translation differences related to funding structure changes resulting in unfavourable movements of $1,122 million. These currency translation differences were previously recognised in other comprehensive income and accumulated in equity as part of accumulated other comprehensive income.</w:t>
      </w:r>
    </w:p>
    <w:p>
      <w:pPr>
        <w:pStyle w:val="TextBody"/>
        <w:bidi w:val="0"/>
        <w:spacing w:lineRule="auto" w:line="276" w:before="120" w:after="120"/>
        <w:jc w:val="left"/>
        <w:rPr/>
      </w:pPr>
      <w:r>
        <w:rPr>
          <w:rFonts w:ascii="Times New Roman;serif" w:hAnsi="Times New Roman;serif"/>
          <w:b/>
          <w:color w:val="000000"/>
          <w:sz w:val="20"/>
        </w:rPr>
        <w:t>Adjusted EBITDA</w:t>
      </w:r>
      <w:r>
        <w:rPr>
          <w:rFonts w:ascii="Times New Roman;serif" w:hAnsi="Times New Roman;serif"/>
          <w:b/>
          <w:color w:val="000000"/>
          <w:sz w:val="13"/>
        </w:rPr>
        <w:t>2</w:t>
      </w:r>
      <w:r>
        <w:rPr>
          <w:color w:val="000000"/>
        </w:rPr>
        <w:t xml:space="preserve"> </w:t>
      </w:r>
      <w:r>
        <w:rPr>
          <w:rFonts w:ascii="Times New Roman;serif" w:hAnsi="Times New Roman;serif"/>
          <w:b w:val="false"/>
          <w:color w:val="000000"/>
          <w:sz w:val="20"/>
        </w:rPr>
        <w:t xml:space="preserve">was mainly driven by unfavourable currency exchange rate effects. </w:t>
      </w:r>
    </w:p>
    <w:p>
      <w:pPr>
        <w:pStyle w:val="TextBody"/>
        <w:bidi w:val="0"/>
        <w:spacing w:lineRule="auto" w:line="276"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full year 2025 was primarily driven by working capital outflows of $1,505 million, which included a reduction in joint venture deposits, as well as Adjusted EBITDA and tax payments of $425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lineRule="auto" w:line="268" w:before="0" w:after="0"/>
        <w:ind w:left="0" w:right="0" w:hanging="272"/>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Adjusted EBITDA is without taxation and DD&amp;A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FF0000"/>
          <w:sz w:val="20"/>
        </w:rPr>
      </w:pPr>
      <w:r>
        <w:rPr>
          <w:rFonts w:ascii="Times New Roman;serif" w:hAnsi="Times New Roman;serif"/>
          <w:b/>
          <w:color w:val="FF0000"/>
          <w:sz w:val="20"/>
        </w:rPr>
        <w:t xml:space="preserve">PRELIMINARY RESERVES UPDATE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When final volumes are reported in the 2025 Annual Report and Accounts and 2025 Form 20-F, Shell expects that SEC proved oil and gas reserves additions/reductions before taking into account production will be approximately a 0.4 billion boe reduction, and that 2025 production will be approximately 1.1 billion boe. As a result, total proved reserves on an SEC basis are expected to be approximately 8.1 billion boe. Acquisitions and divestments of 2025 reserves are expected to account for a net decrease of approximately 1.2 billion boe largely related to the oil sands swap in Canada (0.7 billion boe synthetic crude oil, of which 50% contributable to non-controlling interest) and the Nigeria onshore SPDC divestment (0.4 billion boe).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proved Reserves Replacement Ratio on an SEC basis is expected to be -40% for the year and 55% for the 3-year average. Excluding the impact of acquisitions and divestments, the proved Reserves Replacement Ratio is expected to be 73% for the year and 84% for the 3-year average.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information will be provided in the 2025 Annual Report and Accounts and 2025 Form 20-F.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FF0000"/>
          <w:sz w:val="20"/>
        </w:rPr>
      </w:pPr>
      <w:r>
        <w:rPr>
          <w:rFonts w:ascii="Times New Roman;serif" w:hAnsi="Times New Roman;serif"/>
          <w:b/>
          <w:color w:val="FF0000"/>
          <w:sz w:val="20"/>
        </w:rPr>
        <w:t>OUTLOOK FOR THE FIRST QUARTER 2026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Full year 2025 cash capital expenditure was $21 billion. Our cash capital expenditure for the full year 2026 is expected to be $20 - $22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15</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Integrated Gas production is expected to be approximately 920 - 980 thousand boe/d. LNG liquefaction volumes are expected to be approximately 7.4 - 8.0 million tonnes.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Upstream production is expected to be approximately 1,700 - 1,900 thousand boe/d.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sales volumes are expected to be approximately 2,550 - 2,750 thousand b/d.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Refinery utilisation is expected to be approximately 90% - 98%. Chemicals manufacturing plant utilisation is expected to be approximately 79% - 87%.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jc w:val="left"/>
        <w:rPr/>
      </w:pPr>
      <w:r>
        <w:rPr>
          <w:rFonts w:ascii="Times New Roman;serif" w:hAnsi="Times New Roman;serif"/>
          <w:b w:val="false"/>
          <w:color w:val="000000"/>
          <w:sz w:val="20"/>
        </w:rPr>
        <w:t>Corporate Adjusted Earnings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a net expense of $567 million</w:t>
      </w:r>
      <w:r>
        <w:rPr>
          <w:color w:val="000000"/>
        </w:rPr>
        <w:t xml:space="preserve"> </w:t>
      </w:r>
      <w:r>
        <w:rPr>
          <w:rFonts w:ascii="Times New Roman;serif" w:hAnsi="Times New Roman;serif"/>
          <w:b w:val="false"/>
          <w:color w:val="000000"/>
          <w:sz w:val="20"/>
        </w:rPr>
        <w:t>for the fourth quarter 2025. Corporate Adjusted Earnings</w:t>
      </w:r>
      <w:r>
        <w:rPr>
          <w:color w:val="000000"/>
        </w:rPr>
        <w:t xml:space="preserve"> </w:t>
      </w:r>
      <w:r>
        <w:rPr>
          <w:rFonts w:ascii="Times New Roman;serif" w:hAnsi="Times New Roman;serif"/>
          <w:b w:val="false"/>
          <w:color w:val="000000"/>
          <w:sz w:val="20"/>
        </w:rPr>
        <w:t>are expected to be a net expense of approximately $400 - $600 million in the first quarter 2026.</w:t>
      </w:r>
    </w:p>
    <w:p>
      <w:pPr>
        <w:pStyle w:val="TextBody"/>
        <w:bidi w:val="0"/>
        <w:spacing w:lineRule="auto" w:line="268" w:before="0" w:after="0"/>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For the definition of Adjusted Earnings and the most comparable GAAP measure see Reference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FF0000"/>
          <w:sz w:val="20"/>
        </w:rPr>
      </w:pPr>
      <w:r>
        <w:rPr>
          <w:rFonts w:ascii="Times New Roman;serif" w:hAnsi="Times New Roman;serif"/>
          <w:b/>
          <w:color w:val="FF0000"/>
          <w:sz w:val="20"/>
        </w:rPr>
        <w:t>FORTHCOMING EVENTS</w:t>
      </w:r>
    </w:p>
    <w:tbl>
      <w:tblPr>
        <w:tblW w:w="10205" w:type="dxa"/>
        <w:jc w:val="left"/>
        <w:tblInd w:w="0" w:type="dxa"/>
        <w:tblLayout w:type="fixed"/>
        <w:tblCellMar>
          <w:top w:w="28" w:type="dxa"/>
          <w:left w:w="28" w:type="dxa"/>
          <w:bottom w:w="28" w:type="dxa"/>
          <w:right w:w="28" w:type="dxa"/>
        </w:tblCellMar>
      </w:tblPr>
      <w:tblGrid>
        <w:gridCol w:w="561"/>
        <w:gridCol w:w="495"/>
        <w:gridCol w:w="505"/>
        <w:gridCol w:w="2522"/>
        <w:gridCol w:w="2522"/>
        <w:gridCol w:w="3600"/>
      </w:tblGrid>
      <w:tr>
        <w:trPr/>
        <w:tc>
          <w:tcPr>
            <w:tcW w:w="56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w:t>
            </w:r>
          </w:p>
        </w:tc>
        <w:tc>
          <w:tcPr>
            <w:tcW w:w="8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Event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March 12, 2026 </w:t>
            </w:r>
          </w:p>
        </w:tc>
        <w:tc>
          <w:tcPr>
            <w:tcW w:w="8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Publication of Annual Report and Accounts and filing of Form 20-F for the year ended December 31, 2025</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8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42424"/>
                <w:sz w:val="20"/>
              </w:rPr>
              <w:t>LNG Outlook publication and LNG Portfolio: Strategic Spotlight</w:t>
            </w:r>
            <w:r>
              <w:rPr>
                <w:rFonts w:ascii="Times New Roman;serif" w:hAnsi="Times New Roman;serif"/>
                <w:b w:val="false"/>
                <w:color w:val="242424"/>
                <w:sz w:val="13"/>
              </w:rPr>
              <w:t>1</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8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2026 results and dividends</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19, 2026</w:t>
            </w:r>
          </w:p>
        </w:tc>
        <w:tc>
          <w:tcPr>
            <w:tcW w:w="8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Annual General Meeting</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July 30, 2026 </w:t>
            </w:r>
          </w:p>
        </w:tc>
        <w:tc>
          <w:tcPr>
            <w:tcW w:w="8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2026 results and dividends</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October 29, 2026 </w:t>
            </w:r>
          </w:p>
        </w:tc>
        <w:tc>
          <w:tcPr>
            <w:tcW w:w="8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2026 results and dividends</w:t>
            </w:r>
          </w:p>
        </w:tc>
      </w:tr>
    </w:tbl>
    <w:p>
      <w:pPr>
        <w:pStyle w:val="TextBody"/>
        <w:bidi w:val="0"/>
        <w:spacing w:lineRule="auto" w:line="288" w:before="100" w:after="20"/>
        <w:jc w:val="left"/>
        <w:rPr/>
      </w:pPr>
      <w:r>
        <w:rPr>
          <w:rFonts w:ascii="Times New Roman;serif" w:hAnsi="Times New Roman;serif"/>
          <w:b w:val="false"/>
          <w:color w:val="000000"/>
          <w:sz w:val="8"/>
        </w:rPr>
        <w:t xml:space="preserve">1 </w:t>
      </w:r>
      <w:r>
        <w:rPr>
          <w:rFonts w:ascii="Times New Roman;serif" w:hAnsi="Times New Roman;serif"/>
          <w:b w:val="false"/>
          <w:color w:val="000000"/>
          <w:sz w:val="12"/>
        </w:rPr>
        <w:t>Together with 2025 AGM shareholder resolution response</w:t>
      </w:r>
      <w:r>
        <w:rPr>
          <w:color w:val="DD1D21"/>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16</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F0000"/>
          <w:sz w:val="20"/>
        </w:rPr>
      </w:pPr>
      <w:r>
        <w:rPr>
          <w:rFonts w:ascii="Times New Roman;serif" w:hAnsi="Times New Roman;serif"/>
          <w:b/>
          <w:color w:val="FF0000"/>
          <w:sz w:val="20"/>
        </w:rPr>
        <w:t xml:space="preserve">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CONSOLIDATED STATEMENT OF INCOME</w:t>
      </w:r>
    </w:p>
    <w:tbl>
      <w:tblPr>
        <w:tblW w:w="10205" w:type="dxa"/>
        <w:jc w:val="center"/>
        <w:tblInd w:w="0" w:type="dxa"/>
        <w:tblLayout w:type="fixed"/>
        <w:tblCellMar>
          <w:top w:w="28" w:type="dxa"/>
          <w:left w:w="28" w:type="dxa"/>
          <w:bottom w:w="28" w:type="dxa"/>
          <w:right w:w="28" w:type="dxa"/>
        </w:tblCellMar>
      </w:tblPr>
      <w:tblGrid>
        <w:gridCol w:w="391"/>
        <w:gridCol w:w="345"/>
        <w:gridCol w:w="237"/>
        <w:gridCol w:w="109"/>
        <w:gridCol w:w="109"/>
        <w:gridCol w:w="109"/>
        <w:gridCol w:w="360"/>
        <w:gridCol w:w="361"/>
        <w:gridCol w:w="243"/>
        <w:gridCol w:w="109"/>
        <w:gridCol w:w="109"/>
        <w:gridCol w:w="109"/>
        <w:gridCol w:w="360"/>
        <w:gridCol w:w="361"/>
        <w:gridCol w:w="243"/>
        <w:gridCol w:w="109"/>
        <w:gridCol w:w="109"/>
        <w:gridCol w:w="109"/>
        <w:gridCol w:w="1433"/>
        <w:gridCol w:w="1418"/>
        <w:gridCol w:w="1450"/>
        <w:gridCol w:w="413"/>
        <w:gridCol w:w="413"/>
        <w:gridCol w:w="156"/>
        <w:gridCol w:w="413"/>
        <w:gridCol w:w="413"/>
        <w:gridCol w:w="214"/>
      </w:tblGrid>
      <w:tr>
        <w:trPr/>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2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97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64,093 </w:t>
            </w:r>
          </w:p>
        </w:tc>
        <w:tc>
          <w:tcPr>
            <w:tcW w:w="23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68,153 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66,281 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Revenue</w:t>
            </w:r>
            <w:r>
              <w:rPr>
                <w:rFonts w:ascii="Times New Roman;serif" w:hAnsi="Times New Roman;serif"/>
                <w:b w:val="false"/>
                <w:color w:val="000000"/>
                <w:sz w:val="14"/>
              </w:rPr>
              <w:t>1</w:t>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266,886 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284,312 </w:t>
            </w:r>
          </w:p>
        </w:tc>
        <w:tc>
          <w:tcPr>
            <w:tcW w:w="21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profit/(loss) of joint ventures and associates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and other income/(expenses)</w:t>
            </w:r>
            <w:r>
              <w:rPr>
                <w:rFonts w:ascii="Times New Roman;serif" w:hAnsi="Times New Roman;serif"/>
                <w:b w:val="false"/>
                <w:color w:val="000000"/>
                <w:sz w:val="13"/>
              </w:rPr>
              <w:t>2</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66,725 </w:t>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70,410 </w:t>
            </w:r>
          </w:p>
        </w:tc>
        <w:tc>
          <w:tcPr>
            <w:tcW w:w="24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66,807 </w:t>
            </w:r>
          </w:p>
        </w:tc>
        <w:tc>
          <w:tcPr>
            <w:tcW w:w="24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and other income/(expenses)</w:t>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273,731 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289,029 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42,102 </w:t>
            </w:r>
          </w:p>
        </w:tc>
        <w:tc>
          <w:tcPr>
            <w:tcW w:w="23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45,145 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43,610 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177,194 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188,120 </w:t>
            </w:r>
          </w:p>
        </w:tc>
        <w:tc>
          <w:tcPr>
            <w:tcW w:w="21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manufacturing expenses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distribution and administrative expenses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depletion and amortisation</w:t>
            </w:r>
            <w:r>
              <w:rPr>
                <w:rFonts w:ascii="Times New Roman;serif" w:hAnsi="Times New Roman;serif"/>
                <w:b w:val="false"/>
                <w:color w:val="000000"/>
                <w:sz w:val="13"/>
              </w:rPr>
              <w:t>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59,827 </w:t>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62,486 </w:t>
            </w:r>
          </w:p>
        </w:tc>
        <w:tc>
          <w:tcPr>
            <w:tcW w:w="24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62,605 </w:t>
            </w:r>
          </w:p>
        </w:tc>
        <w:tc>
          <w:tcPr>
            <w:tcW w:w="24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expenditure</w:t>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243,975 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259,107 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237"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before taxation</w:t>
            </w:r>
          </w:p>
        </w:tc>
        <w:tc>
          <w:tcPr>
            <w:tcW w:w="82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29,756 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29,922 </w:t>
            </w:r>
          </w:p>
        </w:tc>
        <w:tc>
          <w:tcPr>
            <w:tcW w:w="21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Taxation charge/(credit)</w:t>
            </w:r>
            <w:r>
              <w:rPr>
                <w:rFonts w:ascii="Times New Roman;serif" w:hAnsi="Times New Roman;serif"/>
                <w:b w:val="false"/>
                <w:color w:val="000000"/>
                <w:sz w:val="13"/>
              </w:rPr>
              <w:t>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4,180</w:t>
            </w:r>
            <w:r>
              <w:rPr>
                <w:color w:val="000000"/>
              </w:rPr>
              <w:t> </w:t>
            </w:r>
          </w:p>
        </w:tc>
        <w:tc>
          <w:tcPr>
            <w:tcW w:w="237"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5,420</w:t>
            </w:r>
            <w:r>
              <w:rPr>
                <w:color w:val="000000"/>
              </w:rPr>
              <w:t>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1,041</w:t>
            </w:r>
            <w:r>
              <w:rPr>
                <w:color w:val="000000"/>
              </w:rPr>
              <w:t>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Income/(loss) for the period</w:t>
            </w:r>
          </w:p>
        </w:tc>
        <w:tc>
          <w:tcPr>
            <w:tcW w:w="82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18,120</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16,521</w:t>
            </w:r>
            <w:r>
              <w:rPr>
                <w:color w:val="000000"/>
              </w:rPr>
              <w:t> </w:t>
            </w:r>
          </w:p>
        </w:tc>
        <w:tc>
          <w:tcPr>
            <w:tcW w:w="21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4,134</w:t>
            </w:r>
            <w:r>
              <w:rPr>
                <w:color w:val="000000"/>
              </w:rPr>
              <w:t> </w:t>
            </w:r>
          </w:p>
        </w:tc>
        <w:tc>
          <w:tcPr>
            <w:tcW w:w="237"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5,322</w:t>
            </w:r>
            <w:r>
              <w:rPr>
                <w:color w:val="000000"/>
              </w:rPr>
              <w:t>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w:t>
            </w:r>
            <w:r>
              <w:rPr>
                <w:color w:val="000000"/>
              </w:rPr>
              <w:t> </w:t>
            </w:r>
          </w:p>
        </w:tc>
        <w:tc>
          <w:tcPr>
            <w:tcW w:w="2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Income/(loss) attributable to Shell plc shareholders</w:t>
            </w:r>
          </w:p>
        </w:tc>
        <w:tc>
          <w:tcPr>
            <w:tcW w:w="82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17,838</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16,094</w:t>
            </w:r>
            <w:r>
              <w:rPr>
                <w:color w:val="000000"/>
              </w:rPr>
              <w:t> </w:t>
            </w:r>
          </w:p>
        </w:tc>
        <w:tc>
          <w:tcPr>
            <w:tcW w:w="21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4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4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Basic earnings per share ($)</w:t>
            </w:r>
            <w:r>
              <w:rPr>
                <w:rFonts w:ascii="Times New Roman;serif" w:hAnsi="Times New Roman;serif"/>
                <w:b w:val="false"/>
                <w:color w:val="000000"/>
                <w:sz w:val="13"/>
              </w:rPr>
              <w:t>3</w:t>
            </w:r>
          </w:p>
        </w:tc>
        <w:tc>
          <w:tcPr>
            <w:tcW w:w="9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8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43"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43"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Diluted earnings per share ($)</w:t>
            </w:r>
            <w:r>
              <w:rPr>
                <w:rFonts w:ascii="Times New Roman;serif" w:hAnsi="Times New Roman;serif"/>
                <w:b w:val="false"/>
                <w:color w:val="000000"/>
                <w:sz w:val="13"/>
              </w:rPr>
              <w:t>3</w:t>
            </w:r>
          </w:p>
        </w:tc>
        <w:tc>
          <w:tcPr>
            <w:tcW w:w="982"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82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14"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erif" w:hAnsi="Times New Roman;serif"/>
          <w:b w:val="false"/>
          <w:color w:val="000000"/>
          <w:sz w:val="13"/>
        </w:rPr>
        <w:t>1.    </w:t>
      </w:r>
      <w:r>
        <w:rPr>
          <w:rFonts w:ascii="Times New Roman;serif" w:hAnsi="Times New Roman;serif"/>
          <w:b w:val="false"/>
          <w:color w:val="000000"/>
          <w:sz w:val="18"/>
        </w:rPr>
        <w:t>See Note 2 “Segment information”</w:t>
      </w:r>
      <w:r>
        <w:rPr>
          <w:rFonts w:ascii="Times New Roman;serif" w:hAnsi="Times New Roman;serif"/>
          <w:b w:val="false"/>
          <w:color w:val="000000"/>
          <w:sz w:val="20"/>
        </w:rPr>
        <w:t>.</w:t>
      </w:r>
    </w:p>
    <w:p>
      <w:pPr>
        <w:pStyle w:val="TextBody"/>
        <w:bidi w:val="0"/>
        <w:spacing w:lineRule="auto" w:line="288" w:before="0" w:after="0"/>
        <w:ind w:left="0" w:right="0" w:hanging="450"/>
        <w:jc w:val="left"/>
        <w:rPr/>
      </w:pPr>
      <w:r>
        <w:rPr>
          <w:rFonts w:ascii="Times New Roman;serif" w:hAnsi="Times New Roman;serif"/>
          <w:b w:val="false"/>
          <w:color w:val="000000"/>
          <w:sz w:val="13"/>
        </w:rPr>
        <w:t>2.    </w:t>
      </w:r>
      <w:r>
        <w:rPr>
          <w:rFonts w:ascii="Times New Roman;serif" w:hAnsi="Times New Roman;serif"/>
          <w:b w:val="false"/>
          <w:color w:val="000000"/>
          <w:sz w:val="18"/>
        </w:rPr>
        <w:t>See Note 7 “Other notes to the unaudited Condensed Consolidated Financial Statements”.</w:t>
      </w:r>
      <w:r>
        <w:rPr>
          <w:color w:val="000000"/>
        </w:rPr>
        <w:t xml:space="preserve"> </w:t>
      </w:r>
    </w:p>
    <w:p>
      <w:pPr>
        <w:pStyle w:val="TextBody"/>
        <w:bidi w:val="0"/>
        <w:spacing w:lineRule="auto" w:line="288" w:before="0" w:after="0"/>
        <w:ind w:left="0" w:right="0" w:hanging="450"/>
        <w:jc w:val="left"/>
        <w:rPr/>
      </w:pPr>
      <w:r>
        <w:rPr>
          <w:rFonts w:ascii="Times New Roman;serif" w:hAnsi="Times New Roman;serif"/>
          <w:b w:val="false"/>
          <w:color w:val="000000"/>
          <w:sz w:val="13"/>
        </w:rPr>
        <w:t>3    </w:t>
      </w:r>
      <w:r>
        <w:rPr>
          <w:rFonts w:ascii="Times New Roman;serif" w:hAnsi="Times New Roman;serif"/>
          <w:b w:val="false"/>
          <w:color w:val="000000"/>
          <w:sz w:val="18"/>
        </w:rPr>
        <w:t>See Note 3 “Earnings per share”</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17</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CONSOLIDATED STATEMENT OF COMPREHENSIVE INCOME</w:t>
      </w:r>
    </w:p>
    <w:tbl>
      <w:tblPr>
        <w:tblW w:w="10205" w:type="dxa"/>
        <w:jc w:val="center"/>
        <w:tblInd w:w="0" w:type="dxa"/>
        <w:tblLayout w:type="fixed"/>
        <w:tblCellMar>
          <w:top w:w="28" w:type="dxa"/>
          <w:left w:w="28" w:type="dxa"/>
          <w:bottom w:w="28" w:type="dxa"/>
          <w:right w:w="28" w:type="dxa"/>
        </w:tblCellMar>
      </w:tblPr>
      <w:tblGrid>
        <w:gridCol w:w="343"/>
        <w:gridCol w:w="303"/>
        <w:gridCol w:w="211"/>
        <w:gridCol w:w="109"/>
        <w:gridCol w:w="109"/>
        <w:gridCol w:w="109"/>
        <w:gridCol w:w="334"/>
        <w:gridCol w:w="335"/>
        <w:gridCol w:w="215"/>
        <w:gridCol w:w="109"/>
        <w:gridCol w:w="109"/>
        <w:gridCol w:w="109"/>
        <w:gridCol w:w="334"/>
        <w:gridCol w:w="335"/>
        <w:gridCol w:w="215"/>
        <w:gridCol w:w="109"/>
        <w:gridCol w:w="109"/>
        <w:gridCol w:w="109"/>
        <w:gridCol w:w="1728"/>
        <w:gridCol w:w="1502"/>
        <w:gridCol w:w="1522"/>
        <w:gridCol w:w="368"/>
        <w:gridCol w:w="368"/>
        <w:gridCol w:w="156"/>
        <w:gridCol w:w="368"/>
        <w:gridCol w:w="368"/>
        <w:gridCol w:w="219"/>
      </w:tblGrid>
      <w:tr>
        <w:trPr/>
        <w:tc>
          <w:tcPr>
            <w:tcW w:w="34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4,180</w:t>
            </w:r>
            <w:r>
              <w:rPr>
                <w:color w:val="000000"/>
              </w:rPr>
              <w:t> </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5,420</w:t>
            </w:r>
            <w:r>
              <w:rPr>
                <w:color w:val="000000"/>
              </w:rPr>
              <w:t> </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1,041</w:t>
            </w:r>
            <w:r>
              <w:rPr>
                <w:color w:val="000000"/>
              </w:rPr>
              <w:t> </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Income/(loss) for the period</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18,120</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16,521</w:t>
            </w:r>
            <w:r>
              <w:rPr>
                <w:color w:val="000000"/>
              </w:rPr>
              <w:t> </w:t>
            </w:r>
          </w:p>
        </w:tc>
        <w:tc>
          <w:tcPr>
            <w:tcW w:w="21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net of tax:</w:t>
            </w:r>
          </w:p>
        </w:tc>
        <w:tc>
          <w:tcPr>
            <w:tcW w:w="89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Items that may be reclassified to income in later periods:</w:t>
            </w:r>
          </w:p>
        </w:tc>
        <w:tc>
          <w:tcPr>
            <w:tcW w:w="8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Currency translation differences</w:t>
            </w:r>
            <w:r>
              <w:rPr>
                <w:rFonts w:ascii="Times New Roman;serif" w:hAnsi="Times New Roman;serif"/>
                <w:b w:val="false"/>
                <w:color w:val="000000"/>
                <w:sz w:val="13"/>
              </w:rPr>
              <w:t>1</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Debt instruments remeasurements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Cash flow hedging gains/(losses)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Net investment hedging gains/(losses)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Deferred cost of hedging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Share of other comprehensive income/(loss) of joint ventures and associates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Items that are not reclassified to income in later periods:</w:t>
            </w:r>
          </w:p>
        </w:tc>
        <w:tc>
          <w:tcPr>
            <w:tcW w:w="892"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Retirement benefits remeasurements</w:t>
            </w:r>
            <w:r>
              <w:rPr>
                <w:rFonts w:ascii="Times New Roman;serif" w:hAnsi="Times New Roman;serif"/>
                <w:b w:val="false"/>
                <w:color w:val="000000"/>
                <w:sz w:val="13"/>
              </w:rPr>
              <w:t>1</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Equity instruments remeasurements</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Share of other comprehensive income/(loss) of joint ventures and associates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21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(5,010)</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(4,592)</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income/(loss) for the period</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(1,736)</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4,603</w:t>
            </w:r>
            <w:r>
              <w:rPr>
                <w:color w:val="000000"/>
              </w:rPr>
              <w:t> </w:t>
            </w:r>
          </w:p>
        </w:tc>
        <w:tc>
          <w:tcPr>
            <w:tcW w:w="211"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w:t>
            </w:r>
            <w:r>
              <w:rPr>
                <w:color w:val="000000"/>
              </w:rPr>
              <w:t> </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(3,552)</w:t>
            </w:r>
          </w:p>
        </w:tc>
        <w:tc>
          <w:tcPr>
            <w:tcW w:w="215"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income/(loss) for the period</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19,780</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14,785</w:t>
            </w:r>
            <w:r>
              <w:rPr>
                <w:color w:val="000000"/>
              </w:rPr>
              <w:t> </w:t>
            </w:r>
          </w:p>
        </w:tc>
        <w:tc>
          <w:tcPr>
            <w:tcW w:w="219"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 attributable to non-controlling interest</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4,493</w:t>
            </w:r>
            <w:r>
              <w:rPr>
                <w:color w:val="000000"/>
              </w:rPr>
              <w:t> </w:t>
            </w:r>
          </w:p>
        </w:tc>
        <w:tc>
          <w:tcPr>
            <w:tcW w:w="211"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w:t>
            </w:r>
            <w:r>
              <w:rPr>
                <w:color w:val="000000"/>
              </w:rPr>
              <w:t> </w:t>
            </w:r>
          </w:p>
        </w:tc>
        <w:tc>
          <w:tcPr>
            <w:tcW w:w="215"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(3,602)</w:t>
            </w:r>
          </w:p>
        </w:tc>
        <w:tc>
          <w:tcPr>
            <w:tcW w:w="215"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income/(loss) attributable to Shell plc shareholders</w:t>
            </w:r>
          </w:p>
        </w:tc>
        <w:tc>
          <w:tcPr>
            <w:tcW w:w="73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19,304</w:t>
            </w:r>
            <w:r>
              <w:rPr>
                <w:color w:val="000000"/>
              </w:rPr>
              <w:t> </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14,379</w:t>
            </w:r>
            <w:r>
              <w:rPr>
                <w:color w:val="000000"/>
              </w:rPr>
              <w:t> </w:t>
            </w:r>
          </w:p>
        </w:tc>
        <w:tc>
          <w:tcPr>
            <w:tcW w:w="219"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erif" w:hAnsi="Times New Roman;serif"/>
          <w:b w:val="false"/>
          <w:color w:val="000000"/>
          <w:sz w:val="13"/>
        </w:rPr>
        <w:t>1.    </w:t>
      </w:r>
      <w:r>
        <w:rPr>
          <w:rFonts w:ascii="Times New Roman;serif" w:hAnsi="Times New Roman;serif"/>
          <w:b w:val="false"/>
          <w:color w:val="000000"/>
          <w:sz w:val="18"/>
        </w:rPr>
        <w:t>See Note 7 “Other notes to the unaudited Condensed Consolidated Financial Statements”.</w:t>
      </w:r>
    </w:p>
    <w:p>
      <w:pPr>
        <w:pStyle w:val="TextBody"/>
        <w:bidi w:val="0"/>
        <w:spacing w:before="0" w:after="12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18</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CONDENSED CONSOLIDATED BALANCE SHEET</w:t>
      </w:r>
    </w:p>
    <w:tbl>
      <w:tblPr>
        <w:tblW w:w="9262" w:type="dxa"/>
        <w:jc w:val="center"/>
        <w:tblInd w:w="0" w:type="dxa"/>
        <w:tblLayout w:type="fixed"/>
        <w:tblCellMar>
          <w:top w:w="28" w:type="dxa"/>
          <w:left w:w="28" w:type="dxa"/>
          <w:bottom w:w="28" w:type="dxa"/>
          <w:right w:w="28" w:type="dxa"/>
        </w:tblCellMar>
      </w:tblPr>
      <w:tblGrid>
        <w:gridCol w:w="2011"/>
        <w:gridCol w:w="1766"/>
        <w:gridCol w:w="1788"/>
        <w:gridCol w:w="109"/>
        <w:gridCol w:w="109"/>
        <w:gridCol w:w="109"/>
        <w:gridCol w:w="499"/>
        <w:gridCol w:w="499"/>
        <w:gridCol w:w="501"/>
        <w:gridCol w:w="109"/>
        <w:gridCol w:w="109"/>
        <w:gridCol w:w="109"/>
        <w:gridCol w:w="452"/>
        <w:gridCol w:w="452"/>
        <w:gridCol w:w="640"/>
      </w:tblGrid>
      <w:tr>
        <w:trPr/>
        <w:tc>
          <w:tcPr>
            <w:tcW w:w="201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plant and equipment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185,077 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185,219 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Joint ventures and associates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tax</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Retirement benefits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Derivative financial instruments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263,178 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259,683 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Derivative financial instruments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106,143 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118,069 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classified as held for sale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107,173 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127,926 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370,351</w:t>
            </w:r>
            <w:r>
              <w:rPr>
                <w:color w:val="000000"/>
              </w:rPr>
              <w:t>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387,609</w:t>
            </w:r>
            <w:r>
              <w:rPr>
                <w:color w:val="000000"/>
              </w:rPr>
              <w:t>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65,448 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Derivative financial instruments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tax</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Retirement benefits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Decommissioning and other provisions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112,616 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112,407 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Derivative financial instruments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Decommissioning and other 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81,595 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88,831 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Liabilities directly associated with assets classified as held for 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95,034 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195,031</w:t>
            </w:r>
            <w:r>
              <w:rPr>
                <w:color w:val="000000"/>
              </w:rPr>
              <w:t>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207,441</w:t>
            </w:r>
            <w:r>
              <w:rPr>
                <w:color w:val="000000"/>
              </w:rPr>
              <w:t>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Shell plc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174,392 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178,307 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Non-controlling interest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175,319</w:t>
            </w:r>
            <w:r>
              <w:rPr>
                <w:color w:val="000000"/>
              </w:rPr>
              <w:t>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180,168</w:t>
            </w:r>
            <w:r>
              <w:rPr>
                <w:color w:val="000000"/>
              </w:rPr>
              <w:t>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370,351</w:t>
            </w:r>
            <w:r>
              <w:rPr>
                <w:color w:val="000000"/>
              </w:rPr>
              <w:t> </w:t>
            </w:r>
          </w:p>
        </w:tc>
        <w:tc>
          <w:tcPr>
            <w:tcW w:w="50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387,609</w:t>
            </w:r>
            <w:r>
              <w:rPr>
                <w:color w:val="000000"/>
              </w:rPr>
              <w:t> </w:t>
            </w:r>
          </w:p>
        </w:tc>
        <w:tc>
          <w:tcPr>
            <w:tcW w:w="640"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1.    </w:t>
      </w:r>
      <w:r>
        <w:rPr>
          <w:rFonts w:ascii="Times New Roman;serif" w:hAnsi="Times New Roman;serif"/>
          <w:b w:val="false"/>
          <w:color w:val="000000"/>
          <w:sz w:val="18"/>
        </w:rPr>
        <w:t>See Note 7 “Other notes to the unaudited Condensed Consolidated Financial Statements”.</w:t>
      </w:r>
    </w:p>
    <w:p>
      <w:pPr>
        <w:pStyle w:val="TextBody"/>
        <w:bidi w:val="0"/>
        <w:spacing w:lineRule="auto" w:line="288" w:before="0" w:after="0"/>
        <w:ind w:left="0" w:right="0" w:hanging="709"/>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See Note 6 “Derivative financial instruments and debt excluding lease liabilities”</w:t>
      </w:r>
      <w:r>
        <w:rPr>
          <w:rFonts w:ascii="Times New Roman;serif" w:hAnsi="Times New Roman;serif"/>
          <w:b w:val="false"/>
          <w:color w:val="000000"/>
          <w:sz w:val="20"/>
        </w:rPr>
        <w:t>.</w:t>
      </w:r>
    </w:p>
    <w:p>
      <w:pPr>
        <w:pStyle w:val="TextBody"/>
        <w:bidi w:val="0"/>
        <w:spacing w:lineRule="auto" w:line="288" w:before="0" w:after="0"/>
        <w:ind w:left="0" w:right="0" w:hanging="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19</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CONSOLIDATED STATEMENT OF CHANGES IN EQUITY</w:t>
      </w:r>
    </w:p>
    <w:tbl>
      <w:tblPr>
        <w:tblW w:w="10205" w:type="dxa"/>
        <w:jc w:val="center"/>
        <w:tblInd w:w="0" w:type="dxa"/>
        <w:tblLayout w:type="fixed"/>
        <w:tblCellMar>
          <w:top w:w="28" w:type="dxa"/>
          <w:left w:w="28" w:type="dxa"/>
          <w:bottom w:w="28" w:type="dxa"/>
          <w:right w:w="28" w:type="dxa"/>
        </w:tblCellMar>
      </w:tblPr>
      <w:tblGrid>
        <w:gridCol w:w="636"/>
        <w:gridCol w:w="503"/>
        <w:gridCol w:w="279"/>
        <w:gridCol w:w="262"/>
        <w:gridCol w:w="221"/>
        <w:gridCol w:w="222"/>
        <w:gridCol w:w="288"/>
        <w:gridCol w:w="198"/>
        <w:gridCol w:w="199"/>
        <w:gridCol w:w="109"/>
        <w:gridCol w:w="109"/>
        <w:gridCol w:w="109"/>
        <w:gridCol w:w="404"/>
        <w:gridCol w:w="332"/>
        <w:gridCol w:w="232"/>
        <w:gridCol w:w="109"/>
        <w:gridCol w:w="109"/>
        <w:gridCol w:w="109"/>
        <w:gridCol w:w="109"/>
        <w:gridCol w:w="109"/>
        <w:gridCol w:w="109"/>
        <w:gridCol w:w="469"/>
        <w:gridCol w:w="372"/>
        <w:gridCol w:w="253"/>
        <w:gridCol w:w="109"/>
        <w:gridCol w:w="109"/>
        <w:gridCol w:w="109"/>
        <w:gridCol w:w="420"/>
        <w:gridCol w:w="421"/>
        <w:gridCol w:w="166"/>
        <w:gridCol w:w="109"/>
        <w:gridCol w:w="109"/>
        <w:gridCol w:w="109"/>
        <w:gridCol w:w="421"/>
        <w:gridCol w:w="421"/>
        <w:gridCol w:w="422"/>
        <w:gridCol w:w="109"/>
        <w:gridCol w:w="109"/>
        <w:gridCol w:w="109"/>
        <w:gridCol w:w="420"/>
        <w:gridCol w:w="421"/>
        <w:gridCol w:w="261"/>
      </w:tblGrid>
      <w:tr>
        <w:trPr/>
        <w:tc>
          <w:tcPr>
            <w:tcW w:w="6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attributable to Shell plc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million</w:t>
            </w:r>
          </w:p>
        </w:tc>
        <w:tc>
          <w:tcPr>
            <w:tcW w:w="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56" w:before="0" w:after="0"/>
              <w:jc w:val="center"/>
              <w:rPr/>
            </w:pPr>
            <w:r>
              <w:rPr>
                <w:rFonts w:ascii="Times New Roman;serif" w:hAnsi="Times New Roman;serif"/>
                <w:b/>
                <w:color w:val="000000"/>
                <w:sz w:val="16"/>
              </w:rPr>
              <w:t>Share capital</w:t>
            </w:r>
            <w:r>
              <w:rPr>
                <w:rFonts w:ascii="Times New Roman;serif" w:hAnsi="Times New Roman;serif"/>
                <w:b/>
                <w:color w:val="000000"/>
                <w:sz w:val="10"/>
              </w:rPr>
              <w:t>1</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held in trust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 reserves²</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41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January 1, 2025</w:t>
            </w:r>
          </w:p>
        </w:tc>
        <w:tc>
          <w:tcPr>
            <w:tcW w:w="4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w:t>
            </w:r>
            <w:r>
              <w:rPr>
                <w:color w:val="000000"/>
              </w:rPr>
              <w:t> </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(803)</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19,766</w:t>
            </w:r>
            <w:r>
              <w:rPr>
                <w:color w:val="000000"/>
              </w:rPr>
              <w:t> </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158,834</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178,307</w:t>
            </w:r>
            <w:r>
              <w:rPr>
                <w:color w:val="000000"/>
              </w:rPr>
              <w:t>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w:t>
            </w:r>
            <w:r>
              <w:rPr>
                <w:color w:val="000000"/>
              </w:rPr>
              <w:t> </w:t>
            </w:r>
          </w:p>
        </w:tc>
        <w:tc>
          <w:tcPr>
            <w:tcW w:w="4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180,168</w:t>
            </w: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 for the period</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from other comprehensive income</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Dividends³</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Repurchases of shares</w:t>
            </w:r>
            <w:r>
              <w:rPr>
                <w:rFonts w:ascii="Times New Roman;serif" w:hAnsi="Times New Roman;serif"/>
                <w:b w:val="false"/>
                <w:color w:val="000000"/>
                <w:sz w:val="13"/>
              </w:rPr>
              <w:t>4</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4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w:t>
            </w:r>
            <w:r>
              <w:rPr>
                <w:color w:val="000000"/>
              </w:rPr>
              <w:t> </w:t>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(847)</w:t>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21,233</w:t>
            </w:r>
            <w:r>
              <w:rPr>
                <w:color w:val="000000"/>
              </w:rPr>
              <w:t> </w:t>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153,528</w:t>
            </w:r>
            <w:r>
              <w:rPr>
                <w:color w:val="000000"/>
              </w:rPr>
              <w:t> </w:t>
            </w:r>
          </w:p>
        </w:tc>
        <w:tc>
          <w:tcPr>
            <w:tcW w:w="2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174,392</w:t>
            </w:r>
            <w:r>
              <w:rPr>
                <w:color w:val="000000"/>
              </w:rPr>
              <w:t>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w:t>
            </w:r>
            <w:r>
              <w:rPr>
                <w:color w:val="000000"/>
              </w:rPr>
              <w:t> </w:t>
            </w:r>
          </w:p>
        </w:tc>
        <w:tc>
          <w:tcPr>
            <w:tcW w:w="4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175,319</w:t>
            </w:r>
            <w:r>
              <w:rPr>
                <w:color w:val="000000"/>
              </w:rPr>
              <w:t> </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January 1, 2024</w:t>
            </w:r>
          </w:p>
        </w:tc>
        <w:tc>
          <w:tcPr>
            <w:tcW w:w="4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w:t>
            </w:r>
            <w:r>
              <w:rPr>
                <w:color w:val="000000"/>
              </w:rPr>
              <w:t> </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(997)</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21,145</w:t>
            </w:r>
            <w:r>
              <w:rPr>
                <w:color w:val="000000"/>
              </w:rPr>
              <w:t> </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165,915</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186,607</w:t>
            </w:r>
            <w:r>
              <w:rPr>
                <w:color w:val="000000"/>
              </w:rPr>
              <w:t>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1,755</w:t>
            </w:r>
            <w:r>
              <w:rPr>
                <w:color w:val="000000"/>
              </w:rPr>
              <w:t> </w:t>
            </w:r>
          </w:p>
        </w:tc>
        <w:tc>
          <w:tcPr>
            <w:tcW w:w="4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188,362</w:t>
            </w: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 for the period</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from other comprehensive income</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Dividends</w:t>
            </w:r>
            <w:r>
              <w:rPr>
                <w:rFonts w:ascii="Times New Roman;serif" w:hAnsi="Times New Roman;serif"/>
                <w:b w:val="false"/>
                <w:color w:val="000000"/>
                <w:sz w:val="13"/>
              </w:rPr>
              <w:t>3</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Repurchases of shares</w:t>
            </w:r>
            <w:r>
              <w:rPr>
                <w:rFonts w:ascii="Times New Roman;serif" w:hAnsi="Times New Roman;serif"/>
                <w:b w:val="false"/>
                <w:color w:val="000000"/>
                <w:sz w:val="13"/>
              </w:rPr>
              <w:t>4</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December 31, 2024</w:t>
            </w:r>
          </w:p>
        </w:tc>
        <w:tc>
          <w:tcPr>
            <w:tcW w:w="483"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w:t>
            </w:r>
            <w:r>
              <w:rPr>
                <w:color w:val="000000"/>
              </w:rPr>
              <w:t> </w:t>
            </w:r>
          </w:p>
        </w:tc>
        <w:tc>
          <w:tcPr>
            <w:tcW w:w="22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(803)</w:t>
            </w:r>
          </w:p>
        </w:tc>
        <w:tc>
          <w:tcPr>
            <w:tcW w:w="19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19,766</w:t>
            </w:r>
            <w:r>
              <w:rPr>
                <w:color w:val="000000"/>
              </w:rPr>
              <w:t> </w:t>
            </w:r>
          </w:p>
        </w:tc>
        <w:tc>
          <w:tcPr>
            <w:tcW w:w="23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158,834</w:t>
            </w:r>
            <w:r>
              <w:rPr>
                <w:color w:val="000000"/>
              </w:rPr>
              <w:t> </w:t>
            </w:r>
          </w:p>
        </w:tc>
        <w:tc>
          <w:tcPr>
            <w:tcW w:w="25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178,307</w:t>
            </w:r>
            <w:r>
              <w:rPr>
                <w:color w:val="000000"/>
              </w:rPr>
              <w:t> </w:t>
            </w:r>
          </w:p>
        </w:tc>
        <w:tc>
          <w:tcPr>
            <w:tcW w:w="1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w:t>
            </w:r>
            <w:r>
              <w:rPr>
                <w:color w:val="000000"/>
              </w:rPr>
              <w:t> </w:t>
            </w:r>
          </w:p>
        </w:tc>
        <w:tc>
          <w:tcPr>
            <w:tcW w:w="42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180,168</w:t>
            </w:r>
            <w:r>
              <w:rPr>
                <w:color w:val="000000"/>
              </w:rPr>
              <w:t> </w:t>
            </w:r>
          </w:p>
        </w:tc>
        <w:tc>
          <w:tcPr>
            <w:tcW w:w="26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3"/>
        </w:rPr>
        <w:t>1.    </w:t>
      </w:r>
      <w:r>
        <w:rPr>
          <w:rFonts w:ascii="Times New Roman;serif" w:hAnsi="Times New Roman;serif"/>
          <w:b w:val="false"/>
          <w:color w:val="000000"/>
          <w:sz w:val="18"/>
        </w:rPr>
        <w:t>See Note 4 “Share capital”.</w:t>
      </w:r>
      <w:r>
        <w:rPr>
          <w:color w:val="000000"/>
        </w:rPr>
        <w:t xml:space="preserve"> </w:t>
      </w:r>
    </w:p>
    <w:p>
      <w:pPr>
        <w:pStyle w:val="TextBody"/>
        <w:bidi w:val="0"/>
        <w:spacing w:lineRule="auto" w:line="288" w:before="0" w:after="0"/>
        <w:ind w:left="0" w:right="0" w:hanging="540"/>
        <w:jc w:val="left"/>
        <w:rPr/>
      </w:pPr>
      <w:r>
        <w:rPr>
          <w:rFonts w:ascii="Times New Roman;serif" w:hAnsi="Times New Roman;serif"/>
          <w:b w:val="false"/>
          <w:color w:val="000000"/>
          <w:sz w:val="13"/>
        </w:rPr>
        <w:t>2.    </w:t>
      </w:r>
      <w:r>
        <w:rPr>
          <w:rFonts w:ascii="Times New Roman;serif" w:hAnsi="Times New Roman;serif"/>
          <w:b w:val="false"/>
          <w:color w:val="000000"/>
          <w:sz w:val="18"/>
        </w:rPr>
        <w:t>See Note 5 “Other reserves”.</w:t>
      </w:r>
      <w:r>
        <w:rPr>
          <w:color w:val="000000"/>
        </w:rPr>
        <w:t xml:space="preserve"> </w:t>
      </w:r>
    </w:p>
    <w:p>
      <w:pPr>
        <w:pStyle w:val="TextBody"/>
        <w:bidi w:val="0"/>
        <w:spacing w:lineRule="auto" w:line="288" w:before="0" w:after="0"/>
        <w:ind w:left="0" w:right="0" w:hanging="540"/>
        <w:jc w:val="left"/>
        <w:rPr/>
      </w:pPr>
      <w:r>
        <w:rPr>
          <w:rFonts w:ascii="Times New Roman;serif" w:hAnsi="Times New Roman;serif"/>
          <w:b w:val="false"/>
          <w:color w:val="000000"/>
          <w:sz w:val="13"/>
        </w:rPr>
        <w:t>3.    </w:t>
      </w:r>
      <w:r>
        <w:rPr>
          <w:rFonts w:ascii="Times New Roman;serif" w:hAnsi="Times New Roman;serif"/>
          <w:b w:val="false"/>
          <w:color w:val="000000"/>
          <w:sz w:val="18"/>
        </w:rPr>
        <w:t>The amount charged to retained earnings is based on prevailing exchange rates on payment date.</w:t>
      </w:r>
      <w:r>
        <w:rPr>
          <w:color w:val="000000"/>
        </w:rPr>
        <w:t xml:space="preserve"> </w:t>
      </w:r>
    </w:p>
    <w:p>
      <w:pPr>
        <w:pStyle w:val="TextBody"/>
        <w:bidi w:val="0"/>
        <w:spacing w:lineRule="auto" w:line="268" w:before="0" w:after="0"/>
        <w:ind w:left="0" w:right="0" w:hanging="54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18"/>
        </w:rPr>
        <w:t>Includes shares committed to repurchase under an irrevocable contract and repurchases subject to settlement at the end of the quarter.</w:t>
      </w:r>
    </w:p>
    <w:p>
      <w:pPr>
        <w:pStyle w:val="TextBody"/>
        <w:bidi w:val="0"/>
        <w:spacing w:lineRule="auto" w:line="26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18"/>
        </w:rPr>
        <w:t>See Note 7 “Other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20</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CONSOLIDATED STATEMENT OF CASH FLOWS</w:t>
      </w:r>
    </w:p>
    <w:tbl>
      <w:tblPr>
        <w:tblW w:w="10205" w:type="dxa"/>
        <w:jc w:val="left"/>
        <w:tblInd w:w="0" w:type="dxa"/>
        <w:tblLayout w:type="fixed"/>
        <w:tblCellMar>
          <w:top w:w="28" w:type="dxa"/>
          <w:left w:w="28" w:type="dxa"/>
          <w:bottom w:w="28" w:type="dxa"/>
          <w:right w:w="28" w:type="dxa"/>
        </w:tblCellMar>
      </w:tblPr>
      <w:tblGrid>
        <w:gridCol w:w="397"/>
        <w:gridCol w:w="354"/>
        <w:gridCol w:w="193"/>
        <w:gridCol w:w="109"/>
        <w:gridCol w:w="109"/>
        <w:gridCol w:w="109"/>
        <w:gridCol w:w="367"/>
        <w:gridCol w:w="369"/>
        <w:gridCol w:w="197"/>
        <w:gridCol w:w="109"/>
        <w:gridCol w:w="109"/>
        <w:gridCol w:w="109"/>
        <w:gridCol w:w="380"/>
        <w:gridCol w:w="382"/>
        <w:gridCol w:w="197"/>
        <w:gridCol w:w="1885"/>
        <w:gridCol w:w="1455"/>
        <w:gridCol w:w="1476"/>
        <w:gridCol w:w="380"/>
        <w:gridCol w:w="382"/>
        <w:gridCol w:w="156"/>
        <w:gridCol w:w="380"/>
        <w:gridCol w:w="382"/>
        <w:gridCol w:w="219"/>
      </w:tblGrid>
      <w:tr>
        <w:trPr/>
        <w:tc>
          <w:tcPr>
            <w:tcW w:w="39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4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8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9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48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19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taxation for the period</w:t>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29,756 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29,922 </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Interest expense (net)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Depreciation, depletion and amortisation</w:t>
            </w:r>
            <w:r>
              <w:rPr>
                <w:rFonts w:ascii="Times New Roman;serif" w:hAnsi="Times New Roman;serif"/>
                <w:b w:val="false"/>
                <w:color w:val="000000"/>
                <w:sz w:val="13"/>
              </w:rPr>
              <w:t>1</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Exploration well write-offs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 xml:space="preserve">Net (gains)/losses on sale and revaluation of non-current assets and businesses </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Share of (profit)/loss of joint ventures and associates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Dividends received from joint ventures and associates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(Increase)/decrease in inventories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(Increase)/decrease in current receivables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Increase/(decrease) in current payables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Derivative financial instruments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Retirement benefits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Decommissioning and other provisions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paid</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9,438</w:t>
            </w:r>
            <w:r>
              <w:rPr>
                <w:color w:val="000000"/>
              </w:rPr>
              <w:t> </w:t>
            </w:r>
          </w:p>
        </w:tc>
        <w:tc>
          <w:tcPr>
            <w:tcW w:w="19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12,207</w:t>
            </w:r>
            <w:r>
              <w:rPr>
                <w:color w:val="000000"/>
              </w:rPr>
              <w:t> </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13,162</w:t>
            </w:r>
            <w:r>
              <w:rPr>
                <w:color w:val="000000"/>
              </w:rPr>
              <w:t> </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42,863</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54,687</w:t>
            </w:r>
            <w:r>
              <w:rPr>
                <w:color w:val="000000"/>
              </w:rPr>
              <w:t> </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9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 expenditure</w:t>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(18,947)</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(19,601)</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in joint ventures and associates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   </w:t>
            </w:r>
            <w:r>
              <w:rPr>
                <w:rFonts w:ascii="Times New Roman;serif" w:hAnsi="Times New Roman;serif"/>
                <w:b w:val="false"/>
                <w:color w:val="000000"/>
                <w:sz w:val="20"/>
              </w:rPr>
              <w:t>Investments in equity securities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w:t>
            </w:r>
          </w:p>
        </w:tc>
        <w:tc>
          <w:tcPr>
            <w:tcW w:w="19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Cash capital expenditure</w:t>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(21,085)</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9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Proceeds from sale of property, plant and equipment and businesses</w:t>
            </w:r>
            <w:r>
              <w:rPr>
                <w:rFonts w:ascii="Times New Roman;serif" w:hAnsi="Times New Roman;serif"/>
                <w:b w:val="false"/>
                <w:color w:val="000000"/>
                <w:sz w:val="13"/>
              </w:rPr>
              <w:t>1</w:t>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joint ventures and associates from sale, capital reduction and repayment of long-term loans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equity securities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Other investing cash inflows</w:t>
            </w:r>
            <w:r>
              <w:rPr>
                <w:rFonts w:ascii="Times New Roman;serif" w:hAnsi="Times New Roman;serif"/>
                <w:b w:val="false"/>
                <w:color w:val="000000"/>
                <w:sz w:val="13"/>
              </w:rPr>
              <w:t>1</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investing cash outflows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(5,190)</w:t>
            </w:r>
          </w:p>
        </w:tc>
        <w:tc>
          <w:tcPr>
            <w:tcW w:w="19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(2,257)</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(4,431)</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investing activities</w:t>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(16,812)</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(15,155)</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9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increase/(decrease) in debt with maturity period within three months</w:t>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 xml:space="preserve">– </w:t>
            </w:r>
            <w:r>
              <w:rPr>
                <w:rFonts w:ascii="Times New Roman;serif" w:hAnsi="Times New Roman;serif"/>
                <w:b w:val="false"/>
                <w:color w:val="000000"/>
                <w:sz w:val="20"/>
              </w:rPr>
              <w:t>New borrowings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Repayments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non-controlling interest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 to:</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Shell plc shareholders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Non-controlling interest</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shares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held in trust: net sales/(purchases) and dividends received</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(7,049)</w:t>
            </w:r>
          </w:p>
        </w:tc>
        <w:tc>
          <w:tcPr>
            <w:tcW w:w="19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(9,473)</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(10,889)</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financing activities</w:t>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(35,811)</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(38,435)</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9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(2,838)</w:t>
            </w:r>
          </w:p>
        </w:tc>
        <w:tc>
          <w:tcPr>
            <w:tcW w:w="19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w:t>
            </w:r>
            <w:r>
              <w:rPr>
                <w:color w:val="000000"/>
              </w:rPr>
              <w:t> </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(3,142)</w:t>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Increase/(decrease) in cash and cash equivalents</w:t>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(8,895)</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33,053</w:t>
            </w:r>
            <w:r>
              <w:rPr>
                <w:color w:val="000000"/>
              </w:rPr>
              <w:t> </w:t>
            </w:r>
          </w:p>
        </w:tc>
        <w:tc>
          <w:tcPr>
            <w:tcW w:w="19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32,682</w:t>
            </w:r>
            <w:r>
              <w:rPr>
                <w:color w:val="000000"/>
              </w:rPr>
              <w:t> </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42,252</w:t>
            </w:r>
            <w:r>
              <w:rPr>
                <w:color w:val="000000"/>
              </w:rPr>
              <w:t> </w:t>
            </w:r>
          </w:p>
        </w:tc>
        <w:tc>
          <w:tcPr>
            <w:tcW w:w="19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39,110</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38,774</w:t>
            </w:r>
            <w:r>
              <w:rPr>
                <w:color w:val="000000"/>
              </w:rPr>
              <w:t> </w:t>
            </w:r>
          </w:p>
        </w:tc>
        <w:tc>
          <w:tcPr>
            <w:tcW w:w="21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30,216</w:t>
            </w:r>
            <w:r>
              <w:rPr>
                <w:color w:val="000000"/>
              </w:rPr>
              <w:t> </w:t>
            </w:r>
          </w:p>
        </w:tc>
        <w:tc>
          <w:tcPr>
            <w:tcW w:w="193"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33,053</w:t>
            </w:r>
            <w:r>
              <w:rPr>
                <w:color w:val="000000"/>
              </w:rPr>
              <w:t> </w:t>
            </w:r>
          </w:p>
        </w:tc>
        <w:tc>
          <w:tcPr>
            <w:tcW w:w="197"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39,110</w:t>
            </w:r>
            <w:r>
              <w:rPr>
                <w:color w:val="000000"/>
              </w:rPr>
              <w:t> </w:t>
            </w:r>
          </w:p>
        </w:tc>
        <w:tc>
          <w:tcPr>
            <w:tcW w:w="197"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6"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762"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30,216</w:t>
            </w:r>
            <w:r>
              <w:rPr>
                <w:color w:val="000000"/>
              </w:rPr>
              <w:t> </w:t>
            </w:r>
          </w:p>
        </w:tc>
        <w:tc>
          <w:tcPr>
            <w:tcW w:w="15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39,110</w:t>
            </w:r>
            <w:r>
              <w:rPr>
                <w:color w:val="000000"/>
              </w:rPr>
              <w:t> </w:t>
            </w:r>
          </w:p>
        </w:tc>
        <w:tc>
          <w:tcPr>
            <w:tcW w:w="219"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See Note 7 “Other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21</w:t>
                      </w:r>
                    </w:p>
                  </w:txbxContent>
                </v:textbox>
                <w10:wrap type="none"/>
              </v:rect>
            </w:pict>
          </mc:Fallback>
        </mc:AlternateContent>
      </w:r>
    </w:p>
    <w:p>
      <w:pPr>
        <w:pStyle w:val="TextBody"/>
        <w:bidi w:val="0"/>
        <w:spacing w:lineRule="auto" w:line="276" w:before="200" w:after="200"/>
        <w:jc w:val="left"/>
        <w:rPr>
          <w:rFonts w:ascii="Times New Roman;serif" w:hAnsi="Times New Roman;serif"/>
          <w:b/>
          <w:color w:val="FF0000"/>
          <w:sz w:val="20"/>
        </w:rPr>
      </w:pPr>
      <w:r>
        <w:rPr>
          <w:rFonts w:ascii="Times New Roman;serif" w:hAnsi="Times New Roman;serif"/>
          <w:b/>
          <w:color w:val="FF0000"/>
          <w:sz w:val="20"/>
        </w:rPr>
        <w:t xml:space="preserve">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1.    Basis of preparation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unaudited Condensed Consolidated Financial Statements of Shell plc (“the Company”) and its subsidiaries (collectively referred to as “Shell”) have been prepared on the basis of the same accounting principles as those used in the Company's Annual Report and Accounts (pages 240 to 312) for the year ended December 31, 2024, as filed with the Registrar of Companies for England and Wales and as filed with the Autoriteit Financiële Markten (the Netherlands) and Amendment No. 1 to Form 20-F ("Form 20-F/A") (pages 10 to 83) for the year ended December 31, 2024, as filed with the US Securities and Exchange Commission, and should be read in conjunction with these filings.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presented in the unaudited Condensed Consolidated Financial Statements does not constitute statutory accounts within the meaning of section 434(3) of the Companies Act 2006 (“the Act”). Statutory accounts for the year ended December 31, 2024, were published in Shell's Annual Report and Accounts, a copy of which was delivered to the Registrar of Companies for England and Wales. The auditor's report on those accounts was unqualified, did not include a reference to any matters to which the auditor drew attention by way of emphasis without qualifying the report and did not contain a statement under sections 498(2) or 498(3) of the Act. The statutory accounts for the year ended December 31, 2025, will be delivered to the Registrar of Companies for England and Wales in due course. </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Key accounting considerations, significant judgements and estimates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Future long-term commodity price assumptions, which represent a significant estimate, were changed in the second quarter 2025. These remained unchanged in the second half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discount rates applied for impairment testing and the discount rate applied to provisions are reviewed on a regular basis. These discount rates applied in 2025 remain unchanged compared with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2.    Segment information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With effect from January 1, 2025, segment earnings are presented on an Adjusted Earnings basis (Adjusted Earnings), which is the earnings measure used by the Chief Executive Officer, who serves as the Chief Operating Decision Maker, for the purposes of making decisions about allocating resources and assessing performance. This aligns with Shell's focus on performance, discipline and simplification.</w:t>
      </w:r>
    </w:p>
    <w:p>
      <w:pPr>
        <w:pStyle w:val="TextBody"/>
        <w:bidi w:val="0"/>
        <w:spacing w:lineRule="auto" w:line="268" w:before="100" w:after="160"/>
        <w:jc w:val="left"/>
        <w:rPr>
          <w:rFonts w:ascii="Times New Roman;serif" w:hAnsi="Times New Roman;serif"/>
          <w:b w:val="false"/>
          <w:color w:val="000000"/>
          <w:sz w:val="20"/>
        </w:rPr>
      </w:pPr>
      <w:r>
        <w:rPr>
          <w:rFonts w:ascii="Times New Roman;serif" w:hAnsi="Times New Roman;serif"/>
          <w:b w:val="false"/>
          <w:color w:val="000000"/>
          <w:sz w:val="20"/>
        </w:rPr>
        <w:t>The Adjusted Earnings measure is presented on a current cost of supplies (CCS) basis and aims to facilitate a comparative understanding of Shell's financial performance from period to period by removing the effects of oil price changes on inventory carrying amounts and removing the effects of identified items. Identified items are in some cases driven by external factors and may, either individually or collectively, hinder the comparative understanding of Shell's financial results from period to period.</w:t>
      </w:r>
    </w:p>
    <w:p>
      <w:pPr>
        <w:pStyle w:val="TextBody"/>
        <w:bidi w:val="0"/>
        <w:spacing w:lineRule="auto" w:line="268" w:before="100" w:after="160"/>
        <w:jc w:val="left"/>
        <w:rPr>
          <w:rFonts w:ascii="Times New Roman;serif" w:hAnsi="Times New Roman;serif"/>
          <w:b w:val="false"/>
          <w:color w:val="000000"/>
          <w:sz w:val="20"/>
        </w:rPr>
      </w:pPr>
      <w:r>
        <w:rPr>
          <w:rFonts w:ascii="Times New Roman;serif" w:hAnsi="Times New Roman;serif"/>
          <w:b w:val="false"/>
          <w:color w:val="000000"/>
          <w:sz w:val="20"/>
        </w:rPr>
        <w:t>The segment earnings measure used until December 31, 2024 was CCS earnings. The difference between CCS earnings and Adjusted Earnings are the identified items. Comparative periods are presented below on an Adjusted Earnings basis.</w:t>
      </w:r>
    </w:p>
    <w:p>
      <w:pPr>
        <w:pStyle w:val="TextBody"/>
        <w:bidi w:val="0"/>
        <w:spacing w:before="100" w:after="160"/>
        <w:jc w:val="left"/>
        <w:rPr/>
      </w:pPr>
      <w:r>
        <w:rPr/>
      </w:r>
    </w:p>
    <w:p>
      <w:pPr>
        <w:pStyle w:val="TextBody"/>
        <w:bidi w:val="0"/>
        <w:spacing w:before="100" w:after="160"/>
        <w:jc w:val="left"/>
        <w:rPr/>
      </w:pPr>
      <w:r>
        <w:rPr/>
      </w:r>
    </w:p>
    <w:p>
      <w:pPr>
        <w:pStyle w:val="TextBody"/>
        <w:bidi w:val="0"/>
        <w:spacing w:before="100" w:after="160"/>
        <w:jc w:val="left"/>
        <w:rPr/>
      </w:pPr>
      <w:r>
        <w:rPr/>
      </w:r>
    </w:p>
    <w:p>
      <w:pPr>
        <w:pStyle w:val="TextBody"/>
        <w:bidi w:val="0"/>
        <w:spacing w:before="100" w:after="160"/>
        <w:jc w:val="left"/>
        <w:rPr/>
      </w:pPr>
      <w:r>
        <w:rPr/>
      </w:r>
    </w:p>
    <w:p>
      <w:pPr>
        <w:pStyle w:val="TextBody"/>
        <w:bidi w:val="0"/>
        <w:spacing w:before="10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22</w:t>
                      </w:r>
                    </w:p>
                  </w:txbxContent>
                </v:textbox>
                <w10:wrap type="none"/>
              </v:rect>
            </w:pict>
          </mc:Fallback>
        </mc:AlternateContent>
      </w:r>
    </w:p>
    <w:p>
      <w:pPr>
        <w:pStyle w:val="TextBody"/>
        <w:bidi w:val="0"/>
        <w:spacing w:lineRule="auto" w:line="268" w:before="0" w:after="160"/>
        <w:jc w:val="left"/>
        <w:rPr>
          <w:rFonts w:ascii="Times New Roman;serif" w:hAnsi="Times New Roman;serif"/>
          <w:b/>
          <w:color w:val="000000"/>
          <w:sz w:val="20"/>
        </w:rPr>
      </w:pPr>
      <w:r>
        <w:rPr>
          <w:rFonts w:ascii="Times New Roman;serif" w:hAnsi="Times New Roman;serif"/>
          <w:b/>
          <w:color w:val="000000"/>
          <w:sz w:val="20"/>
        </w:rPr>
        <w:t>ADJUSTED EARNINGS BY SEGMENT</w:t>
      </w:r>
    </w:p>
    <w:tbl>
      <w:tblPr>
        <w:tblW w:w="10205" w:type="dxa"/>
        <w:jc w:val="left"/>
        <w:tblInd w:w="0" w:type="dxa"/>
        <w:tblLayout w:type="fixed"/>
        <w:tblCellMar>
          <w:top w:w="28" w:type="dxa"/>
          <w:left w:w="28" w:type="dxa"/>
          <w:bottom w:w="28" w:type="dxa"/>
          <w:right w:w="28" w:type="dxa"/>
        </w:tblCellMar>
      </w:tblPr>
      <w:tblGrid>
        <w:gridCol w:w="1157"/>
        <w:gridCol w:w="887"/>
        <w:gridCol w:w="899"/>
        <w:gridCol w:w="364"/>
        <w:gridCol w:w="314"/>
        <w:gridCol w:w="316"/>
        <w:gridCol w:w="328"/>
        <w:gridCol w:w="329"/>
        <w:gridCol w:w="256"/>
        <w:gridCol w:w="275"/>
        <w:gridCol w:w="275"/>
        <w:gridCol w:w="276"/>
        <w:gridCol w:w="412"/>
        <w:gridCol w:w="412"/>
        <w:gridCol w:w="413"/>
        <w:gridCol w:w="537"/>
        <w:gridCol w:w="537"/>
        <w:gridCol w:w="539"/>
        <w:gridCol w:w="267"/>
        <w:gridCol w:w="267"/>
        <w:gridCol w:w="266"/>
        <w:gridCol w:w="328"/>
        <w:gridCol w:w="329"/>
        <w:gridCol w:w="222"/>
      </w:tblGrid>
      <w:tr>
        <w:trPr/>
        <w:tc>
          <w:tcPr>
            <w:tcW w:w="115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2025</w:t>
            </w:r>
          </w:p>
        </w:tc>
        <w:tc>
          <w:tcPr>
            <w:tcW w:w="726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943"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1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3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1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0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7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43"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Shell plc shareholders</w:t>
            </w:r>
          </w:p>
        </w:tc>
        <w:tc>
          <w:tcPr>
            <w:tcW w:w="99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4,134</w:t>
            </w:r>
            <w:r>
              <w:rPr>
                <w:color w:val="000000"/>
              </w:rPr>
              <w:t> </w:t>
            </w:r>
          </w:p>
        </w:tc>
        <w:tc>
          <w:tcPr>
            <w:tcW w:w="22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non-controlling interest</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Income/(loss) for the period</w:t>
            </w:r>
          </w:p>
        </w:tc>
        <w:tc>
          <w:tcPr>
            <w:tcW w:w="678"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1,839</w:t>
            </w:r>
            <w:r>
              <w:rPr>
                <w:color w:val="000000"/>
              </w:rPr>
              <w:t> </w:t>
            </w:r>
          </w:p>
        </w:tc>
        <w:tc>
          <w:tcPr>
            <w:tcW w:w="31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3,648</w:t>
            </w:r>
            <w:r>
              <w:rPr>
                <w:color w:val="000000"/>
              </w:rPr>
              <w:t> </w:t>
            </w:r>
          </w:p>
        </w:tc>
        <w:tc>
          <w:tcPr>
            <w:tcW w:w="25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w:t>
            </w:r>
          </w:p>
        </w:tc>
        <w:tc>
          <w:tcPr>
            <w:tcW w:w="27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(560)</w:t>
            </w:r>
          </w:p>
        </w:tc>
        <w:tc>
          <w:tcPr>
            <w:tcW w:w="413"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539"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(550)</w:t>
            </w:r>
          </w:p>
        </w:tc>
        <w:tc>
          <w:tcPr>
            <w:tcW w:w="26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4,180</w:t>
            </w:r>
            <w:r>
              <w:rPr>
                <w:color w:val="000000"/>
              </w:rPr>
              <w:t> </w:t>
            </w:r>
          </w:p>
        </w:tc>
        <w:tc>
          <w:tcPr>
            <w:tcW w:w="222"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cost of supplies adjustment before taxation</w:t>
            </w:r>
          </w:p>
        </w:tc>
        <w:tc>
          <w:tcPr>
            <w:tcW w:w="994"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41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22"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current cost of supplies adjustment</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Identified items before taxation</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identified items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678"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w:t>
            </w:r>
            <w:r>
              <w:rPr>
                <w:color w:val="000000"/>
              </w:rPr>
              <w:t> </w:t>
            </w:r>
          </w:p>
        </w:tc>
        <w:tc>
          <w:tcPr>
            <w:tcW w:w="31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1,570</w:t>
            </w:r>
            <w:r>
              <w:rPr>
                <w:color w:val="000000"/>
              </w:rPr>
              <w:t>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578</w:t>
            </w:r>
            <w:r>
              <w:rPr>
                <w:color w:val="000000"/>
              </w:rPr>
              <w:t> </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41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53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(567)</w:t>
            </w:r>
          </w:p>
        </w:tc>
        <w:tc>
          <w:tcPr>
            <w:tcW w:w="26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3,307</w:t>
            </w:r>
            <w:r>
              <w:rPr>
                <w:color w:val="000000"/>
              </w:rPr>
              <w:t> </w:t>
            </w:r>
          </w:p>
        </w:tc>
        <w:tc>
          <w:tcPr>
            <w:tcW w:w="222"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3"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Shell plc shareholders</w:t>
            </w:r>
          </w:p>
        </w:tc>
        <w:tc>
          <w:tcPr>
            <w:tcW w:w="994"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222"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non-controlling interest</w:t>
            </w:r>
          </w:p>
        </w:tc>
        <w:tc>
          <w:tcPr>
            <w:tcW w:w="994"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22"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4"/>
        <w:gridCol w:w="872"/>
        <w:gridCol w:w="884"/>
        <w:gridCol w:w="364"/>
        <w:gridCol w:w="313"/>
        <w:gridCol w:w="314"/>
        <w:gridCol w:w="315"/>
        <w:gridCol w:w="316"/>
        <w:gridCol w:w="256"/>
        <w:gridCol w:w="315"/>
        <w:gridCol w:w="316"/>
        <w:gridCol w:w="276"/>
        <w:gridCol w:w="459"/>
        <w:gridCol w:w="408"/>
        <w:gridCol w:w="409"/>
        <w:gridCol w:w="531"/>
        <w:gridCol w:w="531"/>
        <w:gridCol w:w="533"/>
        <w:gridCol w:w="267"/>
        <w:gridCol w:w="267"/>
        <w:gridCol w:w="266"/>
        <w:gridCol w:w="315"/>
        <w:gridCol w:w="316"/>
        <w:gridCol w:w="218"/>
      </w:tblGrid>
      <w:tr>
        <w:trPr/>
        <w:tc>
          <w:tcPr>
            <w:tcW w:w="114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Q3 2025</w:t>
            </w:r>
          </w:p>
        </w:tc>
        <w:tc>
          <w:tcPr>
            <w:tcW w:w="73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900"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7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59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0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4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0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Shell plc shareholders</w:t>
            </w:r>
          </w:p>
        </w:tc>
        <w:tc>
          <w:tcPr>
            <w:tcW w:w="99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5,322</w:t>
            </w:r>
            <w:r>
              <w:rPr>
                <w:color w:val="000000"/>
              </w:rPr>
              <w:t> </w:t>
            </w:r>
          </w:p>
        </w:tc>
        <w:tc>
          <w:tcPr>
            <w:tcW w:w="218"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non-controlling interest</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Income/(loss) for the period</w:t>
            </w:r>
          </w:p>
        </w:tc>
        <w:tc>
          <w:tcPr>
            <w:tcW w:w="677"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2,355</w:t>
            </w:r>
            <w:r>
              <w:rPr>
                <w:color w:val="000000"/>
              </w:rPr>
              <w:t> </w:t>
            </w:r>
          </w:p>
        </w:tc>
        <w:tc>
          <w:tcPr>
            <w:tcW w:w="314"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1,707</w:t>
            </w:r>
            <w:r>
              <w:rPr>
                <w:color w:val="000000"/>
              </w:rPr>
              <w:t> </w:t>
            </w:r>
          </w:p>
        </w:tc>
        <w:tc>
          <w:tcPr>
            <w:tcW w:w="25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w:t>
            </w:r>
            <w:r>
              <w:rPr>
                <w:color w:val="000000"/>
              </w:rPr>
              <w:t> </w:t>
            </w:r>
          </w:p>
        </w:tc>
        <w:tc>
          <w:tcPr>
            <w:tcW w:w="27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w:t>
            </w:r>
            <w:r>
              <w:rPr>
                <w:color w:val="000000"/>
              </w:rPr>
              <w:t> </w:t>
            </w:r>
          </w:p>
        </w:tc>
        <w:tc>
          <w:tcPr>
            <w:tcW w:w="409"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533"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(402)</w:t>
            </w:r>
          </w:p>
        </w:tc>
        <w:tc>
          <w:tcPr>
            <w:tcW w:w="26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5,420</w:t>
            </w:r>
            <w:r>
              <w:rPr>
                <w:color w:val="000000"/>
              </w:rPr>
              <w:t> </w:t>
            </w:r>
          </w:p>
        </w:tc>
        <w:tc>
          <w:tcPr>
            <w:tcW w:w="218"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cost of supplies adjustment before taxation</w:t>
            </w:r>
          </w:p>
        </w:tc>
        <w:tc>
          <w:tcPr>
            <w:tcW w:w="991"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8"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current cost of supplies adjustment</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Identified items before taxation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identified items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67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2,143</w:t>
            </w:r>
            <w:r>
              <w:rPr>
                <w:color w:val="000000"/>
              </w:rPr>
              <w:t> </w:t>
            </w:r>
          </w:p>
        </w:tc>
        <w:tc>
          <w:tcPr>
            <w:tcW w:w="314"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1,804</w:t>
            </w:r>
            <w:r>
              <w:rPr>
                <w:color w:val="000000"/>
              </w:rPr>
              <w:t>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w:t>
            </w:r>
            <w:r>
              <w:rPr>
                <w:color w:val="000000"/>
              </w:rPr>
              <w:t> </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w:t>
            </w:r>
            <w:r>
              <w:rPr>
                <w:color w:val="000000"/>
              </w:rPr>
              <w:t> </w:t>
            </w:r>
          </w:p>
        </w:tc>
        <w:tc>
          <w:tcPr>
            <w:tcW w:w="4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53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(383)</w:t>
            </w:r>
          </w:p>
        </w:tc>
        <w:tc>
          <w:tcPr>
            <w:tcW w:w="26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5,523</w:t>
            </w:r>
            <w:r>
              <w:rPr>
                <w:color w:val="000000"/>
              </w:rPr>
              <w:t> </w:t>
            </w:r>
          </w:p>
        </w:tc>
        <w:tc>
          <w:tcPr>
            <w:tcW w:w="218"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00"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Shell plc shareholders</w:t>
            </w:r>
          </w:p>
        </w:tc>
        <w:tc>
          <w:tcPr>
            <w:tcW w:w="991"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218"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non-controlling interest</w:t>
            </w:r>
          </w:p>
        </w:tc>
        <w:tc>
          <w:tcPr>
            <w:tcW w:w="991"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18"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65"/>
        <w:gridCol w:w="895"/>
        <w:gridCol w:w="907"/>
        <w:gridCol w:w="364"/>
        <w:gridCol w:w="315"/>
        <w:gridCol w:w="316"/>
        <w:gridCol w:w="315"/>
        <w:gridCol w:w="316"/>
        <w:gridCol w:w="256"/>
        <w:gridCol w:w="275"/>
        <w:gridCol w:w="275"/>
        <w:gridCol w:w="276"/>
        <w:gridCol w:w="414"/>
        <w:gridCol w:w="414"/>
        <w:gridCol w:w="415"/>
        <w:gridCol w:w="552"/>
        <w:gridCol w:w="541"/>
        <w:gridCol w:w="543"/>
        <w:gridCol w:w="267"/>
        <w:gridCol w:w="267"/>
        <w:gridCol w:w="266"/>
        <w:gridCol w:w="314"/>
        <w:gridCol w:w="317"/>
        <w:gridCol w:w="220"/>
      </w:tblGrid>
      <w:tr>
        <w:trPr/>
        <w:tc>
          <w:tcPr>
            <w:tcW w:w="116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2024</w:t>
            </w:r>
          </w:p>
        </w:tc>
        <w:tc>
          <w:tcPr>
            <w:tcW w:w="723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96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4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3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0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5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67"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Shell plc shareholders</w:t>
            </w:r>
          </w:p>
        </w:tc>
        <w:tc>
          <w:tcPr>
            <w:tcW w:w="995"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w:t>
            </w:r>
            <w:r>
              <w:rPr>
                <w:color w:val="000000"/>
              </w:rPr>
              <w:t> </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non-controlling interest</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Income/(loss) for the period</w:t>
            </w:r>
          </w:p>
        </w:tc>
        <w:tc>
          <w:tcPr>
            <w:tcW w:w="679"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1,744</w:t>
            </w:r>
            <w:r>
              <w:rPr>
                <w:color w:val="000000"/>
              </w:rPr>
              <w:t> </w:t>
            </w:r>
          </w:p>
        </w:tc>
        <w:tc>
          <w:tcPr>
            <w:tcW w:w="31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w:t>
            </w:r>
            <w:r>
              <w:rPr>
                <w:color w:val="000000"/>
              </w:rPr>
              <w:t> </w:t>
            </w:r>
          </w:p>
        </w:tc>
        <w:tc>
          <w:tcPr>
            <w:tcW w:w="25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27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w:t>
            </w:r>
          </w:p>
        </w:tc>
        <w:tc>
          <w:tcPr>
            <w:tcW w:w="415"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(1,226)</w:t>
            </w:r>
          </w:p>
        </w:tc>
        <w:tc>
          <w:tcPr>
            <w:tcW w:w="543"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w:t>
            </w:r>
          </w:p>
        </w:tc>
        <w:tc>
          <w:tcPr>
            <w:tcW w:w="26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1,041</w:t>
            </w:r>
            <w:r>
              <w:rPr>
                <w:color w:val="000000"/>
              </w:rPr>
              <w:t> </w:t>
            </w:r>
          </w:p>
        </w:tc>
        <w:tc>
          <w:tcPr>
            <w:tcW w:w="220"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cost of supplies adjustment before taxation</w:t>
            </w:r>
          </w:p>
        </w:tc>
        <w:tc>
          <w:tcPr>
            <w:tcW w:w="995"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15"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20"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current cost of supplies adjustment</w:t>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Identified items before taxation</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identified items</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67"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679"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2,165</w:t>
            </w:r>
            <w:r>
              <w:rPr>
                <w:color w:val="000000"/>
              </w:rPr>
              <w:t> </w:t>
            </w:r>
          </w:p>
        </w:tc>
        <w:tc>
          <w:tcPr>
            <w:tcW w:w="31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1,682</w:t>
            </w:r>
            <w:r>
              <w:rPr>
                <w:color w:val="000000"/>
              </w:rPr>
              <w:t>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w:t>
            </w:r>
            <w:r>
              <w:rPr>
                <w:color w:val="000000"/>
              </w:rPr>
              <w:t> </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w:t>
            </w:r>
          </w:p>
        </w:tc>
        <w:tc>
          <w:tcPr>
            <w:tcW w:w="415"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(311)</w:t>
            </w:r>
          </w:p>
        </w:tc>
        <w:tc>
          <w:tcPr>
            <w:tcW w:w="54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(380)</w:t>
            </w:r>
          </w:p>
        </w:tc>
        <w:tc>
          <w:tcPr>
            <w:tcW w:w="26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3,766</w:t>
            </w:r>
            <w:r>
              <w:rPr>
                <w:color w:val="000000"/>
              </w:rPr>
              <w:t> </w:t>
            </w:r>
          </w:p>
        </w:tc>
        <w:tc>
          <w:tcPr>
            <w:tcW w:w="220"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67"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Shell plc shareholders</w:t>
            </w:r>
          </w:p>
        </w:tc>
        <w:tc>
          <w:tcPr>
            <w:tcW w:w="995"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220"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non-controlling interest</w:t>
            </w:r>
          </w:p>
        </w:tc>
        <w:tc>
          <w:tcPr>
            <w:tcW w:w="995"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20"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2"/>
        <w:gridCol w:w="835"/>
        <w:gridCol w:w="813"/>
        <w:gridCol w:w="364"/>
        <w:gridCol w:w="309"/>
        <w:gridCol w:w="310"/>
        <w:gridCol w:w="326"/>
        <w:gridCol w:w="327"/>
        <w:gridCol w:w="256"/>
        <w:gridCol w:w="315"/>
        <w:gridCol w:w="316"/>
        <w:gridCol w:w="276"/>
        <w:gridCol w:w="449"/>
        <w:gridCol w:w="395"/>
        <w:gridCol w:w="396"/>
        <w:gridCol w:w="509"/>
        <w:gridCol w:w="509"/>
        <w:gridCol w:w="511"/>
        <w:gridCol w:w="326"/>
        <w:gridCol w:w="327"/>
        <w:gridCol w:w="266"/>
        <w:gridCol w:w="368"/>
        <w:gridCol w:w="368"/>
        <w:gridCol w:w="222"/>
      </w:tblGrid>
      <w:tr>
        <w:trPr/>
        <w:tc>
          <w:tcPr>
            <w:tcW w:w="11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2025</w:t>
            </w:r>
          </w:p>
        </w:tc>
        <w:tc>
          <w:tcPr>
            <w:tcW w:w="744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60"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0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4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52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91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95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6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Shell plc shareholders</w:t>
            </w:r>
          </w:p>
        </w:tc>
        <w:tc>
          <w:tcPr>
            <w:tcW w:w="98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17,838</w:t>
            </w:r>
            <w:r>
              <w:rPr>
                <w:color w:val="000000"/>
              </w:rPr>
              <w:t> </w:t>
            </w:r>
          </w:p>
        </w:tc>
        <w:tc>
          <w:tcPr>
            <w:tcW w:w="22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non-controlling interest</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Income/(loss) for the period</w:t>
            </w:r>
          </w:p>
        </w:tc>
        <w:tc>
          <w:tcPr>
            <w:tcW w:w="673"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8,821</w:t>
            </w:r>
            <w:r>
              <w:rPr>
                <w:color w:val="000000"/>
              </w:rPr>
              <w:t> </w:t>
            </w:r>
          </w:p>
        </w:tc>
        <w:tc>
          <w:tcPr>
            <w:tcW w:w="310"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9,443</w:t>
            </w:r>
            <w:r>
              <w:rPr>
                <w:color w:val="000000"/>
              </w:rPr>
              <w:t> </w:t>
            </w:r>
          </w:p>
        </w:tc>
        <w:tc>
          <w:tcPr>
            <w:tcW w:w="25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2,057</w:t>
            </w:r>
            <w:r>
              <w:rPr>
                <w:color w:val="000000"/>
              </w:rPr>
              <w:t> </w:t>
            </w:r>
          </w:p>
        </w:tc>
        <w:tc>
          <w:tcPr>
            <w:tcW w:w="27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w:t>
            </w:r>
            <w:r>
              <w:rPr>
                <w:color w:val="000000"/>
              </w:rPr>
              <w:t> </w:t>
            </w:r>
          </w:p>
        </w:tc>
        <w:tc>
          <w:tcPr>
            <w:tcW w:w="39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(489)</w:t>
            </w:r>
          </w:p>
        </w:tc>
        <w:tc>
          <w:tcPr>
            <w:tcW w:w="511"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(1,974)</w:t>
            </w:r>
          </w:p>
        </w:tc>
        <w:tc>
          <w:tcPr>
            <w:tcW w:w="26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18,120</w:t>
            </w:r>
            <w:r>
              <w:rPr>
                <w:color w:val="000000"/>
              </w:rPr>
              <w:t> </w:t>
            </w:r>
          </w:p>
        </w:tc>
        <w:tc>
          <w:tcPr>
            <w:tcW w:w="222"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cost of supplies adjustment before taxation</w:t>
            </w:r>
          </w:p>
        </w:tc>
        <w:tc>
          <w:tcPr>
            <w:tcW w:w="983"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39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22"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current cost of supplies adjustment</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Identified items before taxation</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identified items</w:t>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6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673"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8,024</w:t>
            </w:r>
            <w:r>
              <w:rPr>
                <w:color w:val="000000"/>
              </w:rPr>
              <w:t> </w:t>
            </w:r>
          </w:p>
        </w:tc>
        <w:tc>
          <w:tcPr>
            <w:tcW w:w="310"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7,442</w:t>
            </w:r>
            <w:r>
              <w:rPr>
                <w:color w:val="000000"/>
              </w:rPr>
              <w:t>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3,994</w:t>
            </w:r>
            <w:r>
              <w:rPr>
                <w:color w:val="000000"/>
              </w:rPr>
              <w:t> </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1,051</w:t>
            </w:r>
            <w:r>
              <w:rPr>
                <w:color w:val="000000"/>
              </w:rPr>
              <w:t> </w:t>
            </w:r>
          </w:p>
        </w:tc>
        <w:tc>
          <w:tcPr>
            <w:tcW w:w="39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w:t>
            </w:r>
            <w:r>
              <w:rPr>
                <w:color w:val="000000"/>
              </w:rPr>
              <w:t> </w:t>
            </w:r>
          </w:p>
        </w:tc>
        <w:tc>
          <w:tcPr>
            <w:tcW w:w="511"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(1,870)</w:t>
            </w:r>
          </w:p>
        </w:tc>
        <w:tc>
          <w:tcPr>
            <w:tcW w:w="26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18,814</w:t>
            </w:r>
            <w:r>
              <w:rPr>
                <w:color w:val="000000"/>
              </w:rPr>
              <w:t> </w:t>
            </w:r>
          </w:p>
        </w:tc>
        <w:tc>
          <w:tcPr>
            <w:tcW w:w="222"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60"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Shell plc shareholders</w:t>
            </w:r>
          </w:p>
        </w:tc>
        <w:tc>
          <w:tcPr>
            <w:tcW w:w="983"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18,529 </w:t>
            </w:r>
          </w:p>
        </w:tc>
        <w:tc>
          <w:tcPr>
            <w:tcW w:w="222"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non-controlling interest</w:t>
            </w:r>
          </w:p>
        </w:tc>
        <w:tc>
          <w:tcPr>
            <w:tcW w:w="983"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22"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3"/>
        <w:gridCol w:w="824"/>
        <w:gridCol w:w="802"/>
        <w:gridCol w:w="369"/>
        <w:gridCol w:w="367"/>
        <w:gridCol w:w="309"/>
        <w:gridCol w:w="315"/>
        <w:gridCol w:w="316"/>
        <w:gridCol w:w="256"/>
        <w:gridCol w:w="315"/>
        <w:gridCol w:w="316"/>
        <w:gridCol w:w="276"/>
        <w:gridCol w:w="447"/>
        <w:gridCol w:w="392"/>
        <w:gridCol w:w="393"/>
        <w:gridCol w:w="518"/>
        <w:gridCol w:w="505"/>
        <w:gridCol w:w="507"/>
        <w:gridCol w:w="326"/>
        <w:gridCol w:w="327"/>
        <w:gridCol w:w="266"/>
        <w:gridCol w:w="368"/>
        <w:gridCol w:w="368"/>
        <w:gridCol w:w="220"/>
      </w:tblGrid>
      <w:tr>
        <w:trPr/>
        <w:tc>
          <w:tcPr>
            <w:tcW w:w="110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2024</w:t>
            </w:r>
          </w:p>
        </w:tc>
        <w:tc>
          <w:tcPr>
            <w:tcW w:w="747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29"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3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53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91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95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29"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Shell plc shareholders</w:t>
            </w:r>
          </w:p>
        </w:tc>
        <w:tc>
          <w:tcPr>
            <w:tcW w:w="1045"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16,094</w:t>
            </w:r>
            <w:r>
              <w:rPr>
                <w:color w:val="000000"/>
              </w:rPr>
              <w:t> </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non-controlling interest</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Income/(loss) for the period</w:t>
            </w:r>
          </w:p>
        </w:tc>
        <w:tc>
          <w:tcPr>
            <w:tcW w:w="736"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9,590</w:t>
            </w:r>
            <w:r>
              <w:rPr>
                <w:color w:val="000000"/>
              </w:rPr>
              <w:t> </w:t>
            </w:r>
          </w:p>
        </w:tc>
        <w:tc>
          <w:tcPr>
            <w:tcW w:w="309"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7,772</w:t>
            </w:r>
            <w:r>
              <w:rPr>
                <w:color w:val="000000"/>
              </w:rPr>
              <w:t> </w:t>
            </w:r>
          </w:p>
        </w:tc>
        <w:tc>
          <w:tcPr>
            <w:tcW w:w="25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w:t>
            </w:r>
            <w:r>
              <w:rPr>
                <w:color w:val="000000"/>
              </w:rPr>
              <w:t> </w:t>
            </w:r>
          </w:p>
        </w:tc>
        <w:tc>
          <w:tcPr>
            <w:tcW w:w="27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1,670</w:t>
            </w:r>
            <w:r>
              <w:rPr>
                <w:color w:val="000000"/>
              </w:rPr>
              <w:t> </w:t>
            </w:r>
          </w:p>
        </w:tc>
        <w:tc>
          <w:tcPr>
            <w:tcW w:w="393"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(1,229)</w:t>
            </w:r>
          </w:p>
        </w:tc>
        <w:tc>
          <w:tcPr>
            <w:tcW w:w="507"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(2,992)</w:t>
            </w:r>
          </w:p>
        </w:tc>
        <w:tc>
          <w:tcPr>
            <w:tcW w:w="266"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16,521</w:t>
            </w:r>
            <w:r>
              <w:rPr>
                <w:color w:val="000000"/>
              </w:rPr>
              <w:t> </w:t>
            </w:r>
          </w:p>
        </w:tc>
        <w:tc>
          <w:tcPr>
            <w:tcW w:w="220"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cost of supplies adjustment before taxation</w:t>
            </w:r>
          </w:p>
        </w:tc>
        <w:tc>
          <w:tcPr>
            <w:tcW w:w="1045"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9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20"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current cost of supplies adjustment</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Identified items before taxation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on identified items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29"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736"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11,390</w:t>
            </w:r>
            <w:r>
              <w:rPr>
                <w:color w:val="000000"/>
              </w:rPr>
              <w:t> </w:t>
            </w:r>
          </w:p>
        </w:tc>
        <w:tc>
          <w:tcPr>
            <w:tcW w:w="3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8,395</w:t>
            </w:r>
            <w:r>
              <w:rPr>
                <w:color w:val="000000"/>
              </w:rPr>
              <w:t> </w:t>
            </w:r>
          </w:p>
        </w:tc>
        <w:tc>
          <w:tcPr>
            <w:tcW w:w="25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3,885</w:t>
            </w:r>
            <w:r>
              <w:rPr>
                <w:color w:val="000000"/>
              </w:rPr>
              <w:t> </w:t>
            </w:r>
          </w:p>
        </w:tc>
        <w:tc>
          <w:tcPr>
            <w:tcW w:w="27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2,934</w:t>
            </w:r>
            <w:r>
              <w:rPr>
                <w:color w:val="000000"/>
              </w:rPr>
              <w:t> </w:t>
            </w:r>
          </w:p>
        </w:tc>
        <w:tc>
          <w:tcPr>
            <w:tcW w:w="393"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(497)</w:t>
            </w:r>
          </w:p>
        </w:tc>
        <w:tc>
          <w:tcPr>
            <w:tcW w:w="507"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(1,968)</w:t>
            </w:r>
          </w:p>
        </w:tc>
        <w:tc>
          <w:tcPr>
            <w:tcW w:w="266"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24,139</w:t>
            </w:r>
            <w:r>
              <w:rPr>
                <w:color w:val="000000"/>
              </w:rPr>
              <w:t> </w:t>
            </w:r>
          </w:p>
        </w:tc>
        <w:tc>
          <w:tcPr>
            <w:tcW w:w="220"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29"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Shell plc shareholders</w:t>
            </w:r>
          </w:p>
        </w:tc>
        <w:tc>
          <w:tcPr>
            <w:tcW w:w="1045"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B6B6B6"/>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23,716 </w:t>
            </w:r>
          </w:p>
        </w:tc>
        <w:tc>
          <w:tcPr>
            <w:tcW w:w="220" w:type="dxa"/>
            <w:tcBorders>
              <w:top w:val="single" w:sz="8"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attributable to non-controlling interest</w:t>
            </w:r>
          </w:p>
        </w:tc>
        <w:tc>
          <w:tcPr>
            <w:tcW w:w="1045"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20"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6"/>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CASH CAPITAL EXPENDITURE BY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capital expenditure is a measure used by the Chief Executive Officer for the purposes of making decisions about allocating resources and assessing performance.</w:t>
      </w:r>
    </w:p>
    <w:tbl>
      <w:tblPr>
        <w:tblW w:w="10205" w:type="dxa"/>
        <w:jc w:val="left"/>
        <w:tblInd w:w="0" w:type="dxa"/>
        <w:tblLayout w:type="fixed"/>
        <w:tblCellMar>
          <w:top w:w="28" w:type="dxa"/>
          <w:left w:w="28" w:type="dxa"/>
          <w:bottom w:w="28" w:type="dxa"/>
          <w:right w:w="28" w:type="dxa"/>
        </w:tblCellMar>
      </w:tblPr>
      <w:tblGrid>
        <w:gridCol w:w="952"/>
        <w:gridCol w:w="825"/>
        <w:gridCol w:w="835"/>
        <w:gridCol w:w="365"/>
        <w:gridCol w:w="327"/>
        <w:gridCol w:w="329"/>
        <w:gridCol w:w="315"/>
        <w:gridCol w:w="316"/>
        <w:gridCol w:w="256"/>
        <w:gridCol w:w="275"/>
        <w:gridCol w:w="275"/>
        <w:gridCol w:w="276"/>
        <w:gridCol w:w="491"/>
        <w:gridCol w:w="453"/>
        <w:gridCol w:w="454"/>
        <w:gridCol w:w="604"/>
        <w:gridCol w:w="604"/>
        <w:gridCol w:w="607"/>
        <w:gridCol w:w="265"/>
        <w:gridCol w:w="265"/>
        <w:gridCol w:w="266"/>
        <w:gridCol w:w="315"/>
        <w:gridCol w:w="316"/>
        <w:gridCol w:w="219"/>
      </w:tblGrid>
      <w:tr>
        <w:trPr/>
        <w:tc>
          <w:tcPr>
            <w:tcW w:w="95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2025</w:t>
            </w:r>
          </w:p>
        </w:tc>
        <w:tc>
          <w:tcPr>
            <w:tcW w:w="759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61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9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81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5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612"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w:t>
            </w:r>
          </w:p>
        </w:tc>
        <w:tc>
          <w:tcPr>
            <w:tcW w:w="692"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329"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454"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60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219"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joint ventures and associates</w:t>
            </w:r>
          </w:p>
        </w:tc>
        <w:tc>
          <w:tcPr>
            <w:tcW w:w="69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2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5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0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1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securities</w:t>
            </w:r>
          </w:p>
        </w:tc>
        <w:tc>
          <w:tcPr>
            <w:tcW w:w="69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0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1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capital expenditure</w:t>
            </w:r>
          </w:p>
        </w:tc>
        <w:tc>
          <w:tcPr>
            <w:tcW w:w="692"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1,207</w:t>
            </w:r>
            <w:r>
              <w:rPr>
                <w:color w:val="000000"/>
              </w:rPr>
              <w:t> </w:t>
            </w:r>
          </w:p>
        </w:tc>
        <w:tc>
          <w:tcPr>
            <w:tcW w:w="329"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2,682</w:t>
            </w:r>
            <w:r>
              <w:rPr>
                <w:color w:val="000000"/>
              </w:rPr>
              <w:t> </w:t>
            </w:r>
          </w:p>
        </w:tc>
        <w:tc>
          <w:tcPr>
            <w:tcW w:w="25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688</w:t>
            </w:r>
            <w:r>
              <w:rPr>
                <w:color w:val="000000"/>
              </w:rPr>
              <w:t> </w:t>
            </w:r>
          </w:p>
        </w:tc>
        <w:tc>
          <w:tcPr>
            <w:tcW w:w="27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w:t>
            </w:r>
            <w:r>
              <w:rPr>
                <w:color w:val="000000"/>
              </w:rPr>
              <w:t> </w:t>
            </w:r>
          </w:p>
        </w:tc>
        <w:tc>
          <w:tcPr>
            <w:tcW w:w="454"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w:t>
            </w:r>
            <w:r>
              <w:rPr>
                <w:color w:val="000000"/>
              </w:rPr>
              <w:t> </w:t>
            </w:r>
          </w:p>
        </w:tc>
        <w:tc>
          <w:tcPr>
            <w:tcW w:w="607"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26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6,015</w:t>
            </w:r>
            <w:r>
              <w:rPr>
                <w:color w:val="000000"/>
              </w:rPr>
              <w:t> </w:t>
            </w:r>
          </w:p>
        </w:tc>
        <w:tc>
          <w:tcPr>
            <w:tcW w:w="219"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8"/>
        <w:gridCol w:w="831"/>
        <w:gridCol w:w="841"/>
        <w:gridCol w:w="365"/>
        <w:gridCol w:w="328"/>
        <w:gridCol w:w="330"/>
        <w:gridCol w:w="315"/>
        <w:gridCol w:w="316"/>
        <w:gridCol w:w="256"/>
        <w:gridCol w:w="275"/>
        <w:gridCol w:w="275"/>
        <w:gridCol w:w="276"/>
        <w:gridCol w:w="455"/>
        <w:gridCol w:w="455"/>
        <w:gridCol w:w="457"/>
        <w:gridCol w:w="608"/>
        <w:gridCol w:w="608"/>
        <w:gridCol w:w="610"/>
        <w:gridCol w:w="265"/>
        <w:gridCol w:w="265"/>
        <w:gridCol w:w="266"/>
        <w:gridCol w:w="315"/>
        <w:gridCol w:w="316"/>
        <w:gridCol w:w="219"/>
      </w:tblGrid>
      <w:tr>
        <w:trPr/>
        <w:tc>
          <w:tcPr>
            <w:tcW w:w="95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Q3 2025</w:t>
            </w:r>
          </w:p>
        </w:tc>
        <w:tc>
          <w:tcPr>
            <w:tcW w:w="757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630"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6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82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5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63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w:t>
            </w:r>
          </w:p>
        </w:tc>
        <w:tc>
          <w:tcPr>
            <w:tcW w:w="693"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33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45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61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219"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joint ventures and associates</w:t>
            </w:r>
          </w:p>
        </w:tc>
        <w:tc>
          <w:tcPr>
            <w:tcW w:w="69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3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5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61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1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securities</w:t>
            </w:r>
          </w:p>
        </w:tc>
        <w:tc>
          <w:tcPr>
            <w:tcW w:w="69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1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capital expenditure</w:t>
            </w:r>
          </w:p>
        </w:tc>
        <w:tc>
          <w:tcPr>
            <w:tcW w:w="693"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1,169</w:t>
            </w:r>
            <w:r>
              <w:rPr>
                <w:color w:val="000000"/>
              </w:rPr>
              <w:t> </w:t>
            </w:r>
          </w:p>
        </w:tc>
        <w:tc>
          <w:tcPr>
            <w:tcW w:w="330"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1,885</w:t>
            </w:r>
            <w:r>
              <w:rPr>
                <w:color w:val="000000"/>
              </w:rPr>
              <w:t> </w:t>
            </w:r>
          </w:p>
        </w:tc>
        <w:tc>
          <w:tcPr>
            <w:tcW w:w="25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w:t>
            </w:r>
            <w:r>
              <w:rPr>
                <w:color w:val="000000"/>
              </w:rPr>
              <w:t> </w:t>
            </w:r>
          </w:p>
        </w:tc>
        <w:tc>
          <w:tcPr>
            <w:tcW w:w="27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813</w:t>
            </w:r>
            <w:r>
              <w:rPr>
                <w:color w:val="000000"/>
              </w:rPr>
              <w:t> </w:t>
            </w:r>
          </w:p>
        </w:tc>
        <w:tc>
          <w:tcPr>
            <w:tcW w:w="457"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w:t>
            </w:r>
            <w:r>
              <w:rPr>
                <w:color w:val="000000"/>
              </w:rPr>
              <w:t> </w:t>
            </w:r>
          </w:p>
        </w:tc>
        <w:tc>
          <w:tcPr>
            <w:tcW w:w="610"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26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4,907</w:t>
            </w:r>
            <w:r>
              <w:rPr>
                <w:color w:val="000000"/>
              </w:rPr>
              <w:t> </w:t>
            </w:r>
          </w:p>
        </w:tc>
        <w:tc>
          <w:tcPr>
            <w:tcW w:w="219"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50"/>
        <w:gridCol w:w="823"/>
        <w:gridCol w:w="833"/>
        <w:gridCol w:w="365"/>
        <w:gridCol w:w="327"/>
        <w:gridCol w:w="329"/>
        <w:gridCol w:w="315"/>
        <w:gridCol w:w="316"/>
        <w:gridCol w:w="256"/>
        <w:gridCol w:w="275"/>
        <w:gridCol w:w="275"/>
        <w:gridCol w:w="276"/>
        <w:gridCol w:w="490"/>
        <w:gridCol w:w="452"/>
        <w:gridCol w:w="454"/>
        <w:gridCol w:w="612"/>
        <w:gridCol w:w="604"/>
        <w:gridCol w:w="606"/>
        <w:gridCol w:w="265"/>
        <w:gridCol w:w="265"/>
        <w:gridCol w:w="266"/>
        <w:gridCol w:w="315"/>
        <w:gridCol w:w="316"/>
        <w:gridCol w:w="220"/>
      </w:tblGrid>
      <w:tr>
        <w:trPr/>
        <w:tc>
          <w:tcPr>
            <w:tcW w:w="9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2024</w:t>
            </w:r>
          </w:p>
        </w:tc>
        <w:tc>
          <w:tcPr>
            <w:tcW w:w="75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606"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82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5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606"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w:t>
            </w:r>
          </w:p>
        </w:tc>
        <w:tc>
          <w:tcPr>
            <w:tcW w:w="692"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329"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454"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60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6,486 </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joint ventures and associates</w:t>
            </w:r>
          </w:p>
        </w:tc>
        <w:tc>
          <w:tcPr>
            <w:tcW w:w="69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2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45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0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securities</w:t>
            </w:r>
          </w:p>
        </w:tc>
        <w:tc>
          <w:tcPr>
            <w:tcW w:w="69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0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capital expenditure</w:t>
            </w:r>
          </w:p>
        </w:tc>
        <w:tc>
          <w:tcPr>
            <w:tcW w:w="692"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1,337</w:t>
            </w:r>
            <w:r>
              <w:rPr>
                <w:color w:val="000000"/>
              </w:rPr>
              <w:t> </w:t>
            </w:r>
          </w:p>
        </w:tc>
        <w:tc>
          <w:tcPr>
            <w:tcW w:w="329"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2,076</w:t>
            </w:r>
            <w:r>
              <w:rPr>
                <w:color w:val="000000"/>
              </w:rPr>
              <w:t> </w:t>
            </w:r>
          </w:p>
        </w:tc>
        <w:tc>
          <w:tcPr>
            <w:tcW w:w="25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w:t>
            </w:r>
            <w:r>
              <w:rPr>
                <w:color w:val="000000"/>
              </w:rPr>
              <w:t> </w:t>
            </w:r>
          </w:p>
        </w:tc>
        <w:tc>
          <w:tcPr>
            <w:tcW w:w="27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1,392</w:t>
            </w:r>
            <w:r>
              <w:rPr>
                <w:color w:val="000000"/>
              </w:rPr>
              <w:t> </w:t>
            </w:r>
          </w:p>
        </w:tc>
        <w:tc>
          <w:tcPr>
            <w:tcW w:w="454"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1,277</w:t>
            </w:r>
            <w:r>
              <w:rPr>
                <w:color w:val="000000"/>
              </w:rPr>
              <w:t> </w:t>
            </w:r>
          </w:p>
        </w:tc>
        <w:tc>
          <w:tcPr>
            <w:tcW w:w="60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26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6,924</w:t>
            </w:r>
            <w:r>
              <w:rPr>
                <w:color w:val="000000"/>
              </w:rPr>
              <w:t> </w:t>
            </w:r>
          </w:p>
        </w:tc>
        <w:tc>
          <w:tcPr>
            <w:tcW w:w="220"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4"/>
        <w:gridCol w:w="808"/>
        <w:gridCol w:w="772"/>
        <w:gridCol w:w="365"/>
        <w:gridCol w:w="324"/>
        <w:gridCol w:w="325"/>
        <w:gridCol w:w="315"/>
        <w:gridCol w:w="316"/>
        <w:gridCol w:w="256"/>
        <w:gridCol w:w="315"/>
        <w:gridCol w:w="316"/>
        <w:gridCol w:w="276"/>
        <w:gridCol w:w="482"/>
        <w:gridCol w:w="441"/>
        <w:gridCol w:w="442"/>
        <w:gridCol w:w="594"/>
        <w:gridCol w:w="585"/>
        <w:gridCol w:w="587"/>
        <w:gridCol w:w="265"/>
        <w:gridCol w:w="265"/>
        <w:gridCol w:w="266"/>
        <w:gridCol w:w="367"/>
        <w:gridCol w:w="369"/>
        <w:gridCol w:w="220"/>
      </w:tblGrid>
      <w:tr>
        <w:trPr/>
        <w:tc>
          <w:tcPr>
            <w:tcW w:w="93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2025</w:t>
            </w:r>
          </w:p>
        </w:tc>
        <w:tc>
          <w:tcPr>
            <w:tcW w:w="769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514"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6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76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95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514"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w:t>
            </w:r>
          </w:p>
        </w:tc>
        <w:tc>
          <w:tcPr>
            <w:tcW w:w="68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32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44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58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18,947 </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joint ventures and associates</w:t>
            </w:r>
          </w:p>
        </w:tc>
        <w:tc>
          <w:tcPr>
            <w:tcW w:w="68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32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44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securities</w:t>
            </w:r>
          </w:p>
        </w:tc>
        <w:tc>
          <w:tcPr>
            <w:tcW w:w="68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capital expenditure</w:t>
            </w:r>
          </w:p>
        </w:tc>
        <w:tc>
          <w:tcPr>
            <w:tcW w:w="689"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4,689</w:t>
            </w:r>
            <w:r>
              <w:rPr>
                <w:color w:val="000000"/>
              </w:rPr>
              <w:t> </w:t>
            </w:r>
          </w:p>
        </w:tc>
        <w:tc>
          <w:tcPr>
            <w:tcW w:w="325"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9,316</w:t>
            </w:r>
            <w:r>
              <w:rPr>
                <w:color w:val="000000"/>
              </w:rPr>
              <w:t> </w:t>
            </w:r>
          </w:p>
        </w:tc>
        <w:tc>
          <w:tcPr>
            <w:tcW w:w="25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1,862</w:t>
            </w:r>
            <w:r>
              <w:rPr>
                <w:color w:val="000000"/>
              </w:rPr>
              <w:t> </w:t>
            </w:r>
          </w:p>
        </w:tc>
        <w:tc>
          <w:tcPr>
            <w:tcW w:w="27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3,063</w:t>
            </w:r>
            <w:r>
              <w:rPr>
                <w:color w:val="000000"/>
              </w:rPr>
              <w:t> </w:t>
            </w:r>
          </w:p>
        </w:tc>
        <w:tc>
          <w:tcPr>
            <w:tcW w:w="442"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1,866</w:t>
            </w:r>
            <w:r>
              <w:rPr>
                <w:color w:val="000000"/>
              </w:rPr>
              <w:t> </w:t>
            </w:r>
          </w:p>
        </w:tc>
        <w:tc>
          <w:tcPr>
            <w:tcW w:w="587"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26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20,915</w:t>
            </w:r>
            <w:r>
              <w:rPr>
                <w:color w:val="000000"/>
              </w:rPr>
              <w:t> </w:t>
            </w:r>
          </w:p>
        </w:tc>
        <w:tc>
          <w:tcPr>
            <w:tcW w:w="220"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4"/>
        <w:gridCol w:w="808"/>
        <w:gridCol w:w="772"/>
        <w:gridCol w:w="365"/>
        <w:gridCol w:w="324"/>
        <w:gridCol w:w="325"/>
        <w:gridCol w:w="315"/>
        <w:gridCol w:w="316"/>
        <w:gridCol w:w="256"/>
        <w:gridCol w:w="315"/>
        <w:gridCol w:w="316"/>
        <w:gridCol w:w="276"/>
        <w:gridCol w:w="482"/>
        <w:gridCol w:w="441"/>
        <w:gridCol w:w="442"/>
        <w:gridCol w:w="594"/>
        <w:gridCol w:w="585"/>
        <w:gridCol w:w="587"/>
        <w:gridCol w:w="265"/>
        <w:gridCol w:w="265"/>
        <w:gridCol w:w="266"/>
        <w:gridCol w:w="367"/>
        <w:gridCol w:w="369"/>
        <w:gridCol w:w="220"/>
      </w:tblGrid>
      <w:tr>
        <w:trPr/>
        <w:tc>
          <w:tcPr>
            <w:tcW w:w="93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2024</w:t>
            </w:r>
          </w:p>
        </w:tc>
        <w:tc>
          <w:tcPr>
            <w:tcW w:w="769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514"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6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76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95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514"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w:t>
            </w:r>
          </w:p>
        </w:tc>
        <w:tc>
          <w:tcPr>
            <w:tcW w:w="68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32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44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58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19,601 </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joint ventures and associates</w:t>
            </w:r>
          </w:p>
        </w:tc>
        <w:tc>
          <w:tcPr>
            <w:tcW w:w="68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2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44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securities</w:t>
            </w:r>
          </w:p>
        </w:tc>
        <w:tc>
          <w:tcPr>
            <w:tcW w:w="68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capital expenditure</w:t>
            </w:r>
          </w:p>
        </w:tc>
        <w:tc>
          <w:tcPr>
            <w:tcW w:w="689"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4,767</w:t>
            </w:r>
            <w:r>
              <w:rPr>
                <w:color w:val="000000"/>
              </w:rPr>
              <w:t> </w:t>
            </w:r>
          </w:p>
        </w:tc>
        <w:tc>
          <w:tcPr>
            <w:tcW w:w="325"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7,890</w:t>
            </w:r>
            <w:r>
              <w:rPr>
                <w:color w:val="000000"/>
              </w:rPr>
              <w:t> </w:t>
            </w:r>
          </w:p>
        </w:tc>
        <w:tc>
          <w:tcPr>
            <w:tcW w:w="25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2,445</w:t>
            </w:r>
            <w:r>
              <w:rPr>
                <w:color w:val="000000"/>
              </w:rPr>
              <w:t> </w:t>
            </w:r>
          </w:p>
        </w:tc>
        <w:tc>
          <w:tcPr>
            <w:tcW w:w="27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3,290</w:t>
            </w:r>
            <w:r>
              <w:rPr>
                <w:color w:val="000000"/>
              </w:rPr>
              <w:t> </w:t>
            </w:r>
          </w:p>
        </w:tc>
        <w:tc>
          <w:tcPr>
            <w:tcW w:w="442"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2,549</w:t>
            </w:r>
            <w:r>
              <w:rPr>
                <w:color w:val="000000"/>
              </w:rPr>
              <w:t> </w:t>
            </w:r>
          </w:p>
        </w:tc>
        <w:tc>
          <w:tcPr>
            <w:tcW w:w="587"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266"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21,085</w:t>
            </w:r>
            <w:r>
              <w:rPr>
                <w:color w:val="000000"/>
              </w:rPr>
              <w:t> </w:t>
            </w:r>
          </w:p>
        </w:tc>
        <w:tc>
          <w:tcPr>
            <w:tcW w:w="220" w:type="dxa"/>
            <w:tcBorders>
              <w:top w:val="single" w:sz="8" w:space="0" w:color="B6B6B6"/>
              <w:bottom w:val="single" w:sz="8" w:space="0" w:color="B6B6B6"/>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60"/>
        <w:jc w:val="left"/>
        <w:rPr/>
      </w:pPr>
      <w:r>
        <w:rPr/>
      </w:r>
    </w:p>
    <w:p>
      <w:pPr>
        <w:pStyle w:val="TextBody"/>
        <w:bidi w:val="0"/>
        <w:spacing w:lineRule="auto" w:line="288" w:before="120" w:after="160"/>
        <w:jc w:val="left"/>
        <w:rPr>
          <w:rFonts w:ascii="Times New Roman;serif" w:hAnsi="Times New Roman;serif"/>
          <w:b/>
          <w:color w:val="000000"/>
          <w:sz w:val="20"/>
        </w:rPr>
      </w:pPr>
      <w:r>
        <w:rPr>
          <w:rFonts w:ascii="Times New Roman;serif" w:hAnsi="Times New Roman;serif"/>
          <w:b/>
          <w:color w:val="000000"/>
          <w:sz w:val="20"/>
        </w:rPr>
        <w:t>REVENUE BY SEGMENT</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Third-party revenue includes revenue from sources other than from contracts with customers, which mainly comprises the impact of fair value accounting of commodity derivatives.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3"/>
        <w:gridCol w:w="485"/>
        <w:gridCol w:w="493"/>
        <w:gridCol w:w="366"/>
        <w:gridCol w:w="359"/>
        <w:gridCol w:w="361"/>
        <w:gridCol w:w="308"/>
        <w:gridCol w:w="308"/>
        <w:gridCol w:w="256"/>
        <w:gridCol w:w="360"/>
        <w:gridCol w:w="361"/>
        <w:gridCol w:w="276"/>
        <w:gridCol w:w="570"/>
        <w:gridCol w:w="553"/>
        <w:gridCol w:w="555"/>
        <w:gridCol w:w="769"/>
        <w:gridCol w:w="768"/>
        <w:gridCol w:w="771"/>
        <w:gridCol w:w="265"/>
        <w:gridCol w:w="265"/>
        <w:gridCol w:w="266"/>
        <w:gridCol w:w="360"/>
        <w:gridCol w:w="361"/>
        <w:gridCol w:w="216"/>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2025</w:t>
            </w:r>
          </w:p>
        </w:tc>
        <w:tc>
          <w:tcPr>
            <w:tcW w:w="867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531"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7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9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67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30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93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531"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Third-party </w:t>
            </w:r>
          </w:p>
        </w:tc>
        <w:tc>
          <w:tcPr>
            <w:tcW w:w="72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36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26,881 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17,655 </w:t>
            </w:r>
          </w:p>
        </w:tc>
        <w:tc>
          <w:tcPr>
            <w:tcW w:w="55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7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64,093 </w:t>
            </w:r>
          </w:p>
        </w:tc>
        <w:tc>
          <w:tcPr>
            <w:tcW w:w="21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Inter-segment</w:t>
            </w:r>
          </w:p>
        </w:tc>
        <w:tc>
          <w:tcPr>
            <w:tcW w:w="725" w:type="dxa"/>
            <w:gridSpan w:val="2"/>
            <w:tcBorders>
              <w:top w:val="single" w:sz="2" w:space="0" w:color="53575A"/>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361" w:type="dxa"/>
            <w:tcBorders>
              <w:top w:val="single" w:sz="2" w:space="0" w:color="53575A"/>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55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7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22,531 </w:t>
            </w:r>
          </w:p>
        </w:tc>
        <w:tc>
          <w:tcPr>
            <w:tcW w:w="21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3"/>
        <w:gridCol w:w="485"/>
        <w:gridCol w:w="493"/>
        <w:gridCol w:w="366"/>
        <w:gridCol w:w="359"/>
        <w:gridCol w:w="361"/>
        <w:gridCol w:w="308"/>
        <w:gridCol w:w="308"/>
        <w:gridCol w:w="256"/>
        <w:gridCol w:w="360"/>
        <w:gridCol w:w="361"/>
        <w:gridCol w:w="276"/>
        <w:gridCol w:w="570"/>
        <w:gridCol w:w="553"/>
        <w:gridCol w:w="555"/>
        <w:gridCol w:w="769"/>
        <w:gridCol w:w="768"/>
        <w:gridCol w:w="771"/>
        <w:gridCol w:w="265"/>
        <w:gridCol w:w="265"/>
        <w:gridCol w:w="266"/>
        <w:gridCol w:w="360"/>
        <w:gridCol w:w="361"/>
        <w:gridCol w:w="216"/>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Q3 2025</w:t>
            </w:r>
          </w:p>
        </w:tc>
        <w:tc>
          <w:tcPr>
            <w:tcW w:w="867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531"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7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9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67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30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93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531"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Third-party </w:t>
            </w:r>
          </w:p>
        </w:tc>
        <w:tc>
          <w:tcPr>
            <w:tcW w:w="72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9,736 </w:t>
            </w:r>
          </w:p>
        </w:tc>
        <w:tc>
          <w:tcPr>
            <w:tcW w:w="36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19,418 </w:t>
            </w:r>
          </w:p>
        </w:tc>
        <w:tc>
          <w:tcPr>
            <w:tcW w:w="55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7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68,153 </w:t>
            </w:r>
          </w:p>
        </w:tc>
        <w:tc>
          <w:tcPr>
            <w:tcW w:w="21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Inter-segment</w:t>
            </w:r>
          </w:p>
        </w:tc>
        <w:tc>
          <w:tcPr>
            <w:tcW w:w="72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36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9,774 </w:t>
            </w:r>
          </w:p>
        </w:tc>
        <w:tc>
          <w:tcPr>
            <w:tcW w:w="55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7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24,442 </w:t>
            </w:r>
          </w:p>
        </w:tc>
        <w:tc>
          <w:tcPr>
            <w:tcW w:w="21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3"/>
        <w:gridCol w:w="485"/>
        <w:gridCol w:w="493"/>
        <w:gridCol w:w="366"/>
        <w:gridCol w:w="359"/>
        <w:gridCol w:w="361"/>
        <w:gridCol w:w="308"/>
        <w:gridCol w:w="308"/>
        <w:gridCol w:w="256"/>
        <w:gridCol w:w="360"/>
        <w:gridCol w:w="361"/>
        <w:gridCol w:w="276"/>
        <w:gridCol w:w="570"/>
        <w:gridCol w:w="553"/>
        <w:gridCol w:w="555"/>
        <w:gridCol w:w="769"/>
        <w:gridCol w:w="768"/>
        <w:gridCol w:w="771"/>
        <w:gridCol w:w="265"/>
        <w:gridCol w:w="265"/>
        <w:gridCol w:w="266"/>
        <w:gridCol w:w="360"/>
        <w:gridCol w:w="361"/>
        <w:gridCol w:w="216"/>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2024</w:t>
            </w:r>
          </w:p>
        </w:tc>
        <w:tc>
          <w:tcPr>
            <w:tcW w:w="867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531"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7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9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67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30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93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531"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Third-party </w:t>
            </w:r>
          </w:p>
        </w:tc>
        <w:tc>
          <w:tcPr>
            <w:tcW w:w="72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9,294 </w:t>
            </w:r>
          </w:p>
        </w:tc>
        <w:tc>
          <w:tcPr>
            <w:tcW w:w="36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27,524 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19,992 </w:t>
            </w:r>
          </w:p>
        </w:tc>
        <w:tc>
          <w:tcPr>
            <w:tcW w:w="55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7,808 </w:t>
            </w:r>
          </w:p>
        </w:tc>
        <w:tc>
          <w:tcPr>
            <w:tcW w:w="7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66,281 </w:t>
            </w:r>
          </w:p>
        </w:tc>
        <w:tc>
          <w:tcPr>
            <w:tcW w:w="21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Inter-segment</w:t>
            </w:r>
          </w:p>
        </w:tc>
        <w:tc>
          <w:tcPr>
            <w:tcW w:w="72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36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8,656 </w:t>
            </w:r>
          </w:p>
        </w:tc>
        <w:tc>
          <w:tcPr>
            <w:tcW w:w="55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7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23,474 </w:t>
            </w:r>
          </w:p>
        </w:tc>
        <w:tc>
          <w:tcPr>
            <w:tcW w:w="21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0"/>
        <w:gridCol w:w="469"/>
        <w:gridCol w:w="352"/>
        <w:gridCol w:w="369"/>
        <w:gridCol w:w="364"/>
        <w:gridCol w:w="343"/>
        <w:gridCol w:w="360"/>
        <w:gridCol w:w="361"/>
        <w:gridCol w:w="256"/>
        <w:gridCol w:w="413"/>
        <w:gridCol w:w="413"/>
        <w:gridCol w:w="276"/>
        <w:gridCol w:w="547"/>
        <w:gridCol w:w="497"/>
        <w:gridCol w:w="499"/>
        <w:gridCol w:w="708"/>
        <w:gridCol w:w="678"/>
        <w:gridCol w:w="680"/>
        <w:gridCol w:w="265"/>
        <w:gridCol w:w="265"/>
        <w:gridCol w:w="266"/>
        <w:gridCol w:w="413"/>
        <w:gridCol w:w="413"/>
        <w:gridCol w:w="218"/>
      </w:tblGrid>
      <w:tr>
        <w:trPr/>
        <w:tc>
          <w:tcPr>
            <w:tcW w:w="78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2025</w:t>
            </w:r>
          </w:p>
        </w:tc>
        <w:tc>
          <w:tcPr>
            <w:tcW w:w="860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601"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7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110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54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06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104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601" w:type="dxa"/>
            <w:gridSpan w:val="3"/>
            <w:tcBorders>
              <w:top w:val="single" w:sz="4" w:space="0" w:color="494949"/>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76" w:type="dxa"/>
            <w:gridSpan w:val="3"/>
            <w:tcBorders>
              <w:top w:val="single" w:sz="4" w:space="0" w:color="494949"/>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494949"/>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2" w:type="dxa"/>
            <w:gridSpan w:val="3"/>
            <w:tcBorders>
              <w:top w:val="single" w:sz="4" w:space="0" w:color="494949"/>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4" w:space="0" w:color="494949"/>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4" w:space="0" w:color="494949"/>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494949"/>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494949"/>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op w:val="single" w:sz="4"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Third-party </w:t>
            </w:r>
          </w:p>
        </w:tc>
        <w:tc>
          <w:tcPr>
            <w:tcW w:w="733" w:type="dxa"/>
            <w:gridSpan w:val="2"/>
            <w:tcBorders>
              <w:top w:val="single" w:sz="4"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38,457 </w:t>
            </w:r>
          </w:p>
        </w:tc>
        <w:tc>
          <w:tcPr>
            <w:tcW w:w="343" w:type="dxa"/>
            <w:tcBorders>
              <w:top w:val="single" w:sz="4"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256" w:type="dxa"/>
            <w:tcBorders>
              <w:top w:val="single" w:sz="4"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111,854 </w:t>
            </w:r>
          </w:p>
        </w:tc>
        <w:tc>
          <w:tcPr>
            <w:tcW w:w="276" w:type="dxa"/>
            <w:tcBorders>
              <w:top w:val="single" w:sz="4"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77,071 </w:t>
            </w:r>
          </w:p>
        </w:tc>
        <w:tc>
          <w:tcPr>
            <w:tcW w:w="499" w:type="dxa"/>
            <w:tcBorders>
              <w:top w:val="single" w:sz="4"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34,359 </w:t>
            </w:r>
          </w:p>
        </w:tc>
        <w:tc>
          <w:tcPr>
            <w:tcW w:w="680" w:type="dxa"/>
            <w:tcBorders>
              <w:top w:val="single" w:sz="4"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6" w:type="dxa"/>
            <w:tcBorders>
              <w:top w:val="single" w:sz="4"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2929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266,886 </w:t>
            </w:r>
          </w:p>
        </w:tc>
        <w:tc>
          <w:tcPr>
            <w:tcW w:w="218" w:type="dxa"/>
            <w:tcBorders>
              <w:top w:val="single" w:sz="4"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Inter-segment</w:t>
            </w:r>
          </w:p>
        </w:tc>
        <w:tc>
          <w:tcPr>
            <w:tcW w:w="73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34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35,292 </w:t>
            </w:r>
          </w:p>
        </w:tc>
        <w:tc>
          <w:tcPr>
            <w:tcW w:w="49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68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93,471 </w:t>
            </w:r>
          </w:p>
        </w:tc>
        <w:tc>
          <w:tcPr>
            <w:tcW w:w="21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0"/>
        <w:gridCol w:w="469"/>
        <w:gridCol w:w="352"/>
        <w:gridCol w:w="369"/>
        <w:gridCol w:w="364"/>
        <w:gridCol w:w="343"/>
        <w:gridCol w:w="360"/>
        <w:gridCol w:w="361"/>
        <w:gridCol w:w="256"/>
        <w:gridCol w:w="413"/>
        <w:gridCol w:w="413"/>
        <w:gridCol w:w="276"/>
        <w:gridCol w:w="547"/>
        <w:gridCol w:w="497"/>
        <w:gridCol w:w="499"/>
        <w:gridCol w:w="708"/>
        <w:gridCol w:w="678"/>
        <w:gridCol w:w="680"/>
        <w:gridCol w:w="265"/>
        <w:gridCol w:w="265"/>
        <w:gridCol w:w="266"/>
        <w:gridCol w:w="413"/>
        <w:gridCol w:w="413"/>
        <w:gridCol w:w="218"/>
      </w:tblGrid>
      <w:tr>
        <w:trPr/>
        <w:tc>
          <w:tcPr>
            <w:tcW w:w="78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2024</w:t>
            </w:r>
          </w:p>
        </w:tc>
        <w:tc>
          <w:tcPr>
            <w:tcW w:w="860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601"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7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110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54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06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104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601"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7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Third-party </w:t>
            </w:r>
          </w:p>
        </w:tc>
        <w:tc>
          <w:tcPr>
            <w:tcW w:w="73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37,290 </w:t>
            </w:r>
          </w:p>
        </w:tc>
        <w:tc>
          <w:tcPr>
            <w:tcW w:w="34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120,089 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90,918 </w:t>
            </w:r>
          </w:p>
        </w:tc>
        <w:tc>
          <w:tcPr>
            <w:tcW w:w="49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29,366 </w:t>
            </w:r>
          </w:p>
        </w:tc>
        <w:tc>
          <w:tcPr>
            <w:tcW w:w="68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284,312 </w:t>
            </w:r>
          </w:p>
        </w:tc>
        <w:tc>
          <w:tcPr>
            <w:tcW w:w="21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Inter-segment</w:t>
            </w:r>
          </w:p>
        </w:tc>
        <w:tc>
          <w:tcPr>
            <w:tcW w:w="73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8,715 </w:t>
            </w:r>
          </w:p>
        </w:tc>
        <w:tc>
          <w:tcPr>
            <w:tcW w:w="34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39,939 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38,381 </w:t>
            </w:r>
          </w:p>
        </w:tc>
        <w:tc>
          <w:tcPr>
            <w:tcW w:w="49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4,971 </w:t>
            </w:r>
          </w:p>
        </w:tc>
        <w:tc>
          <w:tcPr>
            <w:tcW w:w="68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96,944 </w:t>
            </w:r>
          </w:p>
        </w:tc>
        <w:tc>
          <w:tcPr>
            <w:tcW w:w="21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27</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Identified items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objective of identified items is to remove material impacts on net income/loss arising from transactions which are generally uncontrollable and unusual (infrequent or non-recurring) in nature or giving rise to a mismatch between accounting and economic results, or certain transactions that are generally excluded from underlying results in the industry.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Identified items comprise: divestment gains and losses, impairments and impairment reversals, redundancy and restructuring, fair value accounting of commodity derivatives and certain gas contracts that gives rise to a mismatch between accounting and economic results, the impact of exchange rate movements and inflationary adjustments on certain deferred tax balances, and other items. </w:t>
      </w:r>
    </w:p>
    <w:tbl>
      <w:tblPr>
        <w:tblW w:w="10205" w:type="dxa"/>
        <w:jc w:val="left"/>
        <w:tblInd w:w="0" w:type="dxa"/>
        <w:tblLayout w:type="fixed"/>
        <w:tblCellMar>
          <w:top w:w="28" w:type="dxa"/>
          <w:left w:w="28" w:type="dxa"/>
          <w:bottom w:w="28" w:type="dxa"/>
          <w:right w:w="28" w:type="dxa"/>
        </w:tblCellMar>
      </w:tblPr>
      <w:tblGrid>
        <w:gridCol w:w="1389"/>
        <w:gridCol w:w="949"/>
        <w:gridCol w:w="959"/>
        <w:gridCol w:w="304"/>
        <w:gridCol w:w="304"/>
        <w:gridCol w:w="306"/>
        <w:gridCol w:w="315"/>
        <w:gridCol w:w="316"/>
        <w:gridCol w:w="256"/>
        <w:gridCol w:w="275"/>
        <w:gridCol w:w="275"/>
        <w:gridCol w:w="276"/>
        <w:gridCol w:w="380"/>
        <w:gridCol w:w="380"/>
        <w:gridCol w:w="381"/>
        <w:gridCol w:w="485"/>
        <w:gridCol w:w="485"/>
        <w:gridCol w:w="487"/>
        <w:gridCol w:w="269"/>
        <w:gridCol w:w="269"/>
        <w:gridCol w:w="271"/>
        <w:gridCol w:w="325"/>
        <w:gridCol w:w="326"/>
        <w:gridCol w:w="223"/>
      </w:tblGrid>
      <w:tr>
        <w:trPr/>
        <w:tc>
          <w:tcPr>
            <w:tcW w:w="138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2025</w:t>
            </w:r>
          </w:p>
        </w:tc>
        <w:tc>
          <w:tcPr>
            <w:tcW w:w="690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29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4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45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0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87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297"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before taxation</w:t>
            </w:r>
          </w:p>
        </w:tc>
        <w:tc>
          <w:tcPr>
            <w:tcW w:w="91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0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0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0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4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0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0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0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0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60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97"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Income/(loss) before taxation</w:t>
            </w:r>
          </w:p>
        </w:tc>
        <w:tc>
          <w:tcPr>
            <w:tcW w:w="60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30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2,067</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(587)</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(382)</w:t>
            </w:r>
          </w:p>
        </w:tc>
        <w:tc>
          <w:tcPr>
            <w:tcW w:w="38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(238)</w:t>
            </w:r>
          </w:p>
        </w:tc>
        <w:tc>
          <w:tcPr>
            <w:tcW w:w="48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22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9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Taxation (charge)/credit</w:t>
            </w:r>
          </w:p>
        </w:tc>
        <w:tc>
          <w:tcPr>
            <w:tcW w:w="60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30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38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48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27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22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97"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for the period</w:t>
            </w:r>
          </w:p>
        </w:tc>
        <w:tc>
          <w:tcPr>
            <w:tcW w:w="91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0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0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0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4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0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0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0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exchange rate movements and inflationary adjustments on tax balances</w:t>
            </w:r>
            <w:r>
              <w:rPr>
                <w:rFonts w:ascii="Times New Roman;serif" w:hAnsi="Times New Roman;serif"/>
                <w:b w:val="false"/>
                <w:color w:val="000000"/>
                <w:sz w:val="13"/>
              </w:rPr>
              <w:t>3</w:t>
            </w:r>
          </w:p>
        </w:tc>
        <w:tc>
          <w:tcPr>
            <w:tcW w:w="60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0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60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0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9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for the period</w:t>
            </w:r>
          </w:p>
        </w:tc>
        <w:tc>
          <w:tcPr>
            <w:tcW w:w="60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30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2,079</w:t>
            </w:r>
            <w:r>
              <w:rPr>
                <w:color w:val="000000"/>
              </w:rPr>
              <w:t>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(547)</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(310)</w:t>
            </w:r>
          </w:p>
        </w:tc>
        <w:tc>
          <w:tcPr>
            <w:tcW w:w="38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w:t>
            </w:r>
          </w:p>
        </w:tc>
        <w:tc>
          <w:tcPr>
            <w:tcW w:w="48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27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w:t>
            </w:r>
            <w:r>
              <w:rPr>
                <w:color w:val="000000"/>
              </w:rPr>
              <w:t> </w:t>
            </w:r>
          </w:p>
        </w:tc>
        <w:tc>
          <w:tcPr>
            <w:tcW w:w="22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97"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on Income/(loss) attributable to non-controlling interest</w:t>
            </w:r>
          </w:p>
        </w:tc>
        <w:tc>
          <w:tcPr>
            <w:tcW w:w="60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97"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attributable to Shell plc shareholders</w:t>
            </w:r>
          </w:p>
        </w:tc>
        <w:tc>
          <w:tcPr>
            <w:tcW w:w="60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30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2,079</w:t>
            </w:r>
            <w:r>
              <w:rPr>
                <w:color w:val="000000"/>
              </w:rPr>
              <w:t> </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(547)</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(310)</w:t>
            </w:r>
          </w:p>
        </w:tc>
        <w:tc>
          <w:tcPr>
            <w:tcW w:w="38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w:t>
            </w:r>
          </w:p>
        </w:tc>
        <w:tc>
          <w:tcPr>
            <w:tcW w:w="487"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27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w:t>
            </w:r>
            <w:r>
              <w:rPr>
                <w:color w:val="000000"/>
              </w:rPr>
              <w:t> </w:t>
            </w:r>
          </w:p>
        </w:tc>
        <w:tc>
          <w:tcPr>
            <w:tcW w:w="223"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84"/>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Fair value accounting of commodity derivatives and certain gas contracts: In the ordinary course of business, Shell enters into contracts to supply or purchase oil and gas products, as well as power and environmental products. Shell also enters into contracts for tolling, pipeline and storage capacity. Derivative contracts are entered into for mitigation of resulting economic exposures (generally price exposure) and these derivative contracts are carried at period-end market price (fair value), with movements in fair value recognised in income for the period. Supply and purchase contracts entered into for operational purposes, as well as contracts for tolling, pipeline and storage capacity, are, by contrast, recognised when the transaction occurs; furthermore, inventory is carried at historical cost or net realisable value, whichever is lower. As a consequence, accounting mismatches occur because: (a) the supply or purchase transaction is recognised in a different period; or (b) the inventory is measured on a different basis. In addition, certain contracts are, due to pricing or delivery conditions, deemed to contain embedded derivatives or written options and are also required to be carried at fair value even though they are entered into for operational purposes. The accounting impacts are reported as identified items. </w:t>
      </w:r>
    </w:p>
    <w:p>
      <w:pPr>
        <w:pStyle w:val="TextBody"/>
        <w:bidi w:val="0"/>
        <w:spacing w:lineRule="auto" w:line="276" w:before="0" w:after="0"/>
        <w:ind w:left="0" w:right="0" w:hanging="284"/>
        <w:jc w:val="left"/>
        <w:rPr/>
      </w:pPr>
      <w:r>
        <w:rPr>
          <w:rFonts w:ascii="Times New Roman;serif" w:hAnsi="Times New Roman;serif"/>
          <w:b w:val="false"/>
          <w:color w:val="000000"/>
          <w:sz w:val="13"/>
        </w:rPr>
        <w:t>2.</w:t>
      </w:r>
      <w:r>
        <w:rPr>
          <w:rFonts w:ascii="Times New Roman;serif" w:hAnsi="Times New Roman;serif"/>
          <w:b w:val="false"/>
          <w:color w:val="000000"/>
          <w:sz w:val="20"/>
        </w:rPr>
        <w:t>Other identified items represent other credits or charges that based on Shell management's assessment hinder the comparative understanding of Shell's financial results from period to period.</w:t>
      </w:r>
    </w:p>
    <w:p>
      <w:pPr>
        <w:pStyle w:val="TextBody"/>
        <w:bidi w:val="0"/>
        <w:spacing w:lineRule="auto" w:line="276"/>
        <w:ind w:left="0" w:right="0" w:hanging="284"/>
        <w:jc w:val="left"/>
        <w:rPr/>
      </w:pPr>
      <w:r>
        <w:rPr>
          <w:rFonts w:ascii="Times New Roman;serif" w:hAnsi="Times New Roman;serif"/>
          <w:b w:val="false"/>
          <w:color w:val="000000"/>
          <w:sz w:val="13"/>
        </w:rPr>
        <w:t>3.</w:t>
      </w:r>
      <w:r>
        <w:rPr>
          <w:rFonts w:ascii="Times New Roman;serif" w:hAnsi="Times New Roman;serif"/>
          <w:b w:val="false"/>
          <w:color w:val="000000"/>
          <w:sz w:val="20"/>
        </w:rPr>
        <w:t>Impact of exchange rate movements and inflationary adjustments on tax balances represents the impact on tax balances of exchange rate movements and inflationary adjustments arising on: (a) the conversion to dollars of the local currency tax base of non-monetary assets and liabilities, as well as recognised tax losses (this primarily impacts the Integrated Gas and Upstream segments); and (b) the conversion of dollar-denominated inter-segment loans to local currency, leading to taxable exchange rate gains or losses (this primarily impacts the Corporate segment).</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28</w:t>
                      </w:r>
                    </w:p>
                  </w:txbxContent>
                </v:textbox>
                <w10:wrap type="none"/>
              </v:rect>
            </w:pict>
          </mc:Fallback>
        </mc:AlternateContent>
      </w:r>
    </w:p>
    <w:p>
      <w:pPr>
        <w:pStyle w:val="TextBody"/>
        <w:bidi w:val="0"/>
        <w:spacing w:before="0" w:after="0"/>
        <w:ind w:left="0" w:right="0" w:firstLine="76"/>
        <w:jc w:val="left"/>
        <w:rPr/>
      </w:pPr>
      <w:r>
        <w:rPr/>
      </w:r>
    </w:p>
    <w:tbl>
      <w:tblPr>
        <w:tblW w:w="10205" w:type="dxa"/>
        <w:jc w:val="left"/>
        <w:tblInd w:w="0" w:type="dxa"/>
        <w:tblLayout w:type="fixed"/>
        <w:tblCellMar>
          <w:top w:w="28" w:type="dxa"/>
          <w:left w:w="28" w:type="dxa"/>
          <w:bottom w:w="28" w:type="dxa"/>
          <w:right w:w="28" w:type="dxa"/>
        </w:tblCellMar>
      </w:tblPr>
      <w:tblGrid>
        <w:gridCol w:w="1420"/>
        <w:gridCol w:w="985"/>
        <w:gridCol w:w="995"/>
        <w:gridCol w:w="306"/>
        <w:gridCol w:w="306"/>
        <w:gridCol w:w="308"/>
        <w:gridCol w:w="255"/>
        <w:gridCol w:w="255"/>
        <w:gridCol w:w="256"/>
        <w:gridCol w:w="275"/>
        <w:gridCol w:w="275"/>
        <w:gridCol w:w="276"/>
        <w:gridCol w:w="386"/>
        <w:gridCol w:w="386"/>
        <w:gridCol w:w="387"/>
        <w:gridCol w:w="495"/>
        <w:gridCol w:w="495"/>
        <w:gridCol w:w="497"/>
        <w:gridCol w:w="270"/>
        <w:gridCol w:w="270"/>
        <w:gridCol w:w="271"/>
        <w:gridCol w:w="308"/>
        <w:gridCol w:w="308"/>
        <w:gridCol w:w="220"/>
      </w:tblGrid>
      <w:tr>
        <w:trPr/>
        <w:tc>
          <w:tcPr>
            <w:tcW w:w="142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Q3 2025</w:t>
            </w:r>
          </w:p>
        </w:tc>
        <w:tc>
          <w:tcPr>
            <w:tcW w:w="68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400"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5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4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1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83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40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before taxation</w:t>
            </w:r>
          </w:p>
        </w:tc>
        <w:tc>
          <w:tcPr>
            <w:tcW w:w="92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1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3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9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1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9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1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9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1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49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61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9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0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Income/(loss) before taxation</w:t>
            </w:r>
          </w:p>
        </w:tc>
        <w:tc>
          <w:tcPr>
            <w:tcW w:w="612"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w:t>
            </w:r>
            <w:r>
              <w:rPr>
                <w:color w:val="000000"/>
              </w:rPr>
              <w:t> </w:t>
            </w:r>
          </w:p>
        </w:tc>
        <w:tc>
          <w:tcPr>
            <w:tcW w:w="308"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(988)</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w:t>
            </w:r>
            <w:r>
              <w:rPr>
                <w:color w:val="000000"/>
              </w:rPr>
              <w:t> </w:t>
            </w:r>
          </w:p>
        </w:tc>
        <w:tc>
          <w:tcPr>
            <w:tcW w:w="38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49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0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Taxation (charge)/credit</w:t>
            </w:r>
          </w:p>
        </w:tc>
        <w:tc>
          <w:tcPr>
            <w:tcW w:w="612"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308"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38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49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27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220"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0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for the period</w:t>
            </w:r>
          </w:p>
        </w:tc>
        <w:tc>
          <w:tcPr>
            <w:tcW w:w="92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1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3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9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1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9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1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9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1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9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exchange rate movements and inflationary adjustments on tax balances</w:t>
            </w:r>
            <w:r>
              <w:rPr>
                <w:rFonts w:ascii="Times New Roman;serif" w:hAnsi="Times New Roman;serif"/>
                <w:b w:val="false"/>
                <w:color w:val="000000"/>
                <w:sz w:val="13"/>
              </w:rPr>
              <w:t>1</w:t>
            </w:r>
          </w:p>
        </w:tc>
        <w:tc>
          <w:tcPr>
            <w:tcW w:w="61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61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9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0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for the period</w:t>
            </w:r>
          </w:p>
        </w:tc>
        <w:tc>
          <w:tcPr>
            <w:tcW w:w="612"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w:t>
            </w:r>
            <w:r>
              <w:rPr>
                <w:color w:val="000000"/>
              </w:rPr>
              <w:t> </w:t>
            </w:r>
          </w:p>
        </w:tc>
        <w:tc>
          <w:tcPr>
            <w:tcW w:w="308"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(759)</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w:t>
            </w:r>
            <w:r>
              <w:rPr>
                <w:color w:val="000000"/>
              </w:rPr>
              <w:t> </w:t>
            </w:r>
          </w:p>
        </w:tc>
        <w:tc>
          <w:tcPr>
            <w:tcW w:w="38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49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27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w:t>
            </w:r>
          </w:p>
        </w:tc>
        <w:tc>
          <w:tcPr>
            <w:tcW w:w="220"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0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on Income/(loss) attributable to non-controlling interest</w:t>
            </w:r>
          </w:p>
        </w:tc>
        <w:tc>
          <w:tcPr>
            <w:tcW w:w="612"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00"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attributable to Shell plc shareholders</w:t>
            </w:r>
          </w:p>
        </w:tc>
        <w:tc>
          <w:tcPr>
            <w:tcW w:w="612"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w:t>
            </w:r>
            <w:r>
              <w:rPr>
                <w:color w:val="000000"/>
              </w:rPr>
              <w:t> </w:t>
            </w:r>
          </w:p>
        </w:tc>
        <w:tc>
          <w:tcPr>
            <w:tcW w:w="308"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(759)</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w:t>
            </w:r>
            <w:r>
              <w:rPr>
                <w:color w:val="000000"/>
              </w:rPr>
              <w:t> </w:t>
            </w:r>
          </w:p>
        </w:tc>
        <w:tc>
          <w:tcPr>
            <w:tcW w:w="387"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497"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27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w:t>
            </w:r>
          </w:p>
        </w:tc>
        <w:tc>
          <w:tcPr>
            <w:tcW w:w="220"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ind w:left="0" w:right="0" w:hanging="284"/>
        <w:jc w:val="left"/>
        <w:rPr/>
      </w:pPr>
      <w:r>
        <w:rPr>
          <w:rFonts w:ascii="Times New Roman;serif" w:hAnsi="Times New Roman;serif"/>
          <w:b w:val="false"/>
          <w:color w:val="000000"/>
          <w:sz w:val="13"/>
        </w:rPr>
        <w:t>1.</w:t>
      </w:r>
      <w:r>
        <w:rPr>
          <w:rFonts w:ascii="Times New Roman;serif" w:hAnsi="Times New Roman;serif"/>
          <w:b w:val="false"/>
          <w:color w:val="000000"/>
          <w:sz w:val="20"/>
        </w:rPr>
        <w:t>For a detailed description, see the corresponding footnotes to the Q4 2025 identified items table above.</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29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08"/>
        <w:gridCol w:w="971"/>
        <w:gridCol w:w="981"/>
        <w:gridCol w:w="305"/>
        <w:gridCol w:w="305"/>
        <w:gridCol w:w="307"/>
        <w:gridCol w:w="260"/>
        <w:gridCol w:w="260"/>
        <w:gridCol w:w="256"/>
        <w:gridCol w:w="275"/>
        <w:gridCol w:w="275"/>
        <w:gridCol w:w="276"/>
        <w:gridCol w:w="384"/>
        <w:gridCol w:w="384"/>
        <w:gridCol w:w="385"/>
        <w:gridCol w:w="505"/>
        <w:gridCol w:w="491"/>
        <w:gridCol w:w="493"/>
        <w:gridCol w:w="270"/>
        <w:gridCol w:w="270"/>
        <w:gridCol w:w="271"/>
        <w:gridCol w:w="324"/>
        <w:gridCol w:w="327"/>
        <w:gridCol w:w="222"/>
      </w:tblGrid>
      <w:tr>
        <w:trPr/>
        <w:tc>
          <w:tcPr>
            <w:tcW w:w="140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2024</w:t>
            </w:r>
          </w:p>
        </w:tc>
        <w:tc>
          <w:tcPr>
            <w:tcW w:w="684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360"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7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5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48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1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87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36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before taxation</w:t>
            </w:r>
          </w:p>
        </w:tc>
        <w:tc>
          <w:tcPr>
            <w:tcW w:w="91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0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8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9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30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8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49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0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9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0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8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9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6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Income/(loss) before taxation</w:t>
            </w:r>
          </w:p>
        </w:tc>
        <w:tc>
          <w:tcPr>
            <w:tcW w:w="61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(514)</w:t>
            </w:r>
          </w:p>
        </w:tc>
        <w:tc>
          <w:tcPr>
            <w:tcW w:w="30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(491)</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(753)</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(291)</w:t>
            </w:r>
          </w:p>
        </w:tc>
        <w:tc>
          <w:tcPr>
            <w:tcW w:w="38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(958)</w:t>
            </w:r>
          </w:p>
        </w:tc>
        <w:tc>
          <w:tcPr>
            <w:tcW w:w="49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(3,008)</w:t>
            </w:r>
          </w:p>
        </w:tc>
        <w:tc>
          <w:tcPr>
            <w:tcW w:w="22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Taxation (charge)/credit</w:t>
            </w:r>
          </w:p>
        </w:tc>
        <w:tc>
          <w:tcPr>
            <w:tcW w:w="61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30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385"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49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27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22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for the period</w:t>
            </w:r>
          </w:p>
        </w:tc>
        <w:tc>
          <w:tcPr>
            <w:tcW w:w="91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0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8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9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0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8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49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0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9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0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9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exchange rate movements and inflationary adjustments on tax balances</w:t>
            </w:r>
            <w:r>
              <w:rPr>
                <w:rFonts w:ascii="Times New Roman;serif" w:hAnsi="Times New Roman;serif"/>
                <w:b w:val="false"/>
                <w:color w:val="000000"/>
                <w:sz w:val="13"/>
              </w:rPr>
              <w:t>1</w:t>
            </w:r>
          </w:p>
        </w:tc>
        <w:tc>
          <w:tcPr>
            <w:tcW w:w="6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0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6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0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8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for the period</w:t>
            </w:r>
          </w:p>
        </w:tc>
        <w:tc>
          <w:tcPr>
            <w:tcW w:w="61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(421)</w:t>
            </w:r>
          </w:p>
        </w:tc>
        <w:tc>
          <w:tcPr>
            <w:tcW w:w="30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(651)</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(736)</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w:t>
            </w:r>
          </w:p>
        </w:tc>
        <w:tc>
          <w:tcPr>
            <w:tcW w:w="385"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(914)</w:t>
            </w:r>
          </w:p>
        </w:tc>
        <w:tc>
          <w:tcPr>
            <w:tcW w:w="49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27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(2,778)</w:t>
            </w:r>
          </w:p>
        </w:tc>
        <w:tc>
          <w:tcPr>
            <w:tcW w:w="22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on Income/(loss) attributable to non-controlling interest</w:t>
            </w:r>
          </w:p>
        </w:tc>
        <w:tc>
          <w:tcPr>
            <w:tcW w:w="61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0"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attributable to Shell plc shareholders</w:t>
            </w:r>
          </w:p>
        </w:tc>
        <w:tc>
          <w:tcPr>
            <w:tcW w:w="61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(421)</w:t>
            </w:r>
          </w:p>
        </w:tc>
        <w:tc>
          <w:tcPr>
            <w:tcW w:w="307"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(651)</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(736)</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w:t>
            </w:r>
          </w:p>
        </w:tc>
        <w:tc>
          <w:tcPr>
            <w:tcW w:w="385"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(914)</w:t>
            </w:r>
          </w:p>
        </w:tc>
        <w:tc>
          <w:tcPr>
            <w:tcW w:w="493"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27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(2,778)</w:t>
            </w:r>
          </w:p>
        </w:tc>
        <w:tc>
          <w:tcPr>
            <w:tcW w:w="222"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84"/>
        <w:jc w:val="left"/>
        <w:rPr/>
      </w:pPr>
      <w:r>
        <w:rPr>
          <w:rFonts w:ascii="Times New Roman;serif" w:hAnsi="Times New Roman;serif"/>
          <w:b w:val="false"/>
          <w:color w:val="000000"/>
          <w:sz w:val="12"/>
        </w:rPr>
        <w:t>1.</w:t>
      </w:r>
      <w:r>
        <w:rPr>
          <w:rFonts w:ascii="Times New Roman;serif" w:hAnsi="Times New Roman;serif"/>
          <w:b w:val="false"/>
          <w:color w:val="000000"/>
          <w:sz w:val="18"/>
        </w:rPr>
        <w:t>For a detailed description, see the corresponding footnotes to the Q4 2025 identified items table above.</w:t>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42"/>
        <w:gridCol w:w="948"/>
        <w:gridCol w:w="823"/>
        <w:gridCol w:w="353"/>
        <w:gridCol w:w="302"/>
        <w:gridCol w:w="304"/>
        <w:gridCol w:w="315"/>
        <w:gridCol w:w="316"/>
        <w:gridCol w:w="256"/>
        <w:gridCol w:w="324"/>
        <w:gridCol w:w="325"/>
        <w:gridCol w:w="276"/>
        <w:gridCol w:w="374"/>
        <w:gridCol w:w="374"/>
        <w:gridCol w:w="375"/>
        <w:gridCol w:w="475"/>
        <w:gridCol w:w="475"/>
        <w:gridCol w:w="477"/>
        <w:gridCol w:w="266"/>
        <w:gridCol w:w="266"/>
        <w:gridCol w:w="266"/>
        <w:gridCol w:w="324"/>
        <w:gridCol w:w="325"/>
        <w:gridCol w:w="224"/>
      </w:tblGrid>
      <w:tr>
        <w:trPr/>
        <w:tc>
          <w:tcPr>
            <w:tcW w:w="14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2025</w:t>
            </w:r>
          </w:p>
        </w:tc>
        <w:tc>
          <w:tcPr>
            <w:tcW w:w="699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213"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2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2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42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7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213"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before taxation</w:t>
            </w:r>
          </w:p>
        </w:tc>
        <w:tc>
          <w:tcPr>
            <w:tcW w:w="95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5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0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37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7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22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5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30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37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47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w:t>
            </w:r>
          </w:p>
        </w:tc>
        <w:tc>
          <w:tcPr>
            <w:tcW w:w="22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5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0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7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7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22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5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30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7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47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2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65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7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7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22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13"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Income/(loss) before taxation</w:t>
            </w:r>
          </w:p>
        </w:tc>
        <w:tc>
          <w:tcPr>
            <w:tcW w:w="655"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w:t>
            </w:r>
            <w:r>
              <w:rPr>
                <w:color w:val="000000"/>
              </w:rPr>
              <w:t> </w:t>
            </w:r>
          </w:p>
        </w:tc>
        <w:tc>
          <w:tcPr>
            <w:tcW w:w="304"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2,399</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(2,080)</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w:t>
            </w:r>
          </w:p>
        </w:tc>
        <w:tc>
          <w:tcPr>
            <w:tcW w:w="37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(805)</w:t>
            </w:r>
          </w:p>
        </w:tc>
        <w:tc>
          <w:tcPr>
            <w:tcW w:w="47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(256)</w:t>
            </w:r>
          </w:p>
        </w:tc>
        <w:tc>
          <w:tcPr>
            <w:tcW w:w="224"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1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Taxation (charge)/credit</w:t>
            </w:r>
          </w:p>
        </w:tc>
        <w:tc>
          <w:tcPr>
            <w:tcW w:w="655"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304"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(399)</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w:t>
            </w:r>
            <w:r>
              <w:rPr>
                <w:color w:val="000000"/>
              </w:rPr>
              <w:t>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375"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47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2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224"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13"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for the period</w:t>
            </w:r>
          </w:p>
        </w:tc>
        <w:tc>
          <w:tcPr>
            <w:tcW w:w="95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5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0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37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7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22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5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30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37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47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w:t>
            </w:r>
          </w:p>
        </w:tc>
        <w:tc>
          <w:tcPr>
            <w:tcW w:w="22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5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0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7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7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22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5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30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7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47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2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Impact of exchange rate movements and inflationary adjustments on tax balances</w:t>
            </w:r>
            <w:r>
              <w:rPr>
                <w:rFonts w:ascii="Times New Roman;serif" w:hAnsi="Times New Roman;serif"/>
                <w:b w:val="false"/>
                <w:color w:val="000000"/>
                <w:sz w:val="13"/>
              </w:rPr>
              <w:t>1</w:t>
            </w:r>
          </w:p>
        </w:tc>
        <w:tc>
          <w:tcPr>
            <w:tcW w:w="65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0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2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65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0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7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7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22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1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for the period</w:t>
            </w:r>
          </w:p>
        </w:tc>
        <w:tc>
          <w:tcPr>
            <w:tcW w:w="655"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w:t>
            </w:r>
            <w:r>
              <w:rPr>
                <w:color w:val="000000"/>
              </w:rPr>
              <w:t> </w:t>
            </w:r>
          </w:p>
        </w:tc>
        <w:tc>
          <w:tcPr>
            <w:tcW w:w="304"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2,001</w:t>
            </w:r>
            <w:r>
              <w:rPr>
                <w:color w:val="000000"/>
              </w:rPr>
              <w:t>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(1,708)</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w:t>
            </w:r>
          </w:p>
        </w:tc>
        <w:tc>
          <w:tcPr>
            <w:tcW w:w="375"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(661)</w:t>
            </w:r>
          </w:p>
        </w:tc>
        <w:tc>
          <w:tcPr>
            <w:tcW w:w="47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2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224"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13"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attributable to non-controlling interest</w:t>
            </w:r>
          </w:p>
        </w:tc>
        <w:tc>
          <w:tcPr>
            <w:tcW w:w="655"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13"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attributable to Shell plc shareholders</w:t>
            </w:r>
          </w:p>
        </w:tc>
        <w:tc>
          <w:tcPr>
            <w:tcW w:w="655"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w:t>
            </w:r>
            <w:r>
              <w:rPr>
                <w:color w:val="000000"/>
              </w:rPr>
              <w:t> </w:t>
            </w:r>
          </w:p>
        </w:tc>
        <w:tc>
          <w:tcPr>
            <w:tcW w:w="304"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2,001</w:t>
            </w:r>
            <w:r>
              <w:rPr>
                <w:color w:val="000000"/>
              </w:rPr>
              <w:t> </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(1,708)</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w:t>
            </w:r>
          </w:p>
        </w:tc>
        <w:tc>
          <w:tcPr>
            <w:tcW w:w="375"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(661)</w:t>
            </w:r>
          </w:p>
        </w:tc>
        <w:tc>
          <w:tcPr>
            <w:tcW w:w="477"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26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224"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84"/>
        <w:jc w:val="left"/>
        <w:rPr/>
      </w:pPr>
      <w:r>
        <w:rPr>
          <w:rFonts w:ascii="Times New Roman;serif" w:hAnsi="Times New Roman;serif"/>
          <w:b w:val="false"/>
          <w:color w:val="000000"/>
          <w:sz w:val="12"/>
        </w:rPr>
        <w:t>1.</w:t>
      </w:r>
      <w:r>
        <w:rPr>
          <w:rFonts w:ascii="Times New Roman;serif" w:hAnsi="Times New Roman;serif"/>
          <w:b w:val="false"/>
          <w:color w:val="000000"/>
          <w:sz w:val="18"/>
        </w:rPr>
        <w:t>For a detailed description, see the corresponding footnotes to the Q4 2025 identified items table above.</w:t>
      </w:r>
    </w:p>
    <w:p>
      <w:pPr>
        <w:pStyle w:val="TextBody"/>
        <w:bidi w:val="0"/>
        <w:ind w:left="0" w:right="0" w:firstLine="76"/>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01"/>
        <w:gridCol w:w="899"/>
        <w:gridCol w:w="768"/>
        <w:gridCol w:w="363"/>
        <w:gridCol w:w="300"/>
        <w:gridCol w:w="301"/>
        <w:gridCol w:w="323"/>
        <w:gridCol w:w="325"/>
        <w:gridCol w:w="256"/>
        <w:gridCol w:w="323"/>
        <w:gridCol w:w="325"/>
        <w:gridCol w:w="276"/>
        <w:gridCol w:w="429"/>
        <w:gridCol w:w="365"/>
        <w:gridCol w:w="367"/>
        <w:gridCol w:w="476"/>
        <w:gridCol w:w="461"/>
        <w:gridCol w:w="463"/>
        <w:gridCol w:w="323"/>
        <w:gridCol w:w="325"/>
        <w:gridCol w:w="266"/>
        <w:gridCol w:w="322"/>
        <w:gridCol w:w="326"/>
        <w:gridCol w:w="222"/>
      </w:tblGrid>
      <w:tr>
        <w:trPr/>
        <w:tc>
          <w:tcPr>
            <w:tcW w:w="140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2024</w:t>
            </w:r>
          </w:p>
        </w:tc>
        <w:tc>
          <w:tcPr>
            <w:tcW w:w="713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068"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0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2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6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40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91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7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06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before taxation</w:t>
            </w:r>
          </w:p>
        </w:tc>
        <w:tc>
          <w:tcPr>
            <w:tcW w:w="96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6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0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6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6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30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3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46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6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0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46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6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30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46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Other</w:t>
            </w:r>
            <w:r>
              <w:rPr>
                <w:rFonts w:ascii="Times New Roman;serif" w:hAnsi="Times New Roman;serif"/>
                <w:b w:val="false"/>
                <w:color w:val="000000"/>
                <w:sz w:val="13"/>
              </w:rPr>
              <w:t>1,2</w:t>
            </w:r>
          </w:p>
        </w:tc>
        <w:tc>
          <w:tcPr>
            <w:tcW w:w="66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0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6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Income/(loss) before taxation</w:t>
            </w:r>
          </w:p>
        </w:tc>
        <w:tc>
          <w:tcPr>
            <w:tcW w:w="663"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(2,176)</w:t>
            </w:r>
          </w:p>
        </w:tc>
        <w:tc>
          <w:tcPr>
            <w:tcW w:w="30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(1,100)</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(1,364)</w:t>
            </w:r>
          </w:p>
        </w:tc>
        <w:tc>
          <w:tcPr>
            <w:tcW w:w="36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(720)</w:t>
            </w:r>
          </w:p>
        </w:tc>
        <w:tc>
          <w:tcPr>
            <w:tcW w:w="46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(1,105)</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(8,867)</w:t>
            </w:r>
          </w:p>
        </w:tc>
        <w:tc>
          <w:tcPr>
            <w:tcW w:w="22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 included in Taxation (charge)/credit</w:t>
            </w:r>
          </w:p>
        </w:tc>
        <w:tc>
          <w:tcPr>
            <w:tcW w:w="663"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w:t>
            </w:r>
            <w:r>
              <w:rPr>
                <w:color w:val="000000"/>
              </w:rPr>
              <w:t> </w:t>
            </w:r>
          </w:p>
        </w:tc>
        <w:tc>
          <w:tcPr>
            <w:tcW w:w="30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w:t>
            </w:r>
            <w:r>
              <w:rPr>
                <w:color w:val="000000"/>
              </w:rPr>
              <w:t>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w:t>
            </w:r>
            <w:r>
              <w:rPr>
                <w:color w:val="000000"/>
              </w:rPr>
              <w:t>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w:t>
            </w:r>
            <w:r>
              <w:rPr>
                <w:color w:val="000000"/>
              </w:rPr>
              <w:t> </w:t>
            </w:r>
          </w:p>
        </w:tc>
        <w:tc>
          <w:tcPr>
            <w:tcW w:w="36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46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2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1,521</w:t>
            </w:r>
            <w:r>
              <w:rPr>
                <w:color w:val="000000"/>
              </w:rPr>
              <w:t> </w:t>
            </w:r>
          </w:p>
        </w:tc>
        <w:tc>
          <w:tcPr>
            <w:tcW w:w="22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Identified items included in Income/(loss) for the period</w:t>
            </w:r>
          </w:p>
        </w:tc>
        <w:tc>
          <w:tcPr>
            <w:tcW w:w="96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 gains/(losses)</w:t>
            </w:r>
          </w:p>
        </w:tc>
        <w:tc>
          <w:tcPr>
            <w:tcW w:w="66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0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6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reversals/(impairments)</w:t>
            </w:r>
          </w:p>
        </w:tc>
        <w:tc>
          <w:tcPr>
            <w:tcW w:w="66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0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3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46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w:t>
            </w:r>
          </w:p>
        </w:tc>
        <w:tc>
          <w:tcPr>
            <w:tcW w:w="66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0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6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Fair value accounting of commodity derivatives and certain gas contracts</w:t>
            </w:r>
            <w:r>
              <w:rPr>
                <w:rFonts w:ascii="Times New Roman;serif" w:hAnsi="Times New Roman;serif"/>
                <w:b w:val="false"/>
                <w:color w:val="000000"/>
                <w:sz w:val="13"/>
              </w:rPr>
              <w:t>1</w:t>
            </w:r>
          </w:p>
        </w:tc>
        <w:tc>
          <w:tcPr>
            <w:tcW w:w="66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30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6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Impact of exchange rate movements and inflationary adjustments on tax balances</w:t>
            </w:r>
            <w:r>
              <w:rPr>
                <w:rFonts w:ascii="Times New Roman;serif" w:hAnsi="Times New Roman;serif"/>
                <w:b w:val="false"/>
                <w:color w:val="000000"/>
                <w:sz w:val="13"/>
              </w:rPr>
              <w:t>1</w:t>
            </w:r>
          </w:p>
        </w:tc>
        <w:tc>
          <w:tcPr>
            <w:tcW w:w="66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0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Other</w:t>
            </w:r>
            <w:r>
              <w:rPr>
                <w:rFonts w:ascii="Times New Roman;serif" w:hAnsi="Times New Roman;serif"/>
                <w:b w:val="false"/>
                <w:color w:val="000000"/>
                <w:sz w:val="13"/>
              </w:rPr>
              <w:t>1,2</w:t>
            </w:r>
          </w:p>
        </w:tc>
        <w:tc>
          <w:tcPr>
            <w:tcW w:w="66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0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6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for the period</w:t>
            </w:r>
          </w:p>
        </w:tc>
        <w:tc>
          <w:tcPr>
            <w:tcW w:w="663"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(1,800)</w:t>
            </w:r>
          </w:p>
        </w:tc>
        <w:tc>
          <w:tcPr>
            <w:tcW w:w="30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(623)</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(1,991)</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(1,177)</w:t>
            </w:r>
          </w:p>
        </w:tc>
        <w:tc>
          <w:tcPr>
            <w:tcW w:w="36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(732)</w:t>
            </w:r>
          </w:p>
        </w:tc>
        <w:tc>
          <w:tcPr>
            <w:tcW w:w="46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(1,024)</w:t>
            </w:r>
          </w:p>
        </w:tc>
        <w:tc>
          <w:tcPr>
            <w:tcW w:w="2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(7,347)</w:t>
            </w:r>
          </w:p>
        </w:tc>
        <w:tc>
          <w:tcPr>
            <w:tcW w:w="22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attributable to non-controlling interest</w:t>
            </w:r>
          </w:p>
        </w:tc>
        <w:tc>
          <w:tcPr>
            <w:tcW w:w="663"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6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22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68"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Impact on Income/(loss) attributable to Shell plc shareholders</w:t>
            </w:r>
          </w:p>
        </w:tc>
        <w:tc>
          <w:tcPr>
            <w:tcW w:w="663"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(1,800)</w:t>
            </w:r>
          </w:p>
        </w:tc>
        <w:tc>
          <w:tcPr>
            <w:tcW w:w="30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(623)</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(1,991)</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(1,195)</w:t>
            </w:r>
          </w:p>
        </w:tc>
        <w:tc>
          <w:tcPr>
            <w:tcW w:w="367"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(732)</w:t>
            </w:r>
          </w:p>
        </w:tc>
        <w:tc>
          <w:tcPr>
            <w:tcW w:w="463"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(1,024)</w:t>
            </w:r>
          </w:p>
        </w:tc>
        <w:tc>
          <w:tcPr>
            <w:tcW w:w="26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(7,365)</w:t>
            </w:r>
          </w:p>
        </w:tc>
        <w:tc>
          <w:tcPr>
            <w:tcW w:w="222"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84"/>
        <w:jc w:val="left"/>
        <w:rPr/>
      </w:pPr>
      <w:r>
        <w:rPr>
          <w:rFonts w:ascii="Times New Roman;serif" w:hAnsi="Times New Roman;serif"/>
          <w:b w:val="false"/>
          <w:color w:val="000000"/>
          <w:sz w:val="12"/>
        </w:rPr>
        <w:t>1.</w:t>
      </w:r>
      <w:r>
        <w:rPr>
          <w:rFonts w:ascii="Times New Roman;serif" w:hAnsi="Times New Roman;serif"/>
          <w:b w:val="false"/>
          <w:color w:val="000000"/>
          <w:sz w:val="18"/>
        </w:rPr>
        <w:t>For a detailed description, see the corresponding footnotes to the Q4 2025 identified items table above.</w:t>
      </w:r>
    </w:p>
    <w:p>
      <w:pPr>
        <w:pStyle w:val="TextBody"/>
        <w:bidi w:val="0"/>
        <w:spacing w:lineRule="auto" w:line="288" w:before="0" w:after="0"/>
        <w:ind w:left="0" w:right="0" w:hanging="284"/>
        <w:jc w:val="left"/>
        <w:rPr/>
      </w:pPr>
      <w:r>
        <w:rPr>
          <w:rFonts w:ascii="Times New Roman;serif" w:hAnsi="Times New Roman;serif"/>
          <w:b w:val="false"/>
          <w:color w:val="000000"/>
          <w:sz w:val="12"/>
        </w:rPr>
        <w:t>2.</w:t>
      </w:r>
      <w:r>
        <w:rPr>
          <w:rFonts w:ascii="Times New Roman;serif" w:hAnsi="Times New Roman;serif"/>
          <w:b w:val="false"/>
          <w:color w:val="000000"/>
          <w:sz w:val="18"/>
        </w:rPr>
        <w:t>Corporate includes reclassifications from equity to profit and loss of cumulative currency translation differences related to funding structures resulting in unfavourable movements of $1,122 million. These currency translation differences were previously recognised in other comprehensive income and accumulated in equity as part of accumulated other comprehensive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identified items categories above may include after-tax impacts of identified items of joint ventures and associates which are fully reported within "Share of profit/(loss) of joint ventures and associates" in the Consolidated Statement of Income, and fully reported as identified items included in Income/(loss) before taxation in the table above. Identified items related to subsidiaries are consolidated and reported across appropriate lines of the Consolidated Statement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3.    Earnings per share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EARNINGS PER SHARE</w:t>
      </w:r>
    </w:p>
    <w:tbl>
      <w:tblPr>
        <w:tblW w:w="10205" w:type="dxa"/>
        <w:jc w:val="center"/>
        <w:tblInd w:w="0" w:type="dxa"/>
        <w:tblLayout w:type="fixed"/>
        <w:tblCellMar>
          <w:top w:w="28" w:type="dxa"/>
          <w:left w:w="28" w:type="dxa"/>
          <w:bottom w:w="28" w:type="dxa"/>
          <w:right w:w="28" w:type="dxa"/>
        </w:tblCellMar>
      </w:tblPr>
      <w:tblGrid>
        <w:gridCol w:w="414"/>
        <w:gridCol w:w="367"/>
        <w:gridCol w:w="214"/>
        <w:gridCol w:w="109"/>
        <w:gridCol w:w="109"/>
        <w:gridCol w:w="109"/>
        <w:gridCol w:w="383"/>
        <w:gridCol w:w="383"/>
        <w:gridCol w:w="219"/>
        <w:gridCol w:w="109"/>
        <w:gridCol w:w="109"/>
        <w:gridCol w:w="109"/>
        <w:gridCol w:w="401"/>
        <w:gridCol w:w="365"/>
        <w:gridCol w:w="219"/>
        <w:gridCol w:w="109"/>
        <w:gridCol w:w="109"/>
        <w:gridCol w:w="109"/>
        <w:gridCol w:w="1450"/>
        <w:gridCol w:w="1450"/>
        <w:gridCol w:w="1455"/>
        <w:gridCol w:w="382"/>
        <w:gridCol w:w="384"/>
        <w:gridCol w:w="156"/>
        <w:gridCol w:w="382"/>
        <w:gridCol w:w="384"/>
        <w:gridCol w:w="216"/>
      </w:tblGrid>
      <w:tr>
        <w:trPr/>
        <w:tc>
          <w:tcPr>
            <w:tcW w:w="4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9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attributable to Shell plc shareholders ($ million)</w:t>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16,094 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as the basis for determining:</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(million)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5,799.7 </w:t>
            </w:r>
          </w:p>
        </w:tc>
        <w:tc>
          <w:tcPr>
            <w:tcW w:w="214"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5,906.0 </w:t>
            </w:r>
          </w:p>
        </w:tc>
        <w:tc>
          <w:tcPr>
            <w:tcW w:w="21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6,213.9 </w:t>
            </w:r>
          </w:p>
        </w:tc>
        <w:tc>
          <w:tcPr>
            <w:tcW w:w="21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(million)</w:t>
            </w:r>
          </w:p>
        </w:tc>
        <w:tc>
          <w:tcPr>
            <w:tcW w:w="76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6,363.7 </w:t>
            </w:r>
          </w:p>
        </w:tc>
        <w:tc>
          <w:tcPr>
            <w:tcW w:w="21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center"/>
        <w:rPr/>
      </w:pPr>
      <w:r>
        <w:rPr/>
      </w:r>
    </w:p>
    <w:p>
      <w:pPr>
        <w:pStyle w:val="TextBody"/>
        <w:bidi w:val="0"/>
        <w:spacing w:before="100" w:after="120"/>
        <w:jc w:val="center"/>
        <w:rPr/>
      </w:pPr>
      <w:r>
        <w:rPr/>
      </w:r>
    </w:p>
    <w:p>
      <w:pPr>
        <w:pStyle w:val="TextBody"/>
        <w:bidi w:val="0"/>
        <w:spacing w:before="10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32</w:t>
                      </w:r>
                    </w:p>
                  </w:txbxContent>
                </v:textbox>
                <w10:wrap type="none"/>
              </v:rect>
            </w:pict>
          </mc:Fallback>
        </mc:AlternateContent>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4.    Share capital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ISSUED AND FULLY PAID ORDINARY SHARES OF €0.07 EACH</w:t>
      </w:r>
    </w:p>
    <w:tbl>
      <w:tblPr>
        <w:tblW w:w="4661" w:type="dxa"/>
        <w:jc w:val="center"/>
        <w:tblInd w:w="0" w:type="dxa"/>
        <w:tblLayout w:type="fixed"/>
        <w:tblCellMar>
          <w:top w:w="28" w:type="dxa"/>
          <w:left w:w="28" w:type="dxa"/>
          <w:bottom w:w="28" w:type="dxa"/>
          <w:right w:w="28" w:type="dxa"/>
        </w:tblCellMar>
      </w:tblPr>
      <w:tblGrid>
        <w:gridCol w:w="629"/>
        <w:gridCol w:w="553"/>
        <w:gridCol w:w="557"/>
        <w:gridCol w:w="600"/>
        <w:gridCol w:w="601"/>
        <w:gridCol w:w="476"/>
        <w:gridCol w:w="364"/>
        <w:gridCol w:w="364"/>
        <w:gridCol w:w="51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shares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Nominal value </w:t>
              <w:br/>
              <w:t>($ million)</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January 1, 2025</w:t>
            </w:r>
          </w:p>
        </w:tc>
        <w:tc>
          <w:tcPr>
            <w:tcW w:w="12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6,115,031,158</w:t>
            </w:r>
            <w:r>
              <w:rPr>
                <w:color w:val="000000"/>
              </w:rPr>
              <w:t> </w:t>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w:t>
            </w:r>
            <w:r>
              <w:rPr>
                <w:color w:val="000000"/>
              </w:rPr>
              <w:t> </w:t>
            </w:r>
          </w:p>
        </w:tc>
        <w:tc>
          <w:tcPr>
            <w:tcW w:w="5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w:t>
            </w:r>
          </w:p>
        </w:tc>
        <w:tc>
          <w:tcPr>
            <w:tcW w:w="12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(396,394,760)</w:t>
            </w:r>
          </w:p>
        </w:tc>
        <w:tc>
          <w:tcPr>
            <w:tcW w:w="47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51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December 31, 2025</w:t>
            </w:r>
          </w:p>
        </w:tc>
        <w:tc>
          <w:tcPr>
            <w:tcW w:w="120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5,718,636,398</w:t>
            </w:r>
            <w:r>
              <w:rPr>
                <w:color w:val="000000"/>
              </w:rPr>
              <w:t> </w:t>
            </w:r>
          </w:p>
        </w:tc>
        <w:tc>
          <w:tcPr>
            <w:tcW w:w="47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477</w:t>
            </w:r>
            <w:r>
              <w:rPr>
                <w:color w:val="000000"/>
              </w:rPr>
              <w:t> </w:t>
            </w:r>
          </w:p>
        </w:tc>
        <w:tc>
          <w:tcPr>
            <w:tcW w:w="51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January 1, 2024</w:t>
            </w:r>
          </w:p>
        </w:tc>
        <w:tc>
          <w:tcPr>
            <w:tcW w:w="12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6,524,109,049</w:t>
            </w:r>
            <w:r>
              <w:rPr>
                <w:color w:val="000000"/>
              </w:rPr>
              <w:t> </w:t>
            </w:r>
          </w:p>
        </w:tc>
        <w:tc>
          <w:tcPr>
            <w:tcW w:w="47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544</w:t>
            </w:r>
            <w:r>
              <w:rPr>
                <w:color w:val="000000"/>
              </w:rPr>
              <w:t> </w:t>
            </w:r>
          </w:p>
        </w:tc>
        <w:tc>
          <w:tcPr>
            <w:tcW w:w="51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w:t>
            </w:r>
          </w:p>
        </w:tc>
        <w:tc>
          <w:tcPr>
            <w:tcW w:w="120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(409,077,891)</w:t>
            </w:r>
          </w:p>
        </w:tc>
        <w:tc>
          <w:tcPr>
            <w:tcW w:w="47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51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December 31, 2024</w:t>
            </w:r>
          </w:p>
        </w:tc>
        <w:tc>
          <w:tcPr>
            <w:tcW w:w="120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6,115,031,158</w:t>
            </w:r>
            <w:r>
              <w:rPr>
                <w:color w:val="000000"/>
              </w:rPr>
              <w:t> </w:t>
            </w:r>
          </w:p>
        </w:tc>
        <w:tc>
          <w:tcPr>
            <w:tcW w:w="47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w:t>
            </w:r>
            <w:r>
              <w:rPr>
                <w:color w:val="000000"/>
              </w:rPr>
              <w:t> </w:t>
            </w:r>
          </w:p>
        </w:tc>
        <w:tc>
          <w:tcPr>
            <w:tcW w:w="517"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At Shell plc’s Annual General Meeting on May 20, 2025, the Board was authorised to allot ordinary shares in Shell plc, and to grant rights to subscribe for, or to convert, any security into ordinary shares in Shell plc, up to an aggregate nominal amount of approximately €140 million (representing approximately 2,007 million ordinary shares of €0.07 each), and to list such shares or rights on any stock exchange. This authority expires at the earlier of the close of business on August 19, 2026, or the end of the Annual General Meeting to be held in 2026, unless previously renewed, revoked or varied by Shell plc in a general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5.    Other reserves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OTHER RESERVES</w:t>
      </w:r>
    </w:p>
    <w:tbl>
      <w:tblPr>
        <w:tblW w:w="10205" w:type="dxa"/>
        <w:jc w:val="center"/>
        <w:tblInd w:w="0" w:type="dxa"/>
        <w:tblLayout w:type="fixed"/>
        <w:tblCellMar>
          <w:top w:w="28" w:type="dxa"/>
          <w:left w:w="28" w:type="dxa"/>
          <w:bottom w:w="28" w:type="dxa"/>
          <w:right w:w="28" w:type="dxa"/>
        </w:tblCellMar>
      </w:tblPr>
      <w:tblGrid>
        <w:gridCol w:w="885"/>
        <w:gridCol w:w="693"/>
        <w:gridCol w:w="545"/>
        <w:gridCol w:w="404"/>
        <w:gridCol w:w="343"/>
        <w:gridCol w:w="247"/>
        <w:gridCol w:w="109"/>
        <w:gridCol w:w="109"/>
        <w:gridCol w:w="109"/>
        <w:gridCol w:w="307"/>
        <w:gridCol w:w="307"/>
        <w:gridCol w:w="308"/>
        <w:gridCol w:w="109"/>
        <w:gridCol w:w="109"/>
        <w:gridCol w:w="109"/>
        <w:gridCol w:w="373"/>
        <w:gridCol w:w="373"/>
        <w:gridCol w:w="374"/>
        <w:gridCol w:w="109"/>
        <w:gridCol w:w="109"/>
        <w:gridCol w:w="109"/>
        <w:gridCol w:w="431"/>
        <w:gridCol w:w="255"/>
        <w:gridCol w:w="256"/>
        <w:gridCol w:w="109"/>
        <w:gridCol w:w="109"/>
        <w:gridCol w:w="109"/>
        <w:gridCol w:w="499"/>
        <w:gridCol w:w="499"/>
        <w:gridCol w:w="500"/>
        <w:gridCol w:w="109"/>
        <w:gridCol w:w="109"/>
        <w:gridCol w:w="109"/>
        <w:gridCol w:w="368"/>
        <w:gridCol w:w="368"/>
        <w:gridCol w:w="235"/>
      </w:tblGrid>
      <w:tr>
        <w:trPr/>
        <w:tc>
          <w:tcPr>
            <w:tcW w:w="8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million</w:t>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Merger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premium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redemption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plan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2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January 1, 2025</w:t>
            </w:r>
          </w:p>
        </w:tc>
        <w:tc>
          <w:tcPr>
            <w:tcW w:w="74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37,298</w:t>
            </w:r>
            <w:r>
              <w:rPr>
                <w:color w:val="000000"/>
              </w:rPr>
              <w:t> </w:t>
            </w:r>
          </w:p>
        </w:tc>
        <w:tc>
          <w:tcPr>
            <w:tcW w:w="24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30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37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1,417</w:t>
            </w:r>
            <w:r>
              <w:rPr>
                <w:color w:val="000000"/>
              </w:rPr>
              <w:t> </w:t>
            </w:r>
          </w:p>
        </w:tc>
        <w:tc>
          <w:tcPr>
            <w:tcW w:w="25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(19,373)</w:t>
            </w:r>
          </w:p>
        </w:tc>
        <w:tc>
          <w:tcPr>
            <w:tcW w:w="50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19,766</w:t>
            </w:r>
            <w:r>
              <w:rPr>
                <w:color w:val="000000"/>
              </w:rPr>
              <w:t> </w:t>
            </w:r>
          </w:p>
        </w:tc>
        <w:tc>
          <w:tcPr>
            <w:tcW w:w="23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attributable to Shell plc shareholders</w:t>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from other comprehensive income</w:t>
            </w:r>
          </w:p>
        </w:tc>
        <w:tc>
          <w:tcPr>
            <w:tcW w:w="7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shares</w:t>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7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37,298</w:t>
            </w:r>
            <w:r>
              <w:rPr>
                <w:color w:val="000000"/>
              </w:rPr>
              <w:t> </w:t>
            </w:r>
          </w:p>
        </w:tc>
        <w:tc>
          <w:tcPr>
            <w:tcW w:w="2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30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w:t>
            </w:r>
            <w:r>
              <w:rPr>
                <w:color w:val="000000"/>
              </w:rPr>
              <w:t> </w:t>
            </w:r>
          </w:p>
        </w:tc>
        <w:tc>
          <w:tcPr>
            <w:tcW w:w="3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1,359</w:t>
            </w:r>
            <w:r>
              <w:rPr>
                <w:color w:val="000000"/>
              </w:rPr>
              <w:t>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(17,880)</w:t>
            </w:r>
          </w:p>
        </w:tc>
        <w:tc>
          <w:tcPr>
            <w:tcW w:w="50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21,233</w:t>
            </w:r>
            <w:r>
              <w:rPr>
                <w:color w:val="000000"/>
              </w:rPr>
              <w:t> </w:t>
            </w:r>
          </w:p>
        </w:tc>
        <w:tc>
          <w:tcPr>
            <w:tcW w:w="2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January 1, 2024</w:t>
            </w:r>
          </w:p>
        </w:tc>
        <w:tc>
          <w:tcPr>
            <w:tcW w:w="74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37,298</w:t>
            </w:r>
            <w:r>
              <w:rPr>
                <w:color w:val="000000"/>
              </w:rPr>
              <w:t> </w:t>
            </w:r>
          </w:p>
        </w:tc>
        <w:tc>
          <w:tcPr>
            <w:tcW w:w="24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30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w:t>
            </w:r>
            <w:r>
              <w:rPr>
                <w:color w:val="000000"/>
              </w:rPr>
              <w:t> </w:t>
            </w:r>
          </w:p>
        </w:tc>
        <w:tc>
          <w:tcPr>
            <w:tcW w:w="37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1,308</w:t>
            </w:r>
            <w:r>
              <w:rPr>
                <w:color w:val="000000"/>
              </w:rPr>
              <w:t> </w:t>
            </w:r>
          </w:p>
        </w:tc>
        <w:tc>
          <w:tcPr>
            <w:tcW w:w="25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(17,851)</w:t>
            </w:r>
          </w:p>
        </w:tc>
        <w:tc>
          <w:tcPr>
            <w:tcW w:w="50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21,145</w:t>
            </w:r>
            <w:r>
              <w:rPr>
                <w:color w:val="000000"/>
              </w:rPr>
              <w:t> </w:t>
            </w:r>
          </w:p>
        </w:tc>
        <w:tc>
          <w:tcPr>
            <w:tcW w:w="23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attributable to Shell plc shareholders</w:t>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from other comprehensive income</w:t>
            </w:r>
          </w:p>
        </w:tc>
        <w:tc>
          <w:tcPr>
            <w:tcW w:w="7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shares</w:t>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December 31, 2024</w:t>
            </w:r>
          </w:p>
        </w:tc>
        <w:tc>
          <w:tcPr>
            <w:tcW w:w="747"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37,298</w:t>
            </w:r>
            <w:r>
              <w:rPr>
                <w:color w:val="000000"/>
              </w:rPr>
              <w:t> </w:t>
            </w:r>
          </w:p>
        </w:tc>
        <w:tc>
          <w:tcPr>
            <w:tcW w:w="24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30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37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1,417</w:t>
            </w:r>
            <w:r>
              <w:rPr>
                <w:color w:val="000000"/>
              </w:rPr>
              <w:t> </w:t>
            </w:r>
          </w:p>
        </w:tc>
        <w:tc>
          <w:tcPr>
            <w:tcW w:w="25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(19,373)</w:t>
            </w:r>
          </w:p>
        </w:tc>
        <w:tc>
          <w:tcPr>
            <w:tcW w:w="50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19,766</w:t>
            </w:r>
            <w:r>
              <w:rPr>
                <w:color w:val="000000"/>
              </w:rPr>
              <w:t> </w:t>
            </w:r>
          </w:p>
        </w:tc>
        <w:tc>
          <w:tcPr>
            <w:tcW w:w="23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merger reserve and share premium reserve were established as a consequence of Shell plc (formerly Royal Dutch Shell plc) becoming the single parent company of Royal Dutch Petroleum Company and The “Shell” Transport and Trading Company, p.l.c., now The Shell Transport and Trading Company Limited, in 2005. The merger reserve increased in 2016 following the issuance of shares for the acquisition of BG Group plc. The capital redemption reserve was established in connection with repurchases of shares of Shell plc. The share plan reserve is in respect of equity-settled share-based compensation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6.    Derivative financial instruments and debt excluding lease liabilities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disclosed in the Consolidated Financial Statements for the year ended December 31, 2024, presented in the Annual Report and Accounts and Form 20-F/A for that year, Shell is exposed to the risks of changes in fair value of its financial assets and liabilities. The fair values of the financial assets and liabilities are defined as the price that would be received to sell an asset or paid to transfer a liability in an orderly transaction between market participants at the measurement date. Methods and assumptions used to estimate the fair values at December 31, 2025, are consistent with those used in the year ended December 31, 2024, though the carrying amounts of derivative financial instruments have changed since that date. The movement of the derivative financial instruments between December 31, 2024 and December 31, 2025, is a decrease of $559 million for the current assets and a decrease of $1,727 million for the current liabilities.</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33</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The table below provides the comparison of the fair value with the carrying amount of debt excluding lease liabilities, disclosed in accordance with IFRS 7</w:t>
      </w:r>
      <w:r>
        <w:rPr>
          <w:color w:val="000000"/>
        </w:rPr>
        <w:t xml:space="preserve"> </w:t>
      </w:r>
      <w:r>
        <w:rPr>
          <w:rFonts w:ascii="Times New Roman;serif" w:hAnsi="Times New Roman;serif"/>
          <w:b w:val="false"/>
          <w:color w:val="000000"/>
          <w:sz w:val="20"/>
        </w:rPr>
        <w:t>Financial Instruments: Disclosures.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DEBT EXCLUDING LEASE LIABILITIES</w:t>
      </w:r>
    </w:p>
    <w:tbl>
      <w:tblPr>
        <w:tblW w:w="4944" w:type="dxa"/>
        <w:jc w:val="center"/>
        <w:tblInd w:w="0" w:type="dxa"/>
        <w:tblLayout w:type="fixed"/>
        <w:tblCellMar>
          <w:top w:w="28" w:type="dxa"/>
          <w:left w:w="28" w:type="dxa"/>
          <w:bottom w:w="28" w:type="dxa"/>
          <w:right w:w="28" w:type="dxa"/>
        </w:tblCellMar>
      </w:tblPr>
      <w:tblGrid>
        <w:gridCol w:w="569"/>
        <w:gridCol w:w="500"/>
        <w:gridCol w:w="505"/>
        <w:gridCol w:w="499"/>
        <w:gridCol w:w="499"/>
        <w:gridCol w:w="501"/>
        <w:gridCol w:w="109"/>
        <w:gridCol w:w="109"/>
        <w:gridCol w:w="109"/>
        <w:gridCol w:w="452"/>
        <w:gridCol w:w="452"/>
        <w:gridCol w:w="640"/>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7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Carrying amount</w:t>
            </w:r>
            <w:r>
              <w:rPr>
                <w:rFonts w:ascii="Times New Roman;serif" w:hAnsi="Times New Roman;serif"/>
                <w:b w:val="false"/>
                <w:color w:val="000000"/>
                <w:sz w:val="13"/>
              </w:rPr>
              <w:t>1</w:t>
            </w:r>
          </w:p>
        </w:tc>
        <w:tc>
          <w:tcPr>
            <w:tcW w:w="149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46,710</w:t>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48,376</w:t>
            </w:r>
          </w:p>
        </w:tc>
      </w:tr>
      <w:tr>
        <w:trPr/>
        <w:tc>
          <w:tcPr>
            <w:tcW w:w="157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Fair value</w:t>
            </w:r>
            <w:r>
              <w:rPr>
                <w:rFonts w:ascii="Times New Roman;serif" w:hAnsi="Times New Roman;serif"/>
                <w:b w:val="false"/>
                <w:color w:val="000000"/>
                <w:sz w:val="13"/>
              </w:rPr>
              <w:t>2</w:t>
            </w:r>
          </w:p>
        </w:tc>
        <w:tc>
          <w:tcPr>
            <w:tcW w:w="149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43,142</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44,119</w:t>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284"/>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In the fourth quarter 2025, Shell issued $2.35 billion under the US shelf programme. Shell issued no debt under the Euro medium-term note programme since September 2020. </w:t>
      </w:r>
    </w:p>
    <w:p>
      <w:pPr>
        <w:pStyle w:val="TextBody"/>
        <w:bidi w:val="0"/>
        <w:spacing w:lineRule="auto" w:line="276" w:before="0" w:after="0"/>
        <w:ind w:left="0" w:right="0" w:hanging="284"/>
        <w:jc w:val="left"/>
        <w:rPr/>
      </w:pPr>
      <w:r>
        <w:rPr>
          <w:rFonts w:ascii="Times New Roman;serif" w:hAnsi="Times New Roman;serif"/>
          <w:b w:val="false"/>
          <w:color w:val="000000"/>
          <w:sz w:val="13"/>
        </w:rPr>
        <w:t>2.    </w:t>
      </w:r>
      <w:r>
        <w:rPr>
          <w:color w:val="595959"/>
        </w:rPr>
        <w:t xml:space="preserve"> </w:t>
      </w:r>
      <w:r>
        <w:rPr>
          <w:rFonts w:ascii="Times New Roman;serif" w:hAnsi="Times New Roman;serif"/>
          <w:b w:val="false"/>
          <w:color w:val="000000"/>
          <w:sz w:val="20"/>
        </w:rPr>
        <w:t xml:space="preserve">Mainly determined from the prices quoted for these securities. </w:t>
      </w:r>
    </w:p>
    <w:p>
      <w:pPr>
        <w:pStyle w:val="TextBody"/>
        <w:bidi w:val="0"/>
        <w:spacing w:before="0" w:after="12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160"/>
        <w:jc w:val="left"/>
        <w:rPr/>
      </w:pPr>
      <w:r>
        <w:rPr>
          <w:rFonts w:ascii="Times New Roman;serif" w:hAnsi="Times New Roman;serif"/>
          <w:b/>
          <w:color w:val="000000"/>
          <w:sz w:val="20"/>
        </w:rPr>
        <w:t>7. Other notes to the unaudited Condensed Consolidated Financial Statements</w:t>
      </w:r>
      <w:r>
        <w:rPr>
          <w:color w:val="000000"/>
        </w:rPr>
        <w:t xml:space="preserve"> </w:t>
      </w:r>
    </w:p>
    <w:p>
      <w:pPr>
        <w:pStyle w:val="TextBody"/>
        <w:bidi w:val="0"/>
        <w:spacing w:lineRule="auto" w:line="256" w:before="0" w:after="60"/>
        <w:jc w:val="left"/>
        <w:rPr>
          <w:rFonts w:ascii="Times New Roman;serif" w:hAnsi="Times New Roman;serif"/>
          <w:b/>
          <w:color w:val="000000"/>
          <w:sz w:val="20"/>
        </w:rPr>
      </w:pPr>
      <w:r>
        <w:rPr>
          <w:rFonts w:ascii="Times New Roman;serif" w:hAnsi="Times New Roman;serif"/>
          <w:b/>
          <w:color w:val="000000"/>
          <w:sz w:val="20"/>
        </w:rPr>
        <w:t xml:space="preserve">Consolidated Statement of Income </w:t>
      </w:r>
    </w:p>
    <w:p>
      <w:pPr>
        <w:pStyle w:val="TextBody"/>
        <w:bidi w:val="0"/>
        <w:spacing w:before="0" w:after="60"/>
        <w:jc w:val="left"/>
        <w:rPr/>
      </w:pPr>
      <w:r>
        <w:rPr/>
      </w:r>
    </w:p>
    <w:p>
      <w:pPr>
        <w:pStyle w:val="TextBody"/>
        <w:bidi w:val="0"/>
        <w:spacing w:lineRule="auto" w:line="256" w:before="0" w:after="60"/>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bl>
      <w:tblPr>
        <w:tblW w:w="10205" w:type="dxa"/>
        <w:jc w:val="left"/>
        <w:tblInd w:w="0" w:type="dxa"/>
        <w:tblLayout w:type="fixed"/>
        <w:tblCellMar>
          <w:top w:w="28" w:type="dxa"/>
          <w:left w:w="28" w:type="dxa"/>
          <w:bottom w:w="28" w:type="dxa"/>
          <w:right w:w="28" w:type="dxa"/>
        </w:tblCellMar>
      </w:tblPr>
      <w:tblGrid>
        <w:gridCol w:w="355"/>
        <w:gridCol w:w="276"/>
        <w:gridCol w:w="218"/>
        <w:gridCol w:w="109"/>
        <w:gridCol w:w="109"/>
        <w:gridCol w:w="109"/>
        <w:gridCol w:w="322"/>
        <w:gridCol w:w="294"/>
        <w:gridCol w:w="223"/>
        <w:gridCol w:w="109"/>
        <w:gridCol w:w="109"/>
        <w:gridCol w:w="109"/>
        <w:gridCol w:w="263"/>
        <w:gridCol w:w="261"/>
        <w:gridCol w:w="223"/>
        <w:gridCol w:w="109"/>
        <w:gridCol w:w="109"/>
        <w:gridCol w:w="109"/>
        <w:gridCol w:w="1727"/>
        <w:gridCol w:w="1681"/>
        <w:gridCol w:w="1704"/>
        <w:gridCol w:w="315"/>
        <w:gridCol w:w="316"/>
        <w:gridCol w:w="156"/>
        <w:gridCol w:w="336"/>
        <w:gridCol w:w="338"/>
        <w:gridCol w:w="216"/>
      </w:tblGrid>
      <w:tr>
        <w:trPr/>
        <w:tc>
          <w:tcPr>
            <w:tcW w:w="35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0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84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and other income/(expenses)</w:t>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5,227</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w:t>
            </w:r>
            <w:r>
              <w:rPr>
                <w:color w:val="000000"/>
              </w:rPr>
              <w:t> </w:t>
            </w:r>
          </w:p>
        </w:tc>
        <w:tc>
          <w:tcPr>
            <w:tcW w:w="21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w:t>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 (from investments in equity securities)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gains/(losses) on sales and revaluation of non-current assets and businesses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exchange gains/(losses) on financing activities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18"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23"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23"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1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gains/(losses) on sales and revaluation of non-current assets and businesses in the fourth quarter 2025 principally relates to the disposal of Shell's UK offshore oil and gas assets in exchange for a 50% interest in the newly formed Adura joint venture (see Joint ventures and associates below).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gains/(losses) on sales and revaluation of non-current assets and businesses in the third quarter 2025 principally relates to the sale of Shell's 16.125% interest in Colonial Enterprises, Inc.</w:t>
      </w:r>
    </w:p>
    <w:p>
      <w:pPr>
        <w:pStyle w:val="TextBody"/>
        <w:bidi w:val="0"/>
        <w:spacing w:before="0" w:after="0"/>
        <w:jc w:val="left"/>
        <w:rPr/>
      </w:pPr>
      <w:r>
        <w:rPr/>
      </w:r>
    </w:p>
    <w:p>
      <w:pPr>
        <w:pStyle w:val="TextBody"/>
        <w:bidi w:val="0"/>
        <w:spacing w:lineRule="auto" w:line="300" w:before="120" w:after="160"/>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amortisation</w:t>
      </w:r>
    </w:p>
    <w:tbl>
      <w:tblPr>
        <w:tblW w:w="9031" w:type="dxa"/>
        <w:jc w:val="left"/>
        <w:tblInd w:w="0" w:type="dxa"/>
        <w:tblLayout w:type="fixed"/>
        <w:tblCellMar>
          <w:top w:w="28" w:type="dxa"/>
          <w:left w:w="28" w:type="dxa"/>
          <w:bottom w:w="28" w:type="dxa"/>
          <w:right w:w="28" w:type="dxa"/>
        </w:tblCellMar>
      </w:tblPr>
      <w:tblGrid>
        <w:gridCol w:w="343"/>
        <w:gridCol w:w="303"/>
        <w:gridCol w:w="240"/>
        <w:gridCol w:w="109"/>
        <w:gridCol w:w="109"/>
        <w:gridCol w:w="109"/>
        <w:gridCol w:w="315"/>
        <w:gridCol w:w="316"/>
        <w:gridCol w:w="246"/>
        <w:gridCol w:w="109"/>
        <w:gridCol w:w="109"/>
        <w:gridCol w:w="109"/>
        <w:gridCol w:w="315"/>
        <w:gridCol w:w="316"/>
        <w:gridCol w:w="246"/>
        <w:gridCol w:w="109"/>
        <w:gridCol w:w="109"/>
        <w:gridCol w:w="109"/>
        <w:gridCol w:w="1186"/>
        <w:gridCol w:w="1186"/>
        <w:gridCol w:w="1197"/>
        <w:gridCol w:w="368"/>
        <w:gridCol w:w="368"/>
        <w:gridCol w:w="156"/>
        <w:gridCol w:w="368"/>
        <w:gridCol w:w="368"/>
        <w:gridCol w:w="213"/>
      </w:tblGrid>
      <w:tr>
        <w:trPr/>
        <w:tc>
          <w:tcPr>
            <w:tcW w:w="34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6,581</w:t>
            </w:r>
            <w:r>
              <w:rPr>
                <w:color w:val="000000"/>
              </w:rPr>
              <w:t>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6,607</w:t>
            </w:r>
            <w:r>
              <w:rPr>
                <w:color w:val="000000"/>
              </w:rPr>
              <w:t>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7,520</w:t>
            </w:r>
            <w:r>
              <w:rPr>
                <w:color w:val="000000"/>
              </w:rPr>
              <w:t>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depletion and amortisation</w:t>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25,299</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26,872</w:t>
            </w:r>
            <w:r>
              <w:rPr>
                <w:color w:val="000000"/>
              </w:rPr>
              <w:t> </w:t>
            </w:r>
          </w:p>
        </w:tc>
        <w:tc>
          <w:tcPr>
            <w:tcW w:w="2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0"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4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reversals</w:t>
            </w:r>
          </w:p>
        </w:tc>
        <w:tc>
          <w:tcPr>
            <w:tcW w:w="73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13"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Impairments recognised in the fourth quarter 2025 of $1,150 million pre-tax ($1,019 million post-tax), of which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$837 million recognised in depreciation, depletion and amortisation and $313 million recognised in share of profit of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joint ventures and associates, mainly relate to Marketing ($541 million), Chemicals and Products ($228 million), Upstream ($210 million) and Renewables and Energy Solutions ($178 million). These impairments relate to various smaller impairments within respective segments.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Impairments recognised in the third quarter 2025 of $787 million pre-tax ($580 million post-tax) mainly relate to Marketing ($588 million) and Chemicals and Products ($144 million). The impairment in Marketing was principally triggered by the decision not to restart construction of the planned biofuels facility at the Shell Energy and Chemicals Park in Rotterdam.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Impairments recognised in the fourth quarter 2024 of $2,659 million pre-tax ($2,245 million post-tax), of which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$1,797 million recognised in depreciation, depletion and amortisation and $863 million recognised in share of profit of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joint ventures and associates, mainly relate to Renewables and Energy Solutions ($1,068 million), Integrated Gas ($532 million), Marketing ($495 million), Chemicals and Products ($315 million) and Upstream ($248 million). </w:t>
      </w:r>
    </w:p>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Taxation charge/credit</w:t>
      </w:r>
    </w:p>
    <w:tbl>
      <w:tblPr>
        <w:tblW w:w="9167" w:type="dxa"/>
        <w:jc w:val="left"/>
        <w:tblInd w:w="0" w:type="dxa"/>
        <w:tblLayout w:type="fixed"/>
        <w:tblCellMar>
          <w:top w:w="28" w:type="dxa"/>
          <w:left w:w="28" w:type="dxa"/>
          <w:bottom w:w="28" w:type="dxa"/>
          <w:right w:w="28" w:type="dxa"/>
        </w:tblCellMar>
      </w:tblPr>
      <w:tblGrid>
        <w:gridCol w:w="343"/>
        <w:gridCol w:w="303"/>
        <w:gridCol w:w="240"/>
        <w:gridCol w:w="109"/>
        <w:gridCol w:w="109"/>
        <w:gridCol w:w="109"/>
        <w:gridCol w:w="315"/>
        <w:gridCol w:w="316"/>
        <w:gridCol w:w="246"/>
        <w:gridCol w:w="109"/>
        <w:gridCol w:w="109"/>
        <w:gridCol w:w="109"/>
        <w:gridCol w:w="315"/>
        <w:gridCol w:w="316"/>
        <w:gridCol w:w="246"/>
        <w:gridCol w:w="109"/>
        <w:gridCol w:w="109"/>
        <w:gridCol w:w="109"/>
        <w:gridCol w:w="1230"/>
        <w:gridCol w:w="1230"/>
        <w:gridCol w:w="1245"/>
        <w:gridCol w:w="368"/>
        <w:gridCol w:w="368"/>
        <w:gridCol w:w="156"/>
        <w:gridCol w:w="368"/>
        <w:gridCol w:w="368"/>
        <w:gridCol w:w="213"/>
      </w:tblGrid>
      <w:tr>
        <w:trPr/>
        <w:tc>
          <w:tcPr>
            <w:tcW w:w="34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2,718</w:t>
            </w:r>
            <w:r>
              <w:rPr>
                <w:color w:val="000000"/>
              </w:rPr>
              <w:t>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2,504</w:t>
            </w:r>
            <w:r>
              <w:rPr>
                <w:color w:val="000000"/>
              </w:rPr>
              <w:t>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3,164</w:t>
            </w:r>
            <w:r>
              <w:rPr>
                <w:color w:val="000000"/>
              </w:rPr>
              <w:t>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Taxation charge/(credit)</w:t>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11,637</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13,401</w:t>
            </w:r>
            <w:r>
              <w:rPr>
                <w:color w:val="000000"/>
              </w:rPr>
              <w:t> </w:t>
            </w:r>
          </w:p>
        </w:tc>
        <w:tc>
          <w:tcPr>
            <w:tcW w:w="2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excluding Pillar Two income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40"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4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4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related to Pillar Two income tax</w:t>
            </w:r>
          </w:p>
        </w:tc>
        <w:tc>
          <w:tcPr>
            <w:tcW w:w="73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13"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required by IAS 12 Income Taxes, Shell has applied the exception to recognising and disclosing information about deferred tax assets and liabilities related to Pillar Two income taxes.</w:t>
      </w:r>
    </w:p>
    <w:p>
      <w:pPr>
        <w:pStyle w:val="TextBody"/>
        <w:bidi w:val="0"/>
        <w:spacing w:before="120" w:after="283"/>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Consolidated Statement of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differences</w:t>
      </w:r>
    </w:p>
    <w:tbl>
      <w:tblPr>
        <w:tblW w:w="8831"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270"/>
        <w:gridCol w:w="270"/>
        <w:gridCol w:w="246"/>
        <w:gridCol w:w="109"/>
        <w:gridCol w:w="109"/>
        <w:gridCol w:w="109"/>
        <w:gridCol w:w="344"/>
        <w:gridCol w:w="346"/>
        <w:gridCol w:w="246"/>
        <w:gridCol w:w="109"/>
        <w:gridCol w:w="109"/>
        <w:gridCol w:w="109"/>
        <w:gridCol w:w="1225"/>
        <w:gridCol w:w="1225"/>
        <w:gridCol w:w="1239"/>
        <w:gridCol w:w="315"/>
        <w:gridCol w:w="316"/>
        <w:gridCol w:w="156"/>
        <w:gridCol w:w="344"/>
        <w:gridCol w:w="346"/>
        <w:gridCol w:w="21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0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9"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(4,899)</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 translation differences</w:t>
            </w:r>
          </w:p>
        </w:tc>
        <w:tc>
          <w:tcPr>
            <w:tcW w:w="63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5,917</w:t>
            </w:r>
            <w:r>
              <w:rPr>
                <w:color w:val="000000"/>
              </w:rPr>
              <w:t>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(3,248)</w:t>
            </w:r>
          </w:p>
        </w:tc>
        <w:tc>
          <w:tcPr>
            <w:tcW w:w="2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w:t>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Recognised in Other comprehensive income</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40"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4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4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reclassified to profit or loss</w:t>
            </w:r>
          </w:p>
        </w:tc>
        <w:tc>
          <w:tcPr>
            <w:tcW w:w="63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213"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benefits remeasurements</w:t>
      </w:r>
    </w:p>
    <w:tbl>
      <w:tblPr>
        <w:tblW w:w="8105"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344"/>
        <w:gridCol w:w="346"/>
        <w:gridCol w:w="246"/>
        <w:gridCol w:w="109"/>
        <w:gridCol w:w="109"/>
        <w:gridCol w:w="109"/>
        <w:gridCol w:w="244"/>
        <w:gridCol w:w="244"/>
        <w:gridCol w:w="246"/>
        <w:gridCol w:w="109"/>
        <w:gridCol w:w="109"/>
        <w:gridCol w:w="109"/>
        <w:gridCol w:w="1007"/>
        <w:gridCol w:w="1007"/>
        <w:gridCol w:w="1016"/>
        <w:gridCol w:w="344"/>
        <w:gridCol w:w="346"/>
        <w:gridCol w:w="156"/>
        <w:gridCol w:w="308"/>
        <w:gridCol w:w="308"/>
        <w:gridCol w:w="21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2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9"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benefits remeasurements</w:t>
            </w:r>
          </w:p>
        </w:tc>
        <w:tc>
          <w:tcPr>
            <w:tcW w:w="69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2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benefits remeasurements in the third quarter 2025 principally relate to recognition of an adjustment to reduce the Dutch pension fund surplus and recognising a minimum funding liability (see Retirement benefits below).</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Condensed Consolidated Balance Sheet</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associates</w:t>
      </w:r>
    </w:p>
    <w:tbl>
      <w:tblPr>
        <w:tblW w:w="5829" w:type="dxa"/>
        <w:jc w:val="left"/>
        <w:tblInd w:w="0" w:type="dxa"/>
        <w:tblLayout w:type="fixed"/>
        <w:tblCellMar>
          <w:top w:w="28" w:type="dxa"/>
          <w:left w:w="28" w:type="dxa"/>
          <w:bottom w:w="28" w:type="dxa"/>
          <w:right w:w="28" w:type="dxa"/>
        </w:tblCellMar>
      </w:tblPr>
      <w:tblGrid>
        <w:gridCol w:w="890"/>
        <w:gridCol w:w="782"/>
        <w:gridCol w:w="787"/>
        <w:gridCol w:w="109"/>
        <w:gridCol w:w="109"/>
        <w:gridCol w:w="109"/>
        <w:gridCol w:w="499"/>
        <w:gridCol w:w="499"/>
        <w:gridCol w:w="501"/>
        <w:gridCol w:w="452"/>
        <w:gridCol w:w="452"/>
        <w:gridCol w:w="640"/>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59"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associates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5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23,445 </w:t>
            </w:r>
          </w:p>
        </w:tc>
        <w:tc>
          <w:tcPr>
            <w:tcW w:w="64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2025, the Company obtained a 50% interest in a newly formed joint venture Adura Energy Limited, in exchange for the contribution of Shell's UK offshore oil and gas assets into the joint venture. The excess of the fair value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35</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contributed over the pre-existing carrying amounts was recognised in the Consolidated Statement of Income in the fourth quarter 2025 (see Interest and other income above). </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Deferred tax</w:t>
      </w:r>
    </w:p>
    <w:tbl>
      <w:tblPr>
        <w:tblW w:w="5691" w:type="dxa"/>
        <w:jc w:val="left"/>
        <w:tblInd w:w="0" w:type="dxa"/>
        <w:tblLayout w:type="fixed"/>
        <w:tblCellMar>
          <w:top w:w="28" w:type="dxa"/>
          <w:left w:w="28" w:type="dxa"/>
          <w:bottom w:w="28" w:type="dxa"/>
          <w:right w:w="28" w:type="dxa"/>
        </w:tblCellMar>
      </w:tblPr>
      <w:tblGrid>
        <w:gridCol w:w="721"/>
        <w:gridCol w:w="633"/>
        <w:gridCol w:w="640"/>
        <w:gridCol w:w="109"/>
        <w:gridCol w:w="109"/>
        <w:gridCol w:w="109"/>
        <w:gridCol w:w="499"/>
        <w:gridCol w:w="499"/>
        <w:gridCol w:w="501"/>
        <w:gridCol w:w="109"/>
        <w:gridCol w:w="109"/>
        <w:gridCol w:w="109"/>
        <w:gridCol w:w="452"/>
        <w:gridCol w:w="452"/>
        <w:gridCol w:w="640"/>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9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deferred liability</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(3,810)</w:t>
            </w:r>
          </w:p>
        </w:tc>
        <w:tc>
          <w:tcPr>
            <w:tcW w:w="5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(6,648)</w:t>
            </w:r>
          </w:p>
        </w:tc>
        <w:tc>
          <w:tcPr>
            <w:tcW w:w="64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presentation in the balance sheet takes into consideration the offsetting of deferred tax assets and deferred tax liabilities within the same tax jurisdiction, where this is permitted. The overall deferred tax position in a particular tax jurisdiction determines whether a deferred tax balance related to that jurisdiction is presented within deferred tax assets or deferred tax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Shell's net deferred tax position was a liability of $3,810 million at December 31, 2025 (December 31, 2024: $6,648 million). The net decrease in the net deferred tax liability is mainly driven by retirement benefits remeasurements in the third quarter 2025 (see Retirement benefits below) and various other smaller items.</w:t>
      </w:r>
    </w:p>
    <w:p>
      <w:pPr>
        <w:pStyle w:val="TextBody"/>
        <w:bidi w:val="0"/>
        <w:spacing w:before="0" w:after="0"/>
        <w:jc w:val="left"/>
        <w:rPr/>
      </w:pPr>
      <w:r>
        <w:rPr/>
      </w:r>
    </w:p>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Retirement benefits</w:t>
      </w:r>
    </w:p>
    <w:tbl>
      <w:tblPr>
        <w:tblW w:w="5691" w:type="dxa"/>
        <w:jc w:val="left"/>
        <w:tblInd w:w="0" w:type="dxa"/>
        <w:tblLayout w:type="fixed"/>
        <w:tblCellMar>
          <w:top w:w="28" w:type="dxa"/>
          <w:left w:w="28" w:type="dxa"/>
          <w:bottom w:w="28" w:type="dxa"/>
          <w:right w:w="28" w:type="dxa"/>
        </w:tblCellMar>
      </w:tblPr>
      <w:tblGrid>
        <w:gridCol w:w="721"/>
        <w:gridCol w:w="633"/>
        <w:gridCol w:w="640"/>
        <w:gridCol w:w="109"/>
        <w:gridCol w:w="109"/>
        <w:gridCol w:w="109"/>
        <w:gridCol w:w="499"/>
        <w:gridCol w:w="499"/>
        <w:gridCol w:w="501"/>
        <w:gridCol w:w="109"/>
        <w:gridCol w:w="109"/>
        <w:gridCol w:w="109"/>
        <w:gridCol w:w="452"/>
        <w:gridCol w:w="452"/>
        <w:gridCol w:w="640"/>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9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Surplus/(deficit)</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(2,084)</w:t>
            </w:r>
          </w:p>
        </w:tc>
        <w:tc>
          <w:tcPr>
            <w:tcW w:w="5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3,251</w:t>
            </w:r>
            <w:r>
              <w:rPr>
                <w:color w:val="000000"/>
              </w:rPr>
              <w:t> </w:t>
            </w:r>
          </w:p>
        </w:tc>
        <w:tc>
          <w:tcPr>
            <w:tcW w:w="64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2023, new pension legislation ("Wet Toekomst Pensioenen" (WTP)) came into effect in the Netherlands, with an expected implementation required prior to January 1, 2028. In July 2025, the Trustee Board of the Stichting Shell Pensioen Fonds (“SSPF”), Shell's defined benefit pension fund in the Netherlands, formally accepted the transition plan to transition from a defined benefit pension fund to a defined contribution plan with effect from January 1, 2027, subject to the local funding level of the plan remaining above an agreed level (125%) during a predetermined transition period.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asset ceiling principles, in July 2025, Shell recognised an adjustment to reduce the pension fund surplus of $5,521 million to nil, and recognised a liability for a minimum funding requirement that was estimated in the third quarter 2025 at $750 million, resulting in a loss in Other comprehensive income. In addition, a net deferred tax liability (see Deferred tax above) of $1,617 million was unwound, leading to an overall net post-tax loss of $4,654 million recognised in Other comprehensive income (see Retirement benefits remeasurements above). The asset ceiling and the minimum funding requirement recognised will continue to be monitored and remeasured in accordance with IAS 19 Employee Benefits. </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Subsequently, at the date of transition and settlement (expected December 31, 2026), the surplus at that date will be de-recognised, resulting in an identified loss in the Consolidated Statement of Income. The extent to which the funding level will meet the agreed 125% threshold is subject to uncertainty.</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36</w:t>
                      </w:r>
                    </w:p>
                  </w:txbxContent>
                </v:textbox>
                <w10:wrap type="none"/>
              </v:rect>
            </w:pict>
          </mc:Fallback>
        </mc:AlternateContent>
      </w:r>
    </w:p>
    <w:p>
      <w:pPr>
        <w:pStyle w:val="TextBody"/>
        <w:bidi w:val="0"/>
        <w:spacing w:before="200" w:after="1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Assets classified as held for sale</w:t>
      </w:r>
    </w:p>
    <w:tbl>
      <w:tblPr>
        <w:tblW w:w="8859" w:type="dxa"/>
        <w:jc w:val="left"/>
        <w:tblInd w:w="0" w:type="dxa"/>
        <w:tblLayout w:type="fixed"/>
        <w:tblCellMar>
          <w:top w:w="28" w:type="dxa"/>
          <w:left w:w="28" w:type="dxa"/>
          <w:bottom w:w="28" w:type="dxa"/>
          <w:right w:w="28" w:type="dxa"/>
        </w:tblCellMar>
      </w:tblPr>
      <w:tblGrid>
        <w:gridCol w:w="1983"/>
        <w:gridCol w:w="1740"/>
        <w:gridCol w:w="1766"/>
        <w:gridCol w:w="109"/>
        <w:gridCol w:w="109"/>
        <w:gridCol w:w="109"/>
        <w:gridCol w:w="499"/>
        <w:gridCol w:w="499"/>
        <w:gridCol w:w="501"/>
        <w:gridCol w:w="452"/>
        <w:gridCol w:w="452"/>
        <w:gridCol w:w="640"/>
      </w:tblGrid>
      <w:tr>
        <w:trPr/>
        <w:tc>
          <w:tcPr>
            <w:tcW w:w="198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48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classified as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5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directly associated with assets classified as held for sale</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544"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w:t>
            </w:r>
          </w:p>
        </w:tc>
      </w:tr>
    </w:tbl>
    <w:p>
      <w:pPr>
        <w:pStyle w:val="TextBody"/>
        <w:bidi w:val="0"/>
        <w:spacing w:lineRule="auto" w:line="300"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Assets classified as held for sale and associated liabilities at December 31, 2025, principally relate to UK Southern North Sea offshore natural gas assets in Upstream and two retail operations in Marketing. The disposal of Shell's Southern North Sea UK offshore natural gas assets was no longer highly probable in January 2026 and accordingly these will cease to be classified as held for sale.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Assets classified as held for sale and associated liabilities at December 31, 2024, principally relate to Shell's UK offshore oil and gas assets in Upstream, mining interests in Canada in Chemicals and Products and an energy and chemicals park in Chemicals and Products in Singapore. In 2025, Shell's UK offshore oil &amp; gas assets were derecognised in exchange for a 50% interest in a newly formed joint venture (see Joint venture and associates above), the mining interests in Canada were derecognised (see Non-controlling interest above) and the chemicals park in Singapore was sold.</w:t>
      </w:r>
    </w:p>
    <w:p>
      <w:pPr>
        <w:pStyle w:val="TextBody"/>
        <w:bidi w:val="0"/>
        <w:spacing w:lineRule="auto" w:line="300" w:before="120" w:after="283"/>
        <w:jc w:val="left"/>
        <w:rPr>
          <w:rFonts w:ascii="Times New Roman;serif" w:hAnsi="Times New Roman;serif"/>
          <w:b w:val="false"/>
          <w:color w:val="000000"/>
          <w:sz w:val="20"/>
        </w:rPr>
      </w:pPr>
      <w:r>
        <w:rPr>
          <w:rFonts w:ascii="Times New Roman;serif" w:hAnsi="Times New Roman;serif"/>
          <w:b w:val="false"/>
          <w:color w:val="000000"/>
          <w:sz w:val="20"/>
        </w:rPr>
        <w:t>The major classes of assets and liabilities classified as held for sale at December 31, 2025, are Property, plant and equipment ($662 million; December 31, 2024: $8,283 million) and Decommissioning and other provisions ($515 million; December 31, 2024: $3,053 million).</w:t>
      </w:r>
    </w:p>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bl>
      <w:tblPr>
        <w:tblW w:w="5454" w:type="dxa"/>
        <w:jc w:val="left"/>
        <w:tblInd w:w="0" w:type="dxa"/>
        <w:tblLayout w:type="fixed"/>
        <w:tblCellMar>
          <w:top w:w="28" w:type="dxa"/>
          <w:left w:w="28" w:type="dxa"/>
          <w:bottom w:w="28" w:type="dxa"/>
          <w:right w:w="28" w:type="dxa"/>
        </w:tblCellMar>
      </w:tblPr>
      <w:tblGrid>
        <w:gridCol w:w="755"/>
        <w:gridCol w:w="664"/>
        <w:gridCol w:w="665"/>
        <w:gridCol w:w="109"/>
        <w:gridCol w:w="109"/>
        <w:gridCol w:w="109"/>
        <w:gridCol w:w="499"/>
        <w:gridCol w:w="499"/>
        <w:gridCol w:w="501"/>
        <w:gridCol w:w="452"/>
        <w:gridCol w:w="452"/>
        <w:gridCol w:w="640"/>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84"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5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64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The decrease in non-controlling interest since December 31, 2024, is mainly attributable to the completion in the fourth quarter 2025 of the swap of Shell's remaining 10% mining interest in exchange for an additional 10% interest in the Scotford upgrader and Quest Carbon Capture (CCS) facility.</w:t>
      </w:r>
    </w:p>
    <w:p>
      <w:pPr>
        <w:pStyle w:val="TextBody"/>
        <w:bidi w:val="0"/>
        <w:spacing w:lineRule="auto" w:line="300" w:before="200" w:after="120"/>
        <w:jc w:val="left"/>
        <w:rPr>
          <w:rFonts w:ascii="Times New Roman;serif" w:hAnsi="Times New Roman;serif"/>
          <w:b/>
          <w:color w:val="000000"/>
          <w:sz w:val="20"/>
        </w:rPr>
      </w:pPr>
      <w:r>
        <w:rPr>
          <w:rFonts w:ascii="Times New Roman;serif" w:hAnsi="Times New Roman;serif"/>
          <w:b/>
          <w:color w:val="000000"/>
          <w:sz w:val="20"/>
        </w:rPr>
        <w:t>Consolidated Statement of Cash Flows</w:t>
      </w:r>
    </w:p>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 - Other</w:t>
      </w:r>
    </w:p>
    <w:tbl>
      <w:tblPr>
        <w:tblW w:w="8451" w:type="dxa"/>
        <w:jc w:val="left"/>
        <w:tblInd w:w="0" w:type="dxa"/>
        <w:tblLayout w:type="fixed"/>
        <w:tblCellMar>
          <w:top w:w="28" w:type="dxa"/>
          <w:left w:w="28" w:type="dxa"/>
          <w:bottom w:w="28" w:type="dxa"/>
          <w:right w:w="28" w:type="dxa"/>
        </w:tblCellMar>
      </w:tblPr>
      <w:tblGrid>
        <w:gridCol w:w="374"/>
        <w:gridCol w:w="331"/>
        <w:gridCol w:w="240"/>
        <w:gridCol w:w="109"/>
        <w:gridCol w:w="109"/>
        <w:gridCol w:w="109"/>
        <w:gridCol w:w="244"/>
        <w:gridCol w:w="244"/>
        <w:gridCol w:w="246"/>
        <w:gridCol w:w="109"/>
        <w:gridCol w:w="109"/>
        <w:gridCol w:w="109"/>
        <w:gridCol w:w="270"/>
        <w:gridCol w:w="270"/>
        <w:gridCol w:w="246"/>
        <w:gridCol w:w="109"/>
        <w:gridCol w:w="109"/>
        <w:gridCol w:w="109"/>
        <w:gridCol w:w="1179"/>
        <w:gridCol w:w="1179"/>
        <w:gridCol w:w="1196"/>
        <w:gridCol w:w="233"/>
        <w:gridCol w:w="233"/>
        <w:gridCol w:w="156"/>
        <w:gridCol w:w="308"/>
        <w:gridCol w:w="308"/>
        <w:gridCol w:w="213"/>
      </w:tblGrid>
      <w:tr>
        <w:trPr/>
        <w:tc>
          <w:tcPr>
            <w:tcW w:w="37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9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2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 - Other</w:t>
            </w:r>
          </w:p>
        </w:tc>
        <w:tc>
          <w:tcPr>
            <w:tcW w:w="46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2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Cash flow from operating activities - Other for the fourth quarter 2025 includes $838 million of net outflows (third quarter 2025: $108 million net inflows; fourth quarter 2024: $1,447 million net outflows) due to the timing of payments relating to emission certificates and biofuel programmes in Europe and North America. </w:t>
      </w:r>
    </w:p>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 and businesses</w:t>
      </w:r>
    </w:p>
    <w:tbl>
      <w:tblPr>
        <w:tblW w:w="10205" w:type="dxa"/>
        <w:jc w:val="left"/>
        <w:tblInd w:w="0" w:type="dxa"/>
        <w:tblLayout w:type="fixed"/>
        <w:tblCellMar>
          <w:top w:w="28" w:type="dxa"/>
          <w:left w:w="28" w:type="dxa"/>
          <w:bottom w:w="28" w:type="dxa"/>
          <w:right w:w="28" w:type="dxa"/>
        </w:tblCellMar>
      </w:tblPr>
      <w:tblGrid>
        <w:gridCol w:w="293"/>
        <w:gridCol w:w="255"/>
        <w:gridCol w:w="232"/>
        <w:gridCol w:w="233"/>
        <w:gridCol w:w="233"/>
        <w:gridCol w:w="109"/>
        <w:gridCol w:w="244"/>
        <w:gridCol w:w="241"/>
        <w:gridCol w:w="237"/>
        <w:gridCol w:w="109"/>
        <w:gridCol w:w="109"/>
        <w:gridCol w:w="109"/>
        <w:gridCol w:w="244"/>
        <w:gridCol w:w="241"/>
        <w:gridCol w:w="237"/>
        <w:gridCol w:w="109"/>
        <w:gridCol w:w="109"/>
        <w:gridCol w:w="109"/>
        <w:gridCol w:w="1708"/>
        <w:gridCol w:w="1708"/>
        <w:gridCol w:w="1729"/>
        <w:gridCol w:w="308"/>
        <w:gridCol w:w="308"/>
        <w:gridCol w:w="156"/>
        <w:gridCol w:w="308"/>
        <w:gridCol w:w="308"/>
        <w:gridCol w:w="219"/>
      </w:tblGrid>
      <w:tr>
        <w:trPr/>
        <w:tc>
          <w:tcPr>
            <w:tcW w:w="29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7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5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3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3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3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 and businesses</w:t>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21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 and businesses in the fourth quarter 2025 include $365 million related to cash disposed through the completion of two disposals in the fourth quarter 2025.</w:t>
      </w:r>
    </w:p>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Other investing cash inflows</w:t>
      </w:r>
    </w:p>
    <w:tbl>
      <w:tblPr>
        <w:tblW w:w="7341"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244"/>
        <w:gridCol w:w="244"/>
        <w:gridCol w:w="246"/>
        <w:gridCol w:w="109"/>
        <w:gridCol w:w="109"/>
        <w:gridCol w:w="109"/>
        <w:gridCol w:w="308"/>
        <w:gridCol w:w="308"/>
        <w:gridCol w:w="246"/>
        <w:gridCol w:w="109"/>
        <w:gridCol w:w="109"/>
        <w:gridCol w:w="109"/>
        <w:gridCol w:w="801"/>
        <w:gridCol w:w="801"/>
        <w:gridCol w:w="812"/>
        <w:gridCol w:w="308"/>
        <w:gridCol w:w="308"/>
        <w:gridCol w:w="156"/>
        <w:gridCol w:w="308"/>
        <w:gridCol w:w="308"/>
        <w:gridCol w:w="21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2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9"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2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24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investing cash inflows</w:t>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21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37</w:t>
                      </w:r>
                    </w:p>
                  </w:txbxContent>
                </v:textbox>
                <w10:wrap type="none"/>
              </v:rect>
            </w:pict>
          </mc:Fallback>
        </mc:AlternateConten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flow from investing activities - Other investing cash inflows for the fourth quarter 2025 mainly relates to sale of loans and loan repayments. In the third quarter 2025 it mainly relates to the sale of pension-related debt securities and repayments of short-term loans.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120"/>
        <w:jc w:val="left"/>
        <w:rPr>
          <w:rFonts w:ascii="Times New Roman;serif" w:hAnsi="Times New Roman;serif"/>
          <w:b/>
          <w:color w:val="000000"/>
          <w:sz w:val="20"/>
        </w:rPr>
      </w:pPr>
      <w:r>
        <w:rPr>
          <w:rFonts w:ascii="Times New Roman;serif" w:hAnsi="Times New Roman;serif"/>
          <w:b/>
          <w:color w:val="000000"/>
          <w:sz w:val="20"/>
        </w:rPr>
        <w:t>8.     Reconciliation of Operating expenses and Total Debt</w:t>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RECONCILIATION OF OPERATING EXPENSES </w:t>
      </w:r>
    </w:p>
    <w:tbl>
      <w:tblPr>
        <w:tblW w:w="8887" w:type="dxa"/>
        <w:jc w:val="left"/>
        <w:tblInd w:w="0" w:type="dxa"/>
        <w:tblLayout w:type="fixed"/>
        <w:tblCellMar>
          <w:top w:w="28" w:type="dxa"/>
          <w:left w:w="28" w:type="dxa"/>
          <w:bottom w:w="28" w:type="dxa"/>
          <w:right w:w="28" w:type="dxa"/>
        </w:tblCellMar>
      </w:tblPr>
      <w:tblGrid>
        <w:gridCol w:w="342"/>
        <w:gridCol w:w="304"/>
        <w:gridCol w:w="240"/>
        <w:gridCol w:w="315"/>
        <w:gridCol w:w="316"/>
        <w:gridCol w:w="246"/>
        <w:gridCol w:w="315"/>
        <w:gridCol w:w="316"/>
        <w:gridCol w:w="246"/>
        <w:gridCol w:w="109"/>
        <w:gridCol w:w="109"/>
        <w:gridCol w:w="109"/>
        <w:gridCol w:w="1355"/>
        <w:gridCol w:w="1355"/>
        <w:gridCol w:w="1369"/>
        <w:gridCol w:w="367"/>
        <w:gridCol w:w="369"/>
        <w:gridCol w:w="156"/>
        <w:gridCol w:w="367"/>
        <w:gridCol w:w="369"/>
        <w:gridCol w:w="213"/>
      </w:tblGrid>
      <w:tr>
        <w:trPr/>
        <w:tc>
          <w:tcPr>
            <w:tcW w:w="3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8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manufacturing expenses</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21,898 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2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2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distribution and administrative expenses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21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40"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4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9,559</w:t>
            </w:r>
            <w:r>
              <w:rPr>
                <w:color w:val="000000"/>
              </w:rPr>
              <w:t> </w:t>
            </w:r>
          </w:p>
        </w:tc>
        <w:tc>
          <w:tcPr>
            <w:tcW w:w="2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9,275</w:t>
            </w:r>
            <w:r>
              <w:rPr>
                <w:color w:val="000000"/>
              </w:rPr>
              <w:t> </w:t>
            </w:r>
          </w:p>
        </w:tc>
        <w:tc>
          <w:tcPr>
            <w:tcW w:w="2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9,401</w:t>
            </w:r>
            <w:r>
              <w:rPr>
                <w:color w:val="000000"/>
              </w:rPr>
              <w:t> </w:t>
            </w:r>
          </w:p>
        </w:tc>
        <w:tc>
          <w:tcPr>
            <w:tcW w:w="2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35,674</w:t>
            </w:r>
            <w:r>
              <w:rPr>
                <w:color w:val="000000"/>
              </w:rPr>
              <w:t> </w:t>
            </w:r>
          </w:p>
        </w:tc>
        <w:tc>
          <w:tcPr>
            <w:tcW w:w="1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36,917</w:t>
            </w:r>
            <w:r>
              <w:rPr>
                <w:color w:val="000000"/>
              </w:rPr>
              <w:t> </w:t>
            </w:r>
          </w:p>
        </w:tc>
        <w:tc>
          <w:tcPr>
            <w:tcW w:w="21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RECONCILIATION OF TOTAL DEBT </w:t>
      </w:r>
    </w:p>
    <w:tbl>
      <w:tblPr>
        <w:tblW w:w="9412" w:type="dxa"/>
        <w:jc w:val="left"/>
        <w:tblInd w:w="0" w:type="dxa"/>
        <w:tblLayout w:type="fixed"/>
        <w:tblCellMar>
          <w:top w:w="28" w:type="dxa"/>
          <w:left w:w="28" w:type="dxa"/>
          <w:bottom w:w="28" w:type="dxa"/>
          <w:right w:w="28" w:type="dxa"/>
        </w:tblCellMar>
      </w:tblPr>
      <w:tblGrid>
        <w:gridCol w:w="547"/>
        <w:gridCol w:w="483"/>
        <w:gridCol w:w="484"/>
        <w:gridCol w:w="514"/>
        <w:gridCol w:w="514"/>
        <w:gridCol w:w="516"/>
        <w:gridCol w:w="499"/>
        <w:gridCol w:w="499"/>
        <w:gridCol w:w="501"/>
        <w:gridCol w:w="109"/>
        <w:gridCol w:w="109"/>
        <w:gridCol w:w="109"/>
        <w:gridCol w:w="494"/>
        <w:gridCol w:w="494"/>
        <w:gridCol w:w="497"/>
        <w:gridCol w:w="499"/>
        <w:gridCol w:w="499"/>
        <w:gridCol w:w="501"/>
        <w:gridCol w:w="452"/>
        <w:gridCol w:w="452"/>
        <w:gridCol w:w="640"/>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8" w:type="dxa"/>
            <w:gridSpan w:val="9"/>
            <w:tcBorders/>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30" w:type="dxa"/>
            <w:gridSpan w:val="2"/>
            <w:tcBorders>
              <w:top w:val="single" w:sz="8" w:space="0" w:color="B6B6B6"/>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9,128 </w:t>
            </w:r>
          </w:p>
        </w:tc>
        <w:tc>
          <w:tcPr>
            <w:tcW w:w="484" w:type="dxa"/>
            <w:tcBorders>
              <w:top w:val="single" w:sz="8" w:space="0" w:color="B6B6B6"/>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B6B6B6"/>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10,022 </w:t>
            </w:r>
          </w:p>
        </w:tc>
        <w:tc>
          <w:tcPr>
            <w:tcW w:w="516" w:type="dxa"/>
            <w:tcBorders>
              <w:top w:val="single" w:sz="8" w:space="0" w:color="B6B6B6"/>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6B6B6"/>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501" w:type="dxa"/>
            <w:tcBorders>
              <w:top w:val="single" w:sz="8" w:space="0" w:color="B6B6B6"/>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B6B6B6"/>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998" w:type="dxa"/>
            <w:gridSpan w:val="2"/>
            <w:tcBorders>
              <w:top w:val="single" w:sz="8" w:space="0" w:color="B6B6B6"/>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9,128 </w:t>
            </w:r>
          </w:p>
        </w:tc>
        <w:tc>
          <w:tcPr>
            <w:tcW w:w="501" w:type="dxa"/>
            <w:tcBorders>
              <w:top w:val="single" w:sz="8" w:space="0" w:color="B6B6B6"/>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B6B6B6"/>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640" w:type="dxa"/>
            <w:tcBorders>
              <w:top w:val="single" w:sz="8" w:space="0" w:color="B6B6B6"/>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66,515 </w:t>
            </w:r>
          </w:p>
        </w:tc>
        <w:tc>
          <w:tcPr>
            <w:tcW w:w="48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63,955 </w:t>
            </w:r>
          </w:p>
        </w:tc>
        <w:tc>
          <w:tcPr>
            <w:tcW w:w="51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65,448 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debt</w:t>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66,515 </w:t>
            </w:r>
          </w:p>
        </w:tc>
        <w:tc>
          <w:tcPr>
            <w:tcW w:w="5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65,448 </w:t>
            </w:r>
          </w:p>
        </w:tc>
        <w:tc>
          <w:tcPr>
            <w:tcW w:w="64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75,643</w:t>
            </w:r>
            <w:r>
              <w:rPr>
                <w:color w:val="000000"/>
              </w:rPr>
              <w:t> </w:t>
            </w:r>
          </w:p>
        </w:tc>
        <w:tc>
          <w:tcPr>
            <w:tcW w:w="48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73,977</w:t>
            </w:r>
            <w:r>
              <w:rPr>
                <w:color w:val="000000"/>
              </w:rPr>
              <w:t> </w:t>
            </w:r>
          </w:p>
        </w:tc>
        <w:tc>
          <w:tcPr>
            <w:tcW w:w="5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77,078</w:t>
            </w:r>
            <w:r>
              <w:rPr>
                <w:color w:val="000000"/>
              </w:rPr>
              <w:t> </w:t>
            </w:r>
          </w:p>
        </w:tc>
        <w:tc>
          <w:tcPr>
            <w:tcW w:w="50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99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75,643</w:t>
            </w:r>
            <w:r>
              <w:rPr>
                <w:color w:val="000000"/>
              </w:rPr>
              <w:t> </w:t>
            </w:r>
          </w:p>
        </w:tc>
        <w:tc>
          <w:tcPr>
            <w:tcW w:w="50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77,078</w:t>
            </w:r>
            <w:r>
              <w:rPr>
                <w:color w:val="000000"/>
              </w:rPr>
              <w:t> </w:t>
            </w:r>
          </w:p>
        </w:tc>
        <w:tc>
          <w:tcPr>
            <w:tcW w:w="6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38</w:t>
                      </w:r>
                    </w:p>
                  </w:txbxContent>
                </v:textbox>
                <w10:wrap type="none"/>
              </v:rect>
            </w:pict>
          </mc:Fallback>
        </mc:AlternateContent>
      </w:r>
    </w:p>
    <w:p>
      <w:pPr>
        <w:pStyle w:val="TextBody"/>
        <w:bidi w:val="0"/>
        <w:spacing w:lineRule="auto" w:line="288" w:before="200" w:after="120"/>
        <w:jc w:val="left"/>
        <w:rPr>
          <w:rFonts w:ascii="Times New Roman;serif" w:hAnsi="Times New Roman;serif"/>
          <w:b/>
          <w:color w:val="FF0000"/>
          <w:sz w:val="20"/>
        </w:rPr>
      </w:pPr>
      <w:r>
        <w:rPr>
          <w:rFonts w:ascii="Times New Roman;serif" w:hAnsi="Times New Roman;serif"/>
          <w:b/>
          <w:color w:val="FF0000"/>
          <w:sz w:val="20"/>
        </w:rPr>
        <w:t xml:space="preserve">ALTERNATIVE PERFORMANCE (NON-GAAP)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pPr>
      <w:r>
        <w:rPr>
          <w:rFonts w:ascii="Times New Roman;serif" w:hAnsi="Times New Roman;serif"/>
          <w:b/>
          <w:color w:val="000000"/>
          <w:sz w:val="20"/>
        </w:rPr>
        <w:t>A.</w:t>
      </w:r>
      <w:r>
        <w:rPr>
          <w:rFonts w:ascii="Times New Roman;serif" w:hAnsi="Times New Roman;serif"/>
          <w:b/>
          <w:color w:val="000000"/>
          <w:sz w:val="22"/>
        </w:rPr>
        <w:t>Adjusted Earnings, Adjusted earnings before interest, taxes, depreciation and amortisation (“Adjusted EBITDA”) and Cash flow from operating activities</w:t>
      </w:r>
      <w:r>
        <w:rPr>
          <w:color w:val="000000"/>
        </w:rPr>
        <w:t xml:space="preserve">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“Adjusted Earnings” measure aims to facilitate a comparative understanding of Shell’s financial performance from period to period by removing the effects of oil price changes on inventory carrying amounts and removing the effects of identified items. These items are in some cases driven by external factors and may, either individually or collectively, hinder the comparative understanding of Shell’s financial results from period to period. This measure excludes earnings attributable to non-controlling interest when presenting the total Shell Group result but includes this item when presenting individual segment Adjusted Earnings as set out in the table below. </w:t>
      </w:r>
    </w:p>
    <w:p>
      <w:pPr>
        <w:pStyle w:val="TextBody"/>
        <w:bidi w:val="0"/>
        <w:spacing w:lineRule="auto" w:line="276"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See Note 2 “Segment information” for the reconciliation of Adjusted Earnings.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“Income/(loss) for the period” adjusted for current cost of supplies; identified items; tax charge/(credit); depreciation, amortisation and depletion; exploration well write-offs and net interest expense. All items include the non-controlling interest component. Management uses this measure to evaluate Shell's performance in the period and over time. </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98"/>
        <w:gridCol w:w="834"/>
        <w:gridCol w:w="846"/>
        <w:gridCol w:w="363"/>
        <w:gridCol w:w="304"/>
        <w:gridCol w:w="305"/>
        <w:gridCol w:w="325"/>
        <w:gridCol w:w="326"/>
        <w:gridCol w:w="256"/>
        <w:gridCol w:w="325"/>
        <w:gridCol w:w="326"/>
        <w:gridCol w:w="276"/>
        <w:gridCol w:w="439"/>
        <w:gridCol w:w="379"/>
        <w:gridCol w:w="381"/>
        <w:gridCol w:w="484"/>
        <w:gridCol w:w="484"/>
        <w:gridCol w:w="486"/>
        <w:gridCol w:w="269"/>
        <w:gridCol w:w="269"/>
        <w:gridCol w:w="271"/>
        <w:gridCol w:w="367"/>
        <w:gridCol w:w="369"/>
        <w:gridCol w:w="223"/>
      </w:tblGrid>
      <w:tr>
        <w:trPr/>
        <w:tc>
          <w:tcPr>
            <w:tcW w:w="129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2025</w:t>
            </w:r>
          </w:p>
        </w:tc>
        <w:tc>
          <w:tcPr>
            <w:tcW w:w="722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978"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2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9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45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0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95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7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97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3,256</w:t>
            </w:r>
            <w:r>
              <w:rPr>
                <w:color w:val="000000"/>
              </w:rPr>
              <w:t> </w:t>
            </w:r>
          </w:p>
        </w:tc>
        <w:tc>
          <w:tcPr>
            <w:tcW w:w="22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Non-controlling interest</w:t>
            </w:r>
          </w:p>
        </w:tc>
        <w:tc>
          <w:tcPr>
            <w:tcW w:w="97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2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plus non-controlling interest</w:t>
            </w:r>
          </w:p>
        </w:tc>
        <w:tc>
          <w:tcPr>
            <w:tcW w:w="667"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w:t>
            </w:r>
            <w:r>
              <w:rPr>
                <w:color w:val="000000"/>
              </w:rPr>
              <w:t> </w:t>
            </w:r>
          </w:p>
        </w:tc>
        <w:tc>
          <w:tcPr>
            <w:tcW w:w="30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1,570</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578</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38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48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(567)</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3,307</w:t>
            </w:r>
            <w:r>
              <w:rPr>
                <w:color w:val="000000"/>
              </w:rPr>
              <w:t> </w:t>
            </w:r>
          </w:p>
        </w:tc>
        <w:tc>
          <w:tcPr>
            <w:tcW w:w="22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Taxation charge/(credit) excluding tax impact of identified items</w:t>
            </w:r>
          </w:p>
        </w:tc>
        <w:tc>
          <w:tcPr>
            <w:tcW w:w="667"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05"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8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8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27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22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 depletion and amortisation excluding impairments</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Exploration well write-offs</w:t>
            </w:r>
          </w:p>
        </w:tc>
        <w:tc>
          <w:tcPr>
            <w:tcW w:w="66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excluding identified items</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66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667"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4,127</w:t>
            </w:r>
            <w:r>
              <w:rPr>
                <w:color w:val="000000"/>
              </w:rPr>
              <w:t> </w:t>
            </w:r>
          </w:p>
        </w:tc>
        <w:tc>
          <w:tcPr>
            <w:tcW w:w="30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6,114</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1,604</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939</w:t>
            </w:r>
            <w:r>
              <w:rPr>
                <w:color w:val="000000"/>
              </w:rPr>
              <w:t> </w:t>
            </w:r>
          </w:p>
        </w:tc>
        <w:tc>
          <w:tcPr>
            <w:tcW w:w="38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w:t>
            </w:r>
            <w:r>
              <w:rPr>
                <w:color w:val="000000"/>
              </w:rPr>
              <w:t> </w:t>
            </w:r>
          </w:p>
        </w:tc>
        <w:tc>
          <w:tcPr>
            <w:tcW w:w="48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(313)</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12,799</w:t>
            </w:r>
            <w:r>
              <w:rPr>
                <w:color w:val="000000"/>
              </w:rPr>
              <w:t> </w:t>
            </w:r>
          </w:p>
        </w:tc>
        <w:tc>
          <w:tcPr>
            <w:tcW w:w="22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cost of supplies adjustment before taxation</w:t>
            </w:r>
          </w:p>
        </w:tc>
        <w:tc>
          <w:tcPr>
            <w:tcW w:w="97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8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2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associates (dividends received less profit)</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66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48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paid</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6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(Increase)/decrease in working capital</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667"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3,956</w:t>
            </w:r>
            <w:r>
              <w:rPr>
                <w:color w:val="000000"/>
              </w:rPr>
              <w:t> </w:t>
            </w:r>
          </w:p>
        </w:tc>
        <w:tc>
          <w:tcPr>
            <w:tcW w:w="305"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4,287</w:t>
            </w:r>
            <w:r>
              <w:rPr>
                <w:color w:val="000000"/>
              </w:rPr>
              <w:t> </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w:t>
            </w:r>
            <w:r>
              <w:rPr>
                <w:color w:val="000000"/>
              </w:rPr>
              <w:t> </w:t>
            </w:r>
          </w:p>
        </w:tc>
        <w:tc>
          <w:tcPr>
            <w:tcW w:w="38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(405)</w:t>
            </w:r>
          </w:p>
        </w:tc>
        <w:tc>
          <w:tcPr>
            <w:tcW w:w="48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27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9,438</w:t>
            </w:r>
            <w:r>
              <w:rPr>
                <w:color w:val="000000"/>
              </w:rPr>
              <w:t> </w:t>
            </w:r>
          </w:p>
        </w:tc>
        <w:tc>
          <w:tcPr>
            <w:tcW w:w="223"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39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88"/>
        <w:gridCol w:w="821"/>
        <w:gridCol w:w="833"/>
        <w:gridCol w:w="363"/>
        <w:gridCol w:w="303"/>
        <w:gridCol w:w="305"/>
        <w:gridCol w:w="324"/>
        <w:gridCol w:w="326"/>
        <w:gridCol w:w="256"/>
        <w:gridCol w:w="315"/>
        <w:gridCol w:w="316"/>
        <w:gridCol w:w="276"/>
        <w:gridCol w:w="437"/>
        <w:gridCol w:w="377"/>
        <w:gridCol w:w="378"/>
        <w:gridCol w:w="480"/>
        <w:gridCol w:w="480"/>
        <w:gridCol w:w="482"/>
        <w:gridCol w:w="308"/>
        <w:gridCol w:w="308"/>
        <w:gridCol w:w="271"/>
        <w:gridCol w:w="367"/>
        <w:gridCol w:w="369"/>
        <w:gridCol w:w="222"/>
      </w:tblGrid>
      <w:tr>
        <w:trPr/>
        <w:tc>
          <w:tcPr>
            <w:tcW w:w="128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Q3 2025</w:t>
            </w:r>
          </w:p>
        </w:tc>
        <w:tc>
          <w:tcPr>
            <w:tcW w:w="726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94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0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9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44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95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42"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97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5,432</w:t>
            </w:r>
            <w:r>
              <w:rPr>
                <w:color w:val="000000"/>
              </w:rPr>
              <w:t> </w:t>
            </w:r>
          </w:p>
        </w:tc>
        <w:tc>
          <w:tcPr>
            <w:tcW w:w="22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Non-controlling interest</w:t>
            </w:r>
          </w:p>
        </w:tc>
        <w:tc>
          <w:tcPr>
            <w:tcW w:w="971"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2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plus non-controlling interest</w:t>
            </w:r>
          </w:p>
        </w:tc>
        <w:tc>
          <w:tcPr>
            <w:tcW w:w="66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2,143</w:t>
            </w:r>
            <w:r>
              <w:rPr>
                <w:color w:val="000000"/>
              </w:rPr>
              <w:t> </w:t>
            </w:r>
          </w:p>
        </w:tc>
        <w:tc>
          <w:tcPr>
            <w:tcW w:w="30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1,804</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w:t>
            </w:r>
            <w:r>
              <w:rPr>
                <w:color w:val="000000"/>
              </w:rPr>
              <w:t> </w:t>
            </w:r>
          </w:p>
        </w:tc>
        <w:tc>
          <w:tcPr>
            <w:tcW w:w="378"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48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(383)</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5,523</w:t>
            </w:r>
            <w:r>
              <w:rPr>
                <w:color w:val="000000"/>
              </w:rPr>
              <w:t> </w:t>
            </w:r>
          </w:p>
        </w:tc>
        <w:tc>
          <w:tcPr>
            <w:tcW w:w="22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Taxation charge/(credit) excluding tax impact of identified items</w:t>
            </w:r>
          </w:p>
        </w:tc>
        <w:tc>
          <w:tcPr>
            <w:tcW w:w="66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305"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78"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8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27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22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 depletion and amortisation excluding impairments</w:t>
            </w:r>
          </w:p>
        </w:tc>
        <w:tc>
          <w:tcPr>
            <w:tcW w:w="66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37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8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Exploration well write-offs</w:t>
            </w:r>
          </w:p>
        </w:tc>
        <w:tc>
          <w:tcPr>
            <w:tcW w:w="66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excluding identified items</w:t>
            </w:r>
          </w:p>
        </w:tc>
        <w:tc>
          <w:tcPr>
            <w:tcW w:w="66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7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66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7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66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4,257</w:t>
            </w:r>
            <w:r>
              <w:rPr>
                <w:color w:val="000000"/>
              </w:rPr>
              <w:t> </w:t>
            </w:r>
          </w:p>
        </w:tc>
        <w:tc>
          <w:tcPr>
            <w:tcW w:w="30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6,557</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2,340</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1,667</w:t>
            </w:r>
            <w:r>
              <w:rPr>
                <w:color w:val="000000"/>
              </w:rPr>
              <w:t> </w:t>
            </w:r>
          </w:p>
        </w:tc>
        <w:tc>
          <w:tcPr>
            <w:tcW w:w="378"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w:t>
            </w:r>
            <w:r>
              <w:rPr>
                <w:color w:val="000000"/>
              </w:rPr>
              <w:t> </w:t>
            </w:r>
          </w:p>
        </w:tc>
        <w:tc>
          <w:tcPr>
            <w:tcW w:w="48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(272)</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14,773</w:t>
            </w:r>
            <w:r>
              <w:rPr>
                <w:color w:val="000000"/>
              </w:rPr>
              <w:t> </w:t>
            </w:r>
          </w:p>
        </w:tc>
        <w:tc>
          <w:tcPr>
            <w:tcW w:w="22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cost of supplies adjustment before taxation</w:t>
            </w:r>
          </w:p>
        </w:tc>
        <w:tc>
          <w:tcPr>
            <w:tcW w:w="971"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78"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associates (dividends received less profit)</w:t>
            </w:r>
          </w:p>
        </w:tc>
        <w:tc>
          <w:tcPr>
            <w:tcW w:w="66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66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7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48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paid</w:t>
            </w:r>
          </w:p>
        </w:tc>
        <w:tc>
          <w:tcPr>
            <w:tcW w:w="66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8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6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37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48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(Increase)/decrease in working capital</w:t>
            </w:r>
          </w:p>
        </w:tc>
        <w:tc>
          <w:tcPr>
            <w:tcW w:w="66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7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48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2"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66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3,038</w:t>
            </w:r>
            <w:r>
              <w:rPr>
                <w:color w:val="000000"/>
              </w:rPr>
              <w:t> </w:t>
            </w:r>
          </w:p>
        </w:tc>
        <w:tc>
          <w:tcPr>
            <w:tcW w:w="305"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4,841</w:t>
            </w:r>
            <w:r>
              <w:rPr>
                <w:color w:val="000000"/>
              </w:rPr>
              <w:t> </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1,788</w:t>
            </w:r>
            <w:r>
              <w:rPr>
                <w:color w:val="000000"/>
              </w:rPr>
              <w:t> </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2,088</w:t>
            </w:r>
            <w:r>
              <w:rPr>
                <w:color w:val="000000"/>
              </w:rPr>
              <w:t> </w:t>
            </w:r>
          </w:p>
        </w:tc>
        <w:tc>
          <w:tcPr>
            <w:tcW w:w="378"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482"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w:t>
            </w:r>
          </w:p>
        </w:tc>
        <w:tc>
          <w:tcPr>
            <w:tcW w:w="27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12,207</w:t>
            </w:r>
            <w:r>
              <w:rPr>
                <w:color w:val="000000"/>
              </w:rPr>
              <w:t> </w:t>
            </w:r>
          </w:p>
        </w:tc>
        <w:tc>
          <w:tcPr>
            <w:tcW w:w="222"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98"/>
        <w:gridCol w:w="834"/>
        <w:gridCol w:w="846"/>
        <w:gridCol w:w="363"/>
        <w:gridCol w:w="304"/>
        <w:gridCol w:w="305"/>
        <w:gridCol w:w="325"/>
        <w:gridCol w:w="326"/>
        <w:gridCol w:w="256"/>
        <w:gridCol w:w="325"/>
        <w:gridCol w:w="326"/>
        <w:gridCol w:w="276"/>
        <w:gridCol w:w="439"/>
        <w:gridCol w:w="379"/>
        <w:gridCol w:w="381"/>
        <w:gridCol w:w="484"/>
        <w:gridCol w:w="484"/>
        <w:gridCol w:w="486"/>
        <w:gridCol w:w="269"/>
        <w:gridCol w:w="269"/>
        <w:gridCol w:w="271"/>
        <w:gridCol w:w="367"/>
        <w:gridCol w:w="369"/>
        <w:gridCol w:w="223"/>
      </w:tblGrid>
      <w:tr>
        <w:trPr/>
        <w:tc>
          <w:tcPr>
            <w:tcW w:w="129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2024</w:t>
            </w:r>
          </w:p>
        </w:tc>
        <w:tc>
          <w:tcPr>
            <w:tcW w:w="722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978"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2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9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45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0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95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7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97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3,661</w:t>
            </w:r>
            <w:r>
              <w:rPr>
                <w:color w:val="000000"/>
              </w:rPr>
              <w:t> </w:t>
            </w:r>
          </w:p>
        </w:tc>
        <w:tc>
          <w:tcPr>
            <w:tcW w:w="22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Non-controlling interest</w:t>
            </w:r>
          </w:p>
        </w:tc>
        <w:tc>
          <w:tcPr>
            <w:tcW w:w="97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2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plus non-controlling interest</w:t>
            </w:r>
          </w:p>
        </w:tc>
        <w:tc>
          <w:tcPr>
            <w:tcW w:w="667"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2,165</w:t>
            </w:r>
            <w:r>
              <w:rPr>
                <w:color w:val="000000"/>
              </w:rPr>
              <w:t> </w:t>
            </w:r>
          </w:p>
        </w:tc>
        <w:tc>
          <w:tcPr>
            <w:tcW w:w="30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1,682</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w:t>
            </w:r>
          </w:p>
        </w:tc>
        <w:tc>
          <w:tcPr>
            <w:tcW w:w="38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(311)</w:t>
            </w:r>
          </w:p>
        </w:tc>
        <w:tc>
          <w:tcPr>
            <w:tcW w:w="48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(380)</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3,766</w:t>
            </w:r>
            <w:r>
              <w:rPr>
                <w:color w:val="000000"/>
              </w:rPr>
              <w:t> </w:t>
            </w:r>
          </w:p>
        </w:tc>
        <w:tc>
          <w:tcPr>
            <w:tcW w:w="22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Taxation charge/(credit) excluding tax impact of identified items</w:t>
            </w:r>
          </w:p>
        </w:tc>
        <w:tc>
          <w:tcPr>
            <w:tcW w:w="667"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305"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8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8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2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 depletion and amortisation excluding impairments</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Exploration well write-offs</w:t>
            </w:r>
          </w:p>
        </w:tc>
        <w:tc>
          <w:tcPr>
            <w:tcW w:w="66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excluding identified items</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66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667"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4,568</w:t>
            </w:r>
            <w:r>
              <w:rPr>
                <w:color w:val="000000"/>
              </w:rPr>
              <w:t> </w:t>
            </w:r>
          </w:p>
        </w:tc>
        <w:tc>
          <w:tcPr>
            <w:tcW w:w="305"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7,676</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1,709</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w:t>
            </w:r>
            <w:r>
              <w:rPr>
                <w:color w:val="000000"/>
              </w:rPr>
              <w:t> </w:t>
            </w:r>
          </w:p>
        </w:tc>
        <w:tc>
          <w:tcPr>
            <w:tcW w:w="38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w:t>
            </w:r>
          </w:p>
        </w:tc>
        <w:tc>
          <w:tcPr>
            <w:tcW w:w="48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271"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14,281</w:t>
            </w:r>
            <w:r>
              <w:rPr>
                <w:color w:val="000000"/>
              </w:rPr>
              <w:t> </w:t>
            </w:r>
          </w:p>
        </w:tc>
        <w:tc>
          <w:tcPr>
            <w:tcW w:w="22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cost of supplies adjustment before taxation</w:t>
            </w:r>
          </w:p>
        </w:tc>
        <w:tc>
          <w:tcPr>
            <w:tcW w:w="97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8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2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associates (dividends received less profit)</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66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48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paid</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6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0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38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8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2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(Increase)/decrease in working capital</w:t>
            </w:r>
          </w:p>
        </w:tc>
        <w:tc>
          <w:tcPr>
            <w:tcW w:w="66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0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38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48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2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8"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667"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4,391</w:t>
            </w:r>
            <w:r>
              <w:rPr>
                <w:color w:val="000000"/>
              </w:rPr>
              <w:t> </w:t>
            </w:r>
          </w:p>
        </w:tc>
        <w:tc>
          <w:tcPr>
            <w:tcW w:w="305"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4,509</w:t>
            </w:r>
            <w:r>
              <w:rPr>
                <w:color w:val="000000"/>
              </w:rPr>
              <w:t> </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1,363</w:t>
            </w:r>
            <w:r>
              <w:rPr>
                <w:color w:val="000000"/>
              </w:rPr>
              <w:t> </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2,032</w:t>
            </w:r>
            <w:r>
              <w:rPr>
                <w:color w:val="000000"/>
              </w:rPr>
              <w:t> </w:t>
            </w:r>
          </w:p>
        </w:tc>
        <w:tc>
          <w:tcPr>
            <w:tcW w:w="38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w:t>
            </w:r>
            <w:r>
              <w:rPr>
                <w:color w:val="000000"/>
              </w:rPr>
              <w:t> </w:t>
            </w:r>
          </w:p>
        </w:tc>
        <w:tc>
          <w:tcPr>
            <w:tcW w:w="48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27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13,162</w:t>
            </w:r>
            <w:r>
              <w:rPr>
                <w:color w:val="000000"/>
              </w:rPr>
              <w:t> </w:t>
            </w:r>
          </w:p>
        </w:tc>
        <w:tc>
          <w:tcPr>
            <w:tcW w:w="223"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40</w:t>
                      </w:r>
                    </w:p>
                  </w:txbxContent>
                </v:textbox>
                <w10:wrap type="none"/>
              </v:rect>
            </w:pict>
          </mc:Fallback>
        </mc:AlternateConten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91"/>
        <w:gridCol w:w="834"/>
        <w:gridCol w:w="690"/>
        <w:gridCol w:w="369"/>
        <w:gridCol w:w="367"/>
        <w:gridCol w:w="302"/>
        <w:gridCol w:w="367"/>
        <w:gridCol w:w="369"/>
        <w:gridCol w:w="256"/>
        <w:gridCol w:w="315"/>
        <w:gridCol w:w="316"/>
        <w:gridCol w:w="276"/>
        <w:gridCol w:w="430"/>
        <w:gridCol w:w="368"/>
        <w:gridCol w:w="369"/>
        <w:gridCol w:w="465"/>
        <w:gridCol w:w="465"/>
        <w:gridCol w:w="467"/>
        <w:gridCol w:w="324"/>
        <w:gridCol w:w="325"/>
        <w:gridCol w:w="266"/>
        <w:gridCol w:w="377"/>
        <w:gridCol w:w="377"/>
        <w:gridCol w:w="220"/>
      </w:tblGrid>
      <w:tr>
        <w:trPr/>
        <w:tc>
          <w:tcPr>
            <w:tcW w:w="129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2025</w:t>
            </w:r>
          </w:p>
        </w:tc>
        <w:tc>
          <w:tcPr>
            <w:tcW w:w="739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815"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9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6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39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91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97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815"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103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18,529</w:t>
            </w:r>
            <w:r>
              <w:rPr>
                <w:color w:val="000000"/>
              </w:rPr>
              <w:t> </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Non-controlling interest</w:t>
            </w:r>
          </w:p>
        </w:tc>
        <w:tc>
          <w:tcPr>
            <w:tcW w:w="1038"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20"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plus non-controlling interest</w:t>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8,024</w:t>
            </w:r>
            <w:r>
              <w:rPr>
                <w:color w:val="000000"/>
              </w:rPr>
              <w:t> </w:t>
            </w:r>
          </w:p>
        </w:tc>
        <w:tc>
          <w:tcPr>
            <w:tcW w:w="30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7,442</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3,994</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1,051</w:t>
            </w:r>
            <w:r>
              <w:rPr>
                <w:color w:val="000000"/>
              </w:rPr>
              <w:t> </w:t>
            </w:r>
          </w:p>
        </w:tc>
        <w:tc>
          <w:tcPr>
            <w:tcW w:w="369"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w:t>
            </w:r>
            <w:r>
              <w:rPr>
                <w:color w:val="000000"/>
              </w:rPr>
              <w:t> </w:t>
            </w:r>
          </w:p>
        </w:tc>
        <w:tc>
          <w:tcPr>
            <w:tcW w:w="46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(1,870)</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18,814</w:t>
            </w:r>
            <w:r>
              <w:rPr>
                <w:color w:val="000000"/>
              </w:rPr>
              <w:t> </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Taxation charge/(credit) excluding tax impact of identified items</w:t>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30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369"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467"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2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12,070 </w:t>
            </w:r>
          </w:p>
        </w:tc>
        <w:tc>
          <w:tcPr>
            <w:tcW w:w="220"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 depletion and amortisation excluding impairments</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36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4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22,167 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Exploration well write-offs</w:t>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excluding identified items</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6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0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6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16,994</w:t>
            </w:r>
            <w:r>
              <w:rPr>
                <w:color w:val="000000"/>
              </w:rPr>
              <w:t> </w:t>
            </w:r>
          </w:p>
        </w:tc>
        <w:tc>
          <w:tcPr>
            <w:tcW w:w="30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26,696</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7,993</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4,880</w:t>
            </w:r>
            <w:r>
              <w:rPr>
                <w:color w:val="000000"/>
              </w:rPr>
              <w:t> </w:t>
            </w:r>
          </w:p>
        </w:tc>
        <w:tc>
          <w:tcPr>
            <w:tcW w:w="369"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467"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(1,193)</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56,135</w:t>
            </w:r>
            <w:r>
              <w:rPr>
                <w:color w:val="000000"/>
              </w:rPr>
              <w:t> </w:t>
            </w:r>
          </w:p>
        </w:tc>
        <w:tc>
          <w:tcPr>
            <w:tcW w:w="22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cost of supplies adjustment before taxation</w:t>
            </w:r>
          </w:p>
        </w:tc>
        <w:tc>
          <w:tcPr>
            <w:tcW w:w="1038"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369"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20"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associates (dividends received less profit)</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36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30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36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4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paid</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0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36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46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(Increase)/decrease in working capital</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46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5"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73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14,086</w:t>
            </w:r>
            <w:r>
              <w:rPr>
                <w:color w:val="000000"/>
              </w:rPr>
              <w:t> </w:t>
            </w:r>
          </w:p>
        </w:tc>
        <w:tc>
          <w:tcPr>
            <w:tcW w:w="302"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19,573</w:t>
            </w:r>
            <w:r>
              <w:rPr>
                <w:color w:val="000000"/>
              </w:rPr>
              <w:t> </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6,339</w:t>
            </w:r>
            <w:r>
              <w:rPr>
                <w:color w:val="000000"/>
              </w:rPr>
              <w:t> </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5,366</w:t>
            </w:r>
            <w:r>
              <w:rPr>
                <w:color w:val="000000"/>
              </w:rPr>
              <w:t> </w:t>
            </w:r>
          </w:p>
        </w:tc>
        <w:tc>
          <w:tcPr>
            <w:tcW w:w="369"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623</w:t>
            </w:r>
            <w:r>
              <w:rPr>
                <w:color w:val="000000"/>
              </w:rPr>
              <w:t> </w:t>
            </w:r>
          </w:p>
        </w:tc>
        <w:tc>
          <w:tcPr>
            <w:tcW w:w="467"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(3,123)</w:t>
            </w:r>
          </w:p>
        </w:tc>
        <w:tc>
          <w:tcPr>
            <w:tcW w:w="26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42,863</w:t>
            </w:r>
            <w:r>
              <w:rPr>
                <w:color w:val="000000"/>
              </w:rPr>
              <w:t> </w:t>
            </w:r>
          </w:p>
        </w:tc>
        <w:tc>
          <w:tcPr>
            <w:tcW w:w="220"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9"/>
        <w:gridCol w:w="831"/>
        <w:gridCol w:w="686"/>
        <w:gridCol w:w="369"/>
        <w:gridCol w:w="367"/>
        <w:gridCol w:w="302"/>
        <w:gridCol w:w="366"/>
        <w:gridCol w:w="370"/>
        <w:gridCol w:w="256"/>
        <w:gridCol w:w="315"/>
        <w:gridCol w:w="316"/>
        <w:gridCol w:w="276"/>
        <w:gridCol w:w="430"/>
        <w:gridCol w:w="367"/>
        <w:gridCol w:w="368"/>
        <w:gridCol w:w="479"/>
        <w:gridCol w:w="464"/>
        <w:gridCol w:w="466"/>
        <w:gridCol w:w="324"/>
        <w:gridCol w:w="325"/>
        <w:gridCol w:w="266"/>
        <w:gridCol w:w="377"/>
        <w:gridCol w:w="377"/>
        <w:gridCol w:w="219"/>
      </w:tblGrid>
      <w:tr>
        <w:trPr/>
        <w:tc>
          <w:tcPr>
            <w:tcW w:w="12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2024</w:t>
            </w:r>
          </w:p>
        </w:tc>
        <w:tc>
          <w:tcPr>
            <w:tcW w:w="73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806"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9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16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40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91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973"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806"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w:t>
            </w:r>
          </w:p>
        </w:tc>
        <w:tc>
          <w:tcPr>
            <w:tcW w:w="1038"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23,716</w:t>
            </w:r>
            <w:r>
              <w:rPr>
                <w:color w:val="000000"/>
              </w:rPr>
              <w:t> </w:t>
            </w:r>
          </w:p>
        </w:tc>
        <w:tc>
          <w:tcPr>
            <w:tcW w:w="219"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Non-controlling interest</w:t>
            </w:r>
          </w:p>
        </w:tc>
        <w:tc>
          <w:tcPr>
            <w:tcW w:w="1038"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19"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plus non-controlling interest</w:t>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11,390</w:t>
            </w:r>
            <w:r>
              <w:rPr>
                <w:color w:val="000000"/>
              </w:rPr>
              <w:t> </w:t>
            </w:r>
          </w:p>
        </w:tc>
        <w:tc>
          <w:tcPr>
            <w:tcW w:w="30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8,395</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3,885</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2,934</w:t>
            </w:r>
            <w:r>
              <w:rPr>
                <w:color w:val="000000"/>
              </w:rPr>
              <w:t> </w:t>
            </w:r>
          </w:p>
        </w:tc>
        <w:tc>
          <w:tcPr>
            <w:tcW w:w="368"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(497)</w:t>
            </w:r>
          </w:p>
        </w:tc>
        <w:tc>
          <w:tcPr>
            <w:tcW w:w="4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(1,968)</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24,139</w:t>
            </w:r>
            <w:r>
              <w:rPr>
                <w:color w:val="000000"/>
              </w:rPr>
              <w:t> </w:t>
            </w:r>
          </w:p>
        </w:tc>
        <w:tc>
          <w:tcPr>
            <w:tcW w:w="219"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Taxation charge/(credit) excluding tax impact of identified items</w:t>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30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68"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2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219"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 depletion and amortisation excluding impairments</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5,594 </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36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22,703 </w:t>
            </w:r>
          </w:p>
        </w:tc>
        <w:tc>
          <w:tcPr>
            <w:tcW w:w="21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Exploration well write-offs</w:t>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0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21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excluding identified items</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6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21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6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21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20,978</w:t>
            </w:r>
            <w:r>
              <w:rPr>
                <w:color w:val="000000"/>
              </w:rPr>
              <w:t> </w:t>
            </w:r>
          </w:p>
        </w:tc>
        <w:tc>
          <w:tcPr>
            <w:tcW w:w="302"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31,264</w:t>
            </w:r>
            <w:r>
              <w:rPr>
                <w:color w:val="000000"/>
              </w:rPr>
              <w:t> </w:t>
            </w:r>
          </w:p>
        </w:tc>
        <w:tc>
          <w:tcPr>
            <w:tcW w:w="2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7,476</w:t>
            </w:r>
            <w:r>
              <w:rPr>
                <w:color w:val="000000"/>
              </w:rPr>
              <w:t> </w:t>
            </w:r>
          </w:p>
        </w:tc>
        <w:tc>
          <w:tcPr>
            <w:tcW w:w="27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6,783</w:t>
            </w:r>
            <w:r>
              <w:rPr>
                <w:color w:val="000000"/>
              </w:rPr>
              <w:t> </w:t>
            </w:r>
          </w:p>
        </w:tc>
        <w:tc>
          <w:tcPr>
            <w:tcW w:w="368"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4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(675)</w:t>
            </w:r>
          </w:p>
        </w:tc>
        <w:tc>
          <w:tcPr>
            <w:tcW w:w="26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65,803</w:t>
            </w:r>
            <w:r>
              <w:rPr>
                <w:color w:val="000000"/>
              </w:rPr>
              <w:t> </w:t>
            </w:r>
          </w:p>
        </w:tc>
        <w:tc>
          <w:tcPr>
            <w:tcW w:w="219"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cost of supplies adjustment before taxation</w:t>
            </w:r>
          </w:p>
        </w:tc>
        <w:tc>
          <w:tcPr>
            <w:tcW w:w="1038"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68"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19"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associates (dividends received less profit)</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36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4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21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30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6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4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21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paid</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6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4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w:t>
            </w:r>
          </w:p>
        </w:tc>
        <w:tc>
          <w:tcPr>
            <w:tcW w:w="21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6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219"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(Increase)/decrease in working capital</w:t>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30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6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4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219"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06"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73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16,909</w:t>
            </w:r>
            <w:r>
              <w:rPr>
                <w:color w:val="000000"/>
              </w:rPr>
              <w:t> </w:t>
            </w:r>
          </w:p>
        </w:tc>
        <w:tc>
          <w:tcPr>
            <w:tcW w:w="302"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21,244</w:t>
            </w:r>
            <w:r>
              <w:rPr>
                <w:color w:val="000000"/>
              </w:rPr>
              <w:t> </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7,363</w:t>
            </w:r>
            <w:r>
              <w:rPr>
                <w:color w:val="000000"/>
              </w:rPr>
              <w:t> </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7,253</w:t>
            </w:r>
            <w:r>
              <w:rPr>
                <w:color w:val="000000"/>
              </w:rPr>
              <w:t> </w:t>
            </w:r>
          </w:p>
        </w:tc>
        <w:tc>
          <w:tcPr>
            <w:tcW w:w="368"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3,798</w:t>
            </w:r>
            <w:r>
              <w:rPr>
                <w:color w:val="000000"/>
              </w:rPr>
              <w:t> </w:t>
            </w:r>
          </w:p>
        </w:tc>
        <w:tc>
          <w:tcPr>
            <w:tcW w:w="46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(1,882)</w:t>
            </w:r>
          </w:p>
        </w:tc>
        <w:tc>
          <w:tcPr>
            <w:tcW w:w="26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54,687</w:t>
            </w:r>
            <w:r>
              <w:rPr>
                <w:color w:val="000000"/>
              </w:rPr>
              <w:t> </w:t>
            </w:r>
          </w:p>
        </w:tc>
        <w:tc>
          <w:tcPr>
            <w:tcW w:w="219"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Times New Roman;serif" w:hAnsi="Times New Roman;serif"/>
          <w:b/>
          <w:color w:val="000000"/>
          <w:sz w:val="22"/>
        </w:rPr>
      </w:pPr>
      <w:r>
        <w:rPr>
          <w:rFonts w:ascii="Times New Roman;serif" w:hAnsi="Times New Roman;serif"/>
          <w:b/>
          <w:color w:val="000000"/>
          <w:sz w:val="22"/>
        </w:rPr>
        <w:t>Identified items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objective of identified items is to remove material impacts on net income/loss arising from transactions which are generally uncontrollable and unusual (infrequent or non-recurring) in nature or giving rise to a mismatch between accounting and economic results, or certain transactions that are generally excluded from underlying results in the industry.</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41</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Identified items comprise: divestment gains and losses, impairments and impairment reversals, redundancy and restructuring, fair value accounting of commodity derivatives and certain gas contracts that gives rise to a mismatch between accounting and economic results, the impact of exchange rate movements and inflationary adjustments on certain deferred tax balances, and other items. </w:t>
      </w:r>
    </w:p>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See Note 2 “Segment information” for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2"/>
        </w:rPr>
        <w:t>B.</w:t>
      </w:r>
      <w:r>
        <w:rPr>
          <w:color w:val="000000"/>
        </w:rPr>
        <w:t>    </w:t>
      </w:r>
      <w:r>
        <w:rPr>
          <w:rFonts w:ascii="Times New Roman;serif" w:hAnsi="Times New Roman;serif"/>
          <w:b/>
          <w:color w:val="000000"/>
          <w:sz w:val="22"/>
        </w:rPr>
        <w:t xml:space="preserve">Adjusted Earnings per share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Earnings per share is calculated as Adjusted Earnings (see Reference A), divided by the weighted average number of shares used as the basis for basic earnings per share (see Note 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pPr>
      <w:r>
        <w:rPr>
          <w:rFonts w:ascii="Times New Roman;serif" w:hAnsi="Times New Roman;serif"/>
          <w:b/>
          <w:color w:val="000000"/>
          <w:sz w:val="22"/>
        </w:rPr>
        <w:t>C.</w:t>
      </w:r>
      <w:r>
        <w:rPr>
          <w:color w:val="000000"/>
        </w:rPr>
        <w:t>    </w:t>
      </w:r>
      <w:r>
        <w:rPr>
          <w:rFonts w:ascii="Times New Roman;serif" w:hAnsi="Times New Roman;serif"/>
          <w:b/>
          <w:color w:val="000000"/>
          <w:sz w:val="22"/>
        </w:rPr>
        <w:t xml:space="preserve">Cash capital expenditure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capital expenditure represents cash spent on maintaining and developing assets as well as on investments in the period. Management regularly monitors this measure as a key lever to delivering sustainable cash flows. Cash capital expenditure is the sum of the following lines from the Consolidated Statement of Cash Flows: Capital expenditure, Investments in joint ventures and associates and Investments in equity securities.</w:t>
      </w:r>
    </w:p>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See Note 2 “Segment information” for the reconciliation of cash capital expenditure.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pPr>
      <w:r>
        <w:rPr>
          <w:rFonts w:ascii="Times New Roman;serif" w:hAnsi="Times New Roman;serif"/>
          <w:b/>
          <w:color w:val="000000"/>
          <w:sz w:val="22"/>
        </w:rPr>
        <w:t>D.</w:t>
      </w:r>
      <w:r>
        <w:rPr>
          <w:color w:val="000000"/>
        </w:rPr>
        <w:t>    </w:t>
      </w:r>
      <w:r>
        <w:rPr>
          <w:rFonts w:ascii="Times New Roman;serif" w:hAnsi="Times New Roman;serif"/>
          <w:b/>
          <w:color w:val="000000"/>
          <w:sz w:val="22"/>
        </w:rPr>
        <w:t xml:space="preserve">Capital employed and Return on average capital employed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Return on average capital employed ("ROACE") measures the efficiency of Shell’s utilisation of the capital that it employs.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refers to Capital employed which consists of total equity, current debt, and non-current debt reduced by cash and cash equivalents.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this calculation, the sum of Adjusted Earnings (see Reference A) plus non-controlling interest (NCI) excluding identified items for the current and previous three quarters, adjusted for after-tax interest expense and after-tax interest income, is expressed as a percentage of the average capital employed excluding cash and cash equivalents for the same period. </w:t>
      </w:r>
    </w:p>
    <w:tbl>
      <w:tblPr>
        <w:tblW w:w="7006" w:type="dxa"/>
        <w:jc w:val="left"/>
        <w:tblInd w:w="0" w:type="dxa"/>
        <w:tblLayout w:type="fixed"/>
        <w:tblCellMar>
          <w:top w:w="28" w:type="dxa"/>
          <w:left w:w="28" w:type="dxa"/>
          <w:bottom w:w="28" w:type="dxa"/>
          <w:right w:w="28" w:type="dxa"/>
        </w:tblCellMar>
      </w:tblPr>
      <w:tblGrid>
        <w:gridCol w:w="989"/>
        <w:gridCol w:w="869"/>
        <w:gridCol w:w="872"/>
        <w:gridCol w:w="109"/>
        <w:gridCol w:w="109"/>
        <w:gridCol w:w="109"/>
        <w:gridCol w:w="412"/>
        <w:gridCol w:w="414"/>
        <w:gridCol w:w="246"/>
        <w:gridCol w:w="109"/>
        <w:gridCol w:w="109"/>
        <w:gridCol w:w="109"/>
        <w:gridCol w:w="412"/>
        <w:gridCol w:w="414"/>
        <w:gridCol w:w="246"/>
        <w:gridCol w:w="109"/>
        <w:gridCol w:w="109"/>
        <w:gridCol w:w="109"/>
        <w:gridCol w:w="465"/>
        <w:gridCol w:w="361"/>
        <w:gridCol w:w="325"/>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r>
      <w:tr>
        <w:trPr/>
        <w:tc>
          <w:tcPr>
            <w:tcW w:w="2730"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r>
      <w:tr>
        <w:trPr/>
        <w:tc>
          <w:tcPr>
            <w:tcW w:w="273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189,538 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188,362 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(38,774)</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employed – 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231,128</w:t>
            </w:r>
          </w:p>
        </w:tc>
      </w:tr>
      <w:tr>
        <w:trPr/>
        <w:tc>
          <w:tcPr>
            <w:tcW w:w="273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65,448</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180,168</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(39,110)</w:t>
            </w:r>
          </w:p>
        </w:tc>
      </w:tr>
      <w:tr>
        <w:trPr/>
        <w:tc>
          <w:tcPr>
            <w:tcW w:w="273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employed – closing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218,134</w:t>
            </w:r>
          </w:p>
        </w:tc>
      </w:tr>
      <w:tr>
        <w:trPr/>
        <w:tc>
          <w:tcPr>
            <w:tcW w:w="2730"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employed – average</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219,441</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221,322</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224,630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369"/>
        <w:gridCol w:w="2061"/>
        <w:gridCol w:w="2087"/>
        <w:gridCol w:w="109"/>
        <w:gridCol w:w="109"/>
        <w:gridCol w:w="109"/>
        <w:gridCol w:w="210"/>
        <w:gridCol w:w="211"/>
        <w:gridCol w:w="427"/>
        <w:gridCol w:w="109"/>
        <w:gridCol w:w="109"/>
        <w:gridCol w:w="109"/>
        <w:gridCol w:w="210"/>
        <w:gridCol w:w="211"/>
        <w:gridCol w:w="427"/>
        <w:gridCol w:w="109"/>
        <w:gridCol w:w="109"/>
        <w:gridCol w:w="109"/>
        <w:gridCol w:w="263"/>
        <w:gridCol w:w="263"/>
        <w:gridCol w:w="485"/>
      </w:tblGrid>
      <w:tr>
        <w:trPr/>
        <w:tc>
          <w:tcPr>
            <w:tcW w:w="2369"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6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r>
      <w:tr>
        <w:trPr/>
        <w:tc>
          <w:tcPr>
            <w:tcW w:w="651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r>
      <w:tr>
        <w:trPr/>
        <w:tc>
          <w:tcPr>
            <w:tcW w:w="651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 current and previous three quarters (Reference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23,716</w:t>
            </w:r>
          </w:p>
        </w:tc>
      </w:tr>
      <w:tr>
        <w:trPr/>
        <w:tc>
          <w:tcPr>
            <w:tcW w:w="651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Income/(loss) attributable to NCI - current and previous three 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r>
      <w:tr>
        <w:trPr/>
        <w:tc>
          <w:tcPr>
            <w:tcW w:w="6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Current cost of supplies adjustment attributable to NCI - current and previous three 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6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Identified items attributable to NCI (Reference A) - current and previous three 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651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plus NCI excluding identified items - current and previous three 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24,139</w:t>
            </w:r>
          </w:p>
        </w:tc>
      </w:tr>
      <w:tr>
        <w:trPr/>
        <w:tc>
          <w:tcPr>
            <w:tcW w:w="651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after tax - current and previous three 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w:t>
            </w:r>
          </w:p>
        </w:tc>
      </w:tr>
      <w:tr>
        <w:trPr/>
        <w:tc>
          <w:tcPr>
            <w:tcW w:w="651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 after tax on cash and cash equivalents - current and previous three 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r>
      <w:tr>
        <w:trPr/>
        <w:tc>
          <w:tcPr>
            <w:tcW w:w="651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plus NCI excluding identified items before interest expense and interest income - current and previous three 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25,452</w:t>
            </w:r>
          </w:p>
        </w:tc>
      </w:tr>
      <w:tr>
        <w:trPr/>
        <w:tc>
          <w:tcPr>
            <w:tcW w:w="6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17"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employed –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221,322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224,630</w:t>
            </w:r>
          </w:p>
        </w:tc>
      </w:tr>
      <w:tr>
        <w:trPr/>
        <w:tc>
          <w:tcPr>
            <w:tcW w:w="6517"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ROACE on an Adjusted Earnings plus NCI basis</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427"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427"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w:t>
            </w:r>
            <w:r>
              <w:rPr>
                <w:color w:val="000000"/>
              </w:rPr>
              <w:t> </w:t>
            </w:r>
          </w:p>
        </w:tc>
        <w:tc>
          <w:tcPr>
            <w:tcW w:w="485"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43</w:t>
                      </w:r>
                    </w:p>
                  </w:txbxContent>
                </v:textbox>
                <w10:wrap type="none"/>
              </v:rect>
            </w:pict>
          </mc:Fallback>
        </mc:AlternateContent>
      </w:r>
    </w:p>
    <w:p>
      <w:pPr>
        <w:pStyle w:val="TextBody"/>
        <w:bidi w:val="0"/>
        <w:spacing w:lineRule="auto" w:line="288" w:before="0" w:after="120"/>
        <w:ind w:left="0" w:right="0" w:hanging="540"/>
        <w:jc w:val="left"/>
        <w:rPr/>
      </w:pPr>
      <w:r>
        <w:rPr>
          <w:rFonts w:ascii="Times New Roman;serif" w:hAnsi="Times New Roman;serif"/>
          <w:b/>
          <w:color w:val="000000"/>
          <w:sz w:val="22"/>
        </w:rPr>
        <w:t>E.</w:t>
      </w:r>
      <w:r>
        <w:rPr>
          <w:color w:val="000000"/>
        </w:rPr>
        <w:t>    </w:t>
      </w:r>
      <w:r>
        <w:rPr>
          <w:rFonts w:ascii="Times New Roman;serif" w:hAnsi="Times New Roman;serif"/>
          <w:b/>
          <w:color w:val="000000"/>
          <w:sz w:val="22"/>
        </w:rPr>
        <w:t>Net debt and gearing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debt is defined as the sum of current and non-current debt, less cash and cash equivalents, adjusted for the fair value of derivative financial instruments used to hedge foreign exchange and interest rate risk relating to debt, and associated collateral balances. Management considers this adjustment useful because it reduces the volatility of net debt caused by fluctuations in foreign exchange and interest rates, and eliminates the potential impact of related collateral payments or receipts. Debt-related derivative financial instruments are a subset of the derivative financial instrument assets and liabilities presented on the balance sheet. Collateral balances are reported under “Trade and other receivables” or “Trade and other payables” as appropriate.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Gearing is a measure of Shell's capital structure and is defined as net debt (total debt less cash and cash equivalents) as a percentage of total capital (net debt plus total equity).</w:t>
      </w:r>
    </w:p>
    <w:tbl>
      <w:tblPr>
        <w:tblW w:w="10205" w:type="dxa"/>
        <w:jc w:val="left"/>
        <w:tblInd w:w="0" w:type="dxa"/>
        <w:tblLayout w:type="fixed"/>
        <w:tblCellMar>
          <w:top w:w="28" w:type="dxa"/>
          <w:left w:w="28" w:type="dxa"/>
          <w:bottom w:w="28" w:type="dxa"/>
          <w:right w:w="28" w:type="dxa"/>
        </w:tblCellMar>
      </w:tblPr>
      <w:tblGrid>
        <w:gridCol w:w="1589"/>
        <w:gridCol w:w="1388"/>
        <w:gridCol w:w="1379"/>
        <w:gridCol w:w="109"/>
        <w:gridCol w:w="109"/>
        <w:gridCol w:w="109"/>
        <w:gridCol w:w="426"/>
        <w:gridCol w:w="415"/>
        <w:gridCol w:w="749"/>
        <w:gridCol w:w="109"/>
        <w:gridCol w:w="109"/>
        <w:gridCol w:w="109"/>
        <w:gridCol w:w="418"/>
        <w:gridCol w:w="423"/>
        <w:gridCol w:w="776"/>
        <w:gridCol w:w="109"/>
        <w:gridCol w:w="109"/>
        <w:gridCol w:w="109"/>
        <w:gridCol w:w="418"/>
        <w:gridCol w:w="423"/>
        <w:gridCol w:w="820"/>
      </w:tblGrid>
      <w:tr>
        <w:trPr/>
        <w:tc>
          <w:tcPr>
            <w:tcW w:w="158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2" w:type="dxa"/>
            <w:gridSpan w:val="1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3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9,128 </w:t>
            </w:r>
          </w:p>
        </w:tc>
        <w:tc>
          <w:tcPr>
            <w:tcW w:w="7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10,022 </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66,515 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63,955 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65,448 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75,643</w:t>
            </w:r>
            <w:r>
              <w:rPr>
                <w:color w:val="000000"/>
              </w:rPr>
              <w:t> </w:t>
            </w:r>
          </w:p>
        </w:tc>
        <w:tc>
          <w:tcPr>
            <w:tcW w:w="74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73,977</w:t>
            </w:r>
            <w:r>
              <w:rPr>
                <w:color w:val="000000"/>
              </w:rPr>
              <w:t> </w:t>
            </w:r>
          </w:p>
        </w:tc>
        <w:tc>
          <w:tcPr>
            <w:tcW w:w="77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77,078</w:t>
            </w:r>
            <w:r>
              <w:rPr>
                <w:color w:val="000000"/>
              </w:rPr>
              <w:t> </w:t>
            </w:r>
          </w:p>
        </w:tc>
        <w:tc>
          <w:tcPr>
            <w:tcW w:w="82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28,933 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28,571 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28,702 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Debt-related derivative financial instruments: net liability/(asset)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74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77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82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Collateral on debt-related derivatives: net liability/(asset)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(33,053)</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(39,110)</w:t>
            </w:r>
          </w:p>
        </w:tc>
        <w:tc>
          <w:tcPr>
            <w:tcW w:w="8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45,687</w:t>
            </w:r>
            <w:r>
              <w:rPr>
                <w:color w:val="000000"/>
              </w:rPr>
              <w:t> </w:t>
            </w:r>
          </w:p>
        </w:tc>
        <w:tc>
          <w:tcPr>
            <w:tcW w:w="74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41,204</w:t>
            </w:r>
            <w:r>
              <w:rPr>
                <w:color w:val="000000"/>
              </w:rPr>
              <w:t> </w:t>
            </w:r>
          </w:p>
        </w:tc>
        <w:tc>
          <w:tcPr>
            <w:tcW w:w="77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38,809</w:t>
            </w:r>
            <w:r>
              <w:rPr>
                <w:color w:val="000000"/>
              </w:rPr>
              <w:t> </w:t>
            </w:r>
          </w:p>
        </w:tc>
        <w:tc>
          <w:tcPr>
            <w:tcW w:w="82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175,319 </w:t>
            </w:r>
          </w:p>
        </w:tc>
        <w:tc>
          <w:tcPr>
            <w:tcW w:w="74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177,822 </w:t>
            </w:r>
          </w:p>
        </w:tc>
        <w:tc>
          <w:tcPr>
            <w:tcW w:w="77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180,168 </w:t>
            </w:r>
          </w:p>
        </w:tc>
        <w:tc>
          <w:tcPr>
            <w:tcW w:w="82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221,006</w:t>
            </w:r>
            <w:r>
              <w:rPr>
                <w:color w:val="000000"/>
              </w:rPr>
              <w:t> </w:t>
            </w:r>
          </w:p>
        </w:tc>
        <w:tc>
          <w:tcPr>
            <w:tcW w:w="74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219,026</w:t>
            </w:r>
            <w:r>
              <w:rPr>
                <w:color w:val="000000"/>
              </w:rPr>
              <w:t> </w:t>
            </w:r>
          </w:p>
        </w:tc>
        <w:tc>
          <w:tcPr>
            <w:tcW w:w="77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218,974</w:t>
            </w:r>
            <w:r>
              <w:rPr>
                <w:color w:val="000000"/>
              </w:rPr>
              <w:t> </w:t>
            </w:r>
          </w:p>
        </w:tc>
        <w:tc>
          <w:tcPr>
            <w:tcW w:w="82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Gearing</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749"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w:t>
            </w:r>
            <w:r>
              <w:rPr>
                <w:color w:val="000000"/>
              </w:rPr>
              <w:t> </w:t>
            </w:r>
          </w:p>
        </w:tc>
        <w:tc>
          <w:tcPr>
            <w:tcW w:w="77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82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ind w:left="0" w:right="0" w:firstLine="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44</w:t>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F.    Operating expenses and Underlying operating expenses</w:t>
      </w:r>
    </w:p>
    <w:p>
      <w:pPr>
        <w:pStyle w:val="TextBody"/>
        <w:bidi w:val="0"/>
        <w:spacing w:lineRule="auto" w:line="288" w:before="120" w:after="120"/>
        <w:ind w:left="0" w:right="0" w:hanging="540"/>
        <w:jc w:val="left"/>
        <w:rPr>
          <w:rFonts w:ascii="Times New Roman;serif" w:hAnsi="Times New Roman;serif"/>
          <w:b/>
          <w:color w:val="000000"/>
          <w:sz w:val="22"/>
        </w:rPr>
      </w:pPr>
      <w:r>
        <w:rPr>
          <w:rFonts w:ascii="Times New Roman;serif" w:hAnsi="Times New Roman;serif"/>
          <w:b/>
          <w:color w:val="000000"/>
          <w:sz w:val="22"/>
        </w:rPr>
        <w:t>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is a measure of Shell’s cost management performance, comprising the following items from the Consolidated Statement of Income: production and manufacturing expenses; selling, distribution and administrative expenses; and research and development expenses. </w:t>
      </w:r>
    </w:p>
    <w:tbl>
      <w:tblPr>
        <w:tblW w:w="10205" w:type="dxa"/>
        <w:jc w:val="left"/>
        <w:tblInd w:w="0" w:type="dxa"/>
        <w:tblLayout w:type="fixed"/>
        <w:tblCellMar>
          <w:top w:w="28" w:type="dxa"/>
          <w:left w:w="28" w:type="dxa"/>
          <w:bottom w:w="28" w:type="dxa"/>
          <w:right w:w="28" w:type="dxa"/>
        </w:tblCellMar>
      </w:tblPr>
      <w:tblGrid>
        <w:gridCol w:w="981"/>
        <w:gridCol w:w="862"/>
        <w:gridCol w:w="871"/>
        <w:gridCol w:w="365"/>
        <w:gridCol w:w="320"/>
        <w:gridCol w:w="321"/>
        <w:gridCol w:w="315"/>
        <w:gridCol w:w="316"/>
        <w:gridCol w:w="256"/>
        <w:gridCol w:w="315"/>
        <w:gridCol w:w="316"/>
        <w:gridCol w:w="276"/>
        <w:gridCol w:w="473"/>
        <w:gridCol w:w="428"/>
        <w:gridCol w:w="430"/>
        <w:gridCol w:w="564"/>
        <w:gridCol w:w="564"/>
        <w:gridCol w:w="566"/>
        <w:gridCol w:w="272"/>
        <w:gridCol w:w="272"/>
        <w:gridCol w:w="273"/>
        <w:gridCol w:w="315"/>
        <w:gridCol w:w="316"/>
        <w:gridCol w:w="218"/>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2025</w:t>
            </w:r>
          </w:p>
        </w:tc>
        <w:tc>
          <w:tcPr>
            <w:tcW w:w="749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14"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3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9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1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84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14"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manufacturing expenses</w:t>
            </w:r>
          </w:p>
        </w:tc>
        <w:tc>
          <w:tcPr>
            <w:tcW w:w="68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3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43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5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21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distribution and administrative expenses</w:t>
            </w:r>
          </w:p>
        </w:tc>
        <w:tc>
          <w:tcPr>
            <w:tcW w:w="68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43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5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21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8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3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1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685"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1,232</w:t>
            </w:r>
            <w:r>
              <w:rPr>
                <w:color w:val="000000"/>
              </w:rPr>
              <w:t> </w:t>
            </w:r>
          </w:p>
        </w:tc>
        <w:tc>
          <w:tcPr>
            <w:tcW w:w="321"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2,489</w:t>
            </w:r>
            <w:r>
              <w:rPr>
                <w:color w:val="000000"/>
              </w:rPr>
              <w:t> </w:t>
            </w:r>
          </w:p>
        </w:tc>
        <w:tc>
          <w:tcPr>
            <w:tcW w:w="25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2,688</w:t>
            </w:r>
            <w:r>
              <w:rPr>
                <w:color w:val="000000"/>
              </w:rPr>
              <w:t> </w:t>
            </w:r>
          </w:p>
        </w:tc>
        <w:tc>
          <w:tcPr>
            <w:tcW w:w="27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2,246</w:t>
            </w:r>
            <w:r>
              <w:rPr>
                <w:color w:val="000000"/>
              </w:rPr>
              <w:t> </w:t>
            </w:r>
          </w:p>
        </w:tc>
        <w:tc>
          <w:tcPr>
            <w:tcW w:w="430"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w:t>
            </w:r>
            <w:r>
              <w:rPr>
                <w:color w:val="000000"/>
              </w:rPr>
              <w:t> </w:t>
            </w:r>
          </w:p>
        </w:tc>
        <w:tc>
          <w:tcPr>
            <w:tcW w:w="56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w:t>
            </w:r>
            <w:r>
              <w:rPr>
                <w:color w:val="000000"/>
              </w:rPr>
              <w:t> </w:t>
            </w:r>
          </w:p>
        </w:tc>
        <w:tc>
          <w:tcPr>
            <w:tcW w:w="273"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9,559</w:t>
            </w:r>
            <w:r>
              <w:rPr>
                <w:color w:val="000000"/>
              </w:rPr>
              <w:t> </w:t>
            </w:r>
          </w:p>
        </w:tc>
        <w:tc>
          <w:tcPr>
            <w:tcW w:w="218"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1"/>
        <w:gridCol w:w="862"/>
        <w:gridCol w:w="871"/>
        <w:gridCol w:w="365"/>
        <w:gridCol w:w="320"/>
        <w:gridCol w:w="321"/>
        <w:gridCol w:w="315"/>
        <w:gridCol w:w="316"/>
        <w:gridCol w:w="256"/>
        <w:gridCol w:w="315"/>
        <w:gridCol w:w="316"/>
        <w:gridCol w:w="276"/>
        <w:gridCol w:w="473"/>
        <w:gridCol w:w="428"/>
        <w:gridCol w:w="430"/>
        <w:gridCol w:w="564"/>
        <w:gridCol w:w="564"/>
        <w:gridCol w:w="566"/>
        <w:gridCol w:w="272"/>
        <w:gridCol w:w="272"/>
        <w:gridCol w:w="273"/>
        <w:gridCol w:w="315"/>
        <w:gridCol w:w="316"/>
        <w:gridCol w:w="218"/>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Q3 2025</w:t>
            </w:r>
          </w:p>
        </w:tc>
        <w:tc>
          <w:tcPr>
            <w:tcW w:w="749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14"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3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9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1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84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14"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manufacturing expenses</w:t>
            </w:r>
          </w:p>
        </w:tc>
        <w:tc>
          <w:tcPr>
            <w:tcW w:w="68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3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43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5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5,609 </w:t>
            </w:r>
          </w:p>
        </w:tc>
        <w:tc>
          <w:tcPr>
            <w:tcW w:w="21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distribution and administrative expenses</w:t>
            </w:r>
          </w:p>
        </w:tc>
        <w:tc>
          <w:tcPr>
            <w:tcW w:w="68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2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43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21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8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3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1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685"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1,012</w:t>
            </w:r>
            <w:r>
              <w:rPr>
                <w:color w:val="000000"/>
              </w:rPr>
              <w:t> </w:t>
            </w:r>
          </w:p>
        </w:tc>
        <w:tc>
          <w:tcPr>
            <w:tcW w:w="321"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2,247</w:t>
            </w:r>
            <w:r>
              <w:rPr>
                <w:color w:val="000000"/>
              </w:rPr>
              <w:t> </w:t>
            </w:r>
          </w:p>
        </w:tc>
        <w:tc>
          <w:tcPr>
            <w:tcW w:w="25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2,970</w:t>
            </w:r>
            <w:r>
              <w:rPr>
                <w:color w:val="000000"/>
              </w:rPr>
              <w:t> </w:t>
            </w:r>
          </w:p>
        </w:tc>
        <w:tc>
          <w:tcPr>
            <w:tcW w:w="27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2,100</w:t>
            </w:r>
            <w:r>
              <w:rPr>
                <w:color w:val="000000"/>
              </w:rPr>
              <w:t> </w:t>
            </w:r>
          </w:p>
        </w:tc>
        <w:tc>
          <w:tcPr>
            <w:tcW w:w="430"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56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273"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9,275</w:t>
            </w:r>
            <w:r>
              <w:rPr>
                <w:color w:val="000000"/>
              </w:rPr>
              <w:t> </w:t>
            </w:r>
          </w:p>
        </w:tc>
        <w:tc>
          <w:tcPr>
            <w:tcW w:w="218"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1"/>
        <w:gridCol w:w="862"/>
        <w:gridCol w:w="871"/>
        <w:gridCol w:w="365"/>
        <w:gridCol w:w="320"/>
        <w:gridCol w:w="321"/>
        <w:gridCol w:w="315"/>
        <w:gridCol w:w="316"/>
        <w:gridCol w:w="256"/>
        <w:gridCol w:w="315"/>
        <w:gridCol w:w="316"/>
        <w:gridCol w:w="276"/>
        <w:gridCol w:w="473"/>
        <w:gridCol w:w="428"/>
        <w:gridCol w:w="430"/>
        <w:gridCol w:w="564"/>
        <w:gridCol w:w="564"/>
        <w:gridCol w:w="566"/>
        <w:gridCol w:w="272"/>
        <w:gridCol w:w="272"/>
        <w:gridCol w:w="273"/>
        <w:gridCol w:w="315"/>
        <w:gridCol w:w="316"/>
        <w:gridCol w:w="218"/>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Q4 2024</w:t>
            </w:r>
          </w:p>
        </w:tc>
        <w:tc>
          <w:tcPr>
            <w:tcW w:w="749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14"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31"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9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1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849"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14"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manufacturing expenses</w:t>
            </w:r>
          </w:p>
        </w:tc>
        <w:tc>
          <w:tcPr>
            <w:tcW w:w="68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3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43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21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distribution and administrative expenses</w:t>
            </w:r>
          </w:p>
        </w:tc>
        <w:tc>
          <w:tcPr>
            <w:tcW w:w="68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2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43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21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8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3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1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685"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1,061</w:t>
            </w:r>
            <w:r>
              <w:rPr>
                <w:color w:val="000000"/>
              </w:rPr>
              <w:t> </w:t>
            </w:r>
          </w:p>
        </w:tc>
        <w:tc>
          <w:tcPr>
            <w:tcW w:w="321"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2,635</w:t>
            </w:r>
            <w:r>
              <w:rPr>
                <w:color w:val="000000"/>
              </w:rPr>
              <w:t> </w:t>
            </w:r>
          </w:p>
        </w:tc>
        <w:tc>
          <w:tcPr>
            <w:tcW w:w="25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2,602</w:t>
            </w:r>
            <w:r>
              <w:rPr>
                <w:color w:val="000000"/>
              </w:rPr>
              <w:t> </w:t>
            </w:r>
          </w:p>
        </w:tc>
        <w:tc>
          <w:tcPr>
            <w:tcW w:w="27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2,149</w:t>
            </w:r>
            <w:r>
              <w:rPr>
                <w:color w:val="000000"/>
              </w:rPr>
              <w:t> </w:t>
            </w:r>
          </w:p>
        </w:tc>
        <w:tc>
          <w:tcPr>
            <w:tcW w:w="430"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w:t>
            </w:r>
            <w:r>
              <w:rPr>
                <w:color w:val="000000"/>
              </w:rPr>
              <w:t> </w:t>
            </w:r>
          </w:p>
        </w:tc>
        <w:tc>
          <w:tcPr>
            <w:tcW w:w="56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273"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9,401</w:t>
            </w:r>
            <w:r>
              <w:rPr>
                <w:color w:val="000000"/>
              </w:rPr>
              <w:t> </w:t>
            </w:r>
          </w:p>
        </w:tc>
        <w:tc>
          <w:tcPr>
            <w:tcW w:w="218"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40"/>
        <w:gridCol w:w="826"/>
        <w:gridCol w:w="834"/>
        <w:gridCol w:w="364"/>
        <w:gridCol w:w="315"/>
        <w:gridCol w:w="317"/>
        <w:gridCol w:w="315"/>
        <w:gridCol w:w="316"/>
        <w:gridCol w:w="256"/>
        <w:gridCol w:w="368"/>
        <w:gridCol w:w="368"/>
        <w:gridCol w:w="276"/>
        <w:gridCol w:w="464"/>
        <w:gridCol w:w="415"/>
        <w:gridCol w:w="417"/>
        <w:gridCol w:w="554"/>
        <w:gridCol w:w="543"/>
        <w:gridCol w:w="545"/>
        <w:gridCol w:w="271"/>
        <w:gridCol w:w="271"/>
        <w:gridCol w:w="272"/>
        <w:gridCol w:w="367"/>
        <w:gridCol w:w="369"/>
        <w:gridCol w:w="222"/>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2025</w:t>
            </w:r>
          </w:p>
        </w:tc>
        <w:tc>
          <w:tcPr>
            <w:tcW w:w="76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600"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101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4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1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95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60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manufacturing expenses</w:t>
            </w:r>
          </w:p>
        </w:tc>
        <w:tc>
          <w:tcPr>
            <w:tcW w:w="6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31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6,402 </w:t>
            </w:r>
          </w:p>
        </w:tc>
        <w:tc>
          <w:tcPr>
            <w:tcW w:w="41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54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21,898 </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60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distribution and administrative expenses</w:t>
            </w:r>
          </w:p>
        </w:tc>
        <w:tc>
          <w:tcPr>
            <w:tcW w:w="67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41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54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7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60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1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4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600" w:type="dxa"/>
            <w:gridSpan w:val="3"/>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679"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4,216</w:t>
            </w:r>
            <w:r>
              <w:rPr>
                <w:color w:val="000000"/>
              </w:rPr>
              <w:t> </w:t>
            </w:r>
          </w:p>
        </w:tc>
        <w:tc>
          <w:tcPr>
            <w:tcW w:w="317"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9,004</w:t>
            </w:r>
            <w:r>
              <w:rPr>
                <w:color w:val="000000"/>
              </w:rPr>
              <w:t> </w:t>
            </w:r>
          </w:p>
        </w:tc>
        <w:tc>
          <w:tcPr>
            <w:tcW w:w="25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10,649</w:t>
            </w:r>
            <w:r>
              <w:rPr>
                <w:color w:val="000000"/>
              </w:rPr>
              <w:t> </w:t>
            </w:r>
          </w:p>
        </w:tc>
        <w:tc>
          <w:tcPr>
            <w:tcW w:w="27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8,373</w:t>
            </w:r>
            <w:r>
              <w:rPr>
                <w:color w:val="000000"/>
              </w:rPr>
              <w:t> </w:t>
            </w:r>
          </w:p>
        </w:tc>
        <w:tc>
          <w:tcPr>
            <w:tcW w:w="417"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2,549</w:t>
            </w:r>
            <w:r>
              <w:rPr>
                <w:color w:val="000000"/>
              </w:rPr>
              <w:t> </w:t>
            </w:r>
          </w:p>
        </w:tc>
        <w:tc>
          <w:tcPr>
            <w:tcW w:w="545"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w:t>
            </w:r>
            <w:r>
              <w:rPr>
                <w:color w:val="000000"/>
              </w:rPr>
              <w:t> </w:t>
            </w:r>
          </w:p>
        </w:tc>
        <w:tc>
          <w:tcPr>
            <w:tcW w:w="272"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35,674</w:t>
            </w:r>
            <w:r>
              <w:rPr>
                <w:color w:val="000000"/>
              </w:rPr>
              <w:t> </w:t>
            </w:r>
          </w:p>
        </w:tc>
        <w:tc>
          <w:tcPr>
            <w:tcW w:w="222"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0"/>
        <w:gridCol w:w="826"/>
        <w:gridCol w:w="834"/>
        <w:gridCol w:w="364"/>
        <w:gridCol w:w="315"/>
        <w:gridCol w:w="317"/>
        <w:gridCol w:w="315"/>
        <w:gridCol w:w="316"/>
        <w:gridCol w:w="256"/>
        <w:gridCol w:w="368"/>
        <w:gridCol w:w="368"/>
        <w:gridCol w:w="276"/>
        <w:gridCol w:w="464"/>
        <w:gridCol w:w="415"/>
        <w:gridCol w:w="417"/>
        <w:gridCol w:w="554"/>
        <w:gridCol w:w="543"/>
        <w:gridCol w:w="545"/>
        <w:gridCol w:w="271"/>
        <w:gridCol w:w="271"/>
        <w:gridCol w:w="272"/>
        <w:gridCol w:w="367"/>
        <w:gridCol w:w="369"/>
        <w:gridCol w:w="222"/>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Full year 2024</w:t>
            </w:r>
          </w:p>
        </w:tc>
        <w:tc>
          <w:tcPr>
            <w:tcW w:w="76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600" w:type="dxa"/>
            <w:gridSpan w:val="3"/>
            <w:tcBorders>
              <w:top w:val="single" w:sz="6" w:space="0" w:color="5357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101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9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42"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14"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Corporate </w:t>
            </w:r>
          </w:p>
        </w:tc>
        <w:tc>
          <w:tcPr>
            <w:tcW w:w="958"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60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manufacturing expenses</w:t>
            </w:r>
          </w:p>
        </w:tc>
        <w:tc>
          <w:tcPr>
            <w:tcW w:w="6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31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41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54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60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distribution and administrative expenses</w:t>
            </w:r>
          </w:p>
        </w:tc>
        <w:tc>
          <w:tcPr>
            <w:tcW w:w="67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417"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545"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7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22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60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1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45"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22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600" w:type="dxa"/>
            <w:gridSpan w:val="3"/>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679"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4,442</w:t>
            </w:r>
            <w:r>
              <w:rPr>
                <w:color w:val="000000"/>
              </w:rPr>
              <w:t> </w:t>
            </w:r>
          </w:p>
        </w:tc>
        <w:tc>
          <w:tcPr>
            <w:tcW w:w="317"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9,790</w:t>
            </w:r>
            <w:r>
              <w:rPr>
                <w:color w:val="000000"/>
              </w:rPr>
              <w:t> </w:t>
            </w:r>
          </w:p>
        </w:tc>
        <w:tc>
          <w:tcPr>
            <w:tcW w:w="25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10,681</w:t>
            </w:r>
            <w:r>
              <w:rPr>
                <w:color w:val="000000"/>
              </w:rPr>
              <w:t> </w:t>
            </w:r>
          </w:p>
        </w:tc>
        <w:tc>
          <w:tcPr>
            <w:tcW w:w="276"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8,392</w:t>
            </w:r>
            <w:r>
              <w:rPr>
                <w:color w:val="000000"/>
              </w:rPr>
              <w:t> </w:t>
            </w:r>
          </w:p>
        </w:tc>
        <w:tc>
          <w:tcPr>
            <w:tcW w:w="417"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2,915</w:t>
            </w:r>
            <w:r>
              <w:rPr>
                <w:color w:val="000000"/>
              </w:rPr>
              <w:t> </w:t>
            </w:r>
          </w:p>
        </w:tc>
        <w:tc>
          <w:tcPr>
            <w:tcW w:w="545"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w:t>
            </w:r>
            <w:r>
              <w:rPr>
                <w:color w:val="000000"/>
              </w:rPr>
              <w:t> </w:t>
            </w:r>
          </w:p>
        </w:tc>
        <w:tc>
          <w:tcPr>
            <w:tcW w:w="272"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36,917</w:t>
            </w:r>
            <w:r>
              <w:rPr>
                <w:color w:val="000000"/>
              </w:rPr>
              <w:t> </w:t>
            </w:r>
          </w:p>
        </w:tc>
        <w:tc>
          <w:tcPr>
            <w:tcW w:w="222" w:type="dxa"/>
            <w:tcBorders>
              <w:top w:val="single" w:sz="6" w:space="0" w:color="53575A"/>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84"/>
        <w:jc w:val="left"/>
        <w:rPr/>
      </w:pPr>
      <w:r>
        <w:rPr>
          <w:rFonts w:ascii="Times New Roman;serif" w:hAnsi="Times New Roman;serif"/>
          <w:b w:val="false"/>
          <w:color w:val="000000"/>
          <w:sz w:val="13"/>
        </w:rPr>
        <w:t>*</w:t>
      </w:r>
      <w:r>
        <w:rPr>
          <w:rFonts w:ascii="Times New Roman;serif" w:hAnsi="Times New Roman;serif"/>
          <w:b w:val="false"/>
          <w:color w:val="000000"/>
          <w:sz w:val="20"/>
        </w:rPr>
        <w:t>Operational measure for US reporting purposes</w:t>
      </w:r>
    </w:p>
    <w:p>
      <w:pPr>
        <w:pStyle w:val="TextBody"/>
        <w:bidi w:val="0"/>
        <w:spacing w:before="0" w:after="0"/>
        <w:ind w:left="0" w:right="0" w:firstLine="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45</w:t>
                      </w:r>
                    </w:p>
                  </w:txbxContent>
                </v:textbox>
                <w10:wrap type="none"/>
              </v:rect>
            </w:pict>
          </mc:Fallback>
        </mc:AlternateContent>
      </w:r>
    </w:p>
    <w:p>
      <w:pPr>
        <w:pStyle w:val="TextBody"/>
        <w:bidi w:val="0"/>
        <w:spacing w:lineRule="auto" w:line="288" w:before="120" w:after="120"/>
        <w:ind w:left="0" w:right="0" w:hanging="540"/>
        <w:jc w:val="left"/>
        <w:rPr>
          <w:rFonts w:ascii="Times New Roman;serif" w:hAnsi="Times New Roman;serif"/>
          <w:b/>
          <w:color w:val="000000"/>
          <w:sz w:val="22"/>
        </w:rPr>
      </w:pPr>
      <w:r>
        <w:rPr>
          <w:rFonts w:ascii="Times New Roman;serif" w:hAnsi="Times New Roman;serif"/>
          <w:b/>
          <w:color w:val="000000"/>
          <w:sz w:val="22"/>
        </w:rPr>
        <w:t>Underlying 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Underlying operating expenses is a measure aimed at facilitating a comparative understanding of performance from period to period by removing the effects of identified items, which, either individually or collectively, can cause volatility, in some cases driven by external factors.</w:t>
      </w:r>
    </w:p>
    <w:tbl>
      <w:tblPr>
        <w:tblW w:w="9824" w:type="dxa"/>
        <w:jc w:val="left"/>
        <w:tblInd w:w="0" w:type="dxa"/>
        <w:tblLayout w:type="fixed"/>
        <w:tblCellMar>
          <w:top w:w="28" w:type="dxa"/>
          <w:left w:w="28" w:type="dxa"/>
          <w:bottom w:w="28" w:type="dxa"/>
          <w:right w:w="28" w:type="dxa"/>
        </w:tblCellMar>
      </w:tblPr>
      <w:tblGrid>
        <w:gridCol w:w="343"/>
        <w:gridCol w:w="303"/>
        <w:gridCol w:w="240"/>
        <w:gridCol w:w="109"/>
        <w:gridCol w:w="109"/>
        <w:gridCol w:w="109"/>
        <w:gridCol w:w="315"/>
        <w:gridCol w:w="316"/>
        <w:gridCol w:w="246"/>
        <w:gridCol w:w="109"/>
        <w:gridCol w:w="109"/>
        <w:gridCol w:w="109"/>
        <w:gridCol w:w="315"/>
        <w:gridCol w:w="316"/>
        <w:gridCol w:w="246"/>
        <w:gridCol w:w="109"/>
        <w:gridCol w:w="109"/>
        <w:gridCol w:w="109"/>
        <w:gridCol w:w="1339"/>
        <w:gridCol w:w="1339"/>
        <w:gridCol w:w="1357"/>
        <w:gridCol w:w="109"/>
        <w:gridCol w:w="109"/>
        <w:gridCol w:w="109"/>
        <w:gridCol w:w="368"/>
        <w:gridCol w:w="368"/>
        <w:gridCol w:w="156"/>
        <w:gridCol w:w="368"/>
        <w:gridCol w:w="368"/>
        <w:gridCol w:w="213"/>
      </w:tblGrid>
      <w:tr>
        <w:trPr/>
        <w:tc>
          <w:tcPr>
            <w:tcW w:w="34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9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86"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49"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9,559</w:t>
            </w:r>
            <w:r>
              <w:rPr>
                <w:color w:val="000000"/>
              </w:rPr>
              <w:t> </w:t>
            </w:r>
          </w:p>
        </w:tc>
        <w:tc>
          <w:tcPr>
            <w:tcW w:w="240"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9,275</w:t>
            </w:r>
            <w:r>
              <w:rPr>
                <w:color w:val="000000"/>
              </w:rPr>
              <w:t> </w:t>
            </w:r>
          </w:p>
        </w:tc>
        <w:tc>
          <w:tcPr>
            <w:tcW w:w="24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9,401</w:t>
            </w:r>
            <w:r>
              <w:rPr>
                <w:color w:val="000000"/>
              </w:rPr>
              <w:t> </w:t>
            </w:r>
          </w:p>
        </w:tc>
        <w:tc>
          <w:tcPr>
            <w:tcW w:w="24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35,674</w:t>
            </w:r>
            <w:r>
              <w:rPr>
                <w:color w:val="000000"/>
              </w:rPr>
              <w:t> </w:t>
            </w:r>
          </w:p>
        </w:tc>
        <w:tc>
          <w:tcPr>
            <w:tcW w:w="156"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36,917</w:t>
            </w:r>
            <w:r>
              <w:rPr>
                <w:color w:val="000000"/>
              </w:rPr>
              <w:t> </w:t>
            </w:r>
          </w:p>
        </w:tc>
        <w:tc>
          <w:tcPr>
            <w:tcW w:w="213" w:type="dxa"/>
            <w:tcBorders>
              <w:top w:val="single" w:sz="6"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40"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24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4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3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Redundancy and restructuring (charges)/reversal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21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240"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w:t>
            </w:r>
          </w:p>
        </w:tc>
        <w:tc>
          <w:tcPr>
            <w:tcW w:w="24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24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35"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(642)</w:t>
            </w:r>
          </w:p>
        </w:tc>
        <w:tc>
          <w:tcPr>
            <w:tcW w:w="1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(1,210)</w:t>
            </w:r>
          </w:p>
        </w:tc>
        <w:tc>
          <w:tcPr>
            <w:tcW w:w="21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9,436</w:t>
            </w:r>
            <w:r>
              <w:rPr>
                <w:color w:val="000000"/>
              </w:rPr>
              <w:t> </w:t>
            </w:r>
          </w:p>
        </w:tc>
        <w:tc>
          <w:tcPr>
            <w:tcW w:w="240" w:type="dxa"/>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3575A"/>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8,998</w:t>
            </w:r>
            <w:r>
              <w:rPr>
                <w:color w:val="000000"/>
              </w:rPr>
              <w:t> </w:t>
            </w:r>
          </w:p>
        </w:tc>
        <w:tc>
          <w:tcPr>
            <w:tcW w:w="246" w:type="dxa"/>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3575A"/>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9,138</w:t>
            </w:r>
            <w:r>
              <w:rPr>
                <w:color w:val="000000"/>
              </w:rPr>
              <w:t> </w:t>
            </w:r>
          </w:p>
        </w:tc>
        <w:tc>
          <w:tcPr>
            <w:tcW w:w="246" w:type="dxa"/>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35" w:type="dxa"/>
            <w:gridSpan w:val="3"/>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Underlying operating expenses</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35,032</w:t>
            </w:r>
            <w:r>
              <w:rPr>
                <w:color w:val="000000"/>
              </w:rPr>
              <w:t> </w:t>
            </w:r>
          </w:p>
        </w:tc>
        <w:tc>
          <w:tcPr>
            <w:tcW w:w="156" w:type="dxa"/>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35,707</w:t>
            </w:r>
            <w:r>
              <w:rPr>
                <w:color w:val="000000"/>
              </w:rPr>
              <w:t> </w:t>
            </w:r>
          </w:p>
        </w:tc>
        <w:tc>
          <w:tcPr>
            <w:tcW w:w="213" w:type="dxa"/>
            <w:tcBorders>
              <w:top w:val="single" w:sz="6" w:space="0" w:color="53575A"/>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color w:val="000000"/>
          <w:sz w:val="22"/>
        </w:rPr>
        <w:t>G.</w:t>
      </w:r>
      <w:r>
        <w:rPr>
          <w:color w:val="000000"/>
        </w:rPr>
        <w:t>    </w:t>
      </w:r>
      <w:r>
        <w:rPr>
          <w:rFonts w:ascii="Times New Roman;serif" w:hAnsi="Times New Roman;serif"/>
          <w:b/>
          <w:color w:val="000000"/>
          <w:sz w:val="22"/>
        </w:rPr>
        <w:t>Free cash flow and Organic free cash flow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is used to evaluate cash available for financing activities, including dividend payments and debt servicing, after investment in maintaining and growing the business. It is defined as the sum of “Cash flow from operating activities” and “Cash flow from investing activities”.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acquisition and divestment activities are removed from Free cash flow to arrive at the Organic free cash flow, a measure used by management to evaluate the generation of free cash flow without these activities. </w:t>
      </w:r>
    </w:p>
    <w:tbl>
      <w:tblPr>
        <w:tblW w:w="10205" w:type="dxa"/>
        <w:jc w:val="center"/>
        <w:tblInd w:w="0" w:type="dxa"/>
        <w:tblLayout w:type="fixed"/>
        <w:tblCellMar>
          <w:top w:w="28" w:type="dxa"/>
          <w:left w:w="28" w:type="dxa"/>
          <w:bottom w:w="28" w:type="dxa"/>
          <w:right w:w="28" w:type="dxa"/>
        </w:tblCellMar>
      </w:tblPr>
      <w:tblGrid>
        <w:gridCol w:w="361"/>
        <w:gridCol w:w="321"/>
        <w:gridCol w:w="208"/>
        <w:gridCol w:w="109"/>
        <w:gridCol w:w="109"/>
        <w:gridCol w:w="109"/>
        <w:gridCol w:w="360"/>
        <w:gridCol w:w="361"/>
        <w:gridCol w:w="213"/>
        <w:gridCol w:w="109"/>
        <w:gridCol w:w="109"/>
        <w:gridCol w:w="109"/>
        <w:gridCol w:w="360"/>
        <w:gridCol w:w="361"/>
        <w:gridCol w:w="213"/>
        <w:gridCol w:w="109"/>
        <w:gridCol w:w="109"/>
        <w:gridCol w:w="109"/>
        <w:gridCol w:w="1575"/>
        <w:gridCol w:w="1476"/>
        <w:gridCol w:w="1495"/>
        <w:gridCol w:w="387"/>
        <w:gridCol w:w="387"/>
        <w:gridCol w:w="156"/>
        <w:gridCol w:w="387"/>
        <w:gridCol w:w="387"/>
        <w:gridCol w:w="216"/>
      </w:tblGrid>
      <w:tr>
        <w:trPr/>
        <w:tc>
          <w:tcPr>
            <w:tcW w:w="3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9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90"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90"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8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9,438 </w:t>
            </w:r>
          </w:p>
        </w:tc>
        <w:tc>
          <w:tcPr>
            <w:tcW w:w="20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13,162 </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77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42,863</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54,687</w:t>
            </w:r>
            <w:r>
              <w:rPr>
                <w:color w:val="000000"/>
              </w:rPr>
              <w:t> </w:t>
            </w:r>
          </w:p>
        </w:tc>
        <w:tc>
          <w:tcPr>
            <w:tcW w:w="21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4,249</w:t>
            </w:r>
            <w:r>
              <w:rPr>
                <w:color w:val="000000"/>
              </w:rPr>
              <w:t> </w:t>
            </w:r>
          </w:p>
        </w:tc>
        <w:tc>
          <w:tcPr>
            <w:tcW w:w="208"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9,950</w:t>
            </w:r>
            <w:r>
              <w:rPr>
                <w:color w:val="000000"/>
              </w:rPr>
              <w:t> </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8,731</w:t>
            </w:r>
            <w:r>
              <w:rPr>
                <w:color w:val="000000"/>
              </w:rPr>
              <w:t> </w:t>
            </w:r>
          </w:p>
        </w:tc>
        <w:tc>
          <w:tcPr>
            <w:tcW w:w="213"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77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26,052</w:t>
            </w:r>
            <w:r>
              <w:rPr>
                <w:color w:val="000000"/>
              </w:rPr>
              <w:t> </w:t>
            </w:r>
          </w:p>
        </w:tc>
        <w:tc>
          <w:tcPr>
            <w:tcW w:w="15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39,533</w:t>
            </w:r>
            <w:r>
              <w:rPr>
                <w:color w:val="000000"/>
              </w:rPr>
              <w:t> </w:t>
            </w:r>
          </w:p>
        </w:tc>
        <w:tc>
          <w:tcPr>
            <w:tcW w:w="216" w:type="dxa"/>
            <w:tcBorders>
              <w:top w:val="single" w:sz="2"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0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Divestment proceeds (Reference I)</w:t>
            </w:r>
          </w:p>
        </w:tc>
        <w:tc>
          <w:tcPr>
            <w:tcW w:w="7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CFF0FC"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Add: Tax paid on divestments (reported under "Other investing cash outflows")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Add: Cash outflows related to inorganic capital expenditure</w:t>
            </w:r>
            <w:r>
              <w:rPr>
                <w:rFonts w:ascii="Times New Roman;serif" w:hAnsi="Times New Roman;serif"/>
                <w:b w:val="false"/>
                <w:color w:val="000000"/>
                <w:sz w:val="13"/>
              </w:rPr>
              <w:t>1</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2"/>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5,121</w:t>
            </w:r>
            <w:r>
              <w:rPr>
                <w:color w:val="000000"/>
              </w:rPr>
              <w:t> </w:t>
            </w:r>
          </w:p>
        </w:tc>
        <w:tc>
          <w:tcPr>
            <w:tcW w:w="208" w:type="dxa"/>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8,263</w:t>
            </w:r>
            <w:r>
              <w:rPr>
                <w:color w:val="000000"/>
              </w:rPr>
              <w:t> </w:t>
            </w:r>
          </w:p>
        </w:tc>
        <w:tc>
          <w:tcPr>
            <w:tcW w:w="213" w:type="dxa"/>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2"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8,453</w:t>
            </w:r>
            <w:r>
              <w:rPr>
                <w:color w:val="000000"/>
              </w:rPr>
              <w:t> </w:t>
            </w:r>
          </w:p>
        </w:tc>
        <w:tc>
          <w:tcPr>
            <w:tcW w:w="213" w:type="dxa"/>
            <w:tcBorders>
              <w:top w:val="single" w:sz="4"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free cash flow</w:t>
            </w:r>
            <w:r>
              <w:rPr>
                <w:rFonts w:ascii="Times New Roman;serif" w:hAnsi="Times New Roman;serif"/>
                <w:b/>
                <w:color w:val="000000"/>
                <w:sz w:val="13"/>
              </w:rPr>
              <w:t>2</w:t>
            </w:r>
          </w:p>
        </w:tc>
        <w:tc>
          <w:tcPr>
            <w:tcW w:w="774"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25,741</w:t>
            </w:r>
            <w:r>
              <w:rPr>
                <w:color w:val="000000"/>
              </w:rPr>
              <w:t> </w:t>
            </w:r>
          </w:p>
        </w:tc>
        <w:tc>
          <w:tcPr>
            <w:tcW w:w="15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37,517</w:t>
            </w:r>
            <w:r>
              <w:rPr>
                <w:color w:val="000000"/>
              </w:rPr>
              <w:t> </w:t>
            </w:r>
          </w:p>
        </w:tc>
        <w:tc>
          <w:tcPr>
            <w:tcW w:w="216" w:type="dxa"/>
            <w:tcBorders>
              <w:top w:val="single" w:sz="2" w:space="0" w:color="000000"/>
              <w:bottom w:val="single" w:sz="2"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84"/>
        <w:jc w:val="left"/>
        <w:rPr/>
      </w:pPr>
      <w:r>
        <w:rPr>
          <w:rFonts w:ascii="Times New Roman;serif" w:hAnsi="Times New Roman;serif"/>
          <w:b w:val="false"/>
          <w:color w:val="000000"/>
          <w:sz w:val="13"/>
        </w:rPr>
        <w:t>1.</w:t>
      </w:r>
      <w:r>
        <w:rPr>
          <w:rFonts w:ascii="Times New Roman;serif" w:hAnsi="Times New Roman;serif"/>
          <w:b w:val="false"/>
          <w:color w:val="000000"/>
          <w:sz w:val="20"/>
        </w:rPr>
        <w:t>Cash outflows related to inorganic capital expenditure includes portfolio actions which expand Shell's activities through acquisitions and restructuring activities as reported in capital expenditure lines in the Consolidated Statement of Cash Flows.</w:t>
      </w:r>
      <w:r>
        <w:rPr>
          <w:color w:val="000000"/>
        </w:rPr>
        <w:t xml:space="preserve"> </w:t>
      </w:r>
    </w:p>
    <w:p>
      <w:pPr>
        <w:pStyle w:val="TextBody"/>
        <w:bidi w:val="0"/>
        <w:spacing w:lineRule="auto" w:line="288" w:before="0" w:after="0"/>
        <w:ind w:left="0" w:right="0" w:hanging="284"/>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Free cash flow less divestment proceeds, adding back outflows related to inorganic expenditure. </w:t>
      </w:r>
    </w:p>
    <w:p>
      <w:pPr>
        <w:pStyle w:val="TextBody"/>
        <w:bidi w:val="0"/>
        <w:spacing w:before="0" w:after="0"/>
        <w:ind w:left="0" w:right="0" w:firstLine="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pPr>
      <w:r>
        <w:rPr>
          <w:rFonts w:ascii="Times New Roman;serif" w:hAnsi="Times New Roman;serif"/>
          <w:b/>
          <w:color w:val="000000"/>
          <w:sz w:val="22"/>
        </w:rPr>
        <w:t>H.</w:t>
      </w:r>
      <w:r>
        <w:rPr>
          <w:color w:val="000000"/>
        </w:rPr>
        <w:t>    </w:t>
      </w:r>
      <w:r>
        <w:rPr>
          <w:rFonts w:ascii="Times New Roman;serif" w:hAnsi="Times New Roman;serif"/>
          <w:b/>
          <w:color w:val="000000"/>
          <w:sz w:val="22"/>
        </w:rPr>
        <w:t xml:space="preserve">Cash flow from operating activities excluding working capital movements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Working capital movements are defined as the sum of the following items in the Consolidated Statement of Cash Flows: (i) (increase)/decrease in inventories, (ii) (increase)/decrease in current receivables, and (iii) increase/(decrease) in current payables.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Cash flow from operating activities excluding working capital movements is a measure used by Shell to analyse its operating cash generation over time excluding the timing effects of changes in inventories and operating receivables and payables from period to period.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3"/>
        <w:gridCol w:w="303"/>
        <w:gridCol w:w="212"/>
        <w:gridCol w:w="109"/>
        <w:gridCol w:w="109"/>
        <w:gridCol w:w="109"/>
        <w:gridCol w:w="368"/>
        <w:gridCol w:w="368"/>
        <w:gridCol w:w="216"/>
        <w:gridCol w:w="109"/>
        <w:gridCol w:w="109"/>
        <w:gridCol w:w="109"/>
        <w:gridCol w:w="368"/>
        <w:gridCol w:w="368"/>
        <w:gridCol w:w="216"/>
        <w:gridCol w:w="109"/>
        <w:gridCol w:w="109"/>
        <w:gridCol w:w="109"/>
        <w:gridCol w:w="1562"/>
        <w:gridCol w:w="1518"/>
        <w:gridCol w:w="1538"/>
        <w:gridCol w:w="368"/>
        <w:gridCol w:w="368"/>
        <w:gridCol w:w="156"/>
        <w:gridCol w:w="368"/>
        <w:gridCol w:w="368"/>
        <w:gridCol w:w="216"/>
      </w:tblGrid>
      <w:tr>
        <w:trPr/>
        <w:tc>
          <w:tcPr>
            <w:tcW w:w="34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1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8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858"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2"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9,438</w:t>
            </w:r>
            <w:r>
              <w:rPr>
                <w:color w:val="000000"/>
              </w:rPr>
              <w:t> </w:t>
            </w:r>
          </w:p>
        </w:tc>
        <w:tc>
          <w:tcPr>
            <w:tcW w:w="2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12,207</w:t>
            </w:r>
            <w:r>
              <w:rPr>
                <w:color w:val="000000"/>
              </w:rPr>
              <w:t>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13,162</w:t>
            </w:r>
            <w:r>
              <w:rPr>
                <w:color w:val="000000"/>
              </w:rPr>
              <w:t>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42,863</w:t>
            </w:r>
            <w:r>
              <w:rPr>
                <w:color w:val="000000"/>
              </w:rPr>
              <w:t> </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54,687</w:t>
            </w:r>
            <w:r>
              <w:rPr>
                <w:color w:val="000000"/>
              </w:rPr>
              <w:t> </w:t>
            </w:r>
          </w:p>
        </w:tc>
        <w:tc>
          <w:tcPr>
            <w:tcW w:w="21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8"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8"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8"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8"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8"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8"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8"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1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1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1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(Increase)/decrease in inventories</w:t>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21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(Increase)/decrease in current receivables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Increase/(decrease) in current payables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1,275</w:t>
            </w:r>
            <w:r>
              <w:rPr>
                <w:color w:val="000000"/>
              </w:rPr>
              <w:t> </w:t>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1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2,407</w:t>
            </w:r>
            <w:r>
              <w:rPr>
                <w:color w:val="000000"/>
              </w:rPr>
              <w:t> </w:t>
            </w:r>
          </w:p>
        </w:tc>
        <w:tc>
          <w:tcPr>
            <w:tcW w:w="21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(Increase)/decrease in working capital</w:t>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(1,803)</w:t>
            </w:r>
          </w:p>
        </w:tc>
        <w:tc>
          <w:tcPr>
            <w:tcW w:w="1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2,062</w:t>
            </w:r>
            <w:r>
              <w:rPr>
                <w:color w:val="000000"/>
              </w:rPr>
              <w:t> </w:t>
            </w:r>
          </w:p>
        </w:tc>
        <w:tc>
          <w:tcPr>
            <w:tcW w:w="21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8,164</w:t>
            </w:r>
            <w:r>
              <w:rPr>
                <w:color w:val="000000"/>
              </w:rPr>
              <w:t> </w:t>
            </w:r>
          </w:p>
        </w:tc>
        <w:tc>
          <w:tcPr>
            <w:tcW w:w="212"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12,235</w:t>
            </w:r>
            <w:r>
              <w:rPr>
                <w:color w:val="000000"/>
              </w:rPr>
              <w:t> </w:t>
            </w:r>
          </w:p>
        </w:tc>
        <w:tc>
          <w:tcPr>
            <w:tcW w:w="21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10,755</w:t>
            </w:r>
            <w:r>
              <w:rPr>
                <w:color w:val="000000"/>
              </w:rPr>
              <w:t> </w:t>
            </w:r>
          </w:p>
        </w:tc>
        <w:tc>
          <w:tcPr>
            <w:tcW w:w="21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 excluding working capital movements</w:t>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44,666</w:t>
            </w:r>
            <w:r>
              <w:rPr>
                <w:color w:val="000000"/>
              </w:rPr>
              <w:t> </w:t>
            </w:r>
          </w:p>
        </w:tc>
        <w:tc>
          <w:tcPr>
            <w:tcW w:w="15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52,625</w:t>
            </w:r>
            <w:r>
              <w:rPr>
                <w:color w:val="000000"/>
              </w:rPr>
              <w:t> </w:t>
            </w:r>
          </w:p>
        </w:tc>
        <w:tc>
          <w:tcPr>
            <w:tcW w:w="216"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20"/>
        <w:ind w:left="0" w:right="0" w:hanging="540"/>
        <w:jc w:val="left"/>
        <w:rPr/>
      </w:pPr>
      <w:r>
        <w:rPr>
          <w:rFonts w:ascii="Times New Roman;serif" w:hAnsi="Times New Roman;serif"/>
          <w:b/>
          <w:color w:val="000000"/>
          <w:sz w:val="22"/>
        </w:rPr>
        <w:t>I.</w:t>
      </w:r>
      <w:r>
        <w:rPr>
          <w:color w:val="000000"/>
        </w:rPr>
        <w:t>    </w:t>
      </w:r>
      <w:r>
        <w:rPr>
          <w:rFonts w:ascii="Times New Roman;serif" w:hAnsi="Times New Roman;serif"/>
          <w:b/>
          <w:color w:val="000000"/>
          <w:sz w:val="22"/>
        </w:rPr>
        <w:t xml:space="preserve">Divestment proceeds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Divestment proceeds represent cash received from divestment activities in the period. Management regularly monitors this measure as a key lever to deliver free cash flow. </w:t>
      </w:r>
    </w:p>
    <w:tbl>
      <w:tblPr>
        <w:tblW w:w="10205" w:type="dxa"/>
        <w:jc w:val="center"/>
        <w:tblInd w:w="0" w:type="dxa"/>
        <w:tblLayout w:type="fixed"/>
        <w:tblCellMar>
          <w:top w:w="28" w:type="dxa"/>
          <w:left w:w="28" w:type="dxa"/>
          <w:bottom w:w="28" w:type="dxa"/>
          <w:right w:w="28" w:type="dxa"/>
        </w:tblCellMar>
      </w:tblPr>
      <w:tblGrid>
        <w:gridCol w:w="256"/>
        <w:gridCol w:w="200"/>
        <w:gridCol w:w="202"/>
        <w:gridCol w:w="109"/>
        <w:gridCol w:w="109"/>
        <w:gridCol w:w="109"/>
        <w:gridCol w:w="370"/>
        <w:gridCol w:w="261"/>
        <w:gridCol w:w="206"/>
        <w:gridCol w:w="109"/>
        <w:gridCol w:w="109"/>
        <w:gridCol w:w="109"/>
        <w:gridCol w:w="244"/>
        <w:gridCol w:w="240"/>
        <w:gridCol w:w="206"/>
        <w:gridCol w:w="109"/>
        <w:gridCol w:w="109"/>
        <w:gridCol w:w="109"/>
        <w:gridCol w:w="1788"/>
        <w:gridCol w:w="1755"/>
        <w:gridCol w:w="1777"/>
        <w:gridCol w:w="315"/>
        <w:gridCol w:w="316"/>
        <w:gridCol w:w="193"/>
        <w:gridCol w:w="315"/>
        <w:gridCol w:w="316"/>
        <w:gridCol w:w="264"/>
      </w:tblGrid>
      <w:tr>
        <w:trPr/>
        <w:tc>
          <w:tcPr>
            <w:tcW w:w="2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83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658"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op w:val="single" w:sz="6" w:space="0" w:color="5357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95" w:type="dxa"/>
            <w:gridSpan w:val="3"/>
            <w:tcBorders>
              <w:top w:val="single" w:sz="6" w:space="0" w:color="53575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58"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 and businesses</w:t>
            </w:r>
          </w:p>
        </w:tc>
        <w:tc>
          <w:tcPr>
            <w:tcW w:w="82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89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joint ventures and associates from sale, capital reduction and repayment of long-term loans</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r>
      <w:tr>
        <w:trPr/>
        <w:tc>
          <w:tcPr>
            <w:tcW w:w="6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equity securities</w:t>
            </w:r>
          </w:p>
        </w:tc>
        <w:tc>
          <w:tcPr>
            <w:tcW w:w="8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r>
      <w:tr>
        <w:trPr/>
        <w:tc>
          <w:tcPr>
            <w:tcW w:w="45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20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w:t>
            </w:r>
            <w:r>
              <w:rPr>
                <w:color w:val="000000"/>
              </w:rPr>
              <w:t> </w:t>
            </w:r>
          </w:p>
        </w:tc>
        <w:tc>
          <w:tcPr>
            <w:tcW w:w="2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w:t>
            </w:r>
            <w:r>
              <w:rPr>
                <w:color w:val="000000"/>
              </w:rPr>
              <w:t> </w:t>
            </w:r>
          </w:p>
        </w:tc>
        <w:tc>
          <w:tcPr>
            <w:tcW w:w="2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Divestment proceeds</w:t>
            </w:r>
          </w:p>
        </w:tc>
        <w:tc>
          <w:tcPr>
            <w:tcW w:w="63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2,386</w:t>
            </w:r>
            <w:r>
              <w:rPr>
                <w:color w:val="000000"/>
              </w:rPr>
              <w:t> </w:t>
            </w:r>
          </w:p>
        </w:tc>
        <w:tc>
          <w:tcPr>
            <w:tcW w:w="19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2,793</w:t>
            </w:r>
            <w:r>
              <w:rPr>
                <w:color w:val="000000"/>
              </w:rPr>
              <w:t> </w:t>
            </w:r>
          </w:p>
        </w:tc>
        <w:tc>
          <w:tcPr>
            <w:tcW w:w="26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47</w:t>
                      </w:r>
                    </w:p>
                  </w:txbxContent>
                </v:textbox>
                <w10:wrap type="none"/>
              </v:rect>
            </w:pict>
          </mc:Fallback>
        </mc:AlternateContent>
      </w:r>
    </w:p>
    <w:p>
      <w:pPr>
        <w:pStyle w:val="TextBody"/>
        <w:bidi w:val="0"/>
        <w:spacing w:lineRule="auto" w:line="288" w:before="100" w:after="120"/>
        <w:ind w:left="0" w:right="0" w:hanging="540"/>
        <w:jc w:val="left"/>
        <w:rPr/>
      </w:pPr>
      <w:r>
        <w:rPr>
          <w:rFonts w:ascii="Times New Roman;serif" w:hAnsi="Times New Roman;serif"/>
          <w:b/>
          <w:color w:val="000000"/>
          <w:sz w:val="22"/>
        </w:rPr>
        <w:t>J.</w:t>
      </w:r>
      <w:r>
        <w:rPr>
          <w:color w:val="000000"/>
        </w:rPr>
        <w:t>    </w:t>
      </w:r>
      <w:r>
        <w:rPr>
          <w:rFonts w:ascii="Times New Roman;serif" w:hAnsi="Times New Roman;serif"/>
          <w:b/>
          <w:color w:val="000000"/>
          <w:sz w:val="22"/>
        </w:rPr>
        <w:t>Structural cost reduction*</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structural cost reduction target is used for the purpose of demonstrating how management drives cost discipline across the entire organisation, simplifying our processes and portfolio, and streamlining the way we work.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Structural cost reduction describes the decrease in underlying operating expenses (see Reference F above) as a result of operational efficiencies, divestments, workforce reductions and other cost-saving measures that are expected to be sustainable compared with 2022 levels.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change between periods in underlying operating expenses will reflect both structural cost reductions and other changes in spend, including market factors, such as inflation and foreign exchange impacts, as well as changes in activity levels and costs associated with new operations.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Structural cost reductions are stewarded internally to support management's oversight of spending over time. The 2028 target reflects annualised saving achieved by end-2028. </w:t>
      </w:r>
    </w:p>
    <w:tbl>
      <w:tblPr>
        <w:tblW w:w="8078" w:type="dxa"/>
        <w:jc w:val="left"/>
        <w:tblInd w:w="0" w:type="dxa"/>
        <w:tblLayout w:type="fixed"/>
        <w:tblCellMar>
          <w:top w:w="28" w:type="dxa"/>
          <w:left w:w="28" w:type="dxa"/>
          <w:bottom w:w="28" w:type="dxa"/>
          <w:right w:w="28" w:type="dxa"/>
        </w:tblCellMar>
      </w:tblPr>
      <w:tblGrid>
        <w:gridCol w:w="2429"/>
        <w:gridCol w:w="2131"/>
        <w:gridCol w:w="2145"/>
        <w:gridCol w:w="109"/>
        <w:gridCol w:w="109"/>
        <w:gridCol w:w="109"/>
        <w:gridCol w:w="359"/>
        <w:gridCol w:w="362"/>
        <w:gridCol w:w="325"/>
      </w:tblGrid>
      <w:tr>
        <w:trPr/>
        <w:tc>
          <w:tcPr>
            <w:tcW w:w="242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million</w:t>
            </w:r>
          </w:p>
        </w:tc>
      </w:tr>
      <w:tr>
        <w:trPr/>
        <w:tc>
          <w:tcPr>
            <w:tcW w:w="670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Structural cost reduction up to fourth quarter 2025 compared with 2022 levels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(5,135)</w:t>
            </w:r>
          </w:p>
        </w:tc>
        <w:tc>
          <w:tcPr>
            <w:tcW w:w="32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operating expenses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35,032</w:t>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operating expenses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decrease in Underlying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32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Structural cost reductions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Underlying operating expenses excluding structural cost reduction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operating expenses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operating expenses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decrease in Underlying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32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Structural cost reductions 2022-2024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(3,119)</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Underlying operating expenses excluding structural cost reduction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325"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84"/>
        <w:jc w:val="left"/>
        <w:rPr/>
      </w:pPr>
      <w:r>
        <w:rPr>
          <w:rFonts w:ascii="Times New Roman;serif" w:hAnsi="Times New Roman;serif"/>
          <w:b w:val="false"/>
          <w:color w:val="000000"/>
          <w:sz w:val="13"/>
        </w:rPr>
        <w:t>*</w:t>
      </w:r>
      <w:r>
        <w:rPr>
          <w:rFonts w:ascii="Times New Roman;serif" w:hAnsi="Times New Roman;serif"/>
          <w:b w:val="false"/>
          <w:color w:val="000000"/>
          <w:sz w:val="20"/>
        </w:rPr>
        <w:t>Operational measure for US reporting purposes</w:t>
      </w:r>
    </w:p>
    <w:p>
      <w:pPr>
        <w:pStyle w:val="TextBody"/>
        <w:bidi w:val="0"/>
        <w:spacing w:before="0" w:after="0"/>
        <w:ind w:left="0" w:right="0" w:firstLine="76"/>
        <w:jc w:val="left"/>
        <w:rPr/>
      </w:pPr>
      <w:r>
        <w:rPr/>
      </w:r>
    </w:p>
    <w:p>
      <w:pPr>
        <w:pStyle w:val="TextBody"/>
        <w:bidi w:val="0"/>
        <w:spacing w:before="0" w:after="0"/>
        <w:jc w:val="left"/>
        <w:rPr/>
      </w:pPr>
      <w:r>
        <w:rPr/>
      </w:r>
    </w:p>
    <w:p>
      <w:pPr>
        <w:pStyle w:val="TextBody"/>
        <w:bidi w:val="0"/>
        <w:spacing w:before="0" w:after="0"/>
        <w:ind w:left="0" w:right="0" w:firstLine="76"/>
        <w:jc w:val="left"/>
        <w:rPr/>
      </w:pPr>
      <w:r>
        <w:rPr/>
      </w:r>
    </w:p>
    <w:p>
      <w:pPr>
        <w:pStyle w:val="TextBody"/>
        <w:bidi w:val="0"/>
        <w:spacing w:before="0" w:after="0"/>
        <w:ind w:left="0" w:right="0" w:firstLine="76"/>
        <w:jc w:val="left"/>
        <w:rPr/>
      </w:pPr>
      <w:r>
        <w:rPr/>
      </w:r>
    </w:p>
    <w:p>
      <w:pPr>
        <w:pStyle w:val="TextBody"/>
        <w:bidi w:val="0"/>
        <w:spacing w:before="0" w:after="0"/>
        <w:ind w:left="0" w:right="0" w:firstLine="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48</w:t>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CAUTIONARY STATEMENT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All amounts shown throughout this Unaudited Condensed Financial Report are unaudited. All peak production figures in Portfolio Developments are quoted at 100% expected production. The numbers presented throughout this Unaudited Condensed Financial Report may not sum precisely to the totals provided and percentages may not precisely reflect the absolute figures, due to rounding.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companies in which Shell plc directly and indirectly owns investments are separate legal entities. In this Unaudited Condensed Financial Report,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Unaudited Condensed Financial Report,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Unaudited Condensed Financial Report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Unaudited Condensed Financial Report,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Unaudited Condensed Financial Report are expressly qualified in their entirety by the cautionary statements contained or referred to in this section. Readers should not place undue reliance on forward-looking statements. Additional risk factors that may affect future results are contained in Shell plc’s Form 20-F and amendment thereto for the year ended December 31, 2024 (available at www.shell.com/investors/news-and-filings/sec-filings.html and www.sec.gov). These risk factors also expressly qualify all forward-looking statements contained in this Unaudited Condensed Financial Report and should be considered by the reader. Each forward-looking statement speaks only as of the date of this Unaudited Condensed Financial Report, February 5,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Unaudited Condensed Financial Report.</w:t>
      </w:r>
    </w:p>
    <w:p>
      <w:pPr>
        <w:pStyle w:val="TextBody"/>
        <w:bidi w:val="0"/>
        <w:spacing w:lineRule="auto" w:line="26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Shell’s net carbon intensity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Also, in this Unaudited Condensed Financial Report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49</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resale. Shell only controls its own emissions. The use of the terms Shell’s “net carbon intensity” or NCI is for convenience only and not intended to suggest these emissions are those of Shell plc or its subsidiaries.</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Shell’s net-zero emissions target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Scope 1, Scope 2 and NCI targets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 </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Forward-Looking non-GAAP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Unaudited Condensed Financial Report may contain certain forward-looking non-GAAP measures such as cash capital expenditure and Adjusted Earnings.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contents of websites referred to in this Unaudited Condensed Financial Report do not form part of this Unaudited Condensed Financial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have used certain terms, such as resources, in this Unaudited Condensed Financial Report that the United States Securities and Exchange Commission (SEC) strictly prohibits us from including in our filings with the SEC. Investors are urged to consider closely the disclosure in our Form 20-F and any amendment thereto, File No 1-32575, available on the SEC website www.sec.gov.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announcement contains inside information. </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February 5,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Unaudited Condensed Financial Report reflects the unaudited consolidated financial position and results of Shell plc. Company No. 4366849, Registered Office: Shell Centre, London, SE1 7NA, England, UK.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Contacts: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Sean Ashley, Company Secretary</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Media: International +44 (0) 207 934 5550; U.S. and Canada: https://www.shell.us/about-us/news-and-insights/media/submit-an-inquiry.html</w:t>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Financial Report            50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17858</Words>
  <Characters>102028</Characters>
  <CharactersWithSpaces>118795</CharactersWithSpaces>
  <Paragraphs>4727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