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7"/>
        </w:rPr>
      </w:pPr>
      <w:r>
        <w:rPr>
          <w:rFonts w:ascii="Times New Roman;serif" w:hAnsi="Times New Roman;serif"/>
          <w:b/>
          <w:color w:val="000000"/>
          <w:sz w:val="27"/>
        </w:rPr>
        <w:t>UNITED STATES 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 xml:space="preserve">Form 6-K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month of July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Commission File Number: 1-32575 </w:t>
      </w:r>
    </w:p>
    <w:p>
      <w:pPr>
        <w:pStyle w:val="TextBody"/>
        <w:bidi w:val="0"/>
        <w:spacing w:lineRule="auto" w:line="288" w:before="0" w:after="120"/>
        <w:jc w:val="center"/>
        <w:rPr>
          <w:rFonts w:ascii="Times New Roman;serif" w:hAnsi="Times New Roman;serif"/>
          <w:b/>
          <w:color w:val="000000"/>
          <w:sz w:val="48"/>
        </w:rPr>
      </w:pPr>
      <w:r>
        <w:rPr>
          <w:rFonts w:ascii="Times New Roman;serif" w:hAnsi="Times New Roman;serif"/>
          <w:b/>
          <w:color w:val="000000"/>
          <w:sz w:val="48"/>
        </w:rPr>
        <w:t xml:space="preserve">Shell plc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England and Wales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 or organization)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Shell Centre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London, SE1 7NA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40-F.</w:t>
      </w:r>
    </w:p>
    <w:p>
      <w:pPr>
        <w:pStyle w:val="TextBody"/>
        <w:bidi w:val="0"/>
        <w:spacing w:lineRule="auto" w:line="288" w:before="0" w:after="120"/>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Shell plc (the “Registrant”) is filing the following exhibits on this Report on Form 6-K, each of which is hereby incorporated by reference:</w:t>
      </w:r>
    </w:p>
    <w:tbl>
      <w:tblPr>
        <w:tblW w:w="9796" w:type="dxa"/>
        <w:jc w:val="left"/>
        <w:tblInd w:w="0" w:type="dxa"/>
        <w:tblLayout w:type="fixed"/>
        <w:tblCellMar>
          <w:top w:w="28" w:type="dxa"/>
          <w:left w:w="28" w:type="dxa"/>
          <w:bottom w:w="28" w:type="dxa"/>
          <w:right w:w="28" w:type="dxa"/>
        </w:tblCellMar>
      </w:tblPr>
      <w:tblGrid>
        <w:gridCol w:w="272"/>
        <w:gridCol w:w="239"/>
        <w:gridCol w:w="240"/>
        <w:gridCol w:w="2641"/>
        <w:gridCol w:w="2641"/>
        <w:gridCol w:w="376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hibit991.htm">
              <w:r>
                <w:rPr>
                  <w:rStyle w:val="InternetLink"/>
                  <w:rFonts w:ascii="Times New Roman;serif" w:hAnsi="Times New Roman;serif"/>
                  <w:b w:val="false"/>
                  <w:color w:val="0000FF"/>
                  <w:sz w:val="20"/>
                  <w:u w:val="single"/>
                </w:rPr>
                <w:t>99.1</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release.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el-20260630.htm">
              <w:r>
                <w:rPr>
                  <w:rStyle w:val="InternetLink"/>
                  <w:rFonts w:ascii="Times New Roman;serif" w:hAnsi="Times New Roman;serif"/>
                  <w:b w:val="false"/>
                  <w:color w:val="0000FF"/>
                  <w:sz w:val="20"/>
                  <w:u w:val="single"/>
                </w:rPr>
                <w:t>99.2</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Shell plc – Three and six month periods ended June 30, 2026 Unaudited Condensed Interim Financial Report.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Report on Form 6-K contains the Unaudited Condensed Interim Financial Report. This Unaudited Condensed Interim Financial Report contains the Unaudited Condensed Interim Consolidated Financial Statements of the Registrant and its subsidiaries for the three and six month periods ended June 30, 2026, and Business Review in respect of such periods.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on Form 6-K is incorporated by reference into: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the Registration Statement on Form F-3 of Shell plc, Shell Finance US Inc. and Shell International Finance B.V. (Registration Numbers 333-276068, 333-276068-01 and 333-276068-02);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the Registration Statements on Form S-8 of Shell plc (Registration Numbers 333-262396, 333-272192 and 333-292109).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Shell plc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(Registrant)</w:t>
      </w:r>
    </w:p>
    <w:tbl>
      <w:tblPr>
        <w:tblW w:w="2654" w:type="dxa"/>
        <w:jc w:val="left"/>
        <w:tblInd w:w="0" w:type="dxa"/>
        <w:tblLayout w:type="fixed"/>
        <w:tblCellMar>
          <w:top w:w="28" w:type="dxa"/>
          <w:left w:w="28" w:type="dxa"/>
          <w:bottom w:w="28" w:type="dxa"/>
          <w:right w:w="28" w:type="dxa"/>
        </w:tblCellMar>
      </w:tblPr>
      <w:tblGrid>
        <w:gridCol w:w="151"/>
        <w:gridCol w:w="134"/>
        <w:gridCol w:w="135"/>
        <w:gridCol w:w="654"/>
        <w:gridCol w:w="654"/>
        <w:gridCol w:w="92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Ashley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Sean Ashley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Company Secretary</w:t>
            </w:r>
          </w:p>
        </w:tc>
      </w:tr>
    </w:tbl>
    <w:p>
      <w:pPr>
        <w:pStyle w:val="TextBody"/>
        <w:bidi w:val="0"/>
        <w:spacing w:lineRule="auto" w:line="288" w:before="0" w:after="120"/>
        <w:jc w:val="left"/>
        <w:rPr/>
      </w:pPr>
      <w:r>
        <w:rPr>
          <w:rFonts w:ascii="Times New Roman;serif" w:hAnsi="Times New Roman;serif"/>
          <w:b w:val="false"/>
          <w:color w:val="000000"/>
          <w:sz w:val="20"/>
        </w:rPr>
        <w:t>Dat</w:t>
      </w:r>
      <w:r>
        <w:rPr>
          <w:rFonts w:ascii="Times New Roman;serif" w:hAnsi="Times New Roman;serif"/>
          <w:b w:val="false"/>
          <w:color w:val="000000"/>
          <w:sz w:val="20"/>
          <w:shd w:fill="FFFFFF" w:val="clear"/>
        </w:rPr>
        <w:t xml:space="preserve">e: </w:t>
      </w:r>
      <w:r>
        <w:rPr>
          <w:rFonts w:ascii="Times New Roman;serif" w:hAnsi="Times New Roman;serif"/>
          <w:b w:val="false"/>
          <w:color w:val="000000"/>
          <w:sz w:val="20"/>
        </w:rPr>
        <w:t>July 30,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99.1</w:t>
        <w:br/>
        <w:t>Regulatory release</w:t>
      </w:r>
    </w:p>
    <w:p>
      <w:pPr>
        <w:pStyle w:val="TextBody"/>
        <w:bidi w:val="0"/>
        <w:spacing w:before="0" w:after="120"/>
        <w:jc w:val="righ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Three and six month periods ended June 30, 2026</w:t>
        <w:br/>
        <w:t>Unaudited Condensed Interim Financial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30, 2026, Shell plc released the Unaudited Condensed Interim Financial Report for the three and six month periods ended June 30, 2026, of Shell plc and its subsidiaries (collectively, “Shell”). </w:t>
      </w:r>
    </w:p>
    <w:tbl>
      <w:tblPr>
        <w:tblW w:w="3465" w:type="dxa"/>
        <w:jc w:val="left"/>
        <w:tblInd w:w="0" w:type="dxa"/>
        <w:tblLayout w:type="fixed"/>
        <w:tblCellMar>
          <w:top w:w="28" w:type="dxa"/>
          <w:left w:w="28" w:type="dxa"/>
          <w:bottom w:w="28" w:type="dxa"/>
          <w:right w:w="28" w:type="dxa"/>
        </w:tblCellMar>
      </w:tblPr>
      <w:tblGrid>
        <w:gridCol w:w="537"/>
        <w:gridCol w:w="472"/>
        <w:gridCol w:w="476"/>
        <w:gridCol w:w="579"/>
        <w:gridCol w:w="579"/>
        <w:gridCol w:w="822"/>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Contact – Media</w:t>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+44 (0) 207 934 5550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+1 832 337 4355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Shell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and six month periods ended June 30, 2026</w:t>
        <w:br/>
        <w:t>Unaudited Condensed Interim Financial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w:t>
                      </w:r>
                    </w:p>
                  </w:txbxContent>
                </v:textbox>
                <w10:wrap type="none"/>
              </v:rect>
            </w:pict>
          </mc:Fallback>
        </mc:AlternateContent>
      </w:r>
    </w:p>
    <w:p>
      <w:pPr>
        <w:pStyle w:val="TextBody"/>
        <w:bidi w:val="0"/>
        <w:spacing w:before="0" w:after="0"/>
        <w:jc w:val="left"/>
        <w:rPr/>
      </w:pPr>
      <w:r>
        <w:rPr/>
      </w:r>
    </w:p>
    <w:tbl>
      <w:tblPr>
        <w:tblW w:w="5801" w:type="dxa"/>
        <w:jc w:val="left"/>
        <w:tblInd w:w="0" w:type="dxa"/>
        <w:tblLayout w:type="fixed"/>
        <w:tblCellMar>
          <w:top w:w="28" w:type="dxa"/>
          <w:left w:w="28" w:type="dxa"/>
          <w:bottom w:w="28" w:type="dxa"/>
          <w:right w:w="28" w:type="dxa"/>
        </w:tblCellMar>
      </w:tblPr>
      <w:tblGrid>
        <w:gridCol w:w="1967"/>
        <w:gridCol w:w="1729"/>
        <w:gridCol w:w="1733"/>
        <w:gridCol w:w="109"/>
        <w:gridCol w:w="109"/>
        <w:gridCol w:w="1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SHELL PLC</w:t>
            </w:r>
          </w:p>
          <w:p>
            <w:pPr>
              <w:pStyle w:val="TableContents"/>
              <w:bidi w:val="0"/>
              <w:spacing w:lineRule="auto" w:line="240" w:before="60" w:after="60"/>
              <w:jc w:val="left"/>
              <w:rPr/>
            </w:pPr>
            <w:r>
              <w:rPr>
                <w:rFonts w:ascii="Times New Roman;serif" w:hAnsi="Times New Roman;serif"/>
                <w:b w:val="false"/>
                <w:color w:val="000000"/>
                <w:sz w:val="20"/>
              </w:rPr>
              <w:t>2</w:t>
            </w:r>
            <w:r>
              <w:rPr>
                <w:rFonts w:ascii="Times New Roman;serif" w:hAnsi="Times New Roman;serif"/>
                <w:b w:val="false"/>
                <w:color w:val="000000"/>
                <w:sz w:val="13"/>
              </w:rPr>
              <w:t xml:space="preserve">nd </w:t>
            </w:r>
            <w:r>
              <w:rPr>
                <w:rFonts w:ascii="Times New Roman;serif" w:hAnsi="Times New Roman;serif"/>
                <w:b w:val="false"/>
                <w:color w:val="000000"/>
                <w:sz w:val="20"/>
              </w:rPr>
              <w:t xml:space="preserve">QUARTER 2026 AND HALF YEAR UNAUDITED RESULTS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74" w:type="dxa"/>
        <w:jc w:val="left"/>
        <w:tblInd w:w="0" w:type="dxa"/>
        <w:tblLayout w:type="fixed"/>
        <w:tblCellMar>
          <w:top w:w="28" w:type="dxa"/>
          <w:left w:w="28" w:type="dxa"/>
          <w:bottom w:w="28" w:type="dxa"/>
          <w:right w:w="28" w:type="dxa"/>
        </w:tblCellMar>
      </w:tblPr>
      <w:tblGrid>
        <w:gridCol w:w="272"/>
        <w:gridCol w:w="239"/>
        <w:gridCol w:w="239"/>
        <w:gridCol w:w="245"/>
        <w:gridCol w:w="245"/>
        <w:gridCol w:w="245"/>
        <w:gridCol w:w="245"/>
        <w:gridCol w:w="245"/>
        <w:gridCol w:w="245"/>
        <w:gridCol w:w="1374"/>
        <w:gridCol w:w="1374"/>
        <w:gridCol w:w="1392"/>
        <w:gridCol w:w="304"/>
        <w:gridCol w:w="304"/>
        <w:gridCol w:w="306"/>
        <w:gridCol w:w="323"/>
        <w:gridCol w:w="323"/>
        <w:gridCol w:w="171"/>
        <w:gridCol w:w="323"/>
        <w:gridCol w:w="323"/>
        <w:gridCol w:w="23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97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4"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UNAUDITED RESULTS</w:t>
            </w:r>
          </w:p>
        </w:tc>
      </w:tr>
      <w:tr>
        <w:trPr/>
        <w:tc>
          <w:tcPr>
            <w:tcW w:w="222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4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7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7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41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10,821</w:t>
            </w:r>
          </w:p>
        </w:tc>
        <w:tc>
          <w:tcPr>
            <w:tcW w:w="7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5,694</w:t>
            </w:r>
          </w:p>
        </w:tc>
        <w:tc>
          <w:tcPr>
            <w:tcW w:w="7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3,601</w:t>
            </w:r>
          </w:p>
        </w:tc>
        <w:tc>
          <w:tcPr>
            <w:tcW w:w="41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attributable to Shell plc shareholders</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16,515</w:t>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8,381 </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9,836</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6,915</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4,264</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20,710</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17,741</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13,313</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38,451</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28,563</w:t>
            </w:r>
          </w:p>
        </w:tc>
      </w:tr>
      <w:tr>
        <w:trPr/>
        <w:tc>
          <w:tcPr>
            <w:tcW w:w="7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21,432</w:t>
            </w:r>
          </w:p>
        </w:tc>
        <w:tc>
          <w:tcPr>
            <w:tcW w:w="7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6,062</w:t>
            </w:r>
          </w:p>
        </w:tc>
        <w:tc>
          <w:tcPr>
            <w:tcW w:w="7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11,937</w:t>
            </w:r>
          </w:p>
        </w:tc>
        <w:tc>
          <w:tcPr>
            <w:tcW w:w="41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operating activities</w:t>
            </w:r>
          </w:p>
        </w:tc>
        <w:tc>
          <w:tcPr>
            <w:tcW w:w="9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27,495</w:t>
            </w:r>
          </w:p>
        </w:tc>
        <w:tc>
          <w:tcPr>
            <w:tcW w:w="88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21,218</w:t>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(3,908)</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(3,136)</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(5,406)</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investing activities</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(9,365)</w:t>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17,524</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2,927</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6,531</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Free cash flow</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4,237</w:t>
            </w:r>
          </w:p>
        </w:tc>
        <w:tc>
          <w:tcPr>
            <w:tcW w:w="7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4,202</w:t>
            </w:r>
          </w:p>
        </w:tc>
        <w:tc>
          <w:tcPr>
            <w:tcW w:w="7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5,817</w:t>
            </w:r>
          </w:p>
        </w:tc>
        <w:tc>
          <w:tcPr>
            <w:tcW w:w="41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capital expenditure</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8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8,439</w:t>
            </w:r>
          </w:p>
        </w:tc>
        <w:tc>
          <w:tcPr>
            <w:tcW w:w="8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9,993</w:t>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8,664</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8,716</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8,265</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8,440</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8,585</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8,145</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Underlying operating expenses</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w:t>
            </w:r>
          </w:p>
        </w:tc>
        <w:tc>
          <w:tcPr>
            <w:tcW w:w="7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7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41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ROACE</w:t>
            </w:r>
          </w:p>
        </w:tc>
        <w:tc>
          <w:tcPr>
            <w:tcW w:w="9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8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w:t>
            </w:r>
          </w:p>
        </w:tc>
        <w:tc>
          <w:tcPr>
            <w:tcW w:w="88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r>
      <w:tr>
        <w:trPr/>
        <w:tc>
          <w:tcPr>
            <w:tcW w:w="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73,076</w:t>
            </w:r>
          </w:p>
        </w:tc>
        <w:tc>
          <w:tcPr>
            <w:tcW w:w="7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75,645</w:t>
            </w:r>
          </w:p>
        </w:tc>
        <w:tc>
          <w:tcPr>
            <w:tcW w:w="7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75,675</w:t>
            </w:r>
          </w:p>
        </w:tc>
        <w:tc>
          <w:tcPr>
            <w:tcW w:w="41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73,076 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75,675 </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41,754</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52,606</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43,216</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debt</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43,216</w:t>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23.2%</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19.1%</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Gearing</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r>
      <w:tr>
        <w:trPr/>
        <w:tc>
          <w:tcPr>
            <w:tcW w:w="7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2,455</w:t>
            </w:r>
          </w:p>
        </w:tc>
        <w:tc>
          <w:tcPr>
            <w:tcW w:w="7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2,752</w:t>
            </w:r>
          </w:p>
        </w:tc>
        <w:tc>
          <w:tcPr>
            <w:tcW w:w="7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2,682</w:t>
            </w:r>
          </w:p>
        </w:tc>
        <w:tc>
          <w:tcPr>
            <w:tcW w:w="41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gas production available for sale (thousand boe/d)</w:t>
            </w:r>
          </w:p>
        </w:tc>
        <w:tc>
          <w:tcPr>
            <w:tcW w:w="9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2,603 </w:t>
            </w:r>
          </w:p>
        </w:tc>
        <w:tc>
          <w:tcPr>
            <w:tcW w:w="1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2,760 </w:t>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w:t>
            </w:r>
          </w:p>
        </w:tc>
        <w:tc>
          <w:tcPr>
            <w:tcW w:w="7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7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0.61</w:t>
            </w:r>
          </w:p>
        </w:tc>
        <w:tc>
          <w:tcPr>
            <w:tcW w:w="41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 ($)</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1.76</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0.72</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per share ($)</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r>
      <w:tr>
        <w:trPr/>
        <w:tc>
          <w:tcPr>
            <w:tcW w:w="75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0.3906</w:t>
            </w:r>
          </w:p>
        </w:tc>
        <w:tc>
          <w:tcPr>
            <w:tcW w:w="73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0.3906</w:t>
            </w:r>
          </w:p>
        </w:tc>
        <w:tc>
          <w:tcPr>
            <w:tcW w:w="73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0.3580</w:t>
            </w:r>
          </w:p>
        </w:tc>
        <w:tc>
          <w:tcPr>
            <w:tcW w:w="414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per share ($)</w:t>
            </w:r>
          </w:p>
        </w:tc>
        <w:tc>
          <w:tcPr>
            <w:tcW w:w="914"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0.7812 </w:t>
            </w:r>
          </w:p>
        </w:tc>
        <w:tc>
          <w:tcPr>
            <w:tcW w:w="17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0.7160 </w:t>
            </w:r>
          </w:p>
        </w:tc>
        <w:tc>
          <w:tcPr>
            <w:tcW w:w="237"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Alternative Performance (Non-GAAP) measure. See page 34.</w:t>
      </w:r>
    </w:p>
    <w:p>
      <w:pPr>
        <w:pStyle w:val="TextBody"/>
        <w:bidi w:val="0"/>
        <w:spacing w:lineRule="auto" w:line="288" w:before="120" w:after="120"/>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88" w:before="120" w:after="120"/>
        <w:jc w:val="left"/>
        <w:rPr/>
      </w:pPr>
      <w:r>
        <w:rPr>
          <w:rFonts w:ascii="Times New Roman;serif" w:hAnsi="Times New Roman;serif"/>
          <w:b/>
          <w:color w:val="000000"/>
          <w:sz w:val="20"/>
        </w:rPr>
        <w:t xml:space="preserve">Income attributable to Shell plc shareholders </w:t>
      </w:r>
      <w:r>
        <w:rPr>
          <w:rFonts w:ascii="Times New Roman;serif" w:hAnsi="Times New Roman;serif"/>
          <w:b w:val="false"/>
          <w:color w:val="000000"/>
          <w:sz w:val="20"/>
        </w:rPr>
        <w:t>was driven by the same factors as Adjusted Earnings and includes the impact of identified items and a current cost of supplies adjustment of $0.6 billion.</w:t>
      </w:r>
    </w:p>
    <w:p>
      <w:pPr>
        <w:pStyle w:val="TextBody"/>
        <w:bidi w:val="0"/>
        <w:spacing w:lineRule="auto" w:line="288" w:before="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first quarter 2026, reflected higher realised prices, higher LNG trading and optimisation, favourable tax movements, higher Chemicals margins and higher crude and oil products trading and optimisation. These were partly offset by lower volumes, mainly due to the impact of the Middle East conflict on Qatari volumes, and lower Lubricants margins. </w:t>
      </w:r>
    </w:p>
    <w:p>
      <w:pPr>
        <w:pStyle w:val="TextBody"/>
        <w:bidi w:val="0"/>
        <w:spacing w:lineRule="auto" w:line="288" w:before="120" w:after="12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second quarter 2026 amounted to a net gain of $0.4 billion and included favourable movements due to the fair value accounting of commodity derivatives, gains on the sale of assets and impairment charges. This compares with identified items in the first quarter 2026 which amounted to a net loss of $2.4 billion.</w:t>
      </w:r>
    </w:p>
    <w:p>
      <w:pPr>
        <w:pStyle w:val="TextBody"/>
        <w:bidi w:val="0"/>
        <w:spacing w:lineRule="auto" w:line="268" w:before="120" w:after="120"/>
        <w:jc w:val="left"/>
        <w:rPr/>
      </w:pPr>
      <w:r>
        <w:rPr>
          <w:rFonts w:ascii="Times New Roman;serif" w:hAnsi="Times New Roman;serif"/>
          <w:b/>
          <w:color w:val="000000"/>
          <w:sz w:val="20"/>
        </w:rPr>
        <w:t xml:space="preserve">Adjusted EBITDA </w:t>
      </w:r>
      <w:r>
        <w:rPr>
          <w:rFonts w:ascii="Times New Roman;serif" w:hAnsi="Times New Roman;serif"/>
          <w:b w:val="false"/>
          <w:color w:val="000000"/>
          <w:sz w:val="20"/>
        </w:rPr>
        <w:t xml:space="preserve">was driven by the same factors as Adjusted Earnings. </w:t>
      </w:r>
    </w:p>
    <w:p>
      <w:pPr>
        <w:pStyle w:val="TextBody"/>
        <w:bidi w:val="0"/>
        <w:spacing w:lineRule="auto" w:line="288" w:before="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 xml:space="preserve">for the second quarter 2026 was $21.4 billion, and primarily driven by Adjusted EBITDA, working capital inflows of $3.4 billion and net cash inflows related to the timing impact of payments for emission certificates and biofuel programmes of $1.3 billion, partly offset by tax payments of $2.9 billion. </w:t>
      </w:r>
    </w:p>
    <w:p>
      <w:pPr>
        <w:pStyle w:val="TextBody"/>
        <w:bidi w:val="0"/>
        <w:spacing w:lineRule="auto" w:line="288" w:before="120" w:after="120"/>
        <w:jc w:val="left"/>
        <w:rPr/>
      </w:pPr>
      <w:r>
        <w:rPr>
          <w:rFonts w:ascii="Times New Roman;serif" w:hAnsi="Times New Roman;serif"/>
          <w:b/>
          <w:color w:val="000000"/>
          <w:sz w:val="20"/>
        </w:rPr>
        <w:t>Cash flow from investing activities</w:t>
      </w:r>
      <w:r>
        <w:rPr>
          <w:color w:val="000000"/>
        </w:rPr>
        <w:t xml:space="preserve"> </w:t>
      </w:r>
      <w:r>
        <w:rPr>
          <w:rFonts w:ascii="Times New Roman;serif" w:hAnsi="Times New Roman;serif"/>
          <w:b w:val="false"/>
          <w:color w:val="000000"/>
          <w:sz w:val="20"/>
        </w:rPr>
        <w:t>for the second quarter 2026 was an outflow of $3.9 billion, and included cash capital expenditure of $4.2 billion, partly offset by divestment proceeds of $0.5 billion.</w:t>
      </w:r>
    </w:p>
    <w:p>
      <w:pPr>
        <w:pStyle w:val="TextBody"/>
        <w:bidi w:val="0"/>
        <w:spacing w:lineRule="auto" w:line="288" w:before="120" w:after="120"/>
        <w:jc w:val="left"/>
        <w:rPr/>
      </w:pPr>
      <w:r>
        <w:rPr>
          <w:rFonts w:ascii="Times New Roman;serif" w:hAnsi="Times New Roman;serif"/>
          <w:b/>
          <w:color w:val="000000"/>
          <w:sz w:val="20"/>
        </w:rPr>
        <w:t>Net debt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Gearing</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At the end of the second quarter 2026, net debt was $41.8 billion, compared with $52.6 billion at the end of the first quarter 2026. This reflects free cash flow of $17.5 billion, partly offset by share buybacks of $3.0 billion, cash dividends paid to Shell plc shareholders of $2.2 billion and interest payments of $1.2 billion. Gearing was 18.7% at the end of the second quarter 2026, compared with 23.2% at the end of the first quarter 2026, mainly driven by lower net debt and favourable equity movements.</w:t>
      </w:r>
    </w:p>
    <w:p>
      <w:pPr>
        <w:pStyle w:val="TextBody"/>
        <w:bidi w:val="0"/>
        <w:spacing w:lineRule="auto" w:line="276" w:before="0" w:after="0"/>
        <w:jc w:val="left"/>
        <w:rPr/>
      </w:pPr>
      <w:r>
        <w:rPr>
          <w:rFonts w:ascii="Times New Roman;serif" w:hAnsi="Times New Roman;serif"/>
          <w:b/>
          <w:color w:val="000000"/>
          <w:sz w:val="20"/>
        </w:rPr>
        <w:t xml:space="preserve">Shareholder distributions: </w:t>
      </w:r>
      <w:r>
        <w:rPr>
          <w:rFonts w:ascii="Times New Roman;serif" w:hAnsi="Times New Roman;serif"/>
          <w:b w:val="false"/>
          <w:color w:val="000000"/>
          <w:sz w:val="20"/>
        </w:rPr>
        <w:t xml:space="preserve">Total shareholder distributions in the quarter amounted to $5.2 billion, comprising repurchases of shares of $3.0 billion and cash dividends paid to Shell plc shareholders of $2.2 billion. Dividends declared to Shell plc shareholders for the second quarter 2026 amount to $0.3906 per share. In connection with its agreement to acquire ARC Resources Ltd. (“ARC”), Shell plc temporarily suspended the $3.0 billion share buyback programme announced in the first quarter 2026 results announcement and, as a result, $1.8 billion of the programme was completed. Today, Shell announces the commencement of a share buyback programme which is expected to be completed by the third quarter 2026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announcement, comprising $3.0 billion of new share buybacks, plus $1.2 billion of share buybacks that were not undertaken during the previous programme.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Half Year Analysis</w:t>
      </w:r>
      <w:r>
        <w:rPr>
          <w:rFonts w:ascii="Times New Roman;serif" w:hAnsi="Times New Roman;serif"/>
          <w:b/>
          <w:color w:val="000000"/>
          <w:sz w:val="13"/>
        </w:rPr>
        <w:t>1</w:t>
      </w:r>
    </w:p>
    <w:p>
      <w:pPr>
        <w:pStyle w:val="TextBody"/>
        <w:bidi w:val="0"/>
        <w:spacing w:lineRule="auto" w:line="288" w:before="120" w:after="120"/>
        <w:jc w:val="left"/>
        <w:rPr/>
      </w:pPr>
      <w:r>
        <w:rPr>
          <w:rFonts w:ascii="Times New Roman;serif" w:hAnsi="Times New Roman;serif"/>
          <w:b/>
          <w:color w:val="000000"/>
          <w:sz w:val="20"/>
        </w:rPr>
        <w:t xml:space="preserve">Income attributable to Shell plc shareholders </w:t>
      </w:r>
      <w:r>
        <w:rPr>
          <w:rFonts w:ascii="Times New Roman;serif" w:hAnsi="Times New Roman;serif"/>
          <w:b w:val="false"/>
          <w:color w:val="000000"/>
          <w:sz w:val="20"/>
        </w:rPr>
        <w:t>was driven by the same factors as Adjusted Earnings and includes the impact of identified items and a current cost of supplies adjustment of</w:t>
      </w:r>
      <w:r>
        <w:rPr>
          <w:color w:val="000000"/>
        </w:rPr>
        <w:t xml:space="preserve"> </w:t>
      </w:r>
      <w:r>
        <w:rPr>
          <w:rFonts w:ascii="Times New Roman;serif" w:hAnsi="Times New Roman;serif"/>
          <w:b w:val="false"/>
          <w:color w:val="000000"/>
          <w:sz w:val="20"/>
        </w:rPr>
        <w:t>$1.8 billion</w:t>
      </w:r>
      <w:r>
        <w:rPr>
          <w:rFonts w:ascii="Times New Roman;serif" w:hAnsi="Times New Roman;serif"/>
          <w:b/>
          <w:color w:val="000000"/>
          <w:sz w:val="20"/>
        </w:rPr>
        <w:t xml:space="preserve">. </w:t>
      </w:r>
    </w:p>
    <w:p>
      <w:pPr>
        <w:pStyle w:val="TextBody"/>
        <w:bidi w:val="0"/>
        <w:spacing w:lineRule="auto" w:line="288" w:before="12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first half 2025, reflected higher trading and optimisation, higher realised liquids and gas prices, higher Refining margins and higher Chemicals margins, partly offset by higher depreciation, depletion and amortisation expenses, unfavourable tax movements and higher operating expenses. </w:t>
      </w:r>
    </w:p>
    <w:p>
      <w:pPr>
        <w:pStyle w:val="TextBody"/>
        <w:bidi w:val="0"/>
        <w:spacing w:lineRule="auto" w:line="276" w:before="120" w:after="12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first half 2026 amounted to a net loss of $2.0 billion and included unfavourable movements due to the fair value accounting of commodity derivatives, net impairment charges and reversals and gains on the disposal of assets. This compares with identified items in the first half 2025 which amounted to a net loss of $1.2 billion.</w:t>
      </w:r>
    </w:p>
    <w:p>
      <w:pPr>
        <w:pStyle w:val="TextBody"/>
        <w:bidi w:val="0"/>
        <w:spacing w:lineRule="auto" w:line="288" w:before="120" w:after="120"/>
        <w:jc w:val="left"/>
        <w:rPr/>
      </w:pPr>
      <w:r>
        <w:rPr>
          <w:rFonts w:ascii="Times New Roman;serif" w:hAnsi="Times New Roman;serif"/>
          <w:b w:val="false"/>
          <w:color w:val="000000"/>
          <w:sz w:val="20"/>
        </w:rPr>
        <w:t>Our continued focus on performance, discipline and simplification has helped deliver $5.8 billion of pre-tax structural cost reductions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since 2022. Of these reductions, $0.7 billion was delivered in the first half 2026.</w:t>
      </w:r>
    </w:p>
    <w:p>
      <w:pPr>
        <w:pStyle w:val="TextBody"/>
        <w:bidi w:val="0"/>
        <w:spacing w:lineRule="auto" w:line="288" w:before="120" w:after="120"/>
        <w:jc w:val="left"/>
        <w:rPr/>
      </w:pPr>
      <w:r>
        <w:rPr>
          <w:rFonts w:ascii="Times New Roman;serif" w:hAnsi="Times New Roman;serif"/>
          <w:b/>
          <w:color w:val="000000"/>
          <w:sz w:val="20"/>
        </w:rPr>
        <w:t xml:space="preserve">Adjusted EBITDA </w:t>
      </w:r>
      <w:r>
        <w:rPr>
          <w:rFonts w:ascii="Times New Roman;serif" w:hAnsi="Times New Roman;serif"/>
          <w:b w:val="false"/>
          <w:color w:val="000000"/>
          <w:sz w:val="20"/>
        </w:rPr>
        <w:t>was driven by the same factors as Adjusted Earnings.</w:t>
      </w:r>
    </w:p>
    <w:p>
      <w:pPr>
        <w:pStyle w:val="TextBody"/>
        <w:bidi w:val="0"/>
        <w:spacing w:lineRule="auto" w:line="288"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 xml:space="preserve">for the first half 2026 was $27.5 billion, and primarily driven by Adjusted EBITDA, net cash inflows related to the timing impact of payments for emission certificates and biofuel programmes of $2.6 billion and the cost of supplies adjustment of $2.5 billion (before tax). These were partly offset by working capital outflows of $7.7 billion and tax payments of $5.2 billion. </w:t>
      </w:r>
    </w:p>
    <w:p>
      <w:pPr>
        <w:pStyle w:val="TextBody"/>
        <w:bidi w:val="0"/>
        <w:spacing w:lineRule="auto" w:line="288" w:before="120" w:after="120"/>
        <w:jc w:val="left"/>
        <w:rPr/>
      </w:pPr>
      <w:r>
        <w:rPr>
          <w:rFonts w:ascii="Times New Roman;serif" w:hAnsi="Times New Roman;serif"/>
          <w:b/>
          <w:color w:val="000000"/>
          <w:sz w:val="20"/>
        </w:rPr>
        <w:t xml:space="preserve">Cash flow from investing activities </w:t>
      </w:r>
      <w:r>
        <w:rPr>
          <w:rFonts w:ascii="Times New Roman;serif" w:hAnsi="Times New Roman;serif"/>
          <w:b w:val="false"/>
          <w:color w:val="000000"/>
          <w:sz w:val="20"/>
        </w:rPr>
        <w:t>for the first half 2026 was an outflow of $7.0 billion and included cash capital expenditure of $8.4 billion. This was partly offset by divestment proceeds of $0.8 billion and interest received of $0.7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val="false"/>
          <w:color w:val="000000"/>
          <w:sz w:val="20"/>
        </w:rPr>
        <w:t xml:space="preserve">This Unaudited Condensed Interim Financial Report, together with supplementary financial and operational disclosure for this quarter, is available at www.shell.com/investors </w:t>
      </w:r>
      <w:r>
        <w:rPr>
          <w:rFonts w:ascii="Times New Roman;serif" w:hAnsi="Times New Roman;serif"/>
          <w:b w:val="false"/>
          <w:color w:val="000000"/>
          <w:sz w:val="13"/>
        </w:rPr>
        <w:t xml:space="preserve">3 </w:t>
      </w:r>
      <w:r>
        <w:rPr>
          <w:rFonts w:ascii="Times New Roman;serif" w:hAnsi="Times New Roman;serif"/>
          <w:b w:val="false"/>
          <w:color w:val="000000"/>
          <w:sz w:val="20"/>
        </w:rPr>
        <w:t>.</w:t>
      </w:r>
    </w:p>
    <w:p>
      <w:pPr>
        <w:pStyle w:val="TextBody"/>
        <w:bidi w:val="0"/>
        <w:spacing w:lineRule="auto" w:line="288" w:before="0" w:after="0"/>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All earnings amounts are shown post-tax, unless stated otherwise.</w:t>
      </w:r>
    </w:p>
    <w:p>
      <w:pPr>
        <w:pStyle w:val="TextBody"/>
        <w:bidi w:val="0"/>
        <w:spacing w:lineRule="auto" w:line="288" w:before="0" w:after="0"/>
        <w:ind w:left="0" w:right="0" w:hanging="270"/>
        <w:jc w:val="left"/>
        <w:rPr/>
      </w:pPr>
      <w:r>
        <w:rPr>
          <w:rFonts w:ascii="Times New Roman;serif" w:hAnsi="Times New Roman;serif"/>
          <w:b w:val="false"/>
          <w:color w:val="000000"/>
          <w:sz w:val="13"/>
        </w:rPr>
        <w:t>2.</w:t>
      </w:r>
      <w:r>
        <w:rPr>
          <w:rFonts w:ascii="Times New Roman;serif" w:hAnsi="Times New Roman;serif"/>
          <w:b w:val="false"/>
          <w:color w:val="000000"/>
          <w:sz w:val="20"/>
        </w:rPr>
        <w:t>See Reference J "Structural cost reduction" for further details.</w:t>
      </w:r>
    </w:p>
    <w:p>
      <w:pPr>
        <w:pStyle w:val="TextBody"/>
        <w:bidi w:val="0"/>
        <w:spacing w:lineRule="auto" w:line="288" w:before="0" w:after="0"/>
        <w:ind w:left="0" w:right="0" w:hanging="270"/>
        <w:jc w:val="left"/>
        <w:rPr/>
      </w:pPr>
      <w:r>
        <w:rPr>
          <w:rFonts w:ascii="Times New Roman;serif" w:hAnsi="Times New Roman;serif"/>
          <w:b w:val="false"/>
          <w:color w:val="000000"/>
          <w:sz w:val="13"/>
        </w:rPr>
        <w:t>3.</w:t>
      </w:r>
      <w:r>
        <w:rPr>
          <w:rFonts w:ascii="Times New Roman;serif" w:hAnsi="Times New Roman;serif"/>
          <w:b w:val="false"/>
          <w:color w:val="000000"/>
          <w:sz w:val="20"/>
        </w:rPr>
        <w:t>Not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FF0000"/>
          <w:sz w:val="20"/>
        </w:rPr>
      </w:pPr>
      <w:r>
        <w:rPr>
          <w:rFonts w:ascii="Times New Roman;serif" w:hAnsi="Times New Roman;serif"/>
          <w:b/>
          <w:color w:val="FF0000"/>
          <w:sz w:val="20"/>
        </w:rPr>
        <w:t xml:space="preserve">PORTFOLIO DEVELOPMENTS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Integrated Gas</w:t>
      </w:r>
    </w:p>
    <w:p>
      <w:pPr>
        <w:pStyle w:val="TextBody"/>
        <w:bidi w:val="0"/>
        <w:spacing w:lineRule="auto" w:line="288" w:before="120" w:after="120"/>
        <w:jc w:val="left"/>
        <w:rPr/>
      </w:pPr>
      <w:r>
        <w:rPr>
          <w:rFonts w:ascii="Times New Roman;serif" w:hAnsi="Times New Roman;serif"/>
          <w:b w:val="false"/>
          <w:color w:val="000000"/>
          <w:sz w:val="20"/>
        </w:rPr>
        <w:t>In April 2026, we entered into a definitive agreement to acquire ARC Resources Ltd. (“ARC”), an energy company focused on the Montney shale basin in British Columbia and Alberta, Canada. Under the terms of the agreement, ARC’s shareholders will receive CAD 8.20 in cash and 0.40247 ordinary shares of Shell plc for each ARC share, resulting in an equity value of approximately USD 13.6 billion.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The boards of both companies have unanimously supported the transaction and the ARC shareholders have approved the transaction, with approximately 99.54% of the votes cast by ARC shareholders (present online or represented by proxy at the ARC shareholder meeting) in favour of the arrangement. The transaction is expected to close in the third quarter of 2026 subject to remaining regulatory approval.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Upstream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June 2026, we agreed to sell our 50% non-operated working interest in the Na Kika platform and associated fields in the Gulf of America, together with our 100%-owned Coulomb tieback, for total consideration of $1.7 billion, subject to customary adjustments and certain contingent payments. The transaction has an effective date of July 1, 2025, and is expected to close by the end of 2026, subject to regulatory approvals.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Marketing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2026, we completed the previously announced sale of Jiffy Lube International to an affiliate of Monomoy Capital Partners (Monomoy) for $1.3 billion. As part of the transaction, we retain a long-term lubricants supply agreement with Monomoy.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Renewables and Energy Solutions</w:t>
      </w:r>
    </w:p>
    <w:p>
      <w:pPr>
        <w:pStyle w:val="TextBody"/>
        <w:bidi w:val="0"/>
        <w:spacing w:lineRule="auto" w:line="331"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we agreed to sell 100% of Solenergi Power Private Limited, which includes the Sprng Energy group of companies, to Aditya Birla Renewables Limited for $1.8 billion. The transaction is expected to complete by the end of 2026, subject to regulatory approval and closing conditions.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Based on Shell’s closing share price at April 24, 2026 of GBP 33.08 and GBP:CAD exchange ratio of 1.8480.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FF0000"/>
          <w:sz w:val="20"/>
        </w:rPr>
      </w:pPr>
      <w:r>
        <w:rPr>
          <w:rFonts w:ascii="Times New Roman;serif" w:hAnsi="Times New Roman;serif"/>
          <w:b/>
          <w:color w:val="FF0000"/>
          <w:sz w:val="20"/>
        </w:rPr>
        <w:t>PERFORMANCE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ind w:left="0" w:right="0" w:firstLine="218"/>
        <w:jc w:val="left"/>
        <w:rPr/>
      </w:pPr>
      <w:r>
        <w:rPr/>
      </w:r>
    </w:p>
    <w:tbl>
      <w:tblPr>
        <w:tblW w:w="8754" w:type="dxa"/>
        <w:jc w:val="center"/>
        <w:tblInd w:w="0" w:type="dxa"/>
        <w:tblLayout w:type="fixed"/>
        <w:tblCellMar>
          <w:top w:w="28" w:type="dxa"/>
          <w:left w:w="28" w:type="dxa"/>
          <w:bottom w:w="28" w:type="dxa"/>
          <w:right w:w="28" w:type="dxa"/>
        </w:tblCellMar>
      </w:tblPr>
      <w:tblGrid>
        <w:gridCol w:w="303"/>
        <w:gridCol w:w="268"/>
        <w:gridCol w:w="240"/>
        <w:gridCol w:w="278"/>
        <w:gridCol w:w="278"/>
        <w:gridCol w:w="246"/>
        <w:gridCol w:w="278"/>
        <w:gridCol w:w="278"/>
        <w:gridCol w:w="246"/>
        <w:gridCol w:w="1313"/>
        <w:gridCol w:w="1313"/>
        <w:gridCol w:w="1318"/>
        <w:gridCol w:w="304"/>
        <w:gridCol w:w="304"/>
        <w:gridCol w:w="306"/>
        <w:gridCol w:w="278"/>
        <w:gridCol w:w="278"/>
        <w:gridCol w:w="156"/>
        <w:gridCol w:w="278"/>
        <w:gridCol w:w="278"/>
        <w:gridCol w:w="213"/>
      </w:tblGrid>
      <w:tr>
        <w:trPr/>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ind w:left="0" w:right="0" w:hanging="284"/>
              <w:jc w:val="left"/>
              <w:rPr>
                <w:sz w:val="4"/>
                <w:szCs w:val="4"/>
              </w:rPr>
            </w:pPr>
            <w:r>
              <w:rPr>
                <w:sz w:val="4"/>
                <w:szCs w:val="4"/>
              </w:rPr>
            </w:r>
          </w:p>
        </w:tc>
      </w:tr>
      <w:tr>
        <w:trPr/>
        <w:tc>
          <w:tcPr>
            <w:tcW w:w="8754" w:type="dxa"/>
            <w:gridSpan w:val="21"/>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754" w:type="dxa"/>
            <w:gridSpan w:val="21"/>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INTEGRATED GAS</w:t>
            </w:r>
          </w:p>
        </w:tc>
      </w:tr>
      <w:tr>
        <w:trPr/>
        <w:tc>
          <w:tcPr>
            <w:tcW w:w="241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9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8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Q2 2026</w:t>
            </w:r>
          </w:p>
        </w:tc>
        <w:tc>
          <w:tcPr>
            <w:tcW w:w="8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Q1 2026</w:t>
            </w:r>
          </w:p>
        </w:tc>
        <w:tc>
          <w:tcPr>
            <w:tcW w:w="8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Q2 2025</w:t>
            </w:r>
          </w:p>
        </w:tc>
        <w:tc>
          <w:tcPr>
            <w:tcW w:w="39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for the period</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4,627 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 Identified items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4,629 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3,629 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operating activities</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7,092 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capital expenditure</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Liquids production available for sale (thousand b/d)</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production available for sale (million scf/d)</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production available for sale (thousand boe/d)</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2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2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LNG liquefaction volumes (million tonnes)</w:t>
            </w:r>
          </w:p>
        </w:tc>
        <w:tc>
          <w:tcPr>
            <w:tcW w:w="9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17.96 </w:t>
            </w:r>
          </w:p>
        </w:tc>
        <w:tc>
          <w:tcPr>
            <w:tcW w:w="240"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19.16 </w:t>
            </w:r>
          </w:p>
        </w:tc>
        <w:tc>
          <w:tcPr>
            <w:tcW w:w="24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17.77 </w:t>
            </w:r>
          </w:p>
        </w:tc>
        <w:tc>
          <w:tcPr>
            <w:tcW w:w="24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LNG sales volumes (million tonnes)</w:t>
            </w:r>
          </w:p>
        </w:tc>
        <w:tc>
          <w:tcPr>
            <w:tcW w:w="914"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37.12 </w:t>
            </w:r>
          </w:p>
        </w:tc>
        <w:tc>
          <w:tcPr>
            <w:tcW w:w="1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34.26 </w:t>
            </w:r>
          </w:p>
        </w:tc>
        <w:tc>
          <w:tcPr>
            <w:tcW w:w="213"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Alternative Performance (Non-GAAP) measure. See page 34.</w:t>
      </w:r>
    </w:p>
    <w:p>
      <w:pPr>
        <w:pStyle w:val="TextBody"/>
        <w:bidi w:val="0"/>
        <w:spacing w:before="0" w:after="0"/>
        <w:ind w:left="0" w:right="0" w:firstLine="218"/>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Integrated Gas includes natural gas and liquids exploration and extraction. The gas is then processed to produce liquefied natural gas (LNG) or converted into gas-to-liquids (GTL) fuels and other products. The business includes the operation of both upstream and midstream infrastructure necessary to deliver natural gas and its derivatives to market. Integrated Gas also includes the marketing, trading and optimisation of LNG.</w:t>
      </w:r>
    </w:p>
    <w:p>
      <w:pPr>
        <w:pStyle w:val="TextBody"/>
        <w:bidi w:val="0"/>
        <w:spacing w:lineRule="auto" w:line="268" w:before="120" w:after="283"/>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88" w:before="12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first quarter 2026, reflected the combined effect of higher contributions from trading and optimisation and higher realised prices (increase of $1,359 million), partly offset by lower volumes (decrease of $907 million). </w:t>
      </w:r>
    </w:p>
    <w:p>
      <w:pPr>
        <w:pStyle w:val="TextBody"/>
        <w:bidi w:val="0"/>
        <w:spacing w:lineRule="auto" w:line="276" w:before="120" w:after="12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 xml:space="preserve">for the second quarter 2026 was primarily driven by Adjusted EBITDA and working capital inflows of $883 million. These were partly offset by tax payments of $537 million. </w:t>
      </w:r>
    </w:p>
    <w:p>
      <w:pPr>
        <w:pStyle w:val="TextBody"/>
        <w:bidi w:val="0"/>
        <w:spacing w:lineRule="auto" w:line="276" w:before="0" w:after="0"/>
        <w:jc w:val="left"/>
        <w:rPr/>
      </w:pPr>
      <w:r>
        <w:rPr>
          <w:rFonts w:ascii="Times New Roman;serif" w:hAnsi="Times New Roman;serif"/>
          <w:b/>
          <w:color w:val="000000"/>
          <w:sz w:val="20"/>
        </w:rPr>
        <w:t>Total oil and gas production</w:t>
      </w:r>
      <w:r>
        <w:rPr>
          <w:rFonts w:ascii="Times New Roman;serif" w:hAnsi="Times New Roman;serif"/>
          <w:b w:val="false"/>
          <w:color w:val="000000"/>
          <w:sz w:val="20"/>
        </w:rPr>
        <w:t xml:space="preserve">, compared with the first quarter 2026, decreased by 31%, mainly due to the impact of the Middle East conflict on Qatari volumes. LNG liquefaction volumes decreased by 2%, mainly due to the Middle East conflict impacting Qatari volumes, and higher planned maintenance across the portfolio, partly offset by strong performance in Australia and Canada.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Half Year Analysis</w:t>
      </w:r>
      <w:r>
        <w:rPr>
          <w:rFonts w:ascii="Times New Roman;serif" w:hAnsi="Times New Roman;serif"/>
          <w:b/>
          <w:color w:val="000000"/>
          <w:sz w:val="13"/>
        </w:rPr>
        <w:t>1</w:t>
      </w:r>
    </w:p>
    <w:p>
      <w:pPr>
        <w:pStyle w:val="TextBody"/>
        <w:bidi w:val="0"/>
        <w:spacing w:lineRule="auto" w:line="288" w:before="120" w:after="120"/>
        <w:jc w:val="left"/>
        <w:rPr/>
      </w:pPr>
      <w:r>
        <w:rPr>
          <w:rFonts w:ascii="Times New Roman;serif" w:hAnsi="Times New Roman;serif"/>
          <w:b/>
          <w:color w:val="000000"/>
          <w:sz w:val="20"/>
        </w:rPr>
        <w:t>Income/(loss) for the period</w:t>
      </w:r>
      <w:r>
        <w:rPr>
          <w:color w:val="000000"/>
        </w:rPr>
        <w:t xml:space="preserve">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compared with the first half 2025, reflected the combined effect of higher contributions from trading and optimisation and higher realised prices (increase of $1,650 million), partly offset by lower volumes (decrease of $598 million), unfavourable tax movements ($334 million) and higher operating expenses (increase of $304 million).</w:t>
      </w:r>
    </w:p>
    <w:p>
      <w:pPr>
        <w:pStyle w:val="TextBody"/>
        <w:bidi w:val="0"/>
        <w:spacing w:lineRule="auto" w:line="276" w:before="0" w:after="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first half 2026 included unfavourable movements of $648 million due to the fair value accounting of commodity derivatives, partly offset by gains of $145 million from the sale of assets. These unfavourable movements and gains compare with the first half 2025 which included favourable movements of $817 million due to the fair value accounting of commodity derivatives and impairment charges of $423 million. As part of Shell's normal business, commodity derivative contracts are entered into as hedges for mitigation of economic exposures on future purchases, sales and inventory.</w:t>
      </w:r>
    </w:p>
    <w:p>
      <w:pPr>
        <w:pStyle w:val="TextBody"/>
        <w:bidi w:val="0"/>
        <w:spacing w:lineRule="auto" w:line="268" w:before="120" w:after="12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for the first half 2026 was primarily driven by Adjusted EBITDA. This was partly offset by tax payments of $1,259 million, net cash outflows related to derivatives of $698 million and a payment relating to a legal case of $635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Total oil and gas production</w:t>
      </w:r>
      <w:r>
        <w:rPr>
          <w:rFonts w:ascii="Times New Roman;serif" w:hAnsi="Times New Roman;serif"/>
          <w:b w:val="false"/>
          <w:color w:val="000000"/>
          <w:sz w:val="20"/>
        </w:rPr>
        <w:t xml:space="preserve">, compared with the first half 2025, decreased by 16%, mainly due to the impact of the Middle East conflict on Qatari volumes. LNG liquefaction volumes increased by 17%, mainly due to LNG Canada ramp-up, partly offset by the impact of the Middle East conflict on Qatari volumes.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pStyle w:val="TextBody"/>
        <w:bidi w:val="0"/>
        <w:spacing w:before="0" w:after="0"/>
        <w:ind w:left="0" w:right="0" w:firstLine="88"/>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6</w:t>
                      </w:r>
                    </w:p>
                  </w:txbxContent>
                </v:textbox>
                <w10:wrap type="none"/>
              </v:rect>
            </w:pict>
          </mc:Fallback>
        </mc:AlternateContent>
      </w:r>
    </w:p>
    <w:p>
      <w:pPr>
        <w:pStyle w:val="TextBody"/>
        <w:bidi w:val="0"/>
        <w:spacing w:before="0" w:after="0"/>
        <w:jc w:val="left"/>
        <w:rPr/>
      </w:pPr>
      <w:r>
        <w:rPr/>
      </w:r>
    </w:p>
    <w:tbl>
      <w:tblPr>
        <w:tblW w:w="8736" w:type="dxa"/>
        <w:jc w:val="left"/>
        <w:tblInd w:w="0" w:type="dxa"/>
        <w:tblLayout w:type="fixed"/>
        <w:tblCellMar>
          <w:top w:w="28" w:type="dxa"/>
          <w:left w:w="28" w:type="dxa"/>
          <w:bottom w:w="28" w:type="dxa"/>
          <w:right w:w="28" w:type="dxa"/>
        </w:tblCellMar>
      </w:tblPr>
      <w:tblGrid>
        <w:gridCol w:w="271"/>
        <w:gridCol w:w="238"/>
        <w:gridCol w:w="240"/>
        <w:gridCol w:w="244"/>
        <w:gridCol w:w="244"/>
        <w:gridCol w:w="246"/>
        <w:gridCol w:w="244"/>
        <w:gridCol w:w="244"/>
        <w:gridCol w:w="246"/>
        <w:gridCol w:w="1313"/>
        <w:gridCol w:w="1313"/>
        <w:gridCol w:w="1318"/>
        <w:gridCol w:w="304"/>
        <w:gridCol w:w="304"/>
        <w:gridCol w:w="306"/>
        <w:gridCol w:w="323"/>
        <w:gridCol w:w="323"/>
        <w:gridCol w:w="156"/>
        <w:gridCol w:w="323"/>
        <w:gridCol w:w="323"/>
        <w:gridCol w:w="21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736" w:type="dxa"/>
            <w:gridSpan w:val="21"/>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736" w:type="dxa"/>
            <w:gridSpan w:val="21"/>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UPSTREAM</w:t>
            </w:r>
          </w:p>
        </w:tc>
      </w:tr>
      <w:tr>
        <w:trPr/>
        <w:tc>
          <w:tcPr>
            <w:tcW w:w="221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9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Q2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Q1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Q2 2025</w:t>
            </w:r>
          </w:p>
        </w:tc>
        <w:tc>
          <w:tcPr>
            <w:tcW w:w="39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8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3,579</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3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Income/(loss) for the period</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4,088 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Of which: Identified items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3,485</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w:t>
            </w:r>
          </w:p>
        </w:tc>
        <w:tc>
          <w:tcPr>
            <w:tcW w:w="3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8,891</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7,261</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6,638</w:t>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w:t>
            </w:r>
          </w:p>
        </w:tc>
        <w:tc>
          <w:tcPr>
            <w:tcW w:w="3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operating activities</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10,445 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w:t>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Cash capital expenditure</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w:t>
            </w:r>
          </w:p>
        </w:tc>
        <w:tc>
          <w:tcPr>
            <w:tcW w:w="39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Liquids production available for sale (thousand b/d)</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2,648</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2,884</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w:t>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production available for sale (million scf/d)</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w:t>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w:t>
            </w:r>
          </w:p>
        </w:tc>
      </w:tr>
      <w:tr>
        <w:trPr/>
        <w:tc>
          <w:tcPr>
            <w:tcW w:w="74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w:t>
            </w:r>
          </w:p>
        </w:tc>
        <w:tc>
          <w:tcPr>
            <w:tcW w:w="73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w:t>
            </w:r>
          </w:p>
        </w:tc>
        <w:tc>
          <w:tcPr>
            <w:tcW w:w="73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w:t>
            </w:r>
          </w:p>
        </w:tc>
        <w:tc>
          <w:tcPr>
            <w:tcW w:w="394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production available for sale (thousand boe/d)</w:t>
            </w:r>
          </w:p>
        </w:tc>
        <w:tc>
          <w:tcPr>
            <w:tcW w:w="914"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w:t>
            </w:r>
          </w:p>
        </w:tc>
        <w:tc>
          <w:tcPr>
            <w:tcW w:w="85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1,793</w:t>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Alternative Performance (Non-GAAP) measure. See page 34.</w:t>
      </w:r>
    </w:p>
    <w:p>
      <w:pPr>
        <w:pStyle w:val="TextBody"/>
        <w:bidi w:val="0"/>
        <w:spacing w:before="0" w:after="0"/>
        <w:jc w:val="left"/>
        <w:rPr/>
      </w:pPr>
      <w:r>
        <w:rPr/>
      </w:r>
    </w:p>
    <w:p>
      <w:pPr>
        <w:pStyle w:val="TextBody"/>
        <w:bidi w:val="0"/>
        <w:spacing w:lineRule="auto" w:line="288" w:before="0" w:after="0"/>
        <w:jc w:val="left"/>
        <w:rPr/>
      </w:pPr>
      <w:r>
        <w:rPr>
          <w:rFonts w:ascii="Aptos;sans-serif" w:hAnsi="Aptos;sans-serif"/>
          <w:b w:val="false"/>
          <w:color w:val="000000"/>
          <w:sz w:val="24"/>
        </w:rPr>
        <w:t>U</w:t>
      </w:r>
      <w:r>
        <w:rPr>
          <w:rFonts w:ascii="Times New Roman;serif" w:hAnsi="Times New Roman;serif"/>
          <w:b w:val="false"/>
          <w:color w:val="000000"/>
          <w:sz w:val="20"/>
          <w:shd w:fill="FFFFFF" w:val="clear"/>
        </w:rPr>
        <w:t xml:space="preserve">pstream explores for and extracts crude oil, natural gas and natural gas liquids. The segment also includes marketing and transportation of oil, gas and liquids, supported by the infrastructure required to deliver them to market or to process them within Shell's chemicals manufacturing plants and refineries. Upstream activities span deep-water and conventional oil and gas operations. </w:t>
      </w:r>
    </w:p>
    <w:p>
      <w:pPr>
        <w:pStyle w:val="TextBody"/>
        <w:bidi w:val="0"/>
        <w:spacing w:lineRule="auto" w:line="288" w:before="120" w:after="120"/>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88" w:before="120" w:after="120"/>
        <w:jc w:val="left"/>
        <w:rPr/>
      </w:pPr>
      <w:r>
        <w:rPr>
          <w:rFonts w:ascii="Times New Roman;serif" w:hAnsi="Times New Roman;serif"/>
          <w:b/>
          <w:color w:val="000000"/>
          <w:sz w:val="20"/>
        </w:rPr>
        <w:t>Income/(loss</w:t>
      </w:r>
      <w:r>
        <w:rPr>
          <w:rFonts w:ascii="Times New Roman;serif" w:hAnsi="Times New Roman;serif"/>
          <w:b/>
          <w:color w:val="000000"/>
          <w:sz w:val="20"/>
          <w:shd w:fill="FFFFFF" w:val="clear"/>
        </w:rPr>
        <w:t xml:space="preserve">) for the period </w:t>
      </w:r>
      <w:r>
        <w:rPr>
          <w:rFonts w:ascii="Times New Roman;serif" w:hAnsi="Times New Roman;serif"/>
          <w:b w:val="false"/>
          <w:color w:val="000000"/>
          <w:sz w:val="20"/>
          <w:shd w:fill="FFFFFF" w:val="clear"/>
        </w:rPr>
        <w:t>w</w:t>
      </w:r>
      <w:r>
        <w:rPr>
          <w:rFonts w:ascii="Times New Roman;serif" w:hAnsi="Times New Roman;serif"/>
          <w:b w:val="false"/>
          <w:color w:val="000000"/>
          <w:sz w:val="20"/>
        </w:rPr>
        <w:t>as driven by the same factors as Adjusted Earnings and includes the impact of identified items.</w:t>
      </w:r>
      <w:r>
        <w:rPr>
          <w:color w:val="000000"/>
          <w:shd w:fill="FFFFFF" w:val="clear"/>
        </w:rPr>
        <w:t xml:space="preserve"> </w:t>
      </w:r>
    </w:p>
    <w:p>
      <w:pPr>
        <w:pStyle w:val="TextBody"/>
        <w:bidi w:val="0"/>
        <w:spacing w:lineRule="auto" w:line="288" w:before="0" w:after="120"/>
        <w:jc w:val="left"/>
        <w:rPr/>
      </w:pPr>
      <w:r>
        <w:rPr>
          <w:rFonts w:ascii="Times New Roman;serif" w:hAnsi="Times New Roman;serif"/>
          <w:b/>
          <w:color w:val="000000"/>
          <w:sz w:val="20"/>
        </w:rPr>
        <w:t>Adjusted Earning</w:t>
      </w:r>
      <w:r>
        <w:rPr>
          <w:rFonts w:ascii="Times New Roman;serif" w:hAnsi="Times New Roman;serif"/>
          <w:b/>
          <w:color w:val="000000"/>
          <w:sz w:val="20"/>
          <w:shd w:fill="FFFFFF" w:val="clear"/>
        </w:rPr>
        <w:t>s</w:t>
      </w:r>
      <w:r>
        <w:rPr>
          <w:rFonts w:ascii="Times New Roman;serif" w:hAnsi="Times New Roman;serif"/>
          <w:b w:val="false"/>
          <w:color w:val="000000"/>
          <w:sz w:val="20"/>
          <w:shd w:fill="FFFFFF" w:val="clear"/>
        </w:rPr>
        <w:t xml:space="preserve">, compared with the </w:t>
      </w:r>
      <w:r>
        <w:rPr>
          <w:rFonts w:ascii="Times New Roman;serif" w:hAnsi="Times New Roman;serif"/>
          <w:b w:val="false"/>
          <w:color w:val="000000"/>
          <w:sz w:val="20"/>
        </w:rPr>
        <w:t>first quarter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reflected higher prices and margins, mainly due to higher realised prices (increase of $1,134 million), partly offset by oil export levies in Brazil ($242 million). Adjusted Earnings also included favourable tax movements ($317 million). </w:t>
      </w:r>
    </w:p>
    <w:p>
      <w:pPr>
        <w:pStyle w:val="TextBody"/>
        <w:bidi w:val="0"/>
        <w:spacing w:lineRule="auto" w:line="276" w:before="0" w:after="0"/>
        <w:jc w:val="left"/>
        <w:rPr/>
      </w:pPr>
      <w:r>
        <w:rPr>
          <w:rFonts w:ascii="Times New Roman;serif" w:hAnsi="Times New Roman;serif"/>
          <w:b/>
          <w:color w:val="000000"/>
          <w:sz w:val="20"/>
        </w:rPr>
        <w:t>Identified</w:t>
      </w:r>
      <w:r>
        <w:rPr>
          <w:color w:val="000000"/>
        </w:rPr>
        <w:t xml:space="preserve"> </w:t>
      </w:r>
      <w:r>
        <w:rPr>
          <w:rFonts w:ascii="Times New Roman;serif" w:hAnsi="Times New Roman;serif"/>
          <w:b/>
          <w:color w:val="000000"/>
          <w:sz w:val="20"/>
        </w:rPr>
        <w:t>items</w:t>
      </w:r>
      <w:r>
        <w:rPr>
          <w:color w:val="000000"/>
        </w:rPr>
        <w:t xml:space="preserve"> </w:t>
      </w:r>
      <w:r>
        <w:rPr>
          <w:rFonts w:ascii="Times New Roman;serif" w:hAnsi="Times New Roman;serif"/>
          <w:b w:val="false"/>
          <w:color w:val="000000"/>
          <w:sz w:val="20"/>
        </w:rPr>
        <w:t xml:space="preserve">in the second quarter 2026 included gains of $83 million from the disposal of assets. These gains compare with the first quarter 2026 which included gains of $184 million related to the impact of inflationary adjustments in Argentinian peso on a deferred tax position and gains of $88 million related to the impact of the strengthening Brazilian real on a deferred tax position. </w:t>
      </w:r>
    </w:p>
    <w:p>
      <w:pPr>
        <w:pStyle w:val="TextBody"/>
        <w:bidi w:val="0"/>
        <w:spacing w:lineRule="auto" w:line="268" w:before="120" w:after="12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for the second quarter 2026 was primarily driven by Adjusted EBITDA, partly offset by tax payments of $2,061 million.</w:t>
      </w:r>
    </w:p>
    <w:p>
      <w:pPr>
        <w:pStyle w:val="TextBody"/>
        <w:bidi w:val="0"/>
        <w:spacing w:lineRule="auto" w:line="276" w:before="0" w:after="0"/>
        <w:jc w:val="left"/>
        <w:rPr/>
      </w:pPr>
      <w:r>
        <w:rPr>
          <w:rFonts w:ascii="Times New Roman;serif" w:hAnsi="Times New Roman;serif"/>
          <w:b/>
          <w:color w:val="000000"/>
          <w:sz w:val="20"/>
        </w:rPr>
        <w:t>Total production</w:t>
      </w:r>
      <w:r>
        <w:rPr>
          <w:rFonts w:ascii="Times New Roman;serif" w:hAnsi="Times New Roman;serif"/>
          <w:b w:val="false"/>
          <w:color w:val="000000"/>
          <w:sz w:val="20"/>
        </w:rPr>
        <w:t>, compared with the first quarter 2026, decreased mainly due to higher maintenance activities, partly offset by new oil production in Brazil and the Gulf of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erif" w:hAnsi="Times New Roman;serif"/>
          <w:b/>
          <w:color w:val="000000"/>
          <w:sz w:val="20"/>
        </w:rPr>
        <w:t>Half Year Analysis</w:t>
      </w:r>
      <w:r>
        <w:rPr>
          <w:rFonts w:ascii="Times New Roman;serif" w:hAnsi="Times New Roman;serif"/>
          <w:b/>
          <w:color w:val="000000"/>
          <w:sz w:val="13"/>
        </w:rPr>
        <w:t>1</w:t>
      </w:r>
    </w:p>
    <w:p>
      <w:pPr>
        <w:pStyle w:val="TextBody"/>
        <w:bidi w:val="0"/>
        <w:spacing w:lineRule="auto" w:line="288" w:before="12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 xml:space="preserve">was driven by the same factors as Adjusted Earnings and includes the impact of identified items. </w:t>
      </w:r>
    </w:p>
    <w:p>
      <w:pPr>
        <w:pStyle w:val="TextBody"/>
        <w:bidi w:val="0"/>
        <w:spacing w:lineRule="auto" w:line="288" w:before="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compared with the first half 2025, reflected higher realised prices (increase of $2,247 million) and higher volumes (increase of $383 million), partly offset by higher depreciation, depletion and amortisation expenses (increase of $488 million) and higher operating expenses (increase of $398 million).</w:t>
      </w:r>
    </w:p>
    <w:p>
      <w:pPr>
        <w:pStyle w:val="TextBody"/>
        <w:bidi w:val="0"/>
        <w:spacing w:lineRule="auto" w:line="276" w:before="0" w:after="12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 xml:space="preserve">in the first half 2026 included gains of $191 million related to the impact of inflationary adjustments in Argentinian peso on a deferred tax position and gains of $106 million related to the impact of the strengthening Brazilian real on a deferred tax position. These gains compare with the first half 2025 which included gains of $509 million from disposal of assets and a gain of $168 million related to the impact of the strengthening Brazilian real on a deferred tax position, offset by a charge of $509 million related to the UK Energy Profits Levy. </w:t>
      </w:r>
    </w:p>
    <w:p>
      <w:pPr>
        <w:pStyle w:val="TextBody"/>
        <w:bidi w:val="0"/>
        <w:spacing w:lineRule="auto" w:line="288" w:before="120" w:after="12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0" w:after="120"/>
        <w:jc w:val="left"/>
        <w:rPr/>
      </w:pPr>
      <w:r>
        <w:rPr>
          <w:rFonts w:ascii="Times New Roman;serif" w:hAnsi="Times New Roman;serif"/>
          <w:b/>
          <w:color w:val="000000"/>
          <w:sz w:val="20"/>
        </w:rPr>
        <w:t>Cash flow from operating activities</w:t>
      </w:r>
      <w:r>
        <w:rPr>
          <w:color w:val="000000"/>
        </w:rPr>
        <w:t xml:space="preserve"> </w:t>
      </w:r>
      <w:r>
        <w:rPr>
          <w:rFonts w:ascii="Times New Roman;serif" w:hAnsi="Times New Roman;serif"/>
          <w:b w:val="false"/>
          <w:color w:val="000000"/>
          <w:sz w:val="20"/>
        </w:rPr>
        <w:t xml:space="preserve">for the first half 2026 was primarily driven by Adjusted EBITDA, partly offset by tax payments of $3,553 million and working capital outflows of $2,013 million. </w:t>
      </w:r>
    </w:p>
    <w:p>
      <w:pPr>
        <w:pStyle w:val="TextBody"/>
        <w:bidi w:val="0"/>
        <w:spacing w:lineRule="auto" w:line="288" w:before="0" w:after="120"/>
        <w:jc w:val="left"/>
        <w:rPr/>
      </w:pPr>
      <w:r>
        <w:rPr>
          <w:rFonts w:ascii="Times New Roman;serif" w:hAnsi="Times New Roman;serif"/>
          <w:b/>
          <w:color w:val="000000"/>
          <w:sz w:val="20"/>
          <w:shd w:fill="FFFFFF" w:val="clear"/>
        </w:rPr>
        <w:t>Total production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first half 2026 increased mainly due to new oil production in the Gulf of America and Brazil, partly offset by portfolio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pStyle w:val="TextBody"/>
        <w:bidi w:val="0"/>
        <w:spacing w:before="0" w:after="0"/>
        <w:ind w:left="0" w:right="0" w:hanging="27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7693" w:type="dxa"/>
        <w:jc w:val="left"/>
        <w:tblInd w:w="0" w:type="dxa"/>
        <w:tblLayout w:type="fixed"/>
        <w:tblCellMar>
          <w:top w:w="28" w:type="dxa"/>
          <w:left w:w="28" w:type="dxa"/>
          <w:bottom w:w="28" w:type="dxa"/>
          <w:right w:w="28" w:type="dxa"/>
        </w:tblCellMar>
      </w:tblPr>
      <w:tblGrid>
        <w:gridCol w:w="303"/>
        <w:gridCol w:w="268"/>
        <w:gridCol w:w="240"/>
        <w:gridCol w:w="278"/>
        <w:gridCol w:w="278"/>
        <w:gridCol w:w="246"/>
        <w:gridCol w:w="311"/>
        <w:gridCol w:w="248"/>
        <w:gridCol w:w="246"/>
        <w:gridCol w:w="959"/>
        <w:gridCol w:w="959"/>
        <w:gridCol w:w="962"/>
        <w:gridCol w:w="304"/>
        <w:gridCol w:w="304"/>
        <w:gridCol w:w="306"/>
        <w:gridCol w:w="278"/>
        <w:gridCol w:w="278"/>
        <w:gridCol w:w="156"/>
        <w:gridCol w:w="278"/>
        <w:gridCol w:w="278"/>
        <w:gridCol w:w="213"/>
      </w:tblGrid>
      <w:tr>
        <w:trPr/>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693" w:type="dxa"/>
            <w:gridSpan w:val="21"/>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21"/>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MARKETING</w:t>
            </w:r>
          </w:p>
        </w:tc>
      </w:tr>
      <w:tr>
        <w:trPr/>
        <w:tc>
          <w:tcPr>
            <w:tcW w:w="241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28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8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8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28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r>
      <w:tr>
        <w:trPr/>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Income/(loss) for the period</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 Identified items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2,718 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operating activities</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4,771 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capital expenditure</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2,570 </w:t>
            </w:r>
          </w:p>
        </w:tc>
        <w:tc>
          <w:tcPr>
            <w:tcW w:w="24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2,627 </w:t>
            </w:r>
          </w:p>
        </w:tc>
        <w:tc>
          <w:tcPr>
            <w:tcW w:w="2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2,813 </w:t>
            </w:r>
          </w:p>
        </w:tc>
        <w:tc>
          <w:tcPr>
            <w:tcW w:w="2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 sales volumes (thousand b/d)</w:t>
            </w:r>
          </w:p>
        </w:tc>
        <w:tc>
          <w:tcPr>
            <w:tcW w:w="914"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2,598 </w:t>
            </w:r>
          </w:p>
        </w:tc>
        <w:tc>
          <w:tcPr>
            <w:tcW w:w="1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2,744 </w:t>
            </w:r>
          </w:p>
        </w:tc>
        <w:tc>
          <w:tcPr>
            <w:tcW w:w="213"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Alternative Performance (Non-GAAP) measure. See page 34.</w:t>
      </w:r>
    </w:p>
    <w:p>
      <w:pPr>
        <w:pStyle w:val="TextBody"/>
        <w:bidi w:val="0"/>
        <w:spacing w:before="0" w:after="0"/>
        <w:ind w:left="0" w:right="0" w:firstLine="218"/>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Marketing includes Mobility, Lubricants, and Sectors and Decarbonisation. Mobility operates our retail network, including electric vehicle charging, convenience retail, and the Wholesale Commercial Fuels business for transport and industry. Lubricants produces, markets and sells products for road transport and machinery in manufacturing, mining, power generation, agriculture and construction. Sectors and Decarbonisation supplies fuels, speciality products and services, including low-carbon energy solutions such as biofuels, to a broad range of commercial customers, including in the aviation, marine and agriculture sectors. </w:t>
      </w:r>
    </w:p>
    <w:p>
      <w:pPr>
        <w:pStyle w:val="TextBody"/>
        <w:bidi w:val="0"/>
        <w:spacing w:lineRule="auto" w:line="268" w:before="120" w:after="120"/>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68" w:before="120" w:after="120"/>
        <w:jc w:val="left"/>
        <w:rPr/>
      </w:pPr>
      <w:r>
        <w:rPr>
          <w:rFonts w:ascii="Times New Roman;serif" w:hAnsi="Times New Roman;serif"/>
          <w:b/>
          <w:color w:val="000000"/>
          <w:sz w:val="20"/>
        </w:rPr>
        <w:t>Income/(loss) for the period</w:t>
      </w:r>
      <w:r>
        <w:rPr>
          <w:color w:val="000000"/>
        </w:rPr>
        <w:t xml:space="preserve"> </w:t>
      </w:r>
      <w:r>
        <w:rPr>
          <w:rFonts w:ascii="Times New Roman;serif" w:hAnsi="Times New Roman;serif"/>
          <w:b w:val="false"/>
          <w:color w:val="000000"/>
          <w:sz w:val="20"/>
        </w:rPr>
        <w:t>was driven by the same factors as Adjusted Earnings and includes the impact of identified items and a current cost of supplies adjustment of $261 million</w:t>
      </w:r>
      <w:r>
        <w:rPr>
          <w:rFonts w:ascii="Times New Roman;serif" w:hAnsi="Times New Roman;serif"/>
          <w:b/>
          <w:color w:val="000000"/>
          <w:sz w:val="20"/>
        </w:rPr>
        <w:t>.</w:t>
      </w:r>
    </w:p>
    <w:p>
      <w:pPr>
        <w:pStyle w:val="TextBody"/>
        <w:bidi w:val="0"/>
        <w:spacing w:lineRule="auto" w:line="288" w:before="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first quarter 2026, reflected lower Marketing margins (decrease of $268 million), including lower trading and optimisation and lower Lubricants margins, due to lower volumes and unit margins, partly offset by higher Mobility unit margins. These unfavourable margin movements were offset by comparatively favourable tax movements ($288 million). </w:t>
      </w:r>
    </w:p>
    <w:p>
      <w:pPr>
        <w:pStyle w:val="TextBody"/>
        <w:bidi w:val="0"/>
        <w:spacing w:lineRule="auto" w:line="276" w:before="0" w:after="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second quarter 2026 included gains of $282 million from the disposal of assets, mainly related to the divestment of Jiffy Lube International, and unfavourable movements of $78 million due to the fair value accounting of commodity derivatives. As part of Shell's normal business, commodity derivative contracts are entered into as hedges for mitigation of economic exposures on future purchases, sales and inventory. These gains and unfavourable movements compare with the first quarter 2026, which included net impairment charges and reversals of $182 million and favourable movements of $73 million due to the fair value accounting of commodity derivatives.</w:t>
      </w:r>
    </w:p>
    <w:p>
      <w:pPr>
        <w:pStyle w:val="TextBody"/>
        <w:bidi w:val="0"/>
        <w:spacing w:lineRule="auto" w:line="268" w:before="120" w:after="12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0" w:after="120"/>
        <w:jc w:val="left"/>
        <w:rPr/>
      </w:pPr>
      <w:r>
        <w:rPr>
          <w:rFonts w:ascii="Times New Roman;serif" w:hAnsi="Times New Roman;serif"/>
          <w:b/>
          <w:color w:val="000000"/>
          <w:sz w:val="20"/>
        </w:rPr>
        <w:t>Cash flow from operating activities</w:t>
      </w:r>
      <w:r>
        <w:rPr>
          <w:color w:val="000000"/>
        </w:rPr>
        <w:t xml:space="preserve"> </w:t>
      </w:r>
      <w:r>
        <w:rPr>
          <w:rFonts w:ascii="Times New Roman;serif" w:hAnsi="Times New Roman;serif"/>
          <w:b w:val="false"/>
          <w:color w:val="000000"/>
          <w:sz w:val="20"/>
        </w:rPr>
        <w:t xml:space="preserve">for the second quarter 2026 was primarily driven by Adjusted EBITDA, net cash inflows related to the timing impact of payments for emission certificates and biofuel programmes of $658 million and the cost of supplies adjustment of $346 million (before tax). These were partly offset by working capital outflows of $279 million and tax payments of $107 million. </w:t>
      </w:r>
    </w:p>
    <w:p>
      <w:pPr>
        <w:pStyle w:val="TextBody"/>
        <w:bidi w:val="0"/>
        <w:spacing w:lineRule="auto" w:line="276" w:before="0" w:after="0"/>
        <w:jc w:val="left"/>
        <w:rPr/>
      </w:pPr>
      <w:r>
        <w:rPr>
          <w:rFonts w:ascii="Times New Roman;serif" w:hAnsi="Times New Roman;serif"/>
          <w:b/>
          <w:color w:val="000000"/>
          <w:sz w:val="20"/>
        </w:rPr>
        <w:t>Marketing sales volumes</w:t>
      </w:r>
      <w:r>
        <w:rPr>
          <w:color w:val="000000"/>
        </w:rPr>
        <w:t xml:space="preserve"> </w:t>
      </w:r>
      <w:r>
        <w:rPr>
          <w:rFonts w:ascii="Times New Roman;serif" w:hAnsi="Times New Roman;serif"/>
          <w:b w:val="false"/>
          <w:color w:val="000000"/>
          <w:sz w:val="20"/>
        </w:rPr>
        <w:t>(comprising hydrocarbon sales), compared with the first quarter 2026, decreased mainly due to market impacts from the Middle East conflict.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erif" w:hAnsi="Times New Roman;serif"/>
          <w:b/>
          <w:color w:val="000000"/>
          <w:sz w:val="20"/>
        </w:rPr>
        <w:t>Half Year Analysis</w:t>
      </w:r>
      <w:r>
        <w:rPr>
          <w:rFonts w:ascii="Times New Roman;serif" w:hAnsi="Times New Roman;serif"/>
          <w:b/>
          <w:color w:val="000000"/>
          <w:sz w:val="13"/>
        </w:rPr>
        <w:t>1</w:t>
      </w:r>
    </w:p>
    <w:p>
      <w:pPr>
        <w:pStyle w:val="TextBody"/>
        <w:bidi w:val="0"/>
        <w:spacing w:lineRule="auto" w:line="268" w:before="12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 and a current cost of supplies adjustment of $970 million.</w:t>
      </w:r>
    </w:p>
    <w:p>
      <w:pPr>
        <w:pStyle w:val="TextBody"/>
        <w:bidi w:val="0"/>
        <w:spacing w:lineRule="auto" w:line="288" w:before="12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first half 2025, reflected higher Marketing margins (increase of $532 million), supported by trading and optimisation, partly offset by unfavourable tax movements ($217 million). </w:t>
      </w:r>
    </w:p>
    <w:p>
      <w:pPr>
        <w:pStyle w:val="TextBody"/>
        <w:bidi w:val="0"/>
        <w:spacing w:lineRule="auto" w:line="268" w:before="0" w:after="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in the first half 2026 included gains of $275 million from the disposal of assets, partly offset by net impairment charges and reversals of $194 million. These gains, charges and reversals compare with the first half 2025 which included net impairment charges and reversals of $278 million and net losses of $105 million from the disposal of assets.</w:t>
      </w:r>
    </w:p>
    <w:p>
      <w:pPr>
        <w:pStyle w:val="TextBody"/>
        <w:bidi w:val="0"/>
        <w:spacing w:lineRule="auto" w:line="288" w:before="120" w:after="283"/>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for the first half 2026 was primarily driven by Adjusted EBITDA, net cash inflows related to the timing impact of payments for emission certificates and biofuel programmes of $1,311 million and the cost of supplies adjustment of $1,296 million (before tax). These were partly offset by working capital outflows of $2,027 million and tax payments of $172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Marketing sales volumes</w:t>
      </w:r>
      <w:r>
        <w:rPr>
          <w:color w:val="000000"/>
        </w:rPr>
        <w:t xml:space="preserve"> </w:t>
      </w:r>
      <w:r>
        <w:rPr>
          <w:rFonts w:ascii="Times New Roman;serif" w:hAnsi="Times New Roman;serif"/>
          <w:b w:val="false"/>
          <w:color w:val="000000"/>
          <w:sz w:val="20"/>
        </w:rPr>
        <w:t>(comprising hydrocarbon sales), compared with the first half 2025, decreased mainly due to market impacts from the Middle East conflict.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pStyle w:val="TextBody"/>
        <w:bidi w:val="0"/>
        <w:spacing w:before="0" w:after="0"/>
        <w:ind w:left="0" w:right="0" w:firstLine="88"/>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9</w:t>
                      </w:r>
                    </w:p>
                  </w:txbxContent>
                </v:textbox>
                <w10:wrap type="none"/>
              </v:rect>
            </w:pict>
          </mc:Fallback>
        </mc:AlternateContent>
      </w:r>
    </w:p>
    <w:p>
      <w:pPr>
        <w:pStyle w:val="TextBody"/>
        <w:bidi w:val="0"/>
        <w:spacing w:before="0" w:after="0"/>
        <w:jc w:val="left"/>
        <w:rPr/>
      </w:pPr>
      <w:r>
        <w:rPr/>
      </w:r>
    </w:p>
    <w:tbl>
      <w:tblPr>
        <w:tblW w:w="7406" w:type="dxa"/>
        <w:jc w:val="left"/>
        <w:tblInd w:w="0" w:type="dxa"/>
        <w:tblLayout w:type="fixed"/>
        <w:tblCellMar>
          <w:top w:w="28" w:type="dxa"/>
          <w:left w:w="28" w:type="dxa"/>
          <w:bottom w:w="28" w:type="dxa"/>
          <w:right w:w="28" w:type="dxa"/>
        </w:tblCellMar>
      </w:tblPr>
      <w:tblGrid>
        <w:gridCol w:w="271"/>
        <w:gridCol w:w="238"/>
        <w:gridCol w:w="240"/>
        <w:gridCol w:w="244"/>
        <w:gridCol w:w="244"/>
        <w:gridCol w:w="246"/>
        <w:gridCol w:w="244"/>
        <w:gridCol w:w="244"/>
        <w:gridCol w:w="246"/>
        <w:gridCol w:w="1029"/>
        <w:gridCol w:w="1029"/>
        <w:gridCol w:w="1032"/>
        <w:gridCol w:w="304"/>
        <w:gridCol w:w="304"/>
        <w:gridCol w:w="306"/>
        <w:gridCol w:w="207"/>
        <w:gridCol w:w="207"/>
        <w:gridCol w:w="215"/>
        <w:gridCol w:w="162"/>
        <w:gridCol w:w="162"/>
        <w:gridCol w:w="23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7406" w:type="dxa"/>
            <w:gridSpan w:val="21"/>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21"/>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CHEMICALS AND PRODUCTS</w:t>
            </w:r>
          </w:p>
        </w:tc>
      </w:tr>
      <w:tr>
        <w:trPr/>
        <w:tc>
          <w:tcPr>
            <w:tcW w:w="221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Q2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Q1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Q2 2025</w:t>
            </w:r>
          </w:p>
        </w:tc>
        <w:tc>
          <w:tcPr>
            <w:tcW w:w="30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3,981</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30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Income/(loss) for the period</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4,376</w:t>
            </w:r>
          </w:p>
        </w:tc>
        <w:tc>
          <w:tcPr>
            <w:tcW w:w="5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 Identified items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(1,282)</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(631)</w:t>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2,877</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30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Adjusted Earnings</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4,802</w:t>
            </w:r>
          </w:p>
        </w:tc>
        <w:tc>
          <w:tcPr>
            <w:tcW w:w="5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567</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4,664</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8,208</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2,274</w:t>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7,941</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w:t>
            </w:r>
          </w:p>
        </w:tc>
        <w:tc>
          <w:tcPr>
            <w:tcW w:w="30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operating activities</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5,633</w:t>
            </w:r>
          </w:p>
        </w:tc>
        <w:tc>
          <w:tcPr>
            <w:tcW w:w="5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1,502</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capital expenditure</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870</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1,233</w:t>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w:t>
            </w:r>
          </w:p>
        </w:tc>
        <w:tc>
          <w:tcPr>
            <w:tcW w:w="30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Refinery processing intake (thousand b/d)</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1,243</w:t>
            </w:r>
          </w:p>
        </w:tc>
        <w:tc>
          <w:tcPr>
            <w:tcW w:w="5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1,258</w:t>
            </w:r>
          </w:p>
        </w:tc>
      </w:tr>
      <w:tr>
        <w:trPr/>
        <w:tc>
          <w:tcPr>
            <w:tcW w:w="74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2,281</w:t>
            </w:r>
          </w:p>
        </w:tc>
        <w:tc>
          <w:tcPr>
            <w:tcW w:w="7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w:t>
            </w:r>
          </w:p>
        </w:tc>
        <w:tc>
          <w:tcPr>
            <w:tcW w:w="7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w:t>
            </w:r>
          </w:p>
        </w:tc>
        <w:tc>
          <w:tcPr>
            <w:tcW w:w="309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Chemicals sales volumes (thousand tonnes)</w:t>
            </w:r>
          </w:p>
        </w:tc>
        <w:tc>
          <w:tcPr>
            <w:tcW w:w="9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4,534</w:t>
            </w:r>
          </w:p>
        </w:tc>
        <w:tc>
          <w:tcPr>
            <w:tcW w:w="55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4,977</w:t>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Alternative Performance (Non-GAAP) measure. See page 34.</w:t>
      </w:r>
    </w:p>
    <w:p>
      <w:pPr>
        <w:pStyle w:val="TextBody"/>
        <w:bidi w:val="0"/>
        <w:spacing w:lineRule="auto" w:line="268" w:before="100" w:after="283"/>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Chemicals and Products segment includes chemicals manufacturing plants with their own marketing network; and refineries, which turn crude oil and other feedstocks into a range of oil products that are moved and marketed around the world for domestic, industrial and transport use. The segment also includes the pipeline business, and trading and optimisation of crude oil, oil products and petrochemicals.</w:t>
      </w:r>
      <w:r>
        <w:rPr>
          <w:color w:val="000000"/>
        </w:rPr>
        <w:t xml:space="preserve"> </w:t>
      </w:r>
    </w:p>
    <w:p>
      <w:pPr>
        <w:pStyle w:val="TextBody"/>
        <w:bidi w:val="0"/>
        <w:spacing w:lineRule="auto" w:line="268" w:before="120" w:after="120"/>
        <w:jc w:val="left"/>
        <w:rPr/>
      </w:pPr>
      <w:r>
        <w:rPr>
          <w:rFonts w:ascii="Times New Roman;serif" w:hAnsi="Times New Roman;serif"/>
          <w:b/>
          <w:color w:val="000000"/>
          <w:sz w:val="20"/>
          <w:shd w:fill="FFFFFF" w:val="clear"/>
        </w:rPr>
        <w:t>Quarter Analysis</w:t>
      </w:r>
      <w:r>
        <w:rPr>
          <w:rFonts w:ascii="Times New Roman;serif" w:hAnsi="Times New Roman;serif"/>
          <w:b/>
          <w:color w:val="000000"/>
          <w:sz w:val="13"/>
        </w:rPr>
        <w:t>1</w:t>
      </w:r>
    </w:p>
    <w:p>
      <w:pPr>
        <w:pStyle w:val="TextBody"/>
        <w:bidi w:val="0"/>
        <w:spacing w:lineRule="auto" w:line="268" w:before="120" w:after="120"/>
        <w:jc w:val="left"/>
        <w:rPr/>
      </w:pPr>
      <w:r>
        <w:rPr>
          <w:rFonts w:ascii="Times New Roman;serif" w:hAnsi="Times New Roman;serif"/>
          <w:b/>
          <w:color w:val="000000"/>
          <w:sz w:val="20"/>
        </w:rPr>
        <w:t>Income/(loss) for the period</w:t>
      </w:r>
      <w:r>
        <w:rPr>
          <w:color w:val="000000"/>
        </w:rPr>
        <w:t xml:space="preserve"> </w:t>
      </w:r>
      <w:r>
        <w:rPr>
          <w:rFonts w:ascii="Times New Roman;serif" w:hAnsi="Times New Roman;serif"/>
          <w:b w:val="false"/>
          <w:color w:val="000000"/>
          <w:sz w:val="20"/>
        </w:rPr>
        <w:t xml:space="preserve">was driven by the same factors as Adjusted Earnings and includes the impact of identified items and a current cost of supplies adjustment of $300 million. </w:t>
      </w:r>
    </w:p>
    <w:p>
      <w:pPr>
        <w:pStyle w:val="TextBody"/>
        <w:bidi w:val="0"/>
        <w:spacing w:lineRule="auto" w:line="288" w:before="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first quarter 2026, reflected higher Chemicals margins (increase of $454 million) and higher Products margins (increase of $429 million), mainly driven by higher trading and optimisation. Adjusted Earnings also reflected higher depreciation, depletion and amortisation expenses (increase of $156 million). </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In the second quarter 2026, Chemicals had Adjusted Earnings of $354 million and Products had Adjusted Earnings of $2,523 million.</w:t>
      </w:r>
    </w:p>
    <w:p>
      <w:pPr>
        <w:pStyle w:val="TextBody"/>
        <w:bidi w:val="0"/>
        <w:spacing w:lineRule="auto" w:line="276" w:before="120" w:after="12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 xml:space="preserve">in the second quarter 2026 included favourable movements of $972 million due to the fair value accounting of commodity derivatives that, as part of Shell’s normal business, are entered into as hedges for mitigation of economic exposures on future purchases, sales and inventory. These favourable movements compare with the first quarter 2026, which included unfavourable movements of $2,016 million due to the fair value accounting of commodity derivatives. </w:t>
      </w:r>
    </w:p>
    <w:p>
      <w:pPr>
        <w:pStyle w:val="TextBody"/>
        <w:bidi w:val="0"/>
        <w:spacing w:lineRule="auto" w:line="268" w:before="120" w:after="12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was driven by the same factors as Adjusted Earnings. </w:t>
      </w:r>
    </w:p>
    <w:p>
      <w:pPr>
        <w:pStyle w:val="TextBody"/>
        <w:bidi w:val="0"/>
        <w:spacing w:lineRule="auto" w:line="288" w:before="0" w:after="120"/>
        <w:jc w:val="left"/>
        <w:rPr/>
      </w:pPr>
      <w:r>
        <w:rPr>
          <w:rFonts w:ascii="Times New Roman;serif" w:hAnsi="Times New Roman;serif"/>
          <w:b/>
          <w:color w:val="000000"/>
          <w:sz w:val="20"/>
        </w:rPr>
        <w:t>Cash flow from operating activities</w:t>
      </w:r>
      <w:r>
        <w:rPr>
          <w:color w:val="000000"/>
        </w:rPr>
        <w:t xml:space="preserve"> </w:t>
      </w:r>
      <w:r>
        <w:rPr>
          <w:rFonts w:ascii="Times New Roman;serif" w:hAnsi="Times New Roman;serif"/>
          <w:b w:val="false"/>
          <w:color w:val="000000"/>
          <w:sz w:val="20"/>
        </w:rPr>
        <w:t xml:space="preserve">for the second quarter 2026 was primarily driven by Adjusted EBITDA, working capital inflows of $2,185 million, net cash inflows related to the timing impact of payments for emission certificates and biofuel programmes of $553 million, net cash inflows related to derivatives of $481 million and the cost of supplies adjustment of $397 million (before tax). These were partly offset by tax payments of $177 million. </w:t>
      </w:r>
    </w:p>
    <w:p>
      <w:pPr>
        <w:pStyle w:val="TextBody"/>
        <w:bidi w:val="0"/>
        <w:spacing w:lineRule="auto" w:line="288" w:before="0" w:after="120"/>
        <w:jc w:val="left"/>
        <w:rPr/>
      </w:pPr>
      <w:r>
        <w:rPr>
          <w:rFonts w:ascii="Times New Roman;serif" w:hAnsi="Times New Roman;serif"/>
          <w:b/>
          <w:color w:val="000000"/>
          <w:sz w:val="20"/>
        </w:rPr>
        <w:t>Refinery utilisation</w:t>
      </w:r>
      <w:r>
        <w:rPr>
          <w:color w:val="000000"/>
        </w:rPr>
        <w:t xml:space="preserve"> </w:t>
      </w:r>
      <w:r>
        <w:rPr>
          <w:rFonts w:ascii="Times New Roman;serif" w:hAnsi="Times New Roman;serif"/>
          <w:b w:val="false"/>
          <w:color w:val="000000"/>
          <w:sz w:val="20"/>
        </w:rPr>
        <w:t>was 102% compared with 99% in the first quarter 2026, mainly due to lower planned and unplanned maintenance activities.</w:t>
      </w:r>
    </w:p>
    <w:p>
      <w:pPr>
        <w:pStyle w:val="TextBody"/>
        <w:bidi w:val="0"/>
        <w:spacing w:lineRule="auto" w:line="288" w:before="0" w:after="120"/>
        <w:jc w:val="left"/>
        <w:rPr/>
      </w:pPr>
      <w:r>
        <w:rPr>
          <w:rFonts w:ascii="Times New Roman;serif" w:hAnsi="Times New Roman;serif"/>
          <w:b/>
          <w:color w:val="000000"/>
          <w:sz w:val="20"/>
        </w:rPr>
        <w:t>Chemicals manufacturing plant utilisation</w:t>
      </w:r>
      <w:r>
        <w:rPr>
          <w:color w:val="000000"/>
        </w:rPr>
        <w:t xml:space="preserve"> </w:t>
      </w:r>
      <w:r>
        <w:rPr>
          <w:rFonts w:ascii="Times New Roman;serif" w:hAnsi="Times New Roman;serif"/>
          <w:b w:val="false"/>
          <w:color w:val="000000"/>
          <w:sz w:val="20"/>
        </w:rPr>
        <w:t xml:space="preserve">was 83% compared with 85% in the first quarter 2026, mainly due to higher planned and unplanned maintenance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erif" w:hAnsi="Times New Roman;serif"/>
          <w:b/>
          <w:color w:val="000000"/>
          <w:sz w:val="20"/>
        </w:rPr>
        <w:t>Half Year Analysis</w:t>
      </w:r>
      <w:r>
        <w:rPr>
          <w:rFonts w:ascii="Times New Roman;serif" w:hAnsi="Times New Roman;serif"/>
          <w:b/>
          <w:color w:val="000000"/>
          <w:sz w:val="13"/>
        </w:rPr>
        <w:t>1</w:t>
      </w:r>
    </w:p>
    <w:p>
      <w:pPr>
        <w:pStyle w:val="TextBody"/>
        <w:bidi w:val="0"/>
        <w:spacing w:lineRule="auto" w:line="268" w:before="12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 and a current cost of supplies adjustment of $856 million.</w:t>
      </w:r>
    </w:p>
    <w:p>
      <w:pPr>
        <w:pStyle w:val="TextBody"/>
        <w:bidi w:val="0"/>
        <w:spacing w:lineRule="auto" w:line="288" w:before="0" w:after="12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first half 2025, reflected higher Products margins (increase of $4,106 million), mainly driven by higher refining margins and higher trading and optimisation, and higher Chemicals margins (increase of $457 million). Adjusted Earnings also reflected higher depreciation, depletion and amortisation expenses (increase of $279 million).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first half 2026, Chemicals had Adjusted Earnings of $237 million and Products had Adjusted Earnings of $4,565 million.</w:t>
      </w:r>
    </w:p>
    <w:p>
      <w:pPr>
        <w:pStyle w:val="TextBody"/>
        <w:bidi w:val="0"/>
        <w:spacing w:lineRule="auto" w:line="288" w:before="0" w:after="120"/>
        <w:jc w:val="left"/>
        <w:rPr/>
      </w:pPr>
      <w:r>
        <w:rPr>
          <w:rFonts w:ascii="Times New Roman;serif" w:hAnsi="Times New Roman;serif"/>
          <w:b/>
          <w:color w:val="000000"/>
          <w:sz w:val="20"/>
        </w:rPr>
        <w:t xml:space="preserve">Identified items </w:t>
      </w:r>
      <w:r>
        <w:rPr>
          <w:rFonts w:ascii="Times New Roman;serif" w:hAnsi="Times New Roman;serif"/>
          <w:b w:val="false"/>
          <w:color w:val="000000"/>
          <w:sz w:val="20"/>
        </w:rPr>
        <w:t xml:space="preserve">in the first half 2026 included unfavourable movements of $1,044 million due to the fair value accounting of commodity derivatives that, as part of Shell’s normal business, are entered into as hedges for mitigation of economic exposures on future purchases, sales and inventory. These unfavourable movements compare with the first half of 2025, which included net impairment charges and reversals of $339 million and unfavourable movements of $153 million due to the fair value accounting of commodity derivatives. </w:t>
      </w:r>
    </w:p>
    <w:p>
      <w:pPr>
        <w:pStyle w:val="TextBody"/>
        <w:bidi w:val="0"/>
        <w:spacing w:lineRule="auto" w:line="268" w:before="120" w:after="12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was driven by the same factors as Adjusted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 xml:space="preserve">for the first half 2026 was primarily driven by Adjusted EBITDA, the cost of supplies adjustment of $1,159 million (before tax) and net cash inflows related to the timing impact of payments for emission certificates and biofuel programmes of $1,153 million. These were partly offset by working capital outflows of $3,461 million and net cash outflows related to derivatives of $1,407 million. </w:t>
      </w:r>
    </w:p>
    <w:p>
      <w:pPr>
        <w:pStyle w:val="TextBody"/>
        <w:bidi w:val="0"/>
        <w:spacing w:lineRule="auto" w:line="288" w:before="120" w:after="120"/>
        <w:jc w:val="left"/>
        <w:rPr/>
      </w:pPr>
      <w:r>
        <w:rPr>
          <w:rFonts w:ascii="Times New Roman;serif" w:hAnsi="Times New Roman;serif"/>
          <w:b/>
          <w:color w:val="000000"/>
          <w:sz w:val="20"/>
        </w:rPr>
        <w:t>Refinery utilisation</w:t>
      </w:r>
      <w:r>
        <w:rPr>
          <w:color w:val="000000"/>
        </w:rPr>
        <w:t xml:space="preserve"> </w:t>
      </w:r>
      <w:r>
        <w:rPr>
          <w:rFonts w:ascii="Times New Roman;serif" w:hAnsi="Times New Roman;serif"/>
          <w:b w:val="false"/>
          <w:color w:val="000000"/>
          <w:sz w:val="20"/>
        </w:rPr>
        <w:t xml:space="preserve">was 100% compared with 89% in the first half 2025, mainly due to lower planned and unplanned maintenance activities. </w:t>
      </w:r>
    </w:p>
    <w:p>
      <w:pPr>
        <w:pStyle w:val="TextBody"/>
        <w:bidi w:val="0"/>
        <w:spacing w:lineRule="auto" w:line="288" w:before="0" w:after="120"/>
        <w:jc w:val="left"/>
        <w:rPr/>
      </w:pPr>
      <w:r>
        <w:rPr>
          <w:rFonts w:ascii="Times New Roman;serif" w:hAnsi="Times New Roman;serif"/>
          <w:b/>
          <w:color w:val="000000"/>
          <w:sz w:val="20"/>
        </w:rPr>
        <w:t>Chemicals manufacturing plant utilisation</w:t>
      </w:r>
      <w:r>
        <w:rPr>
          <w:color w:val="000000"/>
        </w:rPr>
        <w:t xml:space="preserve"> </w:t>
      </w:r>
      <w:r>
        <w:rPr>
          <w:rFonts w:ascii="Times New Roman;serif" w:hAnsi="Times New Roman;serif"/>
          <w:b w:val="false"/>
          <w:color w:val="000000"/>
          <w:sz w:val="20"/>
        </w:rPr>
        <w:t>was 84% compared with 77% in the first half 2025, mainly due to lower unplanned maintenance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pStyle w:val="TextBody"/>
        <w:bidi w:val="0"/>
        <w:spacing w:before="0" w:after="0"/>
        <w:ind w:left="0" w:right="0" w:firstLine="88"/>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11</w:t>
                      </w:r>
                    </w:p>
                  </w:txbxContent>
                </v:textbox>
                <w10:wrap type="none"/>
              </v:rect>
            </w:pict>
          </mc:Fallback>
        </mc:AlternateContent>
      </w:r>
    </w:p>
    <w:p>
      <w:pPr>
        <w:pStyle w:val="TextBody"/>
        <w:bidi w:val="0"/>
        <w:spacing w:before="0" w:after="0"/>
        <w:jc w:val="left"/>
        <w:rPr/>
      </w:pPr>
      <w:r>
        <w:rPr/>
      </w:r>
    </w:p>
    <w:tbl>
      <w:tblPr>
        <w:tblW w:w="8631" w:type="dxa"/>
        <w:jc w:val="left"/>
        <w:tblInd w:w="0" w:type="dxa"/>
        <w:tblLayout w:type="fixed"/>
        <w:tblCellMar>
          <w:top w:w="28" w:type="dxa"/>
          <w:left w:w="28" w:type="dxa"/>
          <w:bottom w:w="28" w:type="dxa"/>
          <w:right w:w="28" w:type="dxa"/>
        </w:tblCellMar>
      </w:tblPr>
      <w:tblGrid>
        <w:gridCol w:w="272"/>
        <w:gridCol w:w="239"/>
        <w:gridCol w:w="239"/>
        <w:gridCol w:w="323"/>
        <w:gridCol w:w="245"/>
        <w:gridCol w:w="245"/>
        <w:gridCol w:w="248"/>
        <w:gridCol w:w="248"/>
        <w:gridCol w:w="245"/>
        <w:gridCol w:w="1403"/>
        <w:gridCol w:w="1403"/>
        <w:gridCol w:w="1408"/>
        <w:gridCol w:w="304"/>
        <w:gridCol w:w="304"/>
        <w:gridCol w:w="306"/>
        <w:gridCol w:w="187"/>
        <w:gridCol w:w="187"/>
        <w:gridCol w:w="187"/>
        <w:gridCol w:w="187"/>
        <w:gridCol w:w="187"/>
        <w:gridCol w:w="26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8631" w:type="dxa"/>
            <w:gridSpan w:val="21"/>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31" w:type="dxa"/>
            <w:gridSpan w:val="21"/>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AND ENERGY SOLUTIONS</w:t>
            </w:r>
          </w:p>
        </w:tc>
      </w:tr>
      <w:tr>
        <w:trPr/>
        <w:tc>
          <w:tcPr>
            <w:tcW w:w="230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4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8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4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Reference*</w:t>
            </w:r>
          </w:p>
        </w:tc>
        <w:tc>
          <w:tcPr>
            <w:tcW w:w="5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for the period</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6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(501)</w:t>
            </w:r>
          </w:p>
        </w:tc>
      </w:tr>
      <w:tr>
        <w:trPr/>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 Identified items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r>
      <w:tr>
        <w:trPr/>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Adjusted Earnings</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427</w:t>
            </w:r>
          </w:p>
        </w:tc>
        <w:tc>
          <w:tcPr>
            <w:tcW w:w="6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760</w:t>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w:t>
            </w:r>
          </w:p>
        </w:tc>
      </w:tr>
      <w:tr>
        <w:trPr/>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2,937 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operating activities</w:t>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5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2,872</w:t>
            </w:r>
          </w:p>
        </w:tc>
        <w:tc>
          <w:tcPr>
            <w:tcW w:w="6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368</w:t>
            </w:r>
          </w:p>
        </w:tc>
      </w:tr>
      <w:tr>
        <w:trPr/>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capital expenditure</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833</w:t>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958</w:t>
            </w:r>
          </w:p>
        </w:tc>
      </w:tr>
      <w:tr>
        <w:trPr/>
        <w:tc>
          <w:tcPr>
            <w:tcW w:w="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8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7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42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External power sales (terawatt hours)</w:t>
            </w:r>
            <w:r>
              <w:rPr>
                <w:rFonts w:ascii="Times New Roman;serif" w:hAnsi="Times New Roman;serif"/>
                <w:b w:val="false"/>
                <w:color w:val="000000"/>
                <w:sz w:val="10"/>
              </w:rPr>
              <w:t>1</w:t>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6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r>
      <w:tr>
        <w:trPr/>
        <w:tc>
          <w:tcPr>
            <w:tcW w:w="75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81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74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421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Sales of pipeline gas to end-use customers (terawatt hours)</w:t>
            </w:r>
            <w:r>
              <w:rPr>
                <w:rFonts w:ascii="Times New Roman;serif" w:hAnsi="Times New Roman;serif"/>
                <w:b w:val="false"/>
                <w:color w:val="000000"/>
                <w:sz w:val="10"/>
              </w:rPr>
              <w:t>2</w:t>
            </w:r>
          </w:p>
        </w:tc>
        <w:tc>
          <w:tcPr>
            <w:tcW w:w="9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358</w:t>
            </w:r>
          </w:p>
        </w:tc>
        <w:tc>
          <w:tcPr>
            <w:tcW w:w="63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w:t>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Alternative Performance (Non-GAAP) measure. See page 34.</w:t>
      </w:r>
    </w:p>
    <w:p>
      <w:pPr>
        <w:pStyle w:val="TextBody"/>
        <w:bidi w:val="0"/>
        <w:spacing w:lineRule="auto" w:line="288" w:before="0" w:after="0"/>
        <w:ind w:left="0" w:right="0" w:hanging="142"/>
        <w:jc w:val="left"/>
        <w:rPr/>
      </w:pPr>
      <w:r>
        <w:rPr>
          <w:rFonts w:ascii="Times New Roman;serif" w:hAnsi="Times New Roman;serif"/>
          <w:b w:val="false"/>
          <w:color w:val="000000"/>
          <w:sz w:val="13"/>
        </w:rPr>
        <w:t>1.</w:t>
      </w:r>
      <w:r>
        <w:rPr>
          <w:rFonts w:ascii="Times New Roman;serif" w:hAnsi="Times New Roman;serif"/>
          <w:b w:val="false"/>
          <w:color w:val="000000"/>
          <w:sz w:val="20"/>
        </w:rPr>
        <w:t>Physical power sales to third parties; excluding financial trades and physical trade with brokers, investors, financial institutions, trading platforms, and wholesale traders.</w:t>
      </w:r>
      <w:r>
        <w:rPr>
          <w:color w:val="000000"/>
        </w:rPr>
        <w:t xml:space="preserve"> </w:t>
      </w:r>
    </w:p>
    <w:p>
      <w:pPr>
        <w:pStyle w:val="TextBody"/>
        <w:bidi w:val="0"/>
        <w:spacing w:lineRule="auto" w:line="288" w:before="0" w:after="100"/>
        <w:ind w:left="0" w:right="0" w:hanging="142"/>
        <w:jc w:val="left"/>
        <w:rPr/>
      </w:pPr>
      <w:r>
        <w:rPr>
          <w:rFonts w:ascii="Times New Roman;serif" w:hAnsi="Times New Roman;serif"/>
          <w:b w:val="false"/>
          <w:color w:val="000000"/>
          <w:sz w:val="13"/>
        </w:rPr>
        <w:t>2.</w:t>
      </w:r>
      <w:r>
        <w:rPr>
          <w:rFonts w:ascii="Times New Roman;serif" w:hAnsi="Times New Roman;serif"/>
          <w:b w:val="false"/>
          <w:color w:val="000000"/>
          <w:sz w:val="20"/>
        </w:rPr>
        <w:t>Physical natural gas sales to third parties; excluding financial trades and physical trade with brokers, investors, financial institutions, trading platforms, and wholesale traders. Excluding sales of natural gas by other segments and LNG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Renewables and Energy Solutions encompasses renewable power generation, marketing, trading, and optimisation of power and pipeline gas. It also includes hydrogen production, commercial carbon capture and storage (CCS) hubs and carbon credits. The business invests in nature-based projects that compensate for carbon emissions and Shell Ventures, which invests in or works with start-ups and other early-stage businesses to help them scale up and grow. </w:t>
      </w:r>
    </w:p>
    <w:p>
      <w:pPr>
        <w:pStyle w:val="TextBody"/>
        <w:bidi w:val="0"/>
        <w:spacing w:lineRule="auto" w:line="276" w:before="0" w:after="120"/>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88" w:before="120" w:after="120"/>
        <w:jc w:val="left"/>
        <w:rPr/>
      </w:pPr>
      <w:r>
        <w:rPr>
          <w:rFonts w:ascii="Times New Roman;serif" w:hAnsi="Times New Roman;serif"/>
          <w:b/>
          <w:color w:val="000000"/>
          <w:sz w:val="20"/>
        </w:rPr>
        <w:t>Income/(loss) for the period</w:t>
      </w:r>
      <w:r>
        <w:rPr>
          <w:color w:val="000000"/>
        </w:rPr>
        <w:t xml:space="preserve">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0" w:after="80"/>
        <w:jc w:val="left"/>
        <w:rPr/>
      </w:pPr>
      <w:r>
        <w:rPr>
          <w:rFonts w:ascii="Times New Roman;serif" w:hAnsi="Times New Roman;serif"/>
          <w:b/>
          <w:color w:val="000000"/>
          <w:sz w:val="20"/>
        </w:rPr>
        <w:t>Adjusted Earnings</w:t>
      </w:r>
      <w:r>
        <w:rPr>
          <w:rFonts w:ascii="Times New Roman;serif" w:hAnsi="Times New Roman;serif"/>
          <w:b w:val="false"/>
          <w:color w:val="000000"/>
          <w:sz w:val="20"/>
        </w:rPr>
        <w:t>, compared with the first quarter 2026, reflected lower margins (decrease of $265 million), mainly from trading and optimisation.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Most Renewables and Energy Solutions activities were loss-making in the second quarter 2026, these were more than offset by positive Adjusted Earnings from trading and optimisation and energy marketing. </w:t>
      </w:r>
    </w:p>
    <w:p>
      <w:pPr>
        <w:pStyle w:val="TextBody"/>
        <w:bidi w:val="0"/>
        <w:spacing w:lineRule="auto" w:line="288" w:before="0" w:after="12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 xml:space="preserve">in the second quarter 2026 included impairment charges of $536 million, mainly related to renewable generation assets in Asia and Europe, and unfavourable movements of $146 million due to the fair value accounting of commodity derivatives. As part of Shell's normal business, commodity derivative contracts are entered into as hedges for mitigation of economic exposures on future purchases, sales and inventory. These charges and unfavourable movements compare with the first quarter 2026, which included favourable movements of $189 million due to the fair value accounting of commodity derivatives. </w:t>
      </w:r>
    </w:p>
    <w:p>
      <w:pPr>
        <w:pStyle w:val="TextBody"/>
        <w:bidi w:val="0"/>
        <w:spacing w:lineRule="auto" w:line="288" w:before="120" w:after="12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was driven by the same factors as Adjusted Earnings. </w:t>
      </w:r>
    </w:p>
    <w:p>
      <w:pPr>
        <w:pStyle w:val="TextBody"/>
        <w:bidi w:val="0"/>
        <w:spacing w:lineRule="auto" w:line="288" w:before="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for the second quarter 2026 was primarily driven by net cash outflows related to derivatives of $1,025 million, partly offset by working capital inflows of $523 million and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Half Year Analysis</w:t>
      </w:r>
      <w:r>
        <w:rPr>
          <w:rFonts w:ascii="Times New Roman;serif" w:hAnsi="Times New Roman;serif"/>
          <w:b/>
          <w:color w:val="000000"/>
          <w:sz w:val="13"/>
        </w:rPr>
        <w:t>1</w:t>
      </w:r>
    </w:p>
    <w:p>
      <w:pPr>
        <w:pStyle w:val="TextBody"/>
        <w:bidi w:val="0"/>
        <w:spacing w:lineRule="auto" w:line="288" w:before="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0" w:after="80"/>
        <w:jc w:val="left"/>
        <w:rPr/>
      </w:pPr>
      <w:r>
        <w:rPr>
          <w:rFonts w:ascii="Times New Roman;serif" w:hAnsi="Times New Roman;serif"/>
          <w:b/>
          <w:color w:val="000000"/>
          <w:sz w:val="20"/>
        </w:rPr>
        <w:t>Adjusted</w:t>
      </w:r>
      <w:r>
        <w:rPr>
          <w:color w:val="000000"/>
        </w:rPr>
        <w:t xml:space="preserve"> </w:t>
      </w:r>
      <w:r>
        <w:rPr>
          <w:rFonts w:ascii="Times New Roman;serif" w:hAnsi="Times New Roman;serif"/>
          <w:b/>
          <w:color w:val="000000"/>
          <w:sz w:val="20"/>
        </w:rPr>
        <w:t>Earnings</w:t>
      </w:r>
      <w:r>
        <w:rPr>
          <w:rFonts w:ascii="Times New Roman;serif" w:hAnsi="Times New Roman;serif"/>
          <w:b w:val="false"/>
          <w:color w:val="000000"/>
          <w:sz w:val="20"/>
        </w:rPr>
        <w:t xml:space="preserve">, compared with the first half 2025, reflected higher margins (increase of $356 million), mainly from trading and optimisation, and lower operating expenses (decrease of $56 million).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Most Renewables and Energy Solutions activities were loss-making for the first half 2026, these were more than offset by positive Adjusted Earnings from trading and optimisation. </w:t>
      </w:r>
    </w:p>
    <w:p>
      <w:pPr>
        <w:pStyle w:val="TextBody"/>
        <w:bidi w:val="0"/>
        <w:spacing w:lineRule="auto" w:line="288" w:before="0" w:after="100"/>
        <w:jc w:val="left"/>
        <w:rPr/>
      </w:pPr>
      <w:r>
        <w:rPr>
          <w:rFonts w:ascii="Times New Roman;serif" w:hAnsi="Times New Roman;serif"/>
          <w:b/>
          <w:color w:val="000000"/>
          <w:sz w:val="20"/>
        </w:rPr>
        <w:t>Identified items</w:t>
      </w:r>
      <w:r>
        <w:rPr>
          <w:color w:val="000000"/>
        </w:rPr>
        <w:t xml:space="preserve"> </w:t>
      </w:r>
      <w:r>
        <w:rPr>
          <w:rFonts w:ascii="Times New Roman;serif" w:hAnsi="Times New Roman;serif"/>
          <w:b w:val="false"/>
          <w:color w:val="000000"/>
          <w:sz w:val="20"/>
        </w:rPr>
        <w:t xml:space="preserve">in the first half 2026 included impairment charges of $565 million, mainly related to renewable generation assets in Asia and Europe. These charges compare with the first half 2025 which included unfavourable movements of $196 million relating to the fair value accounting of commodity derivatives and impairment losses of $167 million. As part of Shell's normal business, commodity derivative contracts are entered into as hedges for mitigation of economic exposures on future purchases, sales and inventory. </w:t>
      </w:r>
    </w:p>
    <w:p>
      <w:pPr>
        <w:pStyle w:val="TextBody"/>
        <w:bidi w:val="0"/>
        <w:spacing w:lineRule="auto" w:line="288" w:before="0" w:after="10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was driven by the same factors as Adjusted Earnings.</w:t>
      </w:r>
    </w:p>
    <w:p>
      <w:pPr>
        <w:pStyle w:val="TextBody"/>
        <w:bidi w:val="0"/>
        <w:spacing w:lineRule="auto" w:line="288" w:before="0" w:after="80"/>
        <w:jc w:val="left"/>
        <w:rPr/>
      </w:pPr>
      <w:r>
        <w:rPr>
          <w:rFonts w:ascii="Times New Roman;serif" w:hAnsi="Times New Roman;serif"/>
          <w:b/>
          <w:color w:val="000000"/>
          <w:sz w:val="20"/>
        </w:rPr>
        <w:t>Cash flow from operating activities</w:t>
      </w:r>
      <w:r>
        <w:rPr>
          <w:color w:val="000000"/>
        </w:rPr>
        <w:t xml:space="preserve"> </w:t>
      </w:r>
      <w:r>
        <w:rPr>
          <w:rFonts w:ascii="Times New Roman;serif" w:hAnsi="Times New Roman;serif"/>
          <w:b w:val="false"/>
          <w:color w:val="000000"/>
          <w:sz w:val="20"/>
        </w:rPr>
        <w:t xml:space="preserve">for the first half 2026 was primarily driven by net cash inflows related to derivatives of $1,332 million, Adjusted EBITDA and working capital inflows of $461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12</w:t>
                      </w:r>
                    </w:p>
                  </w:txbxContent>
                </v:textbox>
                <w10:wrap type="none"/>
              </v:rect>
            </w:pict>
          </mc:Fallback>
        </mc:AlternateContent>
      </w:r>
    </w:p>
    <w:p>
      <w:pPr>
        <w:pStyle w:val="TextBody"/>
        <w:bidi w:val="0"/>
        <w:spacing w:before="0" w:after="0"/>
        <w:jc w:val="left"/>
        <w:rPr/>
      </w:pPr>
      <w:r>
        <w:rPr/>
      </w:r>
    </w:p>
    <w:tbl>
      <w:tblPr>
        <w:tblW w:w="7015" w:type="dxa"/>
        <w:jc w:val="left"/>
        <w:tblInd w:w="0" w:type="dxa"/>
        <w:tblLayout w:type="fixed"/>
        <w:tblCellMar>
          <w:top w:w="28" w:type="dxa"/>
          <w:left w:w="28" w:type="dxa"/>
          <w:bottom w:w="28" w:type="dxa"/>
          <w:right w:w="28" w:type="dxa"/>
        </w:tblCellMar>
      </w:tblPr>
      <w:tblGrid>
        <w:gridCol w:w="271"/>
        <w:gridCol w:w="238"/>
        <w:gridCol w:w="240"/>
        <w:gridCol w:w="244"/>
        <w:gridCol w:w="244"/>
        <w:gridCol w:w="246"/>
        <w:gridCol w:w="244"/>
        <w:gridCol w:w="244"/>
        <w:gridCol w:w="246"/>
        <w:gridCol w:w="844"/>
        <w:gridCol w:w="844"/>
        <w:gridCol w:w="847"/>
        <w:gridCol w:w="319"/>
        <w:gridCol w:w="319"/>
        <w:gridCol w:w="321"/>
        <w:gridCol w:w="208"/>
        <w:gridCol w:w="208"/>
        <w:gridCol w:w="213"/>
        <w:gridCol w:w="196"/>
        <w:gridCol w:w="196"/>
        <w:gridCol w:w="28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7015" w:type="dxa"/>
            <w:gridSpan w:val="21"/>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015" w:type="dxa"/>
            <w:gridSpan w:val="21"/>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w:t>
            </w:r>
          </w:p>
        </w:tc>
      </w:tr>
      <w:tr>
        <w:trPr/>
        <w:tc>
          <w:tcPr>
            <w:tcW w:w="221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25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9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25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Reference* </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(631)</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(937)</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(539)</w:t>
            </w:r>
          </w:p>
        </w:tc>
        <w:tc>
          <w:tcPr>
            <w:tcW w:w="25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for the period</w:t>
            </w:r>
          </w:p>
        </w:tc>
        <w:tc>
          <w:tcPr>
            <w:tcW w:w="9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(1,568)</w:t>
            </w:r>
          </w:p>
        </w:tc>
        <w:tc>
          <w:tcPr>
            <w:tcW w:w="6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 Identified items</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(617)</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(908)</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(463)</w:t>
            </w:r>
          </w:p>
        </w:tc>
        <w:tc>
          <w:tcPr>
            <w:tcW w:w="25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w:t>
            </w:r>
          </w:p>
        </w:tc>
        <w:tc>
          <w:tcPr>
            <w:tcW w:w="9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(1,525)</w:t>
            </w:r>
          </w:p>
        </w:tc>
        <w:tc>
          <w:tcPr>
            <w:tcW w:w="6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(920)</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(164)</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(346)</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(607)</w:t>
            </w:r>
          </w:p>
        </w:tc>
      </w:tr>
      <w:tr>
        <w:trPr/>
        <w:tc>
          <w:tcPr>
            <w:tcW w:w="74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(455)</w:t>
            </w:r>
          </w:p>
        </w:tc>
        <w:tc>
          <w:tcPr>
            <w:tcW w:w="73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(451)</w:t>
            </w:r>
          </w:p>
        </w:tc>
        <w:tc>
          <w:tcPr>
            <w:tcW w:w="73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(2,283)</w:t>
            </w:r>
          </w:p>
        </w:tc>
        <w:tc>
          <w:tcPr>
            <w:tcW w:w="253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operating activities</w:t>
            </w:r>
          </w:p>
        </w:tc>
        <w:tc>
          <w:tcPr>
            <w:tcW w:w="95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62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(906)</w:t>
            </w:r>
          </w:p>
        </w:tc>
        <w:tc>
          <w:tcPr>
            <w:tcW w:w="67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(2,814)</w:t>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Alternative Performance (Non-GAAP) measure. See page 34.</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Corporate segment covers the non-operating activities supporting Shell. It comprises Shell’s holdings and treasury organisation, headquarters and central functions, self-insurance activities and centrally managed longer-term innovation portfolio. All finance expense, income and related taxes are included in Corporate segment earnings rather than in the earnings of business segments.</w:t>
      </w:r>
    </w:p>
    <w:p>
      <w:pPr>
        <w:pStyle w:val="TextBody"/>
        <w:bidi w:val="0"/>
        <w:spacing w:lineRule="auto" w:line="264" w:before="120" w:after="120"/>
        <w:jc w:val="left"/>
        <w:rPr/>
      </w:pPr>
      <w:r>
        <w:rPr>
          <w:rFonts w:ascii="Times New Roman;serif" w:hAnsi="Times New Roman;serif"/>
          <w:b/>
          <w:color w:val="000000"/>
          <w:sz w:val="20"/>
        </w:rPr>
        <w:t>Quarter Analysis</w:t>
      </w:r>
      <w:r>
        <w:rPr>
          <w:rFonts w:ascii="Times New Roman;serif" w:hAnsi="Times New Roman;serif"/>
          <w:b/>
          <w:color w:val="000000"/>
          <w:sz w:val="13"/>
        </w:rPr>
        <w:t>1</w:t>
      </w:r>
    </w:p>
    <w:p>
      <w:pPr>
        <w:pStyle w:val="TextBody"/>
        <w:bidi w:val="0"/>
        <w:spacing w:lineRule="auto" w:line="264" w:before="120" w:after="120"/>
        <w:jc w:val="left"/>
        <w:rPr/>
      </w:pPr>
      <w:r>
        <w:rPr>
          <w:rFonts w:ascii="Times New Roman;serif" w:hAnsi="Times New Roman;serif"/>
          <w:b/>
          <w:color w:val="000000"/>
          <w:sz w:val="20"/>
        </w:rPr>
        <w:t>Income/(loss) for the period</w:t>
      </w:r>
      <w:r>
        <w:rPr>
          <w:color w:val="000000"/>
        </w:rPr>
        <w:t xml:space="preserve">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88" w:before="0" w:after="120"/>
        <w:jc w:val="left"/>
        <w:rPr/>
      </w:pPr>
      <w:r>
        <w:rPr>
          <w:rFonts w:ascii="Times New Roman;serif" w:hAnsi="Times New Roman;serif"/>
          <w:b/>
          <w:color w:val="000000"/>
          <w:sz w:val="20"/>
        </w:rPr>
        <w:t>Adjusted Earnings,</w:t>
      </w:r>
      <w:r>
        <w:rPr>
          <w:color w:val="000000"/>
        </w:rPr>
        <w:t xml:space="preserve"> </w:t>
      </w:r>
      <w:r>
        <w:rPr>
          <w:rFonts w:ascii="Times New Roman;serif" w:hAnsi="Times New Roman;serif"/>
          <w:b w:val="false"/>
          <w:color w:val="000000"/>
          <w:sz w:val="20"/>
        </w:rPr>
        <w:t xml:space="preserve">compared with the first quarter 2026, reflected favourable net interest movements (increase of $250 million) and favourable tax movements ($94 million). </w:t>
      </w:r>
    </w:p>
    <w:p>
      <w:pPr>
        <w:pStyle w:val="TextBody"/>
        <w:bidi w:val="0"/>
        <w:spacing w:lineRule="auto" w:line="276" w:before="0" w:after="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was mainly driven by unfavourable foreign exchange rate effects and higher operating expenses.</w:t>
      </w:r>
    </w:p>
    <w:p>
      <w:pPr>
        <w:pStyle w:val="TextBody"/>
        <w:bidi w:val="0"/>
        <w:spacing w:lineRule="auto" w:line="276"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 xml:space="preserve">for the second quarter 2026 was primarily driven by Adjusted EBITDA, working capital outflows of $169 million and tax payments of $83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pPr>
      <w:r>
        <w:rPr>
          <w:rFonts w:ascii="Times New Roman;serif" w:hAnsi="Times New Roman;serif"/>
          <w:b/>
          <w:color w:val="000000"/>
          <w:sz w:val="20"/>
        </w:rPr>
        <w:t>Half Year Analysis</w:t>
      </w:r>
      <w:r>
        <w:rPr>
          <w:rFonts w:ascii="Times New Roman;serif" w:hAnsi="Times New Roman;serif"/>
          <w:b/>
          <w:color w:val="000000"/>
          <w:sz w:val="13"/>
        </w:rPr>
        <w:t>1</w:t>
      </w:r>
    </w:p>
    <w:p>
      <w:pPr>
        <w:pStyle w:val="TextBody"/>
        <w:bidi w:val="0"/>
        <w:spacing w:lineRule="auto" w:line="268" w:before="120" w:after="120"/>
        <w:jc w:val="left"/>
        <w:rPr/>
      </w:pPr>
      <w:r>
        <w:rPr>
          <w:rFonts w:ascii="Times New Roman;serif" w:hAnsi="Times New Roman;serif"/>
          <w:b/>
          <w:color w:val="000000"/>
          <w:sz w:val="20"/>
        </w:rPr>
        <w:t xml:space="preserve">Income/(loss) for the period </w:t>
      </w:r>
      <w:r>
        <w:rPr>
          <w:rFonts w:ascii="Times New Roman;serif" w:hAnsi="Times New Roman;serif"/>
          <w:b w:val="false"/>
          <w:color w:val="000000"/>
          <w:sz w:val="20"/>
        </w:rPr>
        <w:t>was driven by the same factors as Adjusted Earnings and includes the impact of identified items.</w:t>
      </w:r>
    </w:p>
    <w:p>
      <w:pPr>
        <w:pStyle w:val="TextBody"/>
        <w:bidi w:val="0"/>
        <w:spacing w:lineRule="auto" w:line="276" w:before="0" w:after="0"/>
        <w:jc w:val="left"/>
        <w:rPr/>
      </w:pPr>
      <w:r>
        <w:rPr>
          <w:rFonts w:ascii="Times New Roman;serif" w:hAnsi="Times New Roman;serif"/>
          <w:b/>
          <w:color w:val="000000"/>
          <w:sz w:val="20"/>
        </w:rPr>
        <w:t>Adjusted Earnings</w:t>
      </w:r>
      <w:r>
        <w:rPr>
          <w:rFonts w:ascii="Times New Roman;serif" w:hAnsi="Times New Roman;serif"/>
          <w:b w:val="false"/>
          <w:color w:val="000000"/>
          <w:sz w:val="20"/>
        </w:rPr>
        <w:t xml:space="preserve">, compared with the first half 2025, reflected unfavourable net interest movements (decrease of $644 million), partly offset by favourable foreign currency exchange rate effects ($118 million). </w:t>
      </w:r>
    </w:p>
    <w:p>
      <w:pPr>
        <w:pStyle w:val="TextBody"/>
        <w:bidi w:val="0"/>
        <w:spacing w:lineRule="auto" w:line="276" w:before="120" w:after="12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was mainly driven by favourable foreign currency exchange rate effects. </w:t>
      </w:r>
    </w:p>
    <w:p>
      <w:pPr>
        <w:pStyle w:val="TextBody"/>
        <w:bidi w:val="0"/>
        <w:spacing w:lineRule="auto" w:line="276" w:before="120" w:after="120"/>
        <w:jc w:val="left"/>
        <w:rPr/>
      </w:pPr>
      <w:r>
        <w:rPr>
          <w:rFonts w:ascii="Times New Roman;serif" w:hAnsi="Times New Roman;serif"/>
          <w:b/>
          <w:color w:val="000000"/>
          <w:sz w:val="20"/>
        </w:rPr>
        <w:t xml:space="preserve">Cash flow from operating activities </w:t>
      </w:r>
      <w:r>
        <w:rPr>
          <w:rFonts w:ascii="Times New Roman;serif" w:hAnsi="Times New Roman;serif"/>
          <w:b w:val="false"/>
          <w:color w:val="000000"/>
          <w:sz w:val="20"/>
        </w:rPr>
        <w:t xml:space="preserve">for the first half 2026 was primarily driven by working capital outflows of $455 million, Adjusted EBITDA and tax payments of $136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All earnings amounts are shown post-tax, unless stated otherwise.</w:t>
      </w:r>
    </w:p>
    <w:p>
      <w:pPr>
        <w:pStyle w:val="TextBody"/>
        <w:bidi w:val="0"/>
        <w:spacing w:before="0" w:after="0"/>
        <w:ind w:left="0" w:right="0" w:firstLine="88"/>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FF0000"/>
          <w:sz w:val="20"/>
        </w:rPr>
      </w:pPr>
      <w:r>
        <w:rPr>
          <w:rFonts w:ascii="Times New Roman;serif" w:hAnsi="Times New Roman;serif"/>
          <w:b/>
          <w:color w:val="FF0000"/>
          <w:sz w:val="20"/>
        </w:rPr>
        <w:t xml:space="preserve">OUTLOOK FOR THE THIRD QUARTER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Full year 2025 cash capital expenditure was $21 billion. Our cash capital expenditure for the full year 2026 is expected to be $24-$26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Integrated Gas production is expected to be approximately 570 - 630 thousand boe/d. LNG liquefaction volumes are expected to be approximately 7.1 - 7.7 million tonnes. Third quarter 2026 outlook excludes any volumes from ARC Resources Ltd. and Qatar.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val="false"/>
          <w:color w:val="000000"/>
          <w:sz w:val="20"/>
        </w:rPr>
        <w:t xml:space="preserve">Upstream production is expected to be approximately 1,680 - 1,880 thousand boe/d. </w:t>
      </w:r>
      <w:r>
        <w:rPr>
          <w:rFonts w:ascii="Times New Roman;serif" w:hAnsi="Times New Roman;serif"/>
          <w:b w:val="false"/>
          <w:color w:val="000000"/>
          <w:sz w:val="20"/>
          <w:shd w:fill="FFFFFF" w:val="clear"/>
        </w:rPr>
        <w:t>Third quarter 202</w:t>
      </w:r>
      <w:r>
        <w:rPr>
          <w:rFonts w:ascii="Times New Roman;serif" w:hAnsi="Times New Roman;serif"/>
          <w:b w:val="false"/>
          <w:color w:val="000000"/>
          <w:sz w:val="20"/>
        </w:rPr>
        <w:t>6 outlook reflects higher maintenance across the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Marketing sales volumes are expected to be approximately 2,550 - 2,750 thousand b/d.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Refinery utilisation is expected to be approximately 93% - 101%. Chemicals manufacturing plant utilisation is expected to be approximately 78% - 86%.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val="false"/>
          <w:color w:val="000000"/>
          <w:sz w:val="20"/>
        </w:rPr>
        <w:t>Corporate Adjusted Earnings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were a net expense of $617 million for the second quarter 2026. Corporate Adjusted Earnings</w:t>
      </w:r>
      <w:r>
        <w:rPr>
          <w:color w:val="000000"/>
        </w:rPr>
        <w:t xml:space="preserve"> </w:t>
      </w:r>
      <w:r>
        <w:rPr>
          <w:rFonts w:ascii="Times New Roman;serif" w:hAnsi="Times New Roman;serif"/>
          <w:b w:val="false"/>
          <w:color w:val="000000"/>
          <w:sz w:val="20"/>
        </w:rPr>
        <w:t>are expected to be a net expense of approximately $500 - $700 million in the third quarter 2026.</w:t>
      </w:r>
    </w:p>
    <w:p>
      <w:pPr>
        <w:pStyle w:val="TextBody"/>
        <w:bidi w:val="0"/>
        <w:spacing w:lineRule="auto" w:line="268" w:before="0" w:after="0"/>
        <w:ind w:left="0" w:right="0" w:hanging="272"/>
        <w:jc w:val="left"/>
        <w:rPr/>
      </w:pPr>
      <w:r>
        <w:rPr>
          <w:rFonts w:ascii="Times New Roman;serif" w:hAnsi="Times New Roman;serif"/>
          <w:b w:val="false"/>
          <w:color w:val="000000"/>
          <w:sz w:val="12"/>
        </w:rPr>
        <w:t>1.</w:t>
      </w:r>
      <w:r>
        <w:rPr>
          <w:rFonts w:ascii="Times New Roman;serif" w:hAnsi="Times New Roman;serif"/>
          <w:b w:val="false"/>
          <w:color w:val="000000"/>
          <w:sz w:val="18"/>
        </w:rPr>
        <w:t>For the definition of Adjusted Earnings and the most comparable GAAP measure please see Reference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FF0000"/>
          <w:sz w:val="20"/>
        </w:rPr>
      </w:pPr>
      <w:r>
        <w:rPr>
          <w:rFonts w:ascii="Times New Roman;serif" w:hAnsi="Times New Roman;serif"/>
          <w:b/>
          <w:color w:val="FF0000"/>
          <w:sz w:val="20"/>
        </w:rPr>
        <w:t>FORTHCOMING EVENTS</w:t>
      </w:r>
    </w:p>
    <w:tbl>
      <w:tblPr>
        <w:tblW w:w="4979" w:type="dxa"/>
        <w:jc w:val="left"/>
        <w:tblInd w:w="0" w:type="dxa"/>
        <w:tblLayout w:type="fixed"/>
        <w:tblCellMar>
          <w:top w:w="28" w:type="dxa"/>
          <w:left w:w="28" w:type="dxa"/>
          <w:bottom w:w="28" w:type="dxa"/>
          <w:right w:w="28" w:type="dxa"/>
        </w:tblCellMar>
      </w:tblPr>
      <w:tblGrid>
        <w:gridCol w:w="551"/>
        <w:gridCol w:w="485"/>
        <w:gridCol w:w="493"/>
        <w:gridCol w:w="1009"/>
        <w:gridCol w:w="1009"/>
        <w:gridCol w:w="1432"/>
      </w:tblGrid>
      <w:tr>
        <w:trPr/>
        <w:tc>
          <w:tcPr>
            <w:tcW w:w="5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w:t>
            </w:r>
          </w:p>
        </w:tc>
        <w:tc>
          <w:tcPr>
            <w:tcW w:w="34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Event</w:t>
            </w:r>
          </w:p>
        </w:tc>
      </w:tr>
      <w:tr>
        <w:trPr/>
        <w:tc>
          <w:tcPr>
            <w:tcW w:w="15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29, 2026</w:t>
            </w:r>
          </w:p>
        </w:tc>
        <w:tc>
          <w:tcPr>
            <w:tcW w:w="34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2026 results and dividends</w:t>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FF0000"/>
          <w:sz w:val="20"/>
        </w:rPr>
      </w:pPr>
      <w:r>
        <w:rPr>
          <w:rFonts w:ascii="Times New Roman;serif" w:hAnsi="Times New Roman;serif"/>
          <w:b/>
          <w:color w:val="FF0000"/>
          <w:sz w:val="20"/>
        </w:rPr>
        <w:t xml:space="preserve">UNAUDITED CONDENSED CONSOLIDATED INTERIM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498" w:type="dxa"/>
        <w:jc w:val="center"/>
        <w:tblInd w:w="0" w:type="dxa"/>
        <w:tblLayout w:type="fixed"/>
        <w:tblCellMar>
          <w:top w:w="28" w:type="dxa"/>
          <w:left w:w="28" w:type="dxa"/>
          <w:bottom w:w="28" w:type="dxa"/>
          <w:right w:w="28" w:type="dxa"/>
        </w:tblCellMar>
      </w:tblPr>
      <w:tblGrid>
        <w:gridCol w:w="453"/>
        <w:gridCol w:w="239"/>
        <w:gridCol w:w="239"/>
        <w:gridCol w:w="405"/>
        <w:gridCol w:w="245"/>
        <w:gridCol w:w="245"/>
        <w:gridCol w:w="405"/>
        <w:gridCol w:w="245"/>
        <w:gridCol w:w="245"/>
        <w:gridCol w:w="1248"/>
        <w:gridCol w:w="1248"/>
        <w:gridCol w:w="1268"/>
        <w:gridCol w:w="461"/>
        <w:gridCol w:w="275"/>
        <w:gridCol w:w="224"/>
        <w:gridCol w:w="461"/>
        <w:gridCol w:w="275"/>
        <w:gridCol w:w="317"/>
      </w:tblGrid>
      <w:tr>
        <w:trPr/>
        <w:tc>
          <w:tcPr>
            <w:tcW w:w="4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8498" w:type="dxa"/>
            <w:gridSpan w:val="1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498" w:type="dxa"/>
            <w:gridSpan w:val="18"/>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 OF INCOME</w:t>
            </w:r>
          </w:p>
        </w:tc>
      </w:tr>
      <w:tr>
        <w:trPr/>
        <w:tc>
          <w:tcPr>
            <w:tcW w:w="272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7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201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8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8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2025</w:t>
            </w:r>
          </w:p>
        </w:tc>
        <w:tc>
          <w:tcPr>
            <w:tcW w:w="37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94,664 </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69,691 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65,406 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Revenue</w:t>
            </w:r>
            <w:r>
              <w:rPr>
                <w:rFonts w:ascii="Times New Roman;serif" w:hAnsi="Times New Roman;serif"/>
                <w:b w:val="false"/>
                <w:color w:val="000000"/>
                <w:sz w:val="10"/>
              </w:rPr>
              <w:t>1</w:t>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164,355 </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134,640 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profit/(loss) of joint ventures and associates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Interest and other income/(expenses)</w:t>
            </w:r>
            <w:r>
              <w:rPr>
                <w:rFonts w:ascii="Times New Roman;serif" w:hAnsi="Times New Roman;serif"/>
                <w:b w:val="false"/>
                <w:color w:val="000000"/>
                <w:sz w:val="10"/>
              </w:rPr>
              <w:t>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96,354 </w:t>
            </w:r>
          </w:p>
        </w:tc>
        <w:tc>
          <w:tcPr>
            <w:tcW w:w="2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70,133 </w:t>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66,443 </w:t>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and other income/(expenses)</w:t>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166,487 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136,596 </w:t>
            </w:r>
          </w:p>
        </w:tc>
        <w:tc>
          <w:tcPr>
            <w:tcW w:w="3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64,530 </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44,775 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44,099 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109,304 </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89,948 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Production and manufacturing expenses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distribution and administrative expenses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Exploration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Depreciation, depletion and amortisation</w:t>
            </w:r>
            <w:r>
              <w:rPr>
                <w:rFonts w:ascii="Times New Roman;serif" w:hAnsi="Times New Roman;serif"/>
                <w:b w:val="false"/>
                <w:color w:val="000000"/>
                <w:sz w:val="10"/>
              </w:rPr>
              <w:t>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80,600 </w:t>
            </w:r>
          </w:p>
        </w:tc>
        <w:tc>
          <w:tcPr>
            <w:tcW w:w="2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60,805 </w:t>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60,468 </w:t>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expenditure</w:t>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141,405 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121,662 </w:t>
            </w:r>
          </w:p>
        </w:tc>
        <w:tc>
          <w:tcPr>
            <w:tcW w:w="3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15,754 </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9,328 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5,975 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before taxation</w:t>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25,082 </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14,934 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Taxation charge/(credit)</w:t>
            </w:r>
            <w:r>
              <w:rPr>
                <w:rFonts w:ascii="Times New Roman;serif" w:hAnsi="Times New Roman;serif"/>
                <w:b w:val="false"/>
                <w:color w:val="000000"/>
                <w:sz w:val="10"/>
              </w:rPr>
              <w:t>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10,805</w:t>
            </w:r>
            <w:r>
              <w:rPr>
                <w:color w:val="000000"/>
              </w:rPr>
              <w:t> </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5,758</w:t>
            </w:r>
            <w:r>
              <w:rPr>
                <w:color w:val="000000"/>
              </w:rPr>
              <w:t>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3,644</w:t>
            </w:r>
            <w:r>
              <w:rPr>
                <w:color w:val="000000"/>
              </w:rPr>
              <w:t>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6"/>
              </w:rPr>
            </w:pPr>
            <w:r>
              <w:rPr>
                <w:rFonts w:ascii="Times New Roman;serif" w:hAnsi="Times New Roman;serif"/>
                <w:b/>
                <w:color w:val="000000"/>
                <w:sz w:val="16"/>
              </w:rPr>
              <w:t>Income/(loss) for the period</w:t>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16,564 </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8,519 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10,821</w:t>
            </w:r>
            <w:r>
              <w:rPr>
                <w:color w:val="000000"/>
              </w:rPr>
              <w:t> </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5,694</w:t>
            </w:r>
            <w:r>
              <w:rPr>
                <w:color w:val="000000"/>
              </w:rPr>
              <w:t>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3,601</w:t>
            </w:r>
            <w:r>
              <w:rPr>
                <w:color w:val="000000"/>
              </w:rPr>
              <w:t> </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Income/(loss) attributable to Shell plc shareholders</w:t>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16,515 </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8,381 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Basic earnings per share ($)</w:t>
            </w:r>
            <w:r>
              <w:rPr>
                <w:rFonts w:ascii="Times New Roman;serif" w:hAnsi="Times New Roman;serif"/>
                <w:b w:val="false"/>
                <w:color w:val="000000"/>
                <w:sz w:val="10"/>
              </w:rPr>
              <w:t>3</w:t>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3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3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5"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245"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Diluted earnings per share ($)</w:t>
            </w:r>
            <w:r>
              <w:rPr>
                <w:rFonts w:ascii="Times New Roman;serif" w:hAnsi="Times New Roman;serif"/>
                <w:b w:val="false"/>
                <w:color w:val="000000"/>
                <w:sz w:val="10"/>
              </w:rPr>
              <w:t>3</w:t>
            </w:r>
          </w:p>
        </w:tc>
        <w:tc>
          <w:tcPr>
            <w:tcW w:w="73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24"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317"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erif" w:hAnsi="Times New Roman;serif"/>
          <w:b w:val="false"/>
          <w:color w:val="000000"/>
          <w:sz w:val="10"/>
        </w:rPr>
        <w:t>1.    </w:t>
      </w:r>
      <w:r>
        <w:rPr>
          <w:rFonts w:ascii="Times New Roman;serif" w:hAnsi="Times New Roman;serif"/>
          <w:b w:val="false"/>
          <w:color w:val="000000"/>
          <w:sz w:val="15"/>
        </w:rPr>
        <w:t>See Note 2 “Segment information”.</w:t>
      </w:r>
    </w:p>
    <w:p>
      <w:pPr>
        <w:pStyle w:val="TextBody"/>
        <w:bidi w:val="0"/>
        <w:spacing w:lineRule="auto" w:line="288" w:before="0" w:after="0"/>
        <w:ind w:left="0" w:right="0" w:hanging="450"/>
        <w:jc w:val="left"/>
        <w:rPr/>
      </w:pPr>
      <w:r>
        <w:rPr>
          <w:rFonts w:ascii="Times New Roman;serif" w:hAnsi="Times New Roman;serif"/>
          <w:b w:val="false"/>
          <w:color w:val="000000"/>
          <w:sz w:val="10"/>
        </w:rPr>
        <w:t>2.    </w:t>
      </w:r>
      <w:r>
        <w:rPr>
          <w:rFonts w:ascii="Times New Roman;serif" w:hAnsi="Times New Roman;serif"/>
          <w:b w:val="false"/>
          <w:color w:val="000000"/>
          <w:sz w:val="15"/>
        </w:rPr>
        <w:t>See Note 7 “Other notes to the unaudited Condensed Consolidated Interim Financial Statements”.</w:t>
      </w:r>
      <w:r>
        <w:rPr>
          <w:color w:val="000000"/>
        </w:rPr>
        <w:t xml:space="preserve"> </w:t>
      </w:r>
    </w:p>
    <w:p>
      <w:pPr>
        <w:pStyle w:val="TextBody"/>
        <w:bidi w:val="0"/>
        <w:spacing w:lineRule="auto" w:line="288" w:before="0" w:after="0"/>
        <w:ind w:left="0" w:right="0" w:hanging="450"/>
        <w:jc w:val="left"/>
        <w:rPr/>
      </w:pPr>
      <w:r>
        <w:rPr>
          <w:rFonts w:ascii="Times New Roman;serif" w:hAnsi="Times New Roman;serif"/>
          <w:b w:val="false"/>
          <w:color w:val="000000"/>
          <w:sz w:val="10"/>
        </w:rPr>
        <w:t>3    </w:t>
      </w:r>
      <w:r>
        <w:rPr>
          <w:rFonts w:ascii="Times New Roman;serif" w:hAnsi="Times New Roman;serif"/>
          <w:b w:val="false"/>
          <w:color w:val="000000"/>
          <w:sz w:val="15"/>
        </w:rPr>
        <w:t xml:space="preserve">See Note 3 “Earnings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64"/>
        <w:gridCol w:w="319"/>
        <w:gridCol w:w="301"/>
        <w:gridCol w:w="320"/>
        <w:gridCol w:w="314"/>
        <w:gridCol w:w="301"/>
        <w:gridCol w:w="320"/>
        <w:gridCol w:w="314"/>
        <w:gridCol w:w="301"/>
        <w:gridCol w:w="1751"/>
        <w:gridCol w:w="1716"/>
        <w:gridCol w:w="1695"/>
        <w:gridCol w:w="459"/>
        <w:gridCol w:w="309"/>
        <w:gridCol w:w="301"/>
        <w:gridCol w:w="370"/>
        <w:gridCol w:w="317"/>
        <w:gridCol w:w="433"/>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 OF COMPREHENSIVE INCOME</w:t>
            </w:r>
          </w:p>
        </w:tc>
      </w:tr>
      <w:tr>
        <w:trPr/>
        <w:tc>
          <w:tcPr>
            <w:tcW w:w="2854"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51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2189"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9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2026</w:t>
            </w:r>
          </w:p>
        </w:tc>
        <w:tc>
          <w:tcPr>
            <w:tcW w:w="9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Q1 2026</w:t>
            </w:r>
          </w:p>
        </w:tc>
        <w:tc>
          <w:tcPr>
            <w:tcW w:w="9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2025</w:t>
            </w:r>
          </w:p>
        </w:tc>
        <w:tc>
          <w:tcPr>
            <w:tcW w:w="516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2026</w:t>
            </w:r>
          </w:p>
        </w:tc>
        <w:tc>
          <w:tcPr>
            <w:tcW w:w="11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2025</w:t>
            </w:r>
          </w:p>
        </w:tc>
      </w:tr>
      <w:tr>
        <w:trPr/>
        <w:tc>
          <w:tcPr>
            <w:tcW w:w="683"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10,805</w:t>
            </w:r>
            <w:r>
              <w:rPr>
                <w:color w:val="000000"/>
              </w:rPr>
              <w:t>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5,758</w:t>
            </w:r>
            <w:r>
              <w:rPr>
                <w:color w:val="000000"/>
              </w:rPr>
              <w:t>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3,644</w:t>
            </w:r>
            <w:r>
              <w:rPr>
                <w:color w:val="000000"/>
              </w:rPr>
              <w:t>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Income/(loss) for the period</w:t>
            </w:r>
          </w:p>
        </w:tc>
        <w:tc>
          <w:tcPr>
            <w:tcW w:w="76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16,564</w:t>
            </w:r>
            <w:r>
              <w:rPr>
                <w:color w:val="000000"/>
              </w:rPr>
              <w:t>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8,519</w:t>
            </w:r>
            <w:r>
              <w:rPr>
                <w:color w:val="000000"/>
              </w:rPr>
              <w:t> </w:t>
            </w:r>
          </w:p>
        </w:tc>
        <w:tc>
          <w:tcPr>
            <w:tcW w:w="43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income/(loss) net of tax:</w:t>
            </w:r>
          </w:p>
        </w:tc>
        <w:tc>
          <w:tcPr>
            <w:tcW w:w="106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Items that may be reclassified to income in later periods:</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6"/>
              </w:rPr>
              <w:t>Currency translation differences</w:t>
            </w:r>
            <w:r>
              <w:rPr>
                <w:rFonts w:ascii="Times New Roman;serif" w:hAnsi="Times New Roman;serif"/>
                <w:b w:val="false"/>
                <w:color w:val="000000"/>
                <w:sz w:val="10"/>
              </w:rPr>
              <w:t>1</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Debt instruments remeasurements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16"/>
              </w:rPr>
              <w:t>Cash flow hedging gains/(losses)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Net investment hedging gains/(losses)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Deferred cost of hedging</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Share of other comprehensive income/(loss) of joint ventures and associates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4,143 </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6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5,866 </w:t>
            </w:r>
          </w:p>
        </w:tc>
        <w:tc>
          <w:tcPr>
            <w:tcW w:w="43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Items that are not reclassified to income in later periods:</w:t>
            </w:r>
          </w:p>
        </w:tc>
        <w:tc>
          <w:tcPr>
            <w:tcW w:w="106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Retirement benefits remeasurements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Equity instruments remeasurements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Share of other comprehensive income/(loss) of joint ventures and associates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6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43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(621)</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4,270</w:t>
            </w:r>
            <w:r>
              <w:rPr>
                <w:color w:val="000000"/>
              </w:rPr>
              <w:t> </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income/(loss) for the period</w:t>
            </w:r>
          </w:p>
        </w:tc>
        <w:tc>
          <w:tcPr>
            <w:tcW w:w="76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(757)</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6,248</w:t>
            </w:r>
            <w:r>
              <w:rPr>
                <w:color w:val="000000"/>
              </w:rPr>
              <w:t> </w:t>
            </w:r>
          </w:p>
        </w:tc>
        <w:tc>
          <w:tcPr>
            <w:tcW w:w="43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10,670</w:t>
            </w:r>
            <w:r>
              <w:rPr>
                <w:color w:val="000000"/>
              </w:rPr>
              <w:t>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5,137</w:t>
            </w:r>
            <w:r>
              <w:rPr>
                <w:color w:val="000000"/>
              </w:rPr>
              <w:t>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7,914</w:t>
            </w:r>
            <w:r>
              <w:rPr>
                <w:color w:val="000000"/>
              </w:rPr>
              <w:t>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Comprehensive income/(loss) for the period</w:t>
            </w:r>
          </w:p>
        </w:tc>
        <w:tc>
          <w:tcPr>
            <w:tcW w:w="76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15,807</w:t>
            </w:r>
            <w:r>
              <w:rPr>
                <w:color w:val="000000"/>
              </w:rPr>
              <w:t> </w:t>
            </w:r>
          </w:p>
        </w:tc>
        <w:tc>
          <w:tcPr>
            <w:tcW w:w="30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14,767</w:t>
            </w:r>
            <w:r>
              <w:rPr>
                <w:color w:val="000000"/>
              </w:rPr>
              <w:t> </w:t>
            </w:r>
          </w:p>
        </w:tc>
        <w:tc>
          <w:tcPr>
            <w:tcW w:w="433"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income/(loss) attributable to non-controlling interest</w:t>
            </w:r>
          </w:p>
        </w:tc>
        <w:tc>
          <w:tcPr>
            <w:tcW w:w="76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30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43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10,675</w:t>
            </w:r>
            <w:r>
              <w:rPr>
                <w:color w:val="000000"/>
              </w:rPr>
              <w:t> </w:t>
            </w:r>
          </w:p>
        </w:tc>
        <w:tc>
          <w:tcPr>
            <w:tcW w:w="3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5,041</w:t>
            </w:r>
            <w:r>
              <w:rPr>
                <w:color w:val="000000"/>
              </w:rPr>
              <w:t> </w:t>
            </w:r>
          </w:p>
        </w:tc>
        <w:tc>
          <w:tcPr>
            <w:tcW w:w="3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7,792</w:t>
            </w:r>
            <w:r>
              <w:rPr>
                <w:color w:val="000000"/>
              </w:rPr>
              <w:t> </w:t>
            </w:r>
          </w:p>
        </w:tc>
        <w:tc>
          <w:tcPr>
            <w:tcW w:w="3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2" w:type="dxa"/>
            <w:gridSpan w:val="3"/>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Comprehensive income/(loss) attributable to Shell plc shareholders</w:t>
            </w:r>
          </w:p>
        </w:tc>
        <w:tc>
          <w:tcPr>
            <w:tcW w:w="768"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15,716</w:t>
            </w:r>
            <w:r>
              <w:rPr>
                <w:color w:val="000000"/>
              </w:rPr>
              <w:t> </w:t>
            </w:r>
          </w:p>
        </w:tc>
        <w:tc>
          <w:tcPr>
            <w:tcW w:w="301"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14,540</w:t>
            </w:r>
            <w:r>
              <w:rPr>
                <w:color w:val="000000"/>
              </w:rPr>
              <w:t> </w:t>
            </w:r>
          </w:p>
        </w:tc>
        <w:tc>
          <w:tcPr>
            <w:tcW w:w="433"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Times New Roman;serif" w:hAnsi="Times New Roman;serif"/>
          <w:b w:val="false"/>
          <w:color w:val="000000"/>
          <w:sz w:val="13"/>
        </w:rPr>
        <w:t>1.    </w:t>
      </w:r>
      <w:r>
        <w:rPr>
          <w:rFonts w:ascii="Times New Roman;serif" w:hAnsi="Times New Roman;serif"/>
          <w:b w:val="false"/>
          <w:color w:val="000000"/>
          <w:sz w:val="15"/>
        </w:rPr>
        <w:t>See Note 7 “Other notes to the unaudited Condensed Consolidated Interim Financial Statements”.</w:t>
      </w:r>
    </w:p>
    <w:p>
      <w:pPr>
        <w:pStyle w:val="TextBody"/>
        <w:bidi w:val="0"/>
        <w:spacing w:before="0" w:after="12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15</w:t>
                      </w:r>
                    </w:p>
                  </w:txbxContent>
                </v:textbox>
                <w10:wrap type="none"/>
              </v:rect>
            </w:pict>
          </mc:Fallback>
        </mc:AlternateContent>
      </w:r>
    </w:p>
    <w:p>
      <w:pPr>
        <w:pStyle w:val="TextBody"/>
        <w:bidi w:val="0"/>
        <w:spacing w:before="0" w:after="0"/>
        <w:jc w:val="left"/>
        <w:rPr/>
      </w:pPr>
      <w:r>
        <w:rPr/>
      </w:r>
    </w:p>
    <w:tbl>
      <w:tblPr>
        <w:tblW w:w="7355" w:type="dxa"/>
        <w:jc w:val="center"/>
        <w:tblInd w:w="0" w:type="dxa"/>
        <w:tblLayout w:type="fixed"/>
        <w:tblCellMar>
          <w:top w:w="28" w:type="dxa"/>
          <w:left w:w="28" w:type="dxa"/>
          <w:bottom w:w="28" w:type="dxa"/>
          <w:right w:w="28" w:type="dxa"/>
        </w:tblCellMar>
      </w:tblPr>
      <w:tblGrid>
        <w:gridCol w:w="1696"/>
        <w:gridCol w:w="1489"/>
        <w:gridCol w:w="1495"/>
        <w:gridCol w:w="381"/>
        <w:gridCol w:w="374"/>
        <w:gridCol w:w="376"/>
        <w:gridCol w:w="452"/>
        <w:gridCol w:w="452"/>
        <w:gridCol w:w="640"/>
      </w:tblGrid>
      <w:tr>
        <w:trPr/>
        <w:tc>
          <w:tcPr>
            <w:tcW w:w="169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73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BALANCE SHEET</w:t>
            </w:r>
          </w:p>
        </w:tc>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June 30, 2026</w:t>
            </w:r>
          </w:p>
        </w:tc>
        <w:tc>
          <w:tcPr>
            <w:tcW w:w="1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Non-current assets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185,077 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Joint ventures and associates</w:t>
            </w:r>
            <w:r>
              <w:rPr>
                <w:rFonts w:ascii="Times New Roman;serif" w:hAnsi="Times New Roman;serif"/>
                <w:b w:val="false"/>
                <w:color w:val="000000"/>
                <w:sz w:val="10"/>
              </w:rPr>
              <w:t>1</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27,997 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securities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benefits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and other receivables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Derivative financial instruments</w:t>
            </w:r>
            <w:r>
              <w:rPr>
                <w:rFonts w:ascii="Times New Roman;serif" w:hAnsi="Times New Roman;serif"/>
                <w:b w:val="false"/>
                <w:color w:val="000000"/>
                <w:sz w:val="10"/>
              </w:rPr>
              <w:t>2</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257,680 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263,177 </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1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22,216 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and other receivables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52,938 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44,597 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Derivative financial instruments</w:t>
            </w:r>
            <w:r>
              <w:rPr>
                <w:rFonts w:ascii="Times New Roman;serif" w:hAnsi="Times New Roman;serif"/>
                <w:b w:val="false"/>
                <w:color w:val="000000"/>
                <w:sz w:val="10"/>
              </w:rPr>
              <w:t>2</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120,438 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106,143 </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Assets classified as held for sale</w:t>
            </w:r>
            <w:r>
              <w:rPr>
                <w:rFonts w:ascii="Times New Roman;serif" w:hAnsi="Times New Roman;serif"/>
                <w:b w:val="false"/>
                <w:color w:val="000000"/>
                <w:sz w:val="10"/>
              </w:rPr>
              <w:t>1</w:t>
            </w:r>
          </w:p>
        </w:tc>
        <w:tc>
          <w:tcPr>
            <w:tcW w:w="7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2,395 </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122,833 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107,173 </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755"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380,513</w:t>
            </w:r>
            <w:r>
              <w:rPr>
                <w:color w:val="000000"/>
              </w:rPr>
              <w:t> </w:t>
            </w:r>
          </w:p>
        </w:tc>
        <w:tc>
          <w:tcPr>
            <w:tcW w:w="37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370,350</w:t>
            </w:r>
            <w:r>
              <w:rPr>
                <w:color w:val="000000"/>
              </w:rPr>
              <w:t> </w:t>
            </w:r>
          </w:p>
        </w:tc>
        <w:tc>
          <w:tcPr>
            <w:tcW w:w="64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Non-current liabilities</w:t>
            </w:r>
          </w:p>
        </w:tc>
        <w:tc>
          <w:tcPr>
            <w:tcW w:w="113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64,534 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66,515 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and other payables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Derivative financial instruments</w:t>
            </w:r>
            <w:r>
              <w:rPr>
                <w:rFonts w:ascii="Times New Roman;serif" w:hAnsi="Times New Roman;serif"/>
                <w:b w:val="false"/>
                <w:color w:val="000000"/>
                <w:sz w:val="10"/>
              </w:rPr>
              <w:t>2</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benefits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Decommissioning and other provisions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113,118 </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112,616 </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1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and other payables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60,742 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Derivative financial instruments</w:t>
            </w:r>
            <w:r>
              <w:rPr>
                <w:rFonts w:ascii="Times New Roman;serif" w:hAnsi="Times New Roman;serif"/>
                <w:b w:val="false"/>
                <w:color w:val="000000"/>
                <w:sz w:val="10"/>
              </w:rPr>
              <w:t>2</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Decommissioning and other provisions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84,793 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81,595 </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Liabilities directly associated with assets classified as held for sale</w:t>
            </w:r>
            <w:r>
              <w:rPr>
                <w:rFonts w:ascii="Times New Roman;serif" w:hAnsi="Times New Roman;serif"/>
                <w:b w:val="false"/>
                <w:color w:val="000000"/>
                <w:sz w:val="10"/>
              </w:rPr>
              <w:t>1</w:t>
            </w:r>
          </w:p>
        </w:tc>
        <w:tc>
          <w:tcPr>
            <w:tcW w:w="7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85,614 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82,415 </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7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198,732</w:t>
            </w:r>
            <w:r>
              <w:rPr>
                <w:color w:val="000000"/>
              </w:rPr>
              <w:t> </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195,031</w:t>
            </w:r>
            <w:r>
              <w:rPr>
                <w:color w:val="000000"/>
              </w:rPr>
              <w:t> </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attributable to Shell plc shareholders</w:t>
            </w:r>
          </w:p>
        </w:tc>
        <w:tc>
          <w:tcPr>
            <w:tcW w:w="7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180,786 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174,392 </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equity</w:t>
            </w:r>
          </w:p>
        </w:tc>
        <w:tc>
          <w:tcPr>
            <w:tcW w:w="7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181,781</w:t>
            </w:r>
            <w:r>
              <w:rPr>
                <w:color w:val="000000"/>
              </w:rPr>
              <w:t>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175,319</w:t>
            </w:r>
            <w:r>
              <w:rPr>
                <w:color w:val="000000"/>
              </w:rPr>
              <w:t> </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equity</w:t>
            </w:r>
          </w:p>
        </w:tc>
        <w:tc>
          <w:tcPr>
            <w:tcW w:w="755"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380,513</w:t>
            </w:r>
            <w:r>
              <w:rPr>
                <w:color w:val="000000"/>
              </w:rPr>
              <w:t> </w:t>
            </w:r>
          </w:p>
        </w:tc>
        <w:tc>
          <w:tcPr>
            <w:tcW w:w="37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370,350</w:t>
            </w:r>
            <w:r>
              <w:rPr>
                <w:color w:val="000000"/>
              </w:rPr>
              <w:t> </w:t>
            </w:r>
          </w:p>
        </w:tc>
        <w:tc>
          <w:tcPr>
            <w:tcW w:w="64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0"/>
        </w:rPr>
        <w:t>1.    </w:t>
      </w:r>
      <w:r>
        <w:rPr>
          <w:rFonts w:ascii="Times New Roman;serif" w:hAnsi="Times New Roman;serif"/>
          <w:b w:val="false"/>
          <w:color w:val="000000"/>
          <w:sz w:val="15"/>
        </w:rPr>
        <w:t>See Note 7 “Other notes to the unaudited Condensed Consolidated Interim Financial Statements”.</w:t>
      </w:r>
    </w:p>
    <w:p>
      <w:pPr>
        <w:pStyle w:val="TextBody"/>
        <w:bidi w:val="0"/>
        <w:spacing w:lineRule="auto" w:line="288" w:before="0" w:after="0"/>
        <w:ind w:left="0" w:right="0" w:hanging="720"/>
        <w:jc w:val="left"/>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5"/>
        </w:rPr>
        <w:t>See Note 6 “Derivative financial instruments and debt excluding lease liabilities”.</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30"/>
        <w:gridCol w:w="785"/>
        <w:gridCol w:w="727"/>
        <w:gridCol w:w="301"/>
        <w:gridCol w:w="301"/>
        <w:gridCol w:w="285"/>
        <w:gridCol w:w="380"/>
        <w:gridCol w:w="380"/>
        <w:gridCol w:w="341"/>
        <w:gridCol w:w="379"/>
        <w:gridCol w:w="337"/>
        <w:gridCol w:w="321"/>
        <w:gridCol w:w="444"/>
        <w:gridCol w:w="387"/>
        <w:gridCol w:w="367"/>
        <w:gridCol w:w="453"/>
        <w:gridCol w:w="283"/>
        <w:gridCol w:w="178"/>
        <w:gridCol w:w="522"/>
        <w:gridCol w:w="522"/>
        <w:gridCol w:w="524"/>
        <w:gridCol w:w="371"/>
        <w:gridCol w:w="365"/>
        <w:gridCol w:w="322"/>
      </w:tblGrid>
      <w:tr>
        <w:trPr/>
        <w:tc>
          <w:tcPr>
            <w:tcW w:w="9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 OF CHANGES IN EQUITY</w:t>
            </w:r>
          </w:p>
        </w:tc>
      </w:tr>
      <w:tr>
        <w:trPr/>
        <w:tc>
          <w:tcPr>
            <w:tcW w:w="24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attributable to Shell plc shareholders</w:t>
            </w:r>
          </w:p>
        </w:tc>
        <w:tc>
          <w:tcPr>
            <w:tcW w:w="15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56" w:before="0" w:after="0"/>
              <w:jc w:val="center"/>
              <w:rPr/>
            </w:pPr>
            <w:r>
              <w:rPr>
                <w:rFonts w:ascii="Times New Roman;serif" w:hAnsi="Times New Roman;serif"/>
                <w:b w:val="false"/>
                <w:color w:val="000000"/>
                <w:sz w:val="16"/>
              </w:rPr>
              <w:t>Share capital</w:t>
            </w:r>
            <w:r>
              <w:rPr>
                <w:rFonts w:ascii="Times New Roman;serif" w:hAnsi="Times New Roman;serif"/>
                <w:b w:val="false"/>
                <w:color w:val="000000"/>
                <w:sz w:val="10"/>
              </w:rPr>
              <w:t>1</w:t>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held in trust</w:t>
            </w:r>
          </w:p>
        </w:tc>
        <w:tc>
          <w:tcPr>
            <w:tcW w:w="10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reserves²</w:t>
            </w:r>
          </w:p>
        </w:tc>
        <w:tc>
          <w:tcPr>
            <w:tcW w:w="11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5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r>
      <w:tr>
        <w:trPr/>
        <w:tc>
          <w:tcPr>
            <w:tcW w:w="24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January 1, 2026</w:t>
            </w:r>
          </w:p>
        </w:tc>
        <w:tc>
          <w:tcPr>
            <w:tcW w:w="6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w:t>
            </w:r>
          </w:p>
        </w:tc>
        <w:tc>
          <w:tcPr>
            <w:tcW w:w="3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21,234 </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153,528 </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174,392 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5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175,319 </w:t>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income/(loss) for the period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from other comprehensive income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Dividends³</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changes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June 30, 2026</w:t>
            </w:r>
          </w:p>
        </w:tc>
        <w:tc>
          <w:tcPr>
            <w:tcW w:w="6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2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3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19,856 </w:t>
            </w:r>
          </w:p>
        </w:tc>
        <w:tc>
          <w:tcPr>
            <w:tcW w:w="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160,702 </w:t>
            </w:r>
          </w:p>
        </w:tc>
        <w:tc>
          <w:tcPr>
            <w:tcW w:w="3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180,786 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5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181,781 </w:t>
            </w:r>
          </w:p>
        </w:tc>
        <w:tc>
          <w:tcPr>
            <w:tcW w:w="3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January 1, 2025</w:t>
            </w:r>
          </w:p>
        </w:tc>
        <w:tc>
          <w:tcPr>
            <w:tcW w:w="6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w:t>
            </w:r>
          </w:p>
        </w:tc>
        <w:tc>
          <w:tcPr>
            <w:tcW w:w="3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19,766 </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158,834 </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178,307 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1,861 </w:t>
            </w:r>
          </w:p>
        </w:tc>
        <w:tc>
          <w:tcPr>
            <w:tcW w:w="5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180,168 </w:t>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income/(loss) for the period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from other comprehensive income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Dividends³</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Repurchases of shares</w:t>
            </w:r>
            <w:r>
              <w:rPr>
                <w:rFonts w:ascii="Times New Roman;serif" w:hAnsi="Times New Roman;serif"/>
                <w:b w:val="false"/>
                <w:color w:val="000000"/>
                <w:sz w:val="10"/>
              </w:rPr>
              <w:t>4</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(7,038)</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changes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June 30, 2025</w:t>
            </w:r>
          </w:p>
        </w:tc>
        <w:tc>
          <w:tcPr>
            <w:tcW w:w="60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8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34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25,473 </w:t>
            </w:r>
          </w:p>
        </w:tc>
        <w:tc>
          <w:tcPr>
            <w:tcW w:w="32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155,458 </w:t>
            </w:r>
          </w:p>
        </w:tc>
        <w:tc>
          <w:tcPr>
            <w:tcW w:w="36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181,137 </w:t>
            </w:r>
          </w:p>
        </w:tc>
        <w:tc>
          <w:tcPr>
            <w:tcW w:w="17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1,951 </w:t>
            </w:r>
          </w:p>
        </w:tc>
        <w:tc>
          <w:tcPr>
            <w:tcW w:w="52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183,088 </w:t>
            </w:r>
          </w:p>
        </w:tc>
        <w:tc>
          <w:tcPr>
            <w:tcW w:w="32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10"/>
        </w:rPr>
        <w:t>1.    </w:t>
      </w:r>
      <w:r>
        <w:rPr>
          <w:rFonts w:ascii="Times New Roman;serif" w:hAnsi="Times New Roman;serif"/>
          <w:b w:val="false"/>
          <w:color w:val="000000"/>
          <w:sz w:val="15"/>
        </w:rPr>
        <w:t xml:space="preserve">See Note 4 “Share capital”. </w:t>
      </w:r>
    </w:p>
    <w:p>
      <w:pPr>
        <w:pStyle w:val="TextBody"/>
        <w:bidi w:val="0"/>
        <w:spacing w:lineRule="auto" w:line="288" w:before="0" w:after="0"/>
        <w:ind w:left="0" w:right="0" w:hanging="540"/>
        <w:jc w:val="left"/>
        <w:rPr/>
      </w:pPr>
      <w:r>
        <w:rPr>
          <w:rFonts w:ascii="Times New Roman;serif" w:hAnsi="Times New Roman;serif"/>
          <w:b w:val="false"/>
          <w:color w:val="000000"/>
          <w:sz w:val="10"/>
        </w:rPr>
        <w:t>2.    </w:t>
      </w:r>
      <w:r>
        <w:rPr>
          <w:rFonts w:ascii="Times New Roman;serif" w:hAnsi="Times New Roman;serif"/>
          <w:b w:val="false"/>
          <w:color w:val="000000"/>
          <w:sz w:val="15"/>
        </w:rPr>
        <w:t xml:space="preserve">See Note 5 “Other reserves”. </w:t>
      </w:r>
    </w:p>
    <w:p>
      <w:pPr>
        <w:pStyle w:val="TextBody"/>
        <w:bidi w:val="0"/>
        <w:spacing w:lineRule="auto" w:line="288" w:before="0" w:after="0"/>
        <w:ind w:left="0" w:right="0" w:hanging="540"/>
        <w:jc w:val="left"/>
        <w:rPr/>
      </w:pPr>
      <w:r>
        <w:rPr>
          <w:rFonts w:ascii="Times New Roman;serif" w:hAnsi="Times New Roman;serif"/>
          <w:b w:val="false"/>
          <w:color w:val="000000"/>
          <w:sz w:val="10"/>
        </w:rPr>
        <w:t>3.    </w:t>
      </w:r>
      <w:r>
        <w:rPr>
          <w:rFonts w:ascii="Times New Roman;serif" w:hAnsi="Times New Roman;serif"/>
          <w:b w:val="false"/>
          <w:color w:val="000000"/>
          <w:sz w:val="15"/>
        </w:rPr>
        <w:t xml:space="preserve">The amount charged to retained earnings is based on prevailing exchange rates on payment date. </w:t>
      </w:r>
    </w:p>
    <w:p>
      <w:pPr>
        <w:pStyle w:val="TextBody"/>
        <w:bidi w:val="0"/>
        <w:spacing w:lineRule="auto" w:line="268" w:before="0" w:after="0"/>
        <w:ind w:left="0" w:right="0" w:hanging="54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5"/>
        </w:rPr>
        <w:t>Includes shares committed to repurchase under an irrevocable contract and repurchases subject to settlement at the end of the quarter.</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67"/>
        <w:gridCol w:w="236"/>
        <w:gridCol w:w="205"/>
        <w:gridCol w:w="457"/>
        <w:gridCol w:w="244"/>
        <w:gridCol w:w="205"/>
        <w:gridCol w:w="457"/>
        <w:gridCol w:w="244"/>
        <w:gridCol w:w="205"/>
        <w:gridCol w:w="1986"/>
        <w:gridCol w:w="1797"/>
        <w:gridCol w:w="1794"/>
        <w:gridCol w:w="458"/>
        <w:gridCol w:w="243"/>
        <w:gridCol w:w="205"/>
        <w:gridCol w:w="458"/>
        <w:gridCol w:w="243"/>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 OF CASH FLOWS</w:t>
            </w:r>
          </w:p>
        </w:tc>
      </w:tr>
      <w:tr>
        <w:trPr/>
        <w:tc>
          <w:tcPr>
            <w:tcW w:w="272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55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90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9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55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15,754 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9,328 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5,975 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taxation for the period</w:t>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25,082 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14,934 </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for: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Interest expense (net)</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6"/>
              </w:rPr>
              <w:t>Depreciation, depletion and amortisation</w:t>
            </w:r>
            <w:r>
              <w:rPr>
                <w:rFonts w:ascii="Times New Roman;serif" w:hAnsi="Times New Roman;serif"/>
                <w:b w:val="false"/>
                <w:color w:val="000000"/>
                <w:sz w:val="10"/>
              </w:rPr>
              <w:t>1</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Exploration well write-offs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Net (gains)/losses on sale and revaluation of non-current assets and businesses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Share of (profit)/loss of joint ventures and associates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Dividends received from joint ventures and associates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(Increase)/decrease in inventories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(Increase)/decrease in current receivables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Increase/(decrease) in current payables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Derivative financial instruments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Retirement benefits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Decommissioning and other provisions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6"/>
              </w:rPr>
              <w:t>Other</w:t>
            </w:r>
            <w:r>
              <w:rPr>
                <w:rFonts w:ascii="Times New Roman;serif" w:hAnsi="Times New Roman;serif"/>
                <w:b w:val="false"/>
                <w:color w:val="000000"/>
                <w:sz w:val="10"/>
              </w:rPr>
              <w:t>1</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paid</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21,432</w:t>
            </w:r>
            <w:r>
              <w:rPr>
                <w:color w:val="000000"/>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6,062</w:t>
            </w:r>
            <w:r>
              <w:rPr>
                <w:color w:val="000000"/>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11,937</w:t>
            </w:r>
            <w:r>
              <w:rPr>
                <w:color w:val="000000"/>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 from operating activities</w:t>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27,495</w:t>
            </w:r>
            <w:r>
              <w:rPr>
                <w:color w:val="000000"/>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21,218</w:t>
            </w:r>
            <w:r>
              <w:rPr>
                <w:color w:val="000000"/>
              </w:rPr>
              <w:t> </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(3,757)</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(5,393)</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w:t>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(7,787)</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(9,141)</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joint ventures and associates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equity securities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(4,237)</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(4,202)</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(5,817)</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capital expenditure</w:t>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(8,439)</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(9,993)</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plant and equipment and businesses</w:t>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joint ventures and associates from sale, capital reduction and repayment of long-term loans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equity securities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received</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cash inflows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Other investing cash outflows</w:t>
            </w:r>
            <w:r>
              <w:rPr>
                <w:rFonts w:ascii="Times New Roman;serif" w:hAnsi="Times New Roman;serif"/>
                <w:b w:val="false"/>
                <w:color w:val="000000"/>
                <w:sz w:val="10"/>
              </w:rPr>
              <w:t>1</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(3,908)</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(3,136)</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(5,406)</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 from investing activities</w:t>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(7,044)</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(9,365)</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increase/(decrease) in debt with maturity period within three months</w:t>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color w:val="000000"/>
              </w:rPr>
            </w:pPr>
            <w:r>
              <w:rPr>
                <w:color w:val="000000"/>
              </w:rPr>
              <w:t xml:space="preserve">– </w:t>
            </w:r>
            <w:r>
              <w:rPr>
                <w:rFonts w:ascii="Times New Roman;serif" w:hAnsi="Times New Roman;serif"/>
                <w:b w:val="false"/>
                <w:color w:val="000000"/>
                <w:sz w:val="16"/>
              </w:rPr>
              <w:t>New borrowings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Repayments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financial instruments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non-controlling interest</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 to:</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Shell plc shareholders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Non-controlling interest</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held in trust: net sales/(purchases) and dividends received</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(9,166)</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(9,820)</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(10,106)</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 from financing activities</w:t>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(18,986)</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(19,289)</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(205)</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655</w:t>
            </w:r>
            <w:r>
              <w:rPr>
                <w:color w:val="000000"/>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Effects of exchange rate changes on cash and cash equivalents</w:t>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(306)</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1,008</w:t>
            </w:r>
            <w:r>
              <w:rPr>
                <w:color w:val="000000"/>
              </w:rPr>
              <w:t> </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8,257</w:t>
            </w:r>
            <w:r>
              <w:rPr>
                <w:color w:val="000000"/>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(7,098)</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(2,919)</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Increase/(decrease) in cash and cash equivalents</w:t>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1,159</w:t>
            </w:r>
            <w:r>
              <w:rPr>
                <w:color w:val="000000"/>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(6,428)</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23,117</w:t>
            </w:r>
            <w:r>
              <w:rPr>
                <w:color w:val="000000"/>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30,216</w:t>
            </w:r>
            <w:r>
              <w:rPr>
                <w:color w:val="000000"/>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35,601</w:t>
            </w:r>
            <w:r>
              <w:rPr>
                <w:color w:val="000000"/>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at beginning of period</w:t>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30,216</w:t>
            </w:r>
            <w:r>
              <w:rPr>
                <w:color w:val="000000"/>
              </w:rPr>
              <w:t>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39,110</w:t>
            </w:r>
            <w:r>
              <w:rPr>
                <w:color w:val="000000"/>
              </w:rPr>
              <w:t> </w:t>
            </w:r>
          </w:p>
        </w:tc>
        <w:tc>
          <w:tcPr>
            <w:tcW w:w="3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31,374</w:t>
            </w:r>
            <w:r>
              <w:rPr>
                <w:color w:val="000000"/>
              </w:rPr>
              <w:t> </w:t>
            </w:r>
          </w:p>
        </w:tc>
        <w:tc>
          <w:tcPr>
            <w:tcW w:w="20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23,117</w:t>
            </w:r>
            <w:r>
              <w:rPr>
                <w:color w:val="000000"/>
              </w:rPr>
              <w:t> </w:t>
            </w:r>
          </w:p>
        </w:tc>
        <w:tc>
          <w:tcPr>
            <w:tcW w:w="20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32,682</w:t>
            </w:r>
            <w:r>
              <w:rPr>
                <w:color w:val="000000"/>
              </w:rPr>
              <w:t> </w:t>
            </w:r>
          </w:p>
        </w:tc>
        <w:tc>
          <w:tcPr>
            <w:tcW w:w="20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at end of period</w:t>
            </w:r>
          </w:p>
        </w:tc>
        <w:tc>
          <w:tcPr>
            <w:tcW w:w="70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31,374</w:t>
            </w:r>
            <w:r>
              <w:rPr>
                <w:color w:val="000000"/>
              </w:rPr>
              <w:t> </w:t>
            </w:r>
          </w:p>
        </w:tc>
        <w:tc>
          <w:tcPr>
            <w:tcW w:w="20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32,682</w:t>
            </w:r>
            <w:r>
              <w:rPr>
                <w:color w:val="000000"/>
              </w:rPr>
              <w:t> </w:t>
            </w:r>
          </w:p>
        </w:tc>
        <w:tc>
          <w:tcPr>
            <w:tcW w:w="30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5"/>
        </w:rPr>
        <w:t>See Note 7 “Other notes to the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00"/>
        <w:jc w:val="left"/>
        <w:rPr>
          <w:rFonts w:ascii="Times New Roman;serif" w:hAnsi="Times New Roman;serif"/>
          <w:b/>
          <w:color w:val="FF0000"/>
          <w:sz w:val="20"/>
        </w:rPr>
      </w:pPr>
      <w:r>
        <w:rPr>
          <w:rFonts w:ascii="Times New Roman;serif" w:hAnsi="Times New Roman;serif"/>
          <w:b/>
          <w:color w:val="FF0000"/>
          <w:sz w:val="20"/>
        </w:rPr>
        <w:t xml:space="preserve">NOTES TO THE UNAUDITED CONDENSED CONSOLIDATED INTERIM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1.    Basis of preparation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unaudited Condensed Consolidated Interim Financial Statements of Shell plc (“the Company”) and its subsidiaries (collectively referred to as “Shell”) have been prepared in accordance with IAS 34 Interim Financial Reporting as issued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the International Accounting Standards Board ("IASB") and adopted by the UK, and on the basis of the same accounting principles as those used in the Company's Annual Report and Accounts (pages 229 to 306) for the year ended December 31, 2025, as filed with the Registrar of Companies for England and Wales and as filed with the Autoriteit Financiële Markten (the Netherlands) and Form 20-F (pages 214 to 290) for the year ended December 31, 2025, as filed with the US Securities and Exchange Commission, and should be read in conjunction with these filings.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presented in the unaudited Condensed Consolidated Interim Financial Statements does not constitute statutory accounts within the meaning of section 434(3) of the Companies Act 2006 (“the Act”). Statutory accounts for the year ended December 31, 2025, were published in Shell's Annual Report and Accounts, a copy of which was delivered to the Registrar of Companies for England and Wales. The auditor's report on those accounts was unqualified, did not include a reference to any matters to which the auditor drew attention by way of emphasis without qualifying the report and did not contain a statement under sections 498(2) or 498(3) of the Act.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Going Concern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unaudited Condensed Consolidated Interim Financial Statements have been prepared on the going concern basis of accounting. In assessing the appropriateness of the going concern assumption over the period to December 31, 2027 (the ‘going concern period’), management have stress tested Shell’s most recent financial projections to incorporate a range of potential future outcomes by considering Shell’s principal risks, potential downside pressures on commodity prices and long-term demand, and potential cash preservation measures. This assessment confirmed that Shell has adequate cash, other liquid resources and undrawn credit facilities to enable it to meet its obligations as they fall due in order to continue its operations during the going concern period. Therefore, the Directors consider it appropriate to continue to adopt the going concern basis of accounting in preparing these unaudited Condensed Consolidated Interim Financial Statements. </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Key accounting considerations, significant judgements and estimates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Future long-term commodity price assumptions, which represent a significant estimate, were subject to change in the second quarter 2026 (see Note 7). Noting continued volatility in markets, price assumptions remain under review.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discount rates applied for impairment testing and the discount rate applied to provisions are reviewed on a regular basis. These discount rates applied in the first half year of 2026 remain unchanged compared with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to IFRS not yet adopted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IFRS 18 Presentation and Disclosure in Financial Statements ("IFRS 18")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IFRS 18 will be adopted as from January 1, 2027. IFRS 18 will have no impact on recognition and measurement. From Shell's impact assessment, it has concluded that the impact will be limited to disclosure and presentation in the Consolidated Financial Statements. For Shell, the primary change will be the reclassification of income and expenses into the operating, investing and financing categories respectively within the Consolidated Statement of Income. In addition, dividends received from joint ventures and associates will be reclassified in the Consolidated Statement of Cash Flows from cash flow from operating activities to cash flow from investing activities, which will impact Cash flow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2.    Segment information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Segment earnings are presented on an Adjusted Earnings basis (Adjusted Earnings), which is the earnings measure used by the Chief Executive Officer, who serves as the Chief Operating Decision Maker, for the purposes of making decisions about allocating resources and assessing performance. This aligns with Shell's focus on performance, discipline and simplification.</w:t>
      </w:r>
    </w:p>
    <w:p>
      <w:pPr>
        <w:pStyle w:val="TextBody"/>
        <w:bidi w:val="0"/>
        <w:spacing w:lineRule="auto" w:line="268" w:before="100" w:after="160"/>
        <w:jc w:val="left"/>
        <w:rPr>
          <w:rFonts w:ascii="Times New Roman;serif" w:hAnsi="Times New Roman;serif"/>
          <w:b w:val="false"/>
          <w:color w:val="000000"/>
          <w:sz w:val="20"/>
        </w:rPr>
      </w:pPr>
      <w:r>
        <w:rPr>
          <w:rFonts w:ascii="Times New Roman;serif" w:hAnsi="Times New Roman;serif"/>
          <w:b w:val="false"/>
          <w:color w:val="000000"/>
          <w:sz w:val="20"/>
        </w:rPr>
        <w:t>The Adjusted Earnings measure is presented on a current cost of supplies (CCS) basis and aims to facilitate a comparative understanding of Shell's financial performance from period to period by removing the effects of oil price changes on inventory carrying amounts and removing the effects of identified items. Identified items are in some cases driven by external factors and may, either individually or collectively, hinder the comparative understanding of Shell's financial results from period to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160"/>
        <w:jc w:val="left"/>
        <w:rPr>
          <w:rFonts w:ascii="Times New Roman;serif" w:hAnsi="Times New Roman;serif"/>
          <w:b/>
          <w:color w:val="000000"/>
          <w:sz w:val="20"/>
        </w:rPr>
      </w:pPr>
      <w:r>
        <w:rPr>
          <w:rFonts w:ascii="Times New Roman;serif" w:hAnsi="Times New Roman;serif"/>
          <w:b/>
          <w:color w:val="000000"/>
          <w:sz w:val="20"/>
        </w:rPr>
        <w:t>ADJUSTED EARNINGS BY SEGMENT</w:t>
      </w:r>
    </w:p>
    <w:p>
      <w:pPr>
        <w:pStyle w:val="TextBody"/>
        <w:bidi w:val="0"/>
        <w:spacing w:before="12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26"/>
        <w:gridCol w:w="804"/>
        <w:gridCol w:w="812"/>
        <w:gridCol w:w="364"/>
        <w:gridCol w:w="319"/>
        <w:gridCol w:w="320"/>
        <w:gridCol w:w="315"/>
        <w:gridCol w:w="316"/>
        <w:gridCol w:w="256"/>
        <w:gridCol w:w="315"/>
        <w:gridCol w:w="316"/>
        <w:gridCol w:w="276"/>
        <w:gridCol w:w="472"/>
        <w:gridCol w:w="426"/>
        <w:gridCol w:w="428"/>
        <w:gridCol w:w="561"/>
        <w:gridCol w:w="561"/>
        <w:gridCol w:w="563"/>
        <w:gridCol w:w="267"/>
        <w:gridCol w:w="267"/>
        <w:gridCol w:w="266"/>
        <w:gridCol w:w="368"/>
        <w:gridCol w:w="368"/>
        <w:gridCol w:w="219"/>
      </w:tblGrid>
      <w:tr>
        <w:trPr/>
        <w:tc>
          <w:tcPr>
            <w:tcW w:w="102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2026</w:t>
            </w:r>
          </w:p>
        </w:tc>
        <w:tc>
          <w:tcPr>
            <w:tcW w:w="7563"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6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9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6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Shell plc shareholders</w:t>
            </w:r>
          </w:p>
        </w:tc>
        <w:tc>
          <w:tcPr>
            <w:tcW w:w="10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10,821</w:t>
            </w:r>
            <w:r>
              <w:rPr>
                <w:color w:val="000000"/>
              </w:rPr>
              <w:t>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non-controlling interest</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Income/(loss) for the period</w:t>
            </w:r>
          </w:p>
        </w:tc>
        <w:tc>
          <w:tcPr>
            <w:tcW w:w="6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2,680</w:t>
            </w:r>
            <w:r>
              <w:rPr>
                <w:color w:val="000000"/>
              </w:rPr>
              <w:t>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3,579</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1,747</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3,981</w:t>
            </w:r>
            <w:r>
              <w:rPr>
                <w:color w:val="000000"/>
              </w:rPr>
              <w:t> </w:t>
            </w:r>
          </w:p>
        </w:tc>
        <w:tc>
          <w:tcPr>
            <w:tcW w:w="4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(550)</w:t>
            </w:r>
          </w:p>
        </w:tc>
        <w:tc>
          <w:tcPr>
            <w:tcW w:w="5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(631)</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10,805</w:t>
            </w:r>
            <w:r>
              <w:rPr>
                <w:color w:val="000000"/>
              </w:rPr>
              <w:t>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cost of supplies adjustment before taxation</w:t>
            </w:r>
          </w:p>
        </w:tc>
        <w:tc>
          <w:tcPr>
            <w:tcW w:w="10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4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on current cost of supplies adjustment</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Identified items before taxation</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Tax included in identified items </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w:t>
            </w:r>
          </w:p>
        </w:tc>
        <w:tc>
          <w:tcPr>
            <w:tcW w:w="6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2,691</w:t>
            </w:r>
            <w:r>
              <w:rPr>
                <w:color w:val="000000"/>
              </w:rPr>
              <w:t> </w:t>
            </w:r>
          </w:p>
        </w:tc>
        <w:tc>
          <w:tcPr>
            <w:tcW w:w="3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3,485</w:t>
            </w: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1,329</w:t>
            </w:r>
            <w:r>
              <w:rPr>
                <w:color w:val="000000"/>
              </w:rPr>
              <w:t>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2,877</w:t>
            </w:r>
            <w:r>
              <w:rPr>
                <w:color w:val="000000"/>
              </w:rPr>
              <w:t> </w:t>
            </w:r>
          </w:p>
        </w:tc>
        <w:tc>
          <w:tcPr>
            <w:tcW w:w="4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5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(617)</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9,845</w:t>
            </w:r>
            <w:r>
              <w:rPr>
                <w:color w:val="000000"/>
              </w:rPr>
              <w:t>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attributable to Shell plc shareholders</w:t>
            </w:r>
          </w:p>
        </w:tc>
        <w:tc>
          <w:tcPr>
            <w:tcW w:w="10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attributable to non-controlling interest</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7"/>
        <w:gridCol w:w="860"/>
        <w:gridCol w:w="868"/>
        <w:gridCol w:w="338"/>
        <w:gridCol w:w="324"/>
        <w:gridCol w:w="326"/>
        <w:gridCol w:w="285"/>
        <w:gridCol w:w="286"/>
        <w:gridCol w:w="256"/>
        <w:gridCol w:w="285"/>
        <w:gridCol w:w="286"/>
        <w:gridCol w:w="276"/>
        <w:gridCol w:w="458"/>
        <w:gridCol w:w="444"/>
        <w:gridCol w:w="445"/>
        <w:gridCol w:w="590"/>
        <w:gridCol w:w="590"/>
        <w:gridCol w:w="592"/>
        <w:gridCol w:w="265"/>
        <w:gridCol w:w="265"/>
        <w:gridCol w:w="266"/>
        <w:gridCol w:w="301"/>
        <w:gridCol w:w="302"/>
        <w:gridCol w:w="220"/>
      </w:tblGrid>
      <w:tr>
        <w:trPr/>
        <w:tc>
          <w:tcPr>
            <w:tcW w:w="10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Q1 2026</w:t>
            </w:r>
          </w:p>
        </w:tc>
        <w:tc>
          <w:tcPr>
            <w:tcW w:w="7400"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8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7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8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8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Shell plc shareholders</w:t>
            </w:r>
          </w:p>
        </w:tc>
        <w:tc>
          <w:tcPr>
            <w:tcW w:w="9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5,694</w:t>
            </w:r>
            <w:r>
              <w:rPr>
                <w:color w:val="000000"/>
              </w:rPr>
              <w:t>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non-controlling interest</w:t>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w:t>
            </w: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Income/(loss) for the period</w:t>
            </w:r>
          </w:p>
        </w:tc>
        <w:tc>
          <w:tcPr>
            <w:tcW w:w="6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1,321</w:t>
            </w:r>
            <w:r>
              <w:rPr>
                <w:color w:val="000000"/>
              </w:rPr>
              <w:t> </w:t>
            </w:r>
          </w:p>
        </w:tc>
        <w:tc>
          <w:tcPr>
            <w:tcW w:w="3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2,556</w:t>
            </w: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1,895</w:t>
            </w:r>
            <w:r>
              <w:rPr>
                <w:color w:val="000000"/>
              </w:rPr>
              <w:t>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395</w:t>
            </w:r>
            <w:r>
              <w:rPr>
                <w:color w:val="000000"/>
              </w:rPr>
              <w:t> </w:t>
            </w:r>
          </w:p>
        </w:tc>
        <w:tc>
          <w:tcPr>
            <w:tcW w:w="44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527</w:t>
            </w:r>
            <w:r>
              <w:rPr>
                <w:color w:val="000000"/>
              </w:rPr>
              <w:t> </w:t>
            </w:r>
          </w:p>
        </w:tc>
        <w:tc>
          <w:tcPr>
            <w:tcW w:w="5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(937)</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5,758</w:t>
            </w:r>
            <w:r>
              <w:rPr>
                <w:color w:val="000000"/>
              </w:rPr>
              <w:t>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cost of supplies adjustment before taxation</w:t>
            </w:r>
          </w:p>
        </w:tc>
        <w:tc>
          <w:tcPr>
            <w:tcW w:w="6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w:t>
            </w:r>
          </w:p>
        </w:tc>
        <w:tc>
          <w:tcPr>
            <w:tcW w:w="4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on current cost of supplies adjustment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Identified items before taxation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included in identified items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w:t>
            </w:r>
          </w:p>
        </w:tc>
        <w:tc>
          <w:tcPr>
            <w:tcW w:w="6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1,819</w:t>
            </w:r>
            <w:r>
              <w:rPr>
                <w:color w:val="000000"/>
              </w:rPr>
              <w:t> </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2,377</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1,334</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1,925</w:t>
            </w:r>
            <w:r>
              <w:rPr>
                <w:color w:val="000000"/>
              </w:rPr>
              <w:t> </w:t>
            </w:r>
          </w:p>
        </w:tc>
        <w:tc>
          <w:tcPr>
            <w:tcW w:w="4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w:t>
            </w:r>
            <w:r>
              <w:rPr>
                <w:color w:val="000000"/>
              </w:rPr>
              <w:t> </w:t>
            </w:r>
          </w:p>
        </w:tc>
        <w:tc>
          <w:tcPr>
            <w:tcW w:w="5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(908)</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6,894</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attributable to Shell plc shareholders</w:t>
            </w:r>
          </w:p>
        </w:tc>
        <w:tc>
          <w:tcPr>
            <w:tcW w:w="9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6,915 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attributable to non-controlling interest</w:t>
            </w:r>
          </w:p>
        </w:tc>
        <w:tc>
          <w:tcPr>
            <w:tcW w:w="988"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20"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8"/>
        <w:gridCol w:w="840"/>
        <w:gridCol w:w="847"/>
        <w:gridCol w:w="348"/>
        <w:gridCol w:w="348"/>
        <w:gridCol w:w="349"/>
        <w:gridCol w:w="285"/>
        <w:gridCol w:w="286"/>
        <w:gridCol w:w="271"/>
        <w:gridCol w:w="290"/>
        <w:gridCol w:w="290"/>
        <w:gridCol w:w="291"/>
        <w:gridCol w:w="458"/>
        <w:gridCol w:w="458"/>
        <w:gridCol w:w="460"/>
        <w:gridCol w:w="579"/>
        <w:gridCol w:w="579"/>
        <w:gridCol w:w="581"/>
        <w:gridCol w:w="265"/>
        <w:gridCol w:w="265"/>
        <w:gridCol w:w="266"/>
        <w:gridCol w:w="285"/>
        <w:gridCol w:w="286"/>
        <w:gridCol w:w="220"/>
      </w:tblGrid>
      <w:tr>
        <w:trPr/>
        <w:tc>
          <w:tcPr>
            <w:tcW w:w="105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2025</w:t>
            </w:r>
          </w:p>
        </w:tc>
        <w:tc>
          <w:tcPr>
            <w:tcW w:w="7460"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Integrated Gas</w:t>
            </w:r>
          </w:p>
        </w:tc>
        <w:tc>
          <w:tcPr>
            <w:tcW w:w="8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Upstream</w:t>
            </w:r>
          </w:p>
        </w:tc>
        <w:tc>
          <w:tcPr>
            <w:tcW w:w="8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Marketing</w:t>
            </w:r>
          </w:p>
        </w:tc>
        <w:tc>
          <w:tcPr>
            <w:tcW w:w="13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Chemicals and Products</w:t>
            </w:r>
          </w:p>
        </w:tc>
        <w:tc>
          <w:tcPr>
            <w:tcW w:w="173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7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Shell plc shareholders</w:t>
            </w:r>
          </w:p>
        </w:tc>
        <w:tc>
          <w:tcPr>
            <w:tcW w:w="10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non-controlling interest</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w:t>
            </w: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Income/(loss) for the period</w:t>
            </w:r>
          </w:p>
        </w:tc>
        <w:tc>
          <w:tcPr>
            <w:tcW w:w="6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1,838</w:t>
            </w:r>
            <w:r>
              <w:rPr>
                <w:color w:val="000000"/>
              </w:rPr>
              <w:t> </w:t>
            </w:r>
          </w:p>
        </w:tc>
        <w:tc>
          <w:tcPr>
            <w:tcW w:w="3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2,008</w:t>
            </w: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766</w:t>
            </w:r>
            <w:r>
              <w:rPr>
                <w:color w:val="000000"/>
              </w:rPr>
              <w:t> </w:t>
            </w:r>
          </w:p>
        </w:tc>
        <w:tc>
          <w:tcPr>
            <w:tcW w:w="2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(174)</w:t>
            </w:r>
          </w:p>
        </w:tc>
        <w:tc>
          <w:tcPr>
            <w:tcW w:w="4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(254)</w:t>
            </w:r>
          </w:p>
        </w:tc>
        <w:tc>
          <w:tcPr>
            <w:tcW w:w="5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(539)</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3,644</w:t>
            </w:r>
            <w:r>
              <w:rPr>
                <w:color w:val="000000"/>
              </w:rPr>
              <w:t>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cost of supplies adjustment before taxation</w:t>
            </w:r>
          </w:p>
        </w:tc>
        <w:tc>
          <w:tcPr>
            <w:tcW w:w="10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4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on current cost of supplies adjustment</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Identified items before taxation</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Tax included in identified items </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w:t>
            </w:r>
          </w:p>
        </w:tc>
        <w:tc>
          <w:tcPr>
            <w:tcW w:w="6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1,737</w:t>
            </w:r>
            <w:r>
              <w:rPr>
                <w:color w:val="000000"/>
              </w:rPr>
              <w:t> </w:t>
            </w:r>
          </w:p>
        </w:tc>
        <w:tc>
          <w:tcPr>
            <w:tcW w:w="3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1,732</w:t>
            </w: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1,199</w:t>
            </w:r>
            <w:r>
              <w:rPr>
                <w:color w:val="000000"/>
              </w:rPr>
              <w:t> </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4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w:t>
            </w:r>
          </w:p>
        </w:tc>
        <w:tc>
          <w:tcPr>
            <w:tcW w:w="5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(463)</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4,314</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attributable to Shell plc shareholders</w:t>
            </w:r>
          </w:p>
        </w:tc>
        <w:tc>
          <w:tcPr>
            <w:tcW w:w="10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4,264 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attributable to non-controlling interest</w:t>
            </w:r>
          </w:p>
        </w:tc>
        <w:tc>
          <w:tcPr>
            <w:tcW w:w="1045"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20"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94"/>
        <w:gridCol w:w="868"/>
        <w:gridCol w:w="761"/>
        <w:gridCol w:w="336"/>
        <w:gridCol w:w="322"/>
        <w:gridCol w:w="323"/>
        <w:gridCol w:w="285"/>
        <w:gridCol w:w="286"/>
        <w:gridCol w:w="256"/>
        <w:gridCol w:w="300"/>
        <w:gridCol w:w="301"/>
        <w:gridCol w:w="276"/>
        <w:gridCol w:w="450"/>
        <w:gridCol w:w="435"/>
        <w:gridCol w:w="436"/>
        <w:gridCol w:w="575"/>
        <w:gridCol w:w="575"/>
        <w:gridCol w:w="577"/>
        <w:gridCol w:w="300"/>
        <w:gridCol w:w="301"/>
        <w:gridCol w:w="266"/>
        <w:gridCol w:w="330"/>
        <w:gridCol w:w="331"/>
        <w:gridCol w:w="221"/>
      </w:tblGrid>
      <w:tr>
        <w:trPr/>
        <w:tc>
          <w:tcPr>
            <w:tcW w:w="109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7482" w:type="dxa"/>
            <w:gridSpan w:val="21"/>
            <w:tcBorders/>
          </w:tcPr>
          <w:p>
            <w:pPr>
              <w:pStyle w:val="TableContents"/>
              <w:bidi w:val="0"/>
              <w:spacing w:before="0" w:after="283"/>
              <w:jc w:val="left"/>
              <w:rPr>
                <w:sz w:val="4"/>
                <w:szCs w:val="4"/>
              </w:rPr>
            </w:pPr>
            <w:r>
              <w:rPr>
                <w:sz w:val="4"/>
                <w:szCs w:val="4"/>
              </w:rPr>
            </w:r>
          </w:p>
        </w:tc>
      </w:tr>
      <w:tr>
        <w:trPr/>
        <w:tc>
          <w:tcPr>
            <w:tcW w:w="27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2026</w:t>
            </w:r>
          </w:p>
        </w:tc>
        <w:tc>
          <w:tcPr>
            <w:tcW w:w="7482"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7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Shell plc shareholders</w:t>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16,515 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non-controlling interest</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Income/(loss) for the period</w:t>
            </w:r>
          </w:p>
        </w:tc>
        <w:tc>
          <w:tcPr>
            <w:tcW w:w="6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4,002</w:t>
            </w:r>
            <w:r>
              <w:rPr>
                <w:color w:val="000000"/>
              </w:rPr>
              <w:t> </w:t>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6,134</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3,643</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4,376</w:t>
            </w:r>
            <w:r>
              <w:rPr>
                <w:color w:val="000000"/>
              </w:rPr>
              <w:t> </w:t>
            </w:r>
          </w:p>
        </w:tc>
        <w:tc>
          <w:tcPr>
            <w:tcW w:w="4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5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(1,568)</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16,564</w:t>
            </w:r>
            <w:r>
              <w:rPr>
                <w:color w:val="000000"/>
              </w:rPr>
              <w:t>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cost of supplies adjustment before taxation</w:t>
            </w:r>
          </w:p>
        </w:tc>
        <w:tc>
          <w:tcPr>
            <w:tcW w:w="9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w:t>
            </w:r>
          </w:p>
        </w:tc>
        <w:tc>
          <w:tcPr>
            <w:tcW w:w="4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(2,455)</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on current cost of supplies adjustment</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Identified items before taxation</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Tax included in identified items </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w:t>
            </w:r>
          </w:p>
        </w:tc>
        <w:tc>
          <w:tcPr>
            <w:tcW w:w="6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4,509</w:t>
            </w:r>
            <w:r>
              <w:rPr>
                <w:color w:val="000000"/>
              </w:rPr>
              <w:t> </w:t>
            </w:r>
          </w:p>
        </w:tc>
        <w:tc>
          <w:tcPr>
            <w:tcW w:w="3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5,862</w:t>
            </w: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2,663</w:t>
            </w:r>
            <w:r>
              <w:rPr>
                <w:color w:val="000000"/>
              </w:rPr>
              <w:t>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4,802</w:t>
            </w:r>
            <w:r>
              <w:rPr>
                <w:color w:val="000000"/>
              </w:rPr>
              <w:t> </w:t>
            </w:r>
          </w:p>
        </w:tc>
        <w:tc>
          <w:tcPr>
            <w:tcW w:w="4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w:t>
            </w:r>
            <w:r>
              <w:rPr>
                <w:color w:val="000000"/>
              </w:rPr>
              <w:t> </w:t>
            </w:r>
          </w:p>
        </w:tc>
        <w:tc>
          <w:tcPr>
            <w:tcW w:w="5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(1,525)</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16,739</w:t>
            </w:r>
            <w:r>
              <w:rPr>
                <w:color w:val="000000"/>
              </w:rPr>
              <w:t>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attributable to Shell plc shareholders</w:t>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16,751 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attributable to non-controlling interest</w:t>
            </w:r>
          </w:p>
        </w:tc>
        <w:tc>
          <w:tcPr>
            <w:tcW w:w="9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21"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3"/>
        <w:gridCol w:w="889"/>
        <w:gridCol w:w="789"/>
        <w:gridCol w:w="338"/>
        <w:gridCol w:w="324"/>
        <w:gridCol w:w="326"/>
        <w:gridCol w:w="285"/>
        <w:gridCol w:w="286"/>
        <w:gridCol w:w="256"/>
        <w:gridCol w:w="285"/>
        <w:gridCol w:w="286"/>
        <w:gridCol w:w="276"/>
        <w:gridCol w:w="442"/>
        <w:gridCol w:w="442"/>
        <w:gridCol w:w="444"/>
        <w:gridCol w:w="587"/>
        <w:gridCol w:w="587"/>
        <w:gridCol w:w="590"/>
        <w:gridCol w:w="300"/>
        <w:gridCol w:w="302"/>
        <w:gridCol w:w="266"/>
        <w:gridCol w:w="285"/>
        <w:gridCol w:w="286"/>
        <w:gridCol w:w="221"/>
      </w:tblGrid>
      <w:tr>
        <w:trPr/>
        <w:tc>
          <w:tcPr>
            <w:tcW w:w="11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791" w:type="dxa"/>
            <w:gridSpan w:val="3"/>
            <w:tcBorders/>
            <w:vAlign w:val="center"/>
          </w:tcPr>
          <w:p>
            <w:pPr>
              <w:pStyle w:val="TableContents"/>
              <w:bidi w:val="0"/>
              <w:spacing w:before="0" w:after="283"/>
              <w:jc w:val="left"/>
              <w:rPr>
                <w:sz w:val="4"/>
                <w:szCs w:val="4"/>
              </w:rPr>
            </w:pPr>
            <w:r>
              <w:rPr>
                <w:sz w:val="4"/>
                <w:szCs w:val="4"/>
              </w:rPr>
            </w:r>
          </w:p>
        </w:tc>
        <w:tc>
          <w:tcPr>
            <w:tcW w:w="7414" w:type="dxa"/>
            <w:gridSpan w:val="21"/>
            <w:tcBorders/>
          </w:tcPr>
          <w:p>
            <w:pPr>
              <w:pStyle w:val="TableContents"/>
              <w:bidi w:val="0"/>
              <w:spacing w:before="0" w:after="283"/>
              <w:jc w:val="left"/>
              <w:rPr>
                <w:sz w:val="4"/>
                <w:szCs w:val="4"/>
              </w:rPr>
            </w:pPr>
            <w:r>
              <w:rPr>
                <w:sz w:val="4"/>
                <w:szCs w:val="4"/>
              </w:rPr>
            </w:r>
          </w:p>
        </w:tc>
      </w:tr>
      <w:tr>
        <w:trPr/>
        <w:tc>
          <w:tcPr>
            <w:tcW w:w="27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2025</w:t>
            </w:r>
          </w:p>
        </w:tc>
        <w:tc>
          <w:tcPr>
            <w:tcW w:w="7414"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3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7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7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Shell plc shareholders</w:t>
            </w:r>
          </w:p>
        </w:tc>
        <w:tc>
          <w:tcPr>
            <w:tcW w:w="9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8,381 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non-controlling interest</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Income/(loss) for the period</w:t>
            </w:r>
          </w:p>
        </w:tc>
        <w:tc>
          <w:tcPr>
            <w:tcW w:w="6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4,627</w:t>
            </w:r>
            <w:r>
              <w:rPr>
                <w:color w:val="000000"/>
              </w:rPr>
              <w:t> </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4,088</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1,580</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(252)</w:t>
            </w:r>
          </w:p>
        </w:tc>
        <w:tc>
          <w:tcPr>
            <w:tcW w:w="4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w:t>
            </w:r>
          </w:p>
        </w:tc>
        <w:tc>
          <w:tcPr>
            <w:tcW w:w="59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(1,022)</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8,519</w:t>
            </w:r>
            <w:r>
              <w:rPr>
                <w:color w:val="000000"/>
              </w:rPr>
              <w:t>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cost of supplies adjustment before taxation</w:t>
            </w:r>
          </w:p>
        </w:tc>
        <w:tc>
          <w:tcPr>
            <w:tcW w:w="9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4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on current cost of supplies adjustment</w:t>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Identified items before taxation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Tax included in identified items </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w:t>
            </w:r>
          </w:p>
        </w:tc>
        <w:tc>
          <w:tcPr>
            <w:tcW w:w="6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4,220</w:t>
            </w:r>
            <w:r>
              <w:rPr>
                <w:color w:val="000000"/>
              </w:rPr>
              <w:t> </w:t>
            </w:r>
          </w:p>
        </w:tc>
        <w:tc>
          <w:tcPr>
            <w:tcW w:w="3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4,068</w:t>
            </w: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2,100</w:t>
            </w:r>
            <w:r>
              <w:rPr>
                <w:color w:val="000000"/>
              </w:rPr>
              <w:t>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w:t>
            </w:r>
            <w:r>
              <w:rPr>
                <w:color w:val="000000"/>
              </w:rPr>
              <w:t> </w:t>
            </w:r>
          </w:p>
        </w:tc>
        <w:tc>
          <w:tcPr>
            <w:tcW w:w="4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w:t>
            </w:r>
          </w:p>
        </w:tc>
        <w:tc>
          <w:tcPr>
            <w:tcW w:w="5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(920)</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9,984</w:t>
            </w:r>
            <w:r>
              <w:rPr>
                <w:color w:val="000000"/>
              </w:rPr>
              <w:t>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attributable to Shell plc shareholders</w:t>
            </w:r>
          </w:p>
        </w:tc>
        <w:tc>
          <w:tcPr>
            <w:tcW w:w="9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9,841</w:t>
            </w:r>
            <w:r>
              <w:rPr>
                <w:color w:val="000000"/>
              </w:rPr>
              <w:t>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Earnings attributable to non-controlling interest</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21"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76" w:before="0" w:after="160"/>
        <w:jc w:val="left"/>
        <w:rPr>
          <w:rFonts w:ascii="Times New Roman;serif" w:hAnsi="Times New Roman;serif"/>
          <w:b/>
          <w:color w:val="000000"/>
          <w:sz w:val="20"/>
        </w:rPr>
      </w:pPr>
      <w:r>
        <w:rPr>
          <w:rFonts w:ascii="Times New Roman;serif" w:hAnsi="Times New Roman;serif"/>
          <w:b/>
          <w:color w:val="000000"/>
          <w:sz w:val="20"/>
        </w:rPr>
        <w:t>CASH CAPITAL EXPENDITURE BY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capital expenditure is a measure used by the Chief Executive Officer for the purposes of making decisions about allocating resources and assessing performance.</w:t>
      </w:r>
    </w:p>
    <w:tbl>
      <w:tblPr>
        <w:tblW w:w="10205" w:type="dxa"/>
        <w:jc w:val="left"/>
        <w:tblInd w:w="0" w:type="dxa"/>
        <w:tblLayout w:type="fixed"/>
        <w:tblCellMar>
          <w:top w:w="28" w:type="dxa"/>
          <w:left w:w="28" w:type="dxa"/>
          <w:bottom w:w="28" w:type="dxa"/>
          <w:right w:w="28" w:type="dxa"/>
        </w:tblCellMar>
      </w:tblPr>
      <w:tblGrid>
        <w:gridCol w:w="900"/>
        <w:gridCol w:w="782"/>
        <w:gridCol w:w="792"/>
        <w:gridCol w:w="348"/>
        <w:gridCol w:w="339"/>
        <w:gridCol w:w="340"/>
        <w:gridCol w:w="285"/>
        <w:gridCol w:w="286"/>
        <w:gridCol w:w="256"/>
        <w:gridCol w:w="275"/>
        <w:gridCol w:w="275"/>
        <w:gridCol w:w="276"/>
        <w:gridCol w:w="489"/>
        <w:gridCol w:w="489"/>
        <w:gridCol w:w="491"/>
        <w:gridCol w:w="664"/>
        <w:gridCol w:w="664"/>
        <w:gridCol w:w="667"/>
        <w:gridCol w:w="265"/>
        <w:gridCol w:w="265"/>
        <w:gridCol w:w="266"/>
        <w:gridCol w:w="285"/>
        <w:gridCol w:w="286"/>
        <w:gridCol w:w="220"/>
      </w:tblGrid>
      <w:tr>
        <w:trPr/>
        <w:tc>
          <w:tcPr>
            <w:tcW w:w="90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2026</w:t>
            </w:r>
          </w:p>
        </w:tc>
        <w:tc>
          <w:tcPr>
            <w:tcW w:w="7731"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4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4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9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7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w:t>
            </w:r>
          </w:p>
        </w:tc>
        <w:tc>
          <w:tcPr>
            <w:tcW w:w="6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1,097 </w:t>
            </w:r>
          </w:p>
        </w:tc>
        <w:tc>
          <w:tcPr>
            <w:tcW w:w="3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4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4,031 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joint ventures and associates</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equity securities</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capital expenditure</w:t>
            </w:r>
          </w:p>
        </w:tc>
        <w:tc>
          <w:tcPr>
            <w:tcW w:w="68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1,269</w:t>
            </w:r>
            <w:r>
              <w:rPr>
                <w:color w:val="000000"/>
              </w:rPr>
              <w:t> </w:t>
            </w:r>
          </w:p>
        </w:tc>
        <w:tc>
          <w:tcPr>
            <w:tcW w:w="3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1,633</w:t>
            </w:r>
            <w:r>
              <w:rPr>
                <w:color w:val="000000"/>
              </w:rPr>
              <w:t> </w:t>
            </w:r>
          </w:p>
        </w:tc>
        <w:tc>
          <w:tcPr>
            <w:tcW w:w="2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380</w:t>
            </w:r>
            <w:r>
              <w:rPr>
                <w:color w:val="000000"/>
              </w:rPr>
              <w:t> </w:t>
            </w:r>
          </w:p>
        </w:tc>
        <w:tc>
          <w:tcPr>
            <w:tcW w:w="2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507</w:t>
            </w:r>
            <w:r>
              <w:rPr>
                <w:color w:val="000000"/>
              </w:rPr>
              <w:t> </w:t>
            </w:r>
          </w:p>
        </w:tc>
        <w:tc>
          <w:tcPr>
            <w:tcW w:w="49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429</w:t>
            </w:r>
            <w:r>
              <w:rPr>
                <w:color w:val="000000"/>
              </w:rPr>
              <w:t> </w:t>
            </w:r>
          </w:p>
        </w:tc>
        <w:tc>
          <w:tcPr>
            <w:tcW w:w="66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2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4,237</w:t>
            </w:r>
            <w:r>
              <w:rPr>
                <w:color w:val="000000"/>
              </w:rPr>
              <w:t> </w:t>
            </w:r>
          </w:p>
        </w:tc>
        <w:tc>
          <w:tcPr>
            <w:tcW w:w="22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8"/>
        <w:gridCol w:w="734"/>
        <w:gridCol w:w="743"/>
        <w:gridCol w:w="358"/>
        <w:gridCol w:w="358"/>
        <w:gridCol w:w="360"/>
        <w:gridCol w:w="285"/>
        <w:gridCol w:w="286"/>
        <w:gridCol w:w="271"/>
        <w:gridCol w:w="290"/>
        <w:gridCol w:w="290"/>
        <w:gridCol w:w="291"/>
        <w:gridCol w:w="490"/>
        <w:gridCol w:w="490"/>
        <w:gridCol w:w="492"/>
        <w:gridCol w:w="648"/>
        <w:gridCol w:w="648"/>
        <w:gridCol w:w="650"/>
        <w:gridCol w:w="290"/>
        <w:gridCol w:w="290"/>
        <w:gridCol w:w="291"/>
        <w:gridCol w:w="285"/>
        <w:gridCol w:w="286"/>
        <w:gridCol w:w="231"/>
      </w:tblGrid>
      <w:tr>
        <w:trPr/>
        <w:tc>
          <w:tcPr>
            <w:tcW w:w="84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Q1 2026</w:t>
            </w:r>
          </w:p>
        </w:tc>
        <w:tc>
          <w:tcPr>
            <w:tcW w:w="7880"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3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Integrated Gas</w:t>
            </w:r>
          </w:p>
        </w:tc>
        <w:tc>
          <w:tcPr>
            <w:tcW w:w="8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Upstream</w:t>
            </w:r>
          </w:p>
        </w:tc>
        <w:tc>
          <w:tcPr>
            <w:tcW w:w="8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Marketing</w:t>
            </w:r>
          </w:p>
        </w:tc>
        <w:tc>
          <w:tcPr>
            <w:tcW w:w="14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Chemicals and Products</w:t>
            </w:r>
          </w:p>
        </w:tc>
        <w:tc>
          <w:tcPr>
            <w:tcW w:w="19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and Energy Solutions</w:t>
            </w:r>
          </w:p>
        </w:tc>
        <w:tc>
          <w:tcPr>
            <w:tcW w:w="8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8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w:t>
            </w:r>
          </w:p>
        </w:tc>
        <w:tc>
          <w:tcPr>
            <w:tcW w:w="7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3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4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6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3,757 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joint ventures and associates</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equity securities</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capital expenditure</w:t>
            </w:r>
          </w:p>
        </w:tc>
        <w:tc>
          <w:tcPr>
            <w:tcW w:w="71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1,014</w:t>
            </w:r>
            <w:r>
              <w:rPr>
                <w:color w:val="000000"/>
              </w:rPr>
              <w:t> </w:t>
            </w:r>
          </w:p>
        </w:tc>
        <w:tc>
          <w:tcPr>
            <w:tcW w:w="36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2,159</w:t>
            </w:r>
            <w:r>
              <w:rPr>
                <w:color w:val="000000"/>
              </w:rPr>
              <w:t> </w:t>
            </w:r>
          </w:p>
        </w:tc>
        <w:tc>
          <w:tcPr>
            <w:tcW w:w="27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248</w:t>
            </w:r>
            <w:r>
              <w:rPr>
                <w:color w:val="000000"/>
              </w:rPr>
              <w:t> </w:t>
            </w:r>
          </w:p>
        </w:tc>
        <w:tc>
          <w:tcPr>
            <w:tcW w:w="29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363</w:t>
            </w:r>
            <w:r>
              <w:rPr>
                <w:color w:val="000000"/>
              </w:rPr>
              <w:t> </w:t>
            </w:r>
          </w:p>
        </w:tc>
        <w:tc>
          <w:tcPr>
            <w:tcW w:w="49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404</w:t>
            </w:r>
            <w:r>
              <w:rPr>
                <w:color w:val="000000"/>
              </w:rPr>
              <w:t> </w:t>
            </w:r>
          </w:p>
        </w:tc>
        <w:tc>
          <w:tcPr>
            <w:tcW w:w="65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w:t>
            </w:r>
            <w:r>
              <w:rPr>
                <w:color w:val="000000"/>
              </w:rPr>
              <w:t> </w:t>
            </w:r>
          </w:p>
        </w:tc>
        <w:tc>
          <w:tcPr>
            <w:tcW w:w="29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4,202</w:t>
            </w:r>
            <w:r>
              <w:rPr>
                <w:color w:val="000000"/>
              </w:rPr>
              <w:t> </w:t>
            </w:r>
          </w:p>
        </w:tc>
        <w:tc>
          <w:tcPr>
            <w:tcW w:w="23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0"/>
        <w:gridCol w:w="782"/>
        <w:gridCol w:w="792"/>
        <w:gridCol w:w="348"/>
        <w:gridCol w:w="339"/>
        <w:gridCol w:w="340"/>
        <w:gridCol w:w="285"/>
        <w:gridCol w:w="286"/>
        <w:gridCol w:w="256"/>
        <w:gridCol w:w="275"/>
        <w:gridCol w:w="275"/>
        <w:gridCol w:w="276"/>
        <w:gridCol w:w="489"/>
        <w:gridCol w:w="489"/>
        <w:gridCol w:w="491"/>
        <w:gridCol w:w="664"/>
        <w:gridCol w:w="664"/>
        <w:gridCol w:w="667"/>
        <w:gridCol w:w="265"/>
        <w:gridCol w:w="265"/>
        <w:gridCol w:w="266"/>
        <w:gridCol w:w="285"/>
        <w:gridCol w:w="286"/>
        <w:gridCol w:w="220"/>
      </w:tblGrid>
      <w:tr>
        <w:trPr/>
        <w:tc>
          <w:tcPr>
            <w:tcW w:w="90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2025</w:t>
            </w:r>
          </w:p>
        </w:tc>
        <w:tc>
          <w:tcPr>
            <w:tcW w:w="7731"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4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4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9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7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w:t>
            </w:r>
          </w:p>
        </w:tc>
        <w:tc>
          <w:tcPr>
            <w:tcW w:w="6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3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4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5,393 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joint ventures and associates</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equity securities</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capital expenditure</w:t>
            </w:r>
          </w:p>
        </w:tc>
        <w:tc>
          <w:tcPr>
            <w:tcW w:w="68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1,196</w:t>
            </w:r>
            <w:r>
              <w:rPr>
                <w:color w:val="000000"/>
              </w:rPr>
              <w:t> </w:t>
            </w:r>
          </w:p>
        </w:tc>
        <w:tc>
          <w:tcPr>
            <w:tcW w:w="3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2,826</w:t>
            </w:r>
            <w:r>
              <w:rPr>
                <w:color w:val="000000"/>
              </w:rPr>
              <w:t> </w:t>
            </w:r>
          </w:p>
        </w:tc>
        <w:tc>
          <w:tcPr>
            <w:tcW w:w="2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429</w:t>
            </w:r>
            <w:r>
              <w:rPr>
                <w:color w:val="000000"/>
              </w:rPr>
              <w:t> </w:t>
            </w:r>
          </w:p>
        </w:tc>
        <w:tc>
          <w:tcPr>
            <w:tcW w:w="2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775</w:t>
            </w:r>
            <w:r>
              <w:rPr>
                <w:color w:val="000000"/>
              </w:rPr>
              <w:t> </w:t>
            </w:r>
          </w:p>
        </w:tc>
        <w:tc>
          <w:tcPr>
            <w:tcW w:w="49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555</w:t>
            </w:r>
            <w:r>
              <w:rPr>
                <w:color w:val="000000"/>
              </w:rPr>
              <w:t> </w:t>
            </w:r>
          </w:p>
        </w:tc>
        <w:tc>
          <w:tcPr>
            <w:tcW w:w="66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w:t>
            </w:r>
            <w:r>
              <w:rPr>
                <w:color w:val="000000"/>
              </w:rPr>
              <w:t> </w:t>
            </w:r>
          </w:p>
        </w:tc>
        <w:tc>
          <w:tcPr>
            <w:tcW w:w="2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5,817</w:t>
            </w:r>
            <w:r>
              <w:rPr>
                <w:color w:val="000000"/>
              </w:rPr>
              <w:t> </w:t>
            </w:r>
          </w:p>
        </w:tc>
        <w:tc>
          <w:tcPr>
            <w:tcW w:w="22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32"/>
        <w:gridCol w:w="797"/>
        <w:gridCol w:w="745"/>
        <w:gridCol w:w="348"/>
        <w:gridCol w:w="339"/>
        <w:gridCol w:w="340"/>
        <w:gridCol w:w="285"/>
        <w:gridCol w:w="286"/>
        <w:gridCol w:w="256"/>
        <w:gridCol w:w="275"/>
        <w:gridCol w:w="275"/>
        <w:gridCol w:w="276"/>
        <w:gridCol w:w="489"/>
        <w:gridCol w:w="489"/>
        <w:gridCol w:w="491"/>
        <w:gridCol w:w="664"/>
        <w:gridCol w:w="664"/>
        <w:gridCol w:w="667"/>
        <w:gridCol w:w="265"/>
        <w:gridCol w:w="265"/>
        <w:gridCol w:w="266"/>
        <w:gridCol w:w="285"/>
        <w:gridCol w:w="286"/>
        <w:gridCol w:w="220"/>
      </w:tblGrid>
      <w:tr>
        <w:trPr/>
        <w:tc>
          <w:tcPr>
            <w:tcW w:w="9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7731" w:type="dxa"/>
            <w:gridSpan w:val="21"/>
            <w:tcBorders/>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2026</w:t>
            </w:r>
          </w:p>
        </w:tc>
        <w:tc>
          <w:tcPr>
            <w:tcW w:w="773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w:t>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joint ventures and associates</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equity securities</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capital expenditure</w:t>
            </w:r>
          </w:p>
        </w:tc>
        <w:tc>
          <w:tcPr>
            <w:tcW w:w="6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2,283</w:t>
            </w:r>
            <w:r>
              <w:rPr>
                <w:color w:val="000000"/>
              </w:rPr>
              <w:t> </w:t>
            </w:r>
          </w:p>
        </w:tc>
        <w:tc>
          <w:tcPr>
            <w:tcW w:w="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3,792</w:t>
            </w:r>
            <w:r>
              <w:rPr>
                <w:color w:val="000000"/>
              </w:rPr>
              <w:t>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628</w:t>
            </w:r>
            <w:r>
              <w:rPr>
                <w:color w:val="000000"/>
              </w:rPr>
              <w:t>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870</w:t>
            </w:r>
            <w:r>
              <w:rPr>
                <w:color w:val="000000"/>
              </w:rPr>
              <w:t> </w:t>
            </w:r>
          </w:p>
        </w:tc>
        <w:tc>
          <w:tcPr>
            <w:tcW w:w="4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833</w:t>
            </w:r>
            <w:r>
              <w:rPr>
                <w:color w:val="000000"/>
              </w:rPr>
              <w:t> </w:t>
            </w:r>
          </w:p>
        </w:tc>
        <w:tc>
          <w:tcPr>
            <w:tcW w:w="6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8,439</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1"/>
        <w:gridCol w:w="796"/>
        <w:gridCol w:w="743"/>
        <w:gridCol w:w="348"/>
        <w:gridCol w:w="339"/>
        <w:gridCol w:w="340"/>
        <w:gridCol w:w="285"/>
        <w:gridCol w:w="286"/>
        <w:gridCol w:w="256"/>
        <w:gridCol w:w="275"/>
        <w:gridCol w:w="275"/>
        <w:gridCol w:w="276"/>
        <w:gridCol w:w="498"/>
        <w:gridCol w:w="489"/>
        <w:gridCol w:w="490"/>
        <w:gridCol w:w="663"/>
        <w:gridCol w:w="663"/>
        <w:gridCol w:w="666"/>
        <w:gridCol w:w="265"/>
        <w:gridCol w:w="265"/>
        <w:gridCol w:w="266"/>
        <w:gridCol w:w="285"/>
        <w:gridCol w:w="286"/>
        <w:gridCol w:w="219"/>
      </w:tblGrid>
      <w:tr>
        <w:trPr/>
        <w:tc>
          <w:tcPr>
            <w:tcW w:w="93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7735" w:type="dxa"/>
            <w:gridSpan w:val="21"/>
            <w:tcBorders/>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2025</w:t>
            </w:r>
          </w:p>
        </w:tc>
        <w:tc>
          <w:tcPr>
            <w:tcW w:w="773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w:t>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joint ventures and associates</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equity securities</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capital expenditure</w:t>
            </w:r>
          </w:p>
        </w:tc>
        <w:tc>
          <w:tcPr>
            <w:tcW w:w="6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2,313</w:t>
            </w:r>
            <w:r>
              <w:rPr>
                <w:color w:val="000000"/>
              </w:rPr>
              <w:t> </w:t>
            </w:r>
          </w:p>
        </w:tc>
        <w:tc>
          <w:tcPr>
            <w:tcW w:w="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4,749</w:t>
            </w:r>
            <w:r>
              <w:rPr>
                <w:color w:val="000000"/>
              </w:rPr>
              <w:t>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684</w:t>
            </w:r>
            <w:r>
              <w:rPr>
                <w:color w:val="000000"/>
              </w:rPr>
              <w:t>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1,233</w:t>
            </w:r>
            <w:r>
              <w:rPr>
                <w:color w:val="000000"/>
              </w:rPr>
              <w:t> </w:t>
            </w:r>
          </w:p>
        </w:tc>
        <w:tc>
          <w:tcPr>
            <w:tcW w:w="4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958</w:t>
            </w:r>
            <w:r>
              <w:rPr>
                <w:color w:val="000000"/>
              </w:rPr>
              <w:t> </w:t>
            </w:r>
          </w:p>
        </w:tc>
        <w:tc>
          <w:tcPr>
            <w:tcW w:w="6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w:t>
            </w:r>
            <w:r>
              <w:rPr>
                <w:color w:val="000000"/>
              </w:rPr>
              <w:t> </w:t>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9,993</w:t>
            </w:r>
            <w:r>
              <w:rPr>
                <w:color w:val="000000"/>
              </w:rPr>
              <w:t> </w:t>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160"/>
        <w:jc w:val="left"/>
        <w:rPr>
          <w:rFonts w:ascii="Times New Roman;serif" w:hAnsi="Times New Roman;serif"/>
          <w:b/>
          <w:color w:val="000000"/>
          <w:sz w:val="20"/>
        </w:rPr>
      </w:pPr>
      <w:r>
        <w:rPr>
          <w:rFonts w:ascii="Times New Roman;serif" w:hAnsi="Times New Roman;serif"/>
          <w:b/>
          <w:color w:val="000000"/>
          <w:sz w:val="20"/>
        </w:rPr>
        <w:t>REVENUE BY SEGMENT</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Third-party revenue includes revenue from sources other than from contracts with customers, which mainly comprises the impact of fair value accounting of commodity derivatives.</w:t>
      </w:r>
    </w:p>
    <w:tbl>
      <w:tblPr>
        <w:tblW w:w="10205" w:type="dxa"/>
        <w:jc w:val="left"/>
        <w:tblInd w:w="0" w:type="dxa"/>
        <w:tblLayout w:type="fixed"/>
        <w:tblCellMar>
          <w:top w:w="28" w:type="dxa"/>
          <w:left w:w="28" w:type="dxa"/>
          <w:bottom w:w="28" w:type="dxa"/>
          <w:right w:w="28" w:type="dxa"/>
        </w:tblCellMar>
      </w:tblPr>
      <w:tblGrid>
        <w:gridCol w:w="617"/>
        <w:gridCol w:w="532"/>
        <w:gridCol w:w="476"/>
        <w:gridCol w:w="369"/>
        <w:gridCol w:w="360"/>
        <w:gridCol w:w="362"/>
        <w:gridCol w:w="323"/>
        <w:gridCol w:w="323"/>
        <w:gridCol w:w="256"/>
        <w:gridCol w:w="323"/>
        <w:gridCol w:w="323"/>
        <w:gridCol w:w="276"/>
        <w:gridCol w:w="565"/>
        <w:gridCol w:w="556"/>
        <w:gridCol w:w="558"/>
        <w:gridCol w:w="774"/>
        <w:gridCol w:w="774"/>
        <w:gridCol w:w="777"/>
        <w:gridCol w:w="265"/>
        <w:gridCol w:w="265"/>
        <w:gridCol w:w="266"/>
        <w:gridCol w:w="323"/>
        <w:gridCol w:w="323"/>
        <w:gridCol w:w="219"/>
      </w:tblGrid>
      <w:tr>
        <w:trPr/>
        <w:tc>
          <w:tcPr>
            <w:tcW w:w="61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2026</w:t>
            </w:r>
          </w:p>
        </w:tc>
        <w:tc>
          <w:tcPr>
            <w:tcW w:w="858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16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9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6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23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8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0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Third-party revenue</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11,278 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34,235 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9,338 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729"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2,066 </w:t>
            </w:r>
          </w:p>
        </w:tc>
        <w:tc>
          <w:tcPr>
            <w:tcW w:w="36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11,621 </w:t>
            </w:r>
          </w:p>
        </w:tc>
        <w:tc>
          <w:tcPr>
            <w:tcW w:w="2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3,624 </w:t>
            </w:r>
          </w:p>
        </w:tc>
        <w:tc>
          <w:tcPr>
            <w:tcW w:w="27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13,306 </w:t>
            </w:r>
          </w:p>
        </w:tc>
        <w:tc>
          <w:tcPr>
            <w:tcW w:w="558"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777"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31,762 </w:t>
            </w:r>
          </w:p>
        </w:tc>
        <w:tc>
          <w:tcPr>
            <w:tcW w:w="21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6"/>
        <w:jc w:val="left"/>
        <w:rPr/>
      </w:pPr>
      <w:r>
        <w:rPr/>
      </w:r>
    </w:p>
    <w:tbl>
      <w:tblPr>
        <w:tblW w:w="10205" w:type="dxa"/>
        <w:jc w:val="left"/>
        <w:tblInd w:w="0" w:type="dxa"/>
        <w:tblLayout w:type="fixed"/>
        <w:tblCellMar>
          <w:top w:w="28" w:type="dxa"/>
          <w:left w:w="28" w:type="dxa"/>
          <w:bottom w:w="28" w:type="dxa"/>
          <w:right w:w="28" w:type="dxa"/>
        </w:tblCellMar>
      </w:tblPr>
      <w:tblGrid>
        <w:gridCol w:w="621"/>
        <w:gridCol w:w="539"/>
        <w:gridCol w:w="483"/>
        <w:gridCol w:w="364"/>
        <w:gridCol w:w="363"/>
        <w:gridCol w:w="365"/>
        <w:gridCol w:w="278"/>
        <w:gridCol w:w="278"/>
        <w:gridCol w:w="256"/>
        <w:gridCol w:w="323"/>
        <w:gridCol w:w="323"/>
        <w:gridCol w:w="276"/>
        <w:gridCol w:w="572"/>
        <w:gridCol w:w="565"/>
        <w:gridCol w:w="567"/>
        <w:gridCol w:w="791"/>
        <w:gridCol w:w="789"/>
        <w:gridCol w:w="792"/>
        <w:gridCol w:w="265"/>
        <w:gridCol w:w="265"/>
        <w:gridCol w:w="266"/>
        <w:gridCol w:w="323"/>
        <w:gridCol w:w="323"/>
        <w:gridCol w:w="218"/>
      </w:tblGrid>
      <w:tr>
        <w:trPr/>
        <w:tc>
          <w:tcPr>
            <w:tcW w:w="6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Q1 2026</w:t>
            </w:r>
          </w:p>
        </w:tc>
        <w:tc>
          <w:tcPr>
            <w:tcW w:w="8562"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16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9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7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23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8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6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0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Third-party revenue</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19,221 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10,622 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69,691 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72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3,410 </w:t>
            </w:r>
          </w:p>
        </w:tc>
        <w:tc>
          <w:tcPr>
            <w:tcW w:w="365"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9,389 </w:t>
            </w:r>
          </w:p>
        </w:tc>
        <w:tc>
          <w:tcPr>
            <w:tcW w:w="2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2,245 </w:t>
            </w:r>
          </w:p>
        </w:tc>
        <w:tc>
          <w:tcPr>
            <w:tcW w:w="27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9,660 </w:t>
            </w:r>
          </w:p>
        </w:tc>
        <w:tc>
          <w:tcPr>
            <w:tcW w:w="567"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7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26,055 </w:t>
            </w:r>
          </w:p>
        </w:tc>
        <w:tc>
          <w:tcPr>
            <w:tcW w:w="218"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1"/>
        <w:gridCol w:w="539"/>
        <w:gridCol w:w="483"/>
        <w:gridCol w:w="364"/>
        <w:gridCol w:w="363"/>
        <w:gridCol w:w="365"/>
        <w:gridCol w:w="278"/>
        <w:gridCol w:w="278"/>
        <w:gridCol w:w="256"/>
        <w:gridCol w:w="323"/>
        <w:gridCol w:w="323"/>
        <w:gridCol w:w="276"/>
        <w:gridCol w:w="572"/>
        <w:gridCol w:w="566"/>
        <w:gridCol w:w="568"/>
        <w:gridCol w:w="789"/>
        <w:gridCol w:w="789"/>
        <w:gridCol w:w="792"/>
        <w:gridCol w:w="265"/>
        <w:gridCol w:w="265"/>
        <w:gridCol w:w="266"/>
        <w:gridCol w:w="323"/>
        <w:gridCol w:w="323"/>
        <w:gridCol w:w="218"/>
      </w:tblGrid>
      <w:tr>
        <w:trPr/>
        <w:tc>
          <w:tcPr>
            <w:tcW w:w="6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2025</w:t>
            </w:r>
          </w:p>
        </w:tc>
        <w:tc>
          <w:tcPr>
            <w:tcW w:w="8562"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16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9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7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23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8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6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0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Third-party revenue</w:t>
            </w:r>
          </w:p>
        </w:tc>
        <w:tc>
          <w:tcPr>
            <w:tcW w:w="7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9,576 </w:t>
            </w:r>
          </w:p>
        </w:tc>
        <w:tc>
          <w:tcPr>
            <w:tcW w:w="3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28,241 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18,388 </w:t>
            </w:r>
          </w:p>
        </w:tc>
        <w:tc>
          <w:tcPr>
            <w:tcW w:w="5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7,996 </w:t>
            </w:r>
          </w:p>
        </w:tc>
        <w:tc>
          <w:tcPr>
            <w:tcW w:w="7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65,406 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72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2,412 </w:t>
            </w:r>
          </w:p>
        </w:tc>
        <w:tc>
          <w:tcPr>
            <w:tcW w:w="365"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8,502 </w:t>
            </w:r>
          </w:p>
        </w:tc>
        <w:tc>
          <w:tcPr>
            <w:tcW w:w="2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2,177 </w:t>
            </w:r>
          </w:p>
        </w:tc>
        <w:tc>
          <w:tcPr>
            <w:tcW w:w="27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8,775 </w:t>
            </w:r>
          </w:p>
        </w:tc>
        <w:tc>
          <w:tcPr>
            <w:tcW w:w="568"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835 </w:t>
            </w:r>
          </w:p>
        </w:tc>
        <w:tc>
          <w:tcPr>
            <w:tcW w:w="7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22,701 </w:t>
            </w:r>
          </w:p>
        </w:tc>
        <w:tc>
          <w:tcPr>
            <w:tcW w:w="218"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0"/>
        <w:gridCol w:w="515"/>
        <w:gridCol w:w="493"/>
        <w:gridCol w:w="369"/>
        <w:gridCol w:w="358"/>
        <w:gridCol w:w="359"/>
        <w:gridCol w:w="323"/>
        <w:gridCol w:w="323"/>
        <w:gridCol w:w="256"/>
        <w:gridCol w:w="323"/>
        <w:gridCol w:w="323"/>
        <w:gridCol w:w="276"/>
        <w:gridCol w:w="559"/>
        <w:gridCol w:w="547"/>
        <w:gridCol w:w="549"/>
        <w:gridCol w:w="763"/>
        <w:gridCol w:w="758"/>
        <w:gridCol w:w="761"/>
        <w:gridCol w:w="265"/>
        <w:gridCol w:w="265"/>
        <w:gridCol w:w="266"/>
        <w:gridCol w:w="368"/>
        <w:gridCol w:w="368"/>
        <w:gridCol w:w="218"/>
      </w:tblGrid>
      <w:tr>
        <w:trPr/>
        <w:tc>
          <w:tcPr>
            <w:tcW w:w="60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2026</w:t>
            </w:r>
          </w:p>
        </w:tc>
        <w:tc>
          <w:tcPr>
            <w:tcW w:w="8597"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16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9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6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22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9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6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Third-party revenue</w:t>
            </w:r>
          </w:p>
        </w:tc>
        <w:tc>
          <w:tcPr>
            <w:tcW w:w="7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19,026 </w:t>
            </w:r>
          </w:p>
        </w:tc>
        <w:tc>
          <w:tcPr>
            <w:tcW w:w="3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68,710 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53,456 </w:t>
            </w:r>
          </w:p>
        </w:tc>
        <w:tc>
          <w:tcPr>
            <w:tcW w:w="5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19,960 </w:t>
            </w:r>
          </w:p>
        </w:tc>
        <w:tc>
          <w:tcPr>
            <w:tcW w:w="7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164,355 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72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5,476 </w:t>
            </w:r>
          </w:p>
        </w:tc>
        <w:tc>
          <w:tcPr>
            <w:tcW w:w="35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21,011 </w:t>
            </w:r>
          </w:p>
        </w:tc>
        <w:tc>
          <w:tcPr>
            <w:tcW w:w="2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5,869 </w:t>
            </w:r>
          </w:p>
        </w:tc>
        <w:tc>
          <w:tcPr>
            <w:tcW w:w="27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22,966 </w:t>
            </w:r>
          </w:p>
        </w:tc>
        <w:tc>
          <w:tcPr>
            <w:tcW w:w="54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2,495 </w:t>
            </w:r>
          </w:p>
        </w:tc>
        <w:tc>
          <w:tcPr>
            <w:tcW w:w="76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57,817 </w:t>
            </w:r>
          </w:p>
        </w:tc>
        <w:tc>
          <w:tcPr>
            <w:tcW w:w="218"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0"/>
        <w:gridCol w:w="515"/>
        <w:gridCol w:w="493"/>
        <w:gridCol w:w="369"/>
        <w:gridCol w:w="358"/>
        <w:gridCol w:w="359"/>
        <w:gridCol w:w="323"/>
        <w:gridCol w:w="323"/>
        <w:gridCol w:w="256"/>
        <w:gridCol w:w="323"/>
        <w:gridCol w:w="323"/>
        <w:gridCol w:w="276"/>
        <w:gridCol w:w="559"/>
        <w:gridCol w:w="547"/>
        <w:gridCol w:w="549"/>
        <w:gridCol w:w="763"/>
        <w:gridCol w:w="758"/>
        <w:gridCol w:w="761"/>
        <w:gridCol w:w="265"/>
        <w:gridCol w:w="265"/>
        <w:gridCol w:w="266"/>
        <w:gridCol w:w="368"/>
        <w:gridCol w:w="368"/>
        <w:gridCol w:w="218"/>
      </w:tblGrid>
      <w:tr>
        <w:trPr/>
        <w:tc>
          <w:tcPr>
            <w:tcW w:w="60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2025</w:t>
            </w:r>
          </w:p>
        </w:tc>
        <w:tc>
          <w:tcPr>
            <w:tcW w:w="8597"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16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9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6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22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9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6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Third-party revenue</w:t>
            </w:r>
          </w:p>
        </w:tc>
        <w:tc>
          <w:tcPr>
            <w:tcW w:w="7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19,179 </w:t>
            </w:r>
          </w:p>
        </w:tc>
        <w:tc>
          <w:tcPr>
            <w:tcW w:w="3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55,324 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39,998 </w:t>
            </w:r>
          </w:p>
        </w:tc>
        <w:tc>
          <w:tcPr>
            <w:tcW w:w="5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17,413 </w:t>
            </w:r>
          </w:p>
        </w:tc>
        <w:tc>
          <w:tcPr>
            <w:tcW w:w="7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134,640 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72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5,086 </w:t>
            </w:r>
          </w:p>
        </w:tc>
        <w:tc>
          <w:tcPr>
            <w:tcW w:w="35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18,356 </w:t>
            </w:r>
          </w:p>
        </w:tc>
        <w:tc>
          <w:tcPr>
            <w:tcW w:w="2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4,026 </w:t>
            </w:r>
          </w:p>
        </w:tc>
        <w:tc>
          <w:tcPr>
            <w:tcW w:w="27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17,030 </w:t>
            </w:r>
          </w:p>
        </w:tc>
        <w:tc>
          <w:tcPr>
            <w:tcW w:w="54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76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46,498 </w:t>
            </w:r>
          </w:p>
        </w:tc>
        <w:tc>
          <w:tcPr>
            <w:tcW w:w="218"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Identified Items</w:t>
      </w:r>
    </w:p>
    <w:p>
      <w:pPr>
        <w:pStyle w:val="TextBody"/>
        <w:bidi w:val="0"/>
        <w:spacing w:lineRule="auto" w:line="268" w:before="120" w:after="283"/>
        <w:jc w:val="left"/>
        <w:rPr/>
      </w:pPr>
      <w:r>
        <w:rPr>
          <w:rFonts w:ascii="Times New Roman;serif" w:hAnsi="Times New Roman;serif"/>
          <w:b w:val="false"/>
          <w:color w:val="000000"/>
          <w:sz w:val="20"/>
        </w:rPr>
        <w:t>The objective of identified items is to exclude material impacts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net income/loss arising from transactions which are typically outside the control of management and are unusual in nature (e.g., infrequent or non-recurring events) or that result in a misalignment between accounting and economic outcomes. Certain transactions that are generally excluded from underlying results within the industry may also be classified as identified items.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Identified items comprise divestment gains and losses, impairment losses and reversals, redundancy and restructuring, fair value accounting effects on commodity derivatives and certain gas contracts, the impact of exchange rate movements and inflationary adjustments on certain deferred tax balances, and other items.</w:t>
      </w:r>
    </w:p>
    <w:p>
      <w:pPr>
        <w:pStyle w:val="TextBody"/>
        <w:bidi w:val="0"/>
        <w:spacing w:lineRule="auto" w:line="268" w:before="120" w:after="283"/>
        <w:ind w:left="0" w:right="0" w:hanging="5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5"/>
        </w:rPr>
        <w:t>For the purpose of identification of items in certain categories materiality thresholds are applied.</w:t>
      </w:r>
    </w:p>
    <w:tbl>
      <w:tblPr>
        <w:tblW w:w="10205" w:type="dxa"/>
        <w:jc w:val="left"/>
        <w:tblInd w:w="0" w:type="dxa"/>
        <w:tblLayout w:type="fixed"/>
        <w:tblCellMar>
          <w:top w:w="28" w:type="dxa"/>
          <w:left w:w="28" w:type="dxa"/>
          <w:bottom w:w="28" w:type="dxa"/>
          <w:right w:w="28" w:type="dxa"/>
        </w:tblCellMar>
      </w:tblPr>
      <w:tblGrid>
        <w:gridCol w:w="1338"/>
        <w:gridCol w:w="980"/>
        <w:gridCol w:w="995"/>
        <w:gridCol w:w="315"/>
        <w:gridCol w:w="315"/>
        <w:gridCol w:w="316"/>
        <w:gridCol w:w="255"/>
        <w:gridCol w:w="255"/>
        <w:gridCol w:w="256"/>
        <w:gridCol w:w="275"/>
        <w:gridCol w:w="275"/>
        <w:gridCol w:w="276"/>
        <w:gridCol w:w="430"/>
        <w:gridCol w:w="413"/>
        <w:gridCol w:w="414"/>
        <w:gridCol w:w="539"/>
        <w:gridCol w:w="539"/>
        <w:gridCol w:w="541"/>
        <w:gridCol w:w="265"/>
        <w:gridCol w:w="265"/>
        <w:gridCol w:w="266"/>
        <w:gridCol w:w="230"/>
        <w:gridCol w:w="232"/>
        <w:gridCol w:w="220"/>
      </w:tblGrid>
      <w:tr>
        <w:trPr/>
        <w:tc>
          <w:tcPr>
            <w:tcW w:w="13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31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331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2026</w:t>
            </w:r>
          </w:p>
        </w:tc>
        <w:tc>
          <w:tcPr>
            <w:tcW w:w="6892"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331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5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6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3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items included in Income/(loss) before taxation</w:t>
            </w:r>
          </w:p>
        </w:tc>
        <w:tc>
          <w:tcPr>
            <w:tcW w:w="9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Divestment gains/(losses)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reversals/(impairments)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Fair value accounting of commodity derivatives and certain gas contracts</w:t>
            </w:r>
            <w:r>
              <w:rPr>
                <w:rFonts w:ascii="Times New Roman;serif" w:hAnsi="Times New Roman;serif"/>
                <w:b w:val="false"/>
                <w:color w:val="000000"/>
                <w:sz w:val="10"/>
              </w:rPr>
              <w:t>1</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Other</w:t>
            </w:r>
            <w:r>
              <w:rPr>
                <w:rFonts w:ascii="Times New Roman;serif" w:hAnsi="Times New Roman;serif"/>
                <w:b w:val="false"/>
                <w:color w:val="000000"/>
                <w:sz w:val="10"/>
              </w:rPr>
              <w:t>2</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identified items included in Income/(loss) before taxation</w:t>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314</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1,057</w:t>
            </w:r>
            <w:r>
              <w:rPr>
                <w:color w:val="000000"/>
              </w:rPr>
              <w:t>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(745)</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658</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identified items included in Taxation (charge)/credit</w:t>
            </w:r>
          </w:p>
        </w:tc>
        <w:tc>
          <w:tcPr>
            <w:tcW w:w="6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w:t>
            </w: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(157)</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(253)</w:t>
            </w:r>
          </w:p>
        </w:tc>
        <w:tc>
          <w:tcPr>
            <w:tcW w:w="4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w:t>
            </w:r>
            <w:r>
              <w:rPr>
                <w:color w:val="000000"/>
              </w:rPr>
              <w:t> </w:t>
            </w:r>
          </w:p>
        </w:tc>
        <w:tc>
          <w:tcPr>
            <w:tcW w:w="5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(258)</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items included in Income/(loss) for the period</w:t>
            </w:r>
          </w:p>
        </w:tc>
        <w:tc>
          <w:tcPr>
            <w:tcW w:w="9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Divestment gains/(losses)</w:t>
            </w:r>
          </w:p>
        </w:tc>
        <w:tc>
          <w:tcPr>
            <w:tcW w:w="6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4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5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reversals/(impairments)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Fair value accounting of commodity derivatives and certain gas contracts</w:t>
            </w:r>
            <w:r>
              <w:rPr>
                <w:rFonts w:ascii="Times New Roman;serif" w:hAnsi="Times New Roman;serif"/>
                <w:b w:val="false"/>
                <w:color w:val="000000"/>
                <w:sz w:val="10"/>
              </w:rPr>
              <w:t>1</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Impact of exchange rate movements and inflationary adjustments on tax balances</w:t>
            </w:r>
            <w:r>
              <w:rPr>
                <w:rFonts w:ascii="Times New Roman;serif" w:hAnsi="Times New Roman;serif"/>
                <w:b w:val="false"/>
                <w:color w:val="000000"/>
                <w:sz w:val="10"/>
              </w:rPr>
              <w:t>3</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Other</w:t>
            </w:r>
            <w:r>
              <w:rPr>
                <w:rFonts w:ascii="Times New Roman;serif" w:hAnsi="Times New Roman;serif"/>
                <w:b w:val="false"/>
                <w:color w:val="000000"/>
                <w:sz w:val="10"/>
              </w:rPr>
              <w:t>2</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Income/(loss) for the period</w:t>
            </w:r>
          </w:p>
        </w:tc>
        <w:tc>
          <w:tcPr>
            <w:tcW w:w="6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w:t>
            </w: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w:t>
            </w:r>
            <w:r>
              <w:rPr>
                <w:color w:val="000000"/>
              </w:rPr>
              <w:t>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804</w:t>
            </w:r>
            <w:r>
              <w:rPr>
                <w:color w:val="000000"/>
              </w:rPr>
              <w:t> </w:t>
            </w:r>
          </w:p>
        </w:tc>
        <w:tc>
          <w:tcPr>
            <w:tcW w:w="4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(629)</w:t>
            </w:r>
          </w:p>
        </w:tc>
        <w:tc>
          <w:tcPr>
            <w:tcW w:w="5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400</w:t>
            </w:r>
            <w:r>
              <w:rPr>
                <w:color w:val="000000"/>
              </w:rPr>
              <w:t>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on Income/(loss) attributable to non-controlling interest</w:t>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Income/(loss) attributable to Shell plc shareholders</w:t>
            </w:r>
          </w:p>
        </w:tc>
        <w:tc>
          <w:tcPr>
            <w:tcW w:w="63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w:t>
            </w:r>
          </w:p>
        </w:tc>
        <w:tc>
          <w:tcPr>
            <w:tcW w:w="31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w:t>
            </w:r>
            <w:r>
              <w:rPr>
                <w:color w:val="000000"/>
              </w:rPr>
              <w:t> </w:t>
            </w:r>
          </w:p>
        </w:tc>
        <w:tc>
          <w:tcPr>
            <w:tcW w:w="2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w:t>
            </w:r>
            <w:r>
              <w:rPr>
                <w:color w:val="000000"/>
              </w:rPr>
              <w:t> </w:t>
            </w:r>
          </w:p>
        </w:tc>
        <w:tc>
          <w:tcPr>
            <w:tcW w:w="2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804</w:t>
            </w:r>
            <w:r>
              <w:rPr>
                <w:color w:val="000000"/>
              </w:rPr>
              <w:t> </w:t>
            </w:r>
          </w:p>
        </w:tc>
        <w:tc>
          <w:tcPr>
            <w:tcW w:w="41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(629)</w:t>
            </w:r>
          </w:p>
        </w:tc>
        <w:tc>
          <w:tcPr>
            <w:tcW w:w="54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w:t>
            </w:r>
          </w:p>
        </w:tc>
        <w:tc>
          <w:tcPr>
            <w:tcW w:w="2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400</w:t>
            </w:r>
            <w:r>
              <w:rPr>
                <w:color w:val="000000"/>
              </w:rPr>
              <w:t> </w:t>
            </w:r>
          </w:p>
        </w:tc>
        <w:tc>
          <w:tcPr>
            <w:tcW w:w="22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120"/>
        <w:ind w:left="0" w:right="0" w:hanging="284"/>
        <w:jc w:val="left"/>
        <w:rPr/>
      </w:pPr>
      <w:r>
        <w:rPr>
          <w:rFonts w:ascii="Times New Roman;serif" w:hAnsi="Times New Roman;serif"/>
          <w:b w:val="false"/>
          <w:color w:val="000000"/>
          <w:sz w:val="10"/>
        </w:rPr>
        <w:t>1.</w:t>
      </w:r>
      <w:r>
        <w:rPr>
          <w:rFonts w:ascii="Times New Roman;serif" w:hAnsi="Times New Roman;serif"/>
          <w:b w:val="false"/>
          <w:color w:val="000000"/>
          <w:sz w:val="15"/>
        </w:rPr>
        <w:t xml:space="preserve">Fair value accounting of commodity derivatives and certain gas contracts: In the ordinary course of business, Shell enters into contracts to supply or purchase oil and gas products, as well as power and environmental products. Shell also enters into contracts for tolling, pipeline and storage capacity. Derivative contracts are entered into for mitigation of resulting economic exposures (generally price exposure) and these derivative contracts are carried at period-end market price (fair value), with movements in fair value recognised in income for the period. Supply and purchase contracts entered into for operational purposes, as well as contracts for tolling, pipeline and storage capacity, are, by contrast, recognised when the transaction occurs; furthermore, inventory is carried at historical cost or net realisable value, whichever is lower. As a consequence, accounting mismatches occur because: (a) the supply or purchase transaction is recognised in a different period; or (b) the inventory is measured on a different basis. In addition, certain contracts are, due to pricing or delivery conditions, deemed to contain embedded derivatives or written options and are also required to be carried at fair value even though they are entered into for operational purposes. The accounting impacts are reported as identified items. </w:t>
      </w:r>
    </w:p>
    <w:p>
      <w:pPr>
        <w:pStyle w:val="TextBody"/>
        <w:bidi w:val="0"/>
        <w:spacing w:lineRule="auto" w:line="276" w:before="0" w:after="0"/>
        <w:ind w:left="0" w:right="0" w:hanging="284"/>
        <w:jc w:val="left"/>
        <w:rPr/>
      </w:pPr>
      <w:r>
        <w:rPr>
          <w:rFonts w:ascii="Times New Roman;serif" w:hAnsi="Times New Roman;serif"/>
          <w:b w:val="false"/>
          <w:color w:val="000000"/>
          <w:sz w:val="10"/>
        </w:rPr>
        <w:t>2.</w:t>
      </w:r>
      <w:r>
        <w:rPr>
          <w:rFonts w:ascii="Times New Roman;serif" w:hAnsi="Times New Roman;serif"/>
          <w:b w:val="false"/>
          <w:color w:val="000000"/>
          <w:sz w:val="15"/>
        </w:rPr>
        <w:t>Other identified items represent other credits or charges that based on Shell management's assessment hinder the comparative understanding of Shell's financial results from period to period.</w:t>
      </w:r>
    </w:p>
    <w:p>
      <w:pPr>
        <w:pStyle w:val="TextBody"/>
        <w:bidi w:val="0"/>
        <w:spacing w:lineRule="auto" w:line="276" w:before="0" w:after="0"/>
        <w:ind w:left="0" w:right="0" w:hanging="284"/>
        <w:jc w:val="left"/>
        <w:rPr/>
      </w:pPr>
      <w:r>
        <w:rPr>
          <w:rFonts w:ascii="Times New Roman;serif" w:hAnsi="Times New Roman;serif"/>
          <w:b w:val="false"/>
          <w:color w:val="000000"/>
          <w:sz w:val="10"/>
        </w:rPr>
        <w:t>3.</w:t>
      </w:r>
      <w:r>
        <w:rPr>
          <w:rFonts w:ascii="Times New Roman;serif" w:hAnsi="Times New Roman;serif"/>
          <w:b w:val="false"/>
          <w:color w:val="000000"/>
          <w:sz w:val="15"/>
        </w:rPr>
        <w:t>Impact of exchange rate movements and inflationary adjustments on tax balances represents the impact on tax balances of exchange rate movements and inflationary adjustments arising on: (a) the conversion to dollars of the local currency tax base of non-monetary assets and liabilities, as well as recognised tax losses (this primarily impacts the Integrated Gas and Upstream segments); and (b) the conversion of dollar-denominated inter-segment loans to local currency, leading to taxable exchange rate gains or losses (this primarily impacts the Corporate segment).</w:t>
      </w:r>
    </w:p>
    <w:p>
      <w:pPr>
        <w:pStyle w:val="TextBody"/>
        <w:bidi w:val="0"/>
        <w:spacing w:before="0" w:after="0"/>
        <w:ind w:left="0" w:right="0" w:firstLine="7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3"/>
        <w:gridCol w:w="952"/>
        <w:gridCol w:w="966"/>
        <w:gridCol w:w="313"/>
        <w:gridCol w:w="313"/>
        <w:gridCol w:w="314"/>
        <w:gridCol w:w="255"/>
        <w:gridCol w:w="255"/>
        <w:gridCol w:w="256"/>
        <w:gridCol w:w="275"/>
        <w:gridCol w:w="275"/>
        <w:gridCol w:w="276"/>
        <w:gridCol w:w="424"/>
        <w:gridCol w:w="407"/>
        <w:gridCol w:w="408"/>
        <w:gridCol w:w="530"/>
        <w:gridCol w:w="530"/>
        <w:gridCol w:w="531"/>
        <w:gridCol w:w="265"/>
        <w:gridCol w:w="265"/>
        <w:gridCol w:w="266"/>
        <w:gridCol w:w="296"/>
        <w:gridCol w:w="300"/>
        <w:gridCol w:w="220"/>
      </w:tblGrid>
      <w:tr>
        <w:trPr/>
        <w:tc>
          <w:tcPr>
            <w:tcW w:w="131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Q1 2026</w:t>
            </w:r>
          </w:p>
        </w:tc>
        <w:tc>
          <w:tcPr>
            <w:tcW w:w="6974"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32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3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5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items included in Income/(loss) before taxation</w:t>
            </w:r>
          </w:p>
        </w:tc>
        <w:tc>
          <w:tcPr>
            <w:tcW w:w="9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Divestment gains/(losses)</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reversals/(impairments)</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Fair value accounting of commodity derivatives and certain gas contracts</w:t>
            </w:r>
            <w:r>
              <w:rPr>
                <w:rFonts w:ascii="Times New Roman;serif" w:hAnsi="Times New Roman;serif"/>
                <w:b w:val="false"/>
                <w:color w:val="000000"/>
                <w:sz w:val="10"/>
              </w:rPr>
              <w:t>1</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Other</w:t>
            </w:r>
            <w:r>
              <w:rPr>
                <w:rFonts w:ascii="Times New Roman;serif" w:hAnsi="Times New Roman;serif"/>
                <w:b w:val="false"/>
                <w:color w:val="000000"/>
                <w:sz w:val="10"/>
              </w:rPr>
              <w:t>1</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identified items included in Income/(loss) before taxation</w:t>
            </w:r>
          </w:p>
        </w:tc>
        <w:tc>
          <w:tcPr>
            <w:tcW w:w="6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(598)</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(156)</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(99)</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(2,712)</w:t>
            </w:r>
          </w:p>
        </w:tc>
        <w:tc>
          <w:tcPr>
            <w:tcW w:w="4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279</w:t>
            </w:r>
            <w:r>
              <w:rPr>
                <w:color w:val="000000"/>
              </w:rPr>
              <w:t> </w:t>
            </w:r>
          </w:p>
        </w:tc>
        <w:tc>
          <w:tcPr>
            <w:tcW w:w="5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(3,286)</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identified items included in Taxation (charge)/credit</w:t>
            </w:r>
          </w:p>
        </w:tc>
        <w:tc>
          <w:tcPr>
            <w:tcW w:w="6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w:t>
            </w:r>
            <w:r>
              <w:rPr>
                <w:color w:val="000000"/>
              </w:rPr>
              <w:t>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335</w:t>
            </w: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626</w:t>
            </w:r>
            <w:r>
              <w:rPr>
                <w:color w:val="000000"/>
              </w:rPr>
              <w:t> </w:t>
            </w:r>
          </w:p>
        </w:tc>
        <w:tc>
          <w:tcPr>
            <w:tcW w:w="4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w:t>
            </w:r>
          </w:p>
        </w:tc>
        <w:tc>
          <w:tcPr>
            <w:tcW w:w="5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884</w:t>
            </w:r>
            <w:r>
              <w:rPr>
                <w:color w:val="000000"/>
              </w:rPr>
              <w:t>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items included in Income/(loss) for the period</w:t>
            </w:r>
          </w:p>
        </w:tc>
        <w:tc>
          <w:tcPr>
            <w:tcW w:w="9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Divestment gains/(losses)</w:t>
            </w:r>
          </w:p>
        </w:tc>
        <w:tc>
          <w:tcPr>
            <w:tcW w:w="6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4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5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reversals/(impairments)</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Fair value accounting of commodity derivatives and certain gas contracts</w:t>
            </w:r>
            <w:r>
              <w:rPr>
                <w:rFonts w:ascii="Times New Roman;serif" w:hAnsi="Times New Roman;serif"/>
                <w:b w:val="false"/>
                <w:color w:val="000000"/>
                <w:sz w:val="10"/>
              </w:rPr>
              <w:t>1</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Impact of exchange rate movements and inflationary adjustments on tax balances</w:t>
            </w:r>
            <w:r>
              <w:rPr>
                <w:rFonts w:ascii="Times New Roman;serif" w:hAnsi="Times New Roman;serif"/>
                <w:b w:val="false"/>
                <w:color w:val="000000"/>
                <w:sz w:val="10"/>
              </w:rPr>
              <w:t>1</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Other</w:t>
            </w:r>
            <w:r>
              <w:rPr>
                <w:rFonts w:ascii="Times New Roman;serif" w:hAnsi="Times New Roman;serif"/>
                <w:b w:val="false"/>
                <w:color w:val="000000"/>
                <w:sz w:val="10"/>
              </w:rPr>
              <w:t>1</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Income/(loss) for the period</w:t>
            </w:r>
          </w:p>
        </w:tc>
        <w:tc>
          <w:tcPr>
            <w:tcW w:w="6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(497)</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w:t>
            </w: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(147)</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(2,086)</w:t>
            </w:r>
          </w:p>
        </w:tc>
        <w:tc>
          <w:tcPr>
            <w:tcW w:w="4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w:t>
            </w:r>
            <w:r>
              <w:rPr>
                <w:color w:val="000000"/>
              </w:rPr>
              <w:t> </w:t>
            </w:r>
          </w:p>
        </w:tc>
        <w:tc>
          <w:tcPr>
            <w:tcW w:w="5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(2,402)</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on Income/(loss) attributable to non-controlling interest</w:t>
            </w:r>
          </w:p>
        </w:tc>
        <w:tc>
          <w:tcPr>
            <w:tcW w:w="6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4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Income/(loss) attributable to Shell plc shareholders</w:t>
            </w:r>
          </w:p>
        </w:tc>
        <w:tc>
          <w:tcPr>
            <w:tcW w:w="62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(497)</w:t>
            </w:r>
          </w:p>
        </w:tc>
        <w:tc>
          <w:tcPr>
            <w:tcW w:w="31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w:t>
            </w:r>
            <w:r>
              <w:rPr>
                <w:color w:val="000000"/>
              </w:rPr>
              <w:t> </w:t>
            </w:r>
          </w:p>
        </w:tc>
        <w:tc>
          <w:tcPr>
            <w:tcW w:w="2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(147)</w:t>
            </w:r>
          </w:p>
        </w:tc>
        <w:tc>
          <w:tcPr>
            <w:tcW w:w="2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(2,084)</w:t>
            </w:r>
          </w:p>
        </w:tc>
        <w:tc>
          <w:tcPr>
            <w:tcW w:w="40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w:t>
            </w:r>
            <w:r>
              <w:rPr>
                <w:color w:val="000000"/>
              </w:rPr>
              <w:t> </w:t>
            </w:r>
          </w:p>
        </w:tc>
        <w:tc>
          <w:tcPr>
            <w:tcW w:w="53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w:t>
            </w:r>
          </w:p>
        </w:tc>
        <w:tc>
          <w:tcPr>
            <w:tcW w:w="2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(2,399)</w:t>
            </w:r>
          </w:p>
        </w:tc>
        <w:tc>
          <w:tcPr>
            <w:tcW w:w="22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84"/>
        <w:jc w:val="left"/>
        <w:rPr/>
      </w:pPr>
      <w:r>
        <w:rPr>
          <w:rFonts w:ascii="Times New Roman;serif" w:hAnsi="Times New Roman;serif"/>
          <w:b w:val="false"/>
          <w:color w:val="000000"/>
          <w:sz w:val="10"/>
        </w:rPr>
        <w:t>1.</w:t>
      </w:r>
      <w:r>
        <w:rPr>
          <w:rFonts w:ascii="Times New Roman;serif" w:hAnsi="Times New Roman;serif"/>
          <w:b w:val="false"/>
          <w:color w:val="000000"/>
          <w:sz w:val="15"/>
        </w:rPr>
        <w:t>For a detailed description, see the corresponding footnotes to the Q2 2026 identified items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6"/>
        <w:gridCol w:w="955"/>
        <w:gridCol w:w="970"/>
        <w:gridCol w:w="313"/>
        <w:gridCol w:w="313"/>
        <w:gridCol w:w="315"/>
        <w:gridCol w:w="255"/>
        <w:gridCol w:w="255"/>
        <w:gridCol w:w="256"/>
        <w:gridCol w:w="275"/>
        <w:gridCol w:w="275"/>
        <w:gridCol w:w="276"/>
        <w:gridCol w:w="408"/>
        <w:gridCol w:w="408"/>
        <w:gridCol w:w="409"/>
        <w:gridCol w:w="531"/>
        <w:gridCol w:w="531"/>
        <w:gridCol w:w="533"/>
        <w:gridCol w:w="265"/>
        <w:gridCol w:w="265"/>
        <w:gridCol w:w="266"/>
        <w:gridCol w:w="296"/>
        <w:gridCol w:w="300"/>
        <w:gridCol w:w="219"/>
      </w:tblGrid>
      <w:tr>
        <w:trPr/>
        <w:tc>
          <w:tcPr>
            <w:tcW w:w="131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2025</w:t>
            </w:r>
          </w:p>
        </w:tc>
        <w:tc>
          <w:tcPr>
            <w:tcW w:w="6964"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32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5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2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items included in Income/(loss) before taxation</w:t>
            </w:r>
          </w:p>
        </w:tc>
        <w:tc>
          <w:tcPr>
            <w:tcW w:w="9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Divestment gains/(losses)</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reversals/(impairments)</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Fair value accounting of commodity derivatives and certain gas contracts</w:t>
            </w:r>
            <w:r>
              <w:rPr>
                <w:rFonts w:ascii="Times New Roman;serif" w:hAnsi="Times New Roman;serif"/>
                <w:b w:val="false"/>
                <w:color w:val="000000"/>
                <w:sz w:val="10"/>
              </w:rPr>
              <w:t>1</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Other</w:t>
            </w:r>
            <w:r>
              <w:rPr>
                <w:rFonts w:ascii="Times New Roman;serif" w:hAnsi="Times New Roman;serif"/>
                <w:b w:val="false"/>
                <w:color w:val="000000"/>
                <w:sz w:val="10"/>
              </w:rPr>
              <w:t>1</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identified items included in Income/(loss) before taxation</w:t>
            </w:r>
          </w:p>
        </w:tc>
        <w:tc>
          <w:tcPr>
            <w:tcW w:w="6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271</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(460)</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w:t>
            </w:r>
          </w:p>
        </w:tc>
        <w:tc>
          <w:tcPr>
            <w:tcW w:w="4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(300)</w:t>
            </w:r>
          </w:p>
        </w:tc>
        <w:tc>
          <w:tcPr>
            <w:tcW w:w="5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(63)</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(717)</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identified items included in Taxation (charge)/credit</w:t>
            </w:r>
          </w:p>
        </w:tc>
        <w:tc>
          <w:tcPr>
            <w:tcW w:w="6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203</w:t>
            </w:r>
            <w:r>
              <w:rPr>
                <w:color w:val="000000"/>
              </w:rPr>
              <w:t> </w:t>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w:t>
            </w: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w:t>
            </w:r>
            <w:r>
              <w:rPr>
                <w:color w:val="000000"/>
              </w:rPr>
              <w:t>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w:t>
            </w:r>
            <w:r>
              <w:rPr>
                <w:color w:val="000000"/>
              </w:rPr>
              <w:t> </w:t>
            </w:r>
          </w:p>
        </w:tc>
        <w:tc>
          <w:tcPr>
            <w:tcW w:w="4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w:t>
            </w:r>
            <w:r>
              <w:rPr>
                <w:color w:val="000000"/>
              </w:rPr>
              <w:t> </w:t>
            </w:r>
          </w:p>
        </w:tc>
        <w:tc>
          <w:tcPr>
            <w:tcW w:w="5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369</w:t>
            </w:r>
            <w:r>
              <w:rPr>
                <w:color w:val="000000"/>
              </w:rPr>
              <w:t>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items included in Income/(loss) for the period</w:t>
            </w:r>
          </w:p>
        </w:tc>
        <w:tc>
          <w:tcPr>
            <w:tcW w:w="9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Divestment gains/(losses)</w:t>
            </w:r>
          </w:p>
        </w:tc>
        <w:tc>
          <w:tcPr>
            <w:tcW w:w="6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4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5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reversals/(impairments)</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Fair value accounting of commodity derivatives and certain gas contracts</w:t>
            </w:r>
            <w:r>
              <w:rPr>
                <w:rFonts w:ascii="Times New Roman;serif" w:hAnsi="Times New Roman;serif"/>
                <w:b w:val="false"/>
                <w:color w:val="000000"/>
                <w:sz w:val="10"/>
              </w:rPr>
              <w:t>1</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Impact of exchange rate movements and inflationary adjustments on tax balances</w:t>
            </w:r>
            <w:r>
              <w:rPr>
                <w:rFonts w:ascii="Times New Roman;serif" w:hAnsi="Times New Roman;serif"/>
                <w:b w:val="false"/>
                <w:color w:val="000000"/>
                <w:sz w:val="10"/>
              </w:rPr>
              <w:t>1</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Other</w:t>
            </w:r>
            <w:r>
              <w:rPr>
                <w:rFonts w:ascii="Times New Roman;serif" w:hAnsi="Times New Roman;serif"/>
                <w:b w:val="false"/>
                <w:color w:val="000000"/>
                <w:sz w:val="10"/>
              </w:rPr>
              <w:t>1</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Income/(loss) for the period</w:t>
            </w:r>
          </w:p>
        </w:tc>
        <w:tc>
          <w:tcPr>
            <w:tcW w:w="6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w:t>
            </w:r>
            <w:r>
              <w:rPr>
                <w:color w:val="000000"/>
              </w:rPr>
              <w:t> </w:t>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w:t>
            </w: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(354)</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w:t>
            </w:r>
          </w:p>
        </w:tc>
        <w:tc>
          <w:tcPr>
            <w:tcW w:w="4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(245)</w:t>
            </w:r>
          </w:p>
        </w:tc>
        <w:tc>
          <w:tcPr>
            <w:tcW w:w="5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(348)</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on Income/(loss) attributable to non-controlling interest</w:t>
            </w:r>
          </w:p>
        </w:tc>
        <w:tc>
          <w:tcPr>
            <w:tcW w:w="6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4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Income/(loss) attributable to Shell plc shareholders</w:t>
            </w:r>
          </w:p>
        </w:tc>
        <w:tc>
          <w:tcPr>
            <w:tcW w:w="62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w:t>
            </w:r>
            <w:r>
              <w:rPr>
                <w:color w:val="000000"/>
              </w:rPr>
              <w:t> </w:t>
            </w:r>
          </w:p>
        </w:tc>
        <w:tc>
          <w:tcPr>
            <w:tcW w:w="31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w:t>
            </w:r>
            <w:r>
              <w:rPr>
                <w:color w:val="000000"/>
              </w:rPr>
              <w:t> </w:t>
            </w:r>
          </w:p>
        </w:tc>
        <w:tc>
          <w:tcPr>
            <w:tcW w:w="2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(354)</w:t>
            </w:r>
          </w:p>
        </w:tc>
        <w:tc>
          <w:tcPr>
            <w:tcW w:w="2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w:t>
            </w:r>
          </w:p>
        </w:tc>
        <w:tc>
          <w:tcPr>
            <w:tcW w:w="4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(245)</w:t>
            </w:r>
          </w:p>
        </w:tc>
        <w:tc>
          <w:tcPr>
            <w:tcW w:w="53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w:t>
            </w:r>
          </w:p>
        </w:tc>
        <w:tc>
          <w:tcPr>
            <w:tcW w:w="2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(348)</w:t>
            </w:r>
          </w:p>
        </w:tc>
        <w:tc>
          <w:tcPr>
            <w:tcW w:w="21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84"/>
        <w:jc w:val="left"/>
        <w:rPr/>
      </w:pPr>
      <w:r>
        <w:rPr>
          <w:rFonts w:ascii="Times New Roman;serif" w:hAnsi="Times New Roman;serif"/>
          <w:b w:val="false"/>
          <w:color w:val="000000"/>
          <w:sz w:val="10"/>
        </w:rPr>
        <w:t>1.</w:t>
      </w:r>
      <w:r>
        <w:rPr>
          <w:rFonts w:ascii="Times New Roman;serif" w:hAnsi="Times New Roman;serif"/>
          <w:b w:val="false"/>
          <w:color w:val="000000"/>
          <w:sz w:val="15"/>
        </w:rPr>
        <w:t>For a detailed description, see the corresponding footnotes to the Q2 2026 identified items table above.</w:t>
      </w:r>
    </w:p>
    <w:p>
      <w:pPr>
        <w:pStyle w:val="TextBody"/>
        <w:bidi w:val="0"/>
        <w:spacing w:before="0" w:after="0"/>
        <w:jc w:val="left"/>
        <w:rPr/>
      </w:pPr>
      <w:r>
        <w:rPr/>
      </w:r>
    </w:p>
    <w:p>
      <w:pPr>
        <w:pStyle w:val="TextBody"/>
        <w:bidi w:val="0"/>
        <w:spacing w:before="12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99"/>
        <w:gridCol w:w="929"/>
        <w:gridCol w:w="902"/>
        <w:gridCol w:w="313"/>
        <w:gridCol w:w="313"/>
        <w:gridCol w:w="314"/>
        <w:gridCol w:w="255"/>
        <w:gridCol w:w="255"/>
        <w:gridCol w:w="256"/>
        <w:gridCol w:w="275"/>
        <w:gridCol w:w="275"/>
        <w:gridCol w:w="276"/>
        <w:gridCol w:w="424"/>
        <w:gridCol w:w="407"/>
        <w:gridCol w:w="408"/>
        <w:gridCol w:w="530"/>
        <w:gridCol w:w="530"/>
        <w:gridCol w:w="531"/>
        <w:gridCol w:w="265"/>
        <w:gridCol w:w="265"/>
        <w:gridCol w:w="266"/>
        <w:gridCol w:w="296"/>
        <w:gridCol w:w="300"/>
        <w:gridCol w:w="221"/>
      </w:tblGrid>
      <w:tr>
        <w:trPr/>
        <w:tc>
          <w:tcPr>
            <w:tcW w:w="139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23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2026</w:t>
            </w:r>
          </w:p>
        </w:tc>
        <w:tc>
          <w:tcPr>
            <w:tcW w:w="697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23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items included in Income/(loss) before taxation</w:t>
            </w:r>
          </w:p>
        </w:tc>
        <w:tc>
          <w:tcPr>
            <w:tcW w:w="94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Divestment gains/(losses)</w:t>
            </w:r>
          </w:p>
        </w:tc>
        <w:tc>
          <w:tcPr>
            <w:tcW w:w="62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31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4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53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22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reversals/(impairments)</w:t>
            </w:r>
          </w:p>
        </w:tc>
        <w:tc>
          <w:tcPr>
            <w:tcW w:w="6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1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4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w:t>
            </w:r>
          </w:p>
        </w:tc>
        <w:tc>
          <w:tcPr>
            <w:tcW w:w="53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w:t>
            </w:r>
          </w:p>
        </w:tc>
        <w:tc>
          <w:tcPr>
            <w:tcW w:w="2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w:t>
            </w:r>
          </w:p>
        </w:tc>
        <w:tc>
          <w:tcPr>
            <w:tcW w:w="62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1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4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53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22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Fair value accounting of commodity derivatives and certain gas contracts</w:t>
            </w:r>
            <w:r>
              <w:rPr>
                <w:rFonts w:ascii="Times New Roman;serif" w:hAnsi="Times New Roman;serif"/>
                <w:b w:val="false"/>
                <w:color w:val="000000"/>
                <w:sz w:val="10"/>
              </w:rPr>
              <w:t>1</w:t>
            </w:r>
          </w:p>
        </w:tc>
        <w:tc>
          <w:tcPr>
            <w:tcW w:w="6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w:t>
            </w:r>
          </w:p>
        </w:tc>
        <w:tc>
          <w:tcPr>
            <w:tcW w:w="31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4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53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2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Other</w:t>
            </w:r>
            <w:r>
              <w:rPr>
                <w:rFonts w:ascii="Times New Roman;serif" w:hAnsi="Times New Roman;serif"/>
                <w:b w:val="false"/>
                <w:color w:val="000000"/>
                <w:sz w:val="10"/>
              </w:rPr>
              <w:t>1</w:t>
            </w:r>
          </w:p>
        </w:tc>
        <w:tc>
          <w:tcPr>
            <w:tcW w:w="62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4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53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22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identified items included in Income/(loss) before taxation</w:t>
            </w:r>
          </w:p>
        </w:tc>
        <w:tc>
          <w:tcPr>
            <w:tcW w:w="6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w:t>
            </w:r>
          </w:p>
        </w:tc>
        <w:tc>
          <w:tcPr>
            <w:tcW w:w="31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w:t>
            </w:r>
          </w:p>
        </w:tc>
        <w:tc>
          <w:tcPr>
            <w:tcW w:w="4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53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w:t>
            </w:r>
          </w:p>
        </w:tc>
        <w:tc>
          <w:tcPr>
            <w:tcW w:w="2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identified items included in Taxation (charge)/credit</w:t>
            </w:r>
          </w:p>
        </w:tc>
        <w:tc>
          <w:tcPr>
            <w:tcW w:w="62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w:t>
            </w:r>
            <w:r>
              <w:rPr>
                <w:color w:val="000000"/>
              </w:rPr>
              <w:t> </w:t>
            </w:r>
          </w:p>
        </w:tc>
        <w:tc>
          <w:tcPr>
            <w:tcW w:w="314"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362</w:t>
            </w:r>
            <w:r>
              <w:rPr>
                <w:color w:val="000000"/>
              </w:rPr>
              <w:t>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(206)</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373</w:t>
            </w:r>
            <w:r>
              <w:rPr>
                <w:color w:val="000000"/>
              </w:rPr>
              <w:t> </w:t>
            </w:r>
          </w:p>
        </w:tc>
        <w:tc>
          <w:tcPr>
            <w:tcW w:w="408"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w:t>
            </w:r>
            <w:r>
              <w:rPr>
                <w:color w:val="000000"/>
              </w:rPr>
              <w:t> </w:t>
            </w:r>
          </w:p>
        </w:tc>
        <w:tc>
          <w:tcPr>
            <w:tcW w:w="53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w:t>
            </w:r>
          </w:p>
        </w:tc>
        <w:tc>
          <w:tcPr>
            <w:tcW w:w="26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626</w:t>
            </w:r>
            <w:r>
              <w:rPr>
                <w:color w:val="000000"/>
              </w:rPr>
              <w:t> </w:t>
            </w:r>
          </w:p>
        </w:tc>
        <w:tc>
          <w:tcPr>
            <w:tcW w:w="22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0"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items included in Income/(loss) for the period</w:t>
            </w:r>
          </w:p>
        </w:tc>
        <w:tc>
          <w:tcPr>
            <w:tcW w:w="940"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0"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Divestment gains/(losses)</w:t>
            </w:r>
          </w:p>
        </w:tc>
        <w:tc>
          <w:tcPr>
            <w:tcW w:w="62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314"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408"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53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6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21"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reversals/(impairments)</w:t>
            </w:r>
          </w:p>
        </w:tc>
        <w:tc>
          <w:tcPr>
            <w:tcW w:w="6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1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4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w:t>
            </w:r>
          </w:p>
        </w:tc>
        <w:tc>
          <w:tcPr>
            <w:tcW w:w="53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w:t>
            </w:r>
          </w:p>
        </w:tc>
        <w:tc>
          <w:tcPr>
            <w:tcW w:w="2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w:t>
            </w:r>
          </w:p>
        </w:tc>
        <w:tc>
          <w:tcPr>
            <w:tcW w:w="62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1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4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53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22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Fair value accounting of commodity derivatives and certain gas contracts</w:t>
            </w:r>
            <w:r>
              <w:rPr>
                <w:rFonts w:ascii="Times New Roman;serif" w:hAnsi="Times New Roman;serif"/>
                <w:b w:val="false"/>
                <w:color w:val="000000"/>
                <w:sz w:val="10"/>
              </w:rPr>
              <w:t>1</w:t>
            </w:r>
          </w:p>
        </w:tc>
        <w:tc>
          <w:tcPr>
            <w:tcW w:w="6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w:t>
            </w:r>
          </w:p>
        </w:tc>
        <w:tc>
          <w:tcPr>
            <w:tcW w:w="31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w:t>
            </w:r>
          </w:p>
        </w:tc>
        <w:tc>
          <w:tcPr>
            <w:tcW w:w="4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53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w:t>
            </w:r>
          </w:p>
        </w:tc>
        <w:tc>
          <w:tcPr>
            <w:tcW w:w="2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Impact of exchange rate movements and inflationary adjustments on tax balances</w:t>
            </w:r>
            <w:r>
              <w:rPr>
                <w:rFonts w:ascii="Times New Roman;serif" w:hAnsi="Times New Roman;serif"/>
                <w:b w:val="false"/>
                <w:color w:val="000000"/>
                <w:sz w:val="10"/>
              </w:rPr>
              <w:t>1</w:t>
            </w:r>
          </w:p>
        </w:tc>
        <w:tc>
          <w:tcPr>
            <w:tcW w:w="62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1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22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Other</w:t>
            </w:r>
            <w:r>
              <w:rPr>
                <w:rFonts w:ascii="Times New Roman;serif" w:hAnsi="Times New Roman;serif"/>
                <w:b w:val="false"/>
                <w:color w:val="000000"/>
                <w:sz w:val="10"/>
              </w:rPr>
              <w:t>1</w:t>
            </w:r>
          </w:p>
        </w:tc>
        <w:tc>
          <w:tcPr>
            <w:tcW w:w="6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4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Income/(loss) for the period</w:t>
            </w:r>
          </w:p>
        </w:tc>
        <w:tc>
          <w:tcPr>
            <w:tcW w:w="62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(508)</w:t>
            </w:r>
          </w:p>
        </w:tc>
        <w:tc>
          <w:tcPr>
            <w:tcW w:w="314"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272</w:t>
            </w:r>
            <w:r>
              <w:rPr>
                <w:color w:val="000000"/>
              </w:rPr>
              <w:t>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w:t>
            </w: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(1,282)</w:t>
            </w:r>
          </w:p>
        </w:tc>
        <w:tc>
          <w:tcPr>
            <w:tcW w:w="408"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(450)</w:t>
            </w:r>
          </w:p>
        </w:tc>
        <w:tc>
          <w:tcPr>
            <w:tcW w:w="53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(2,002)</w:t>
            </w:r>
          </w:p>
        </w:tc>
        <w:tc>
          <w:tcPr>
            <w:tcW w:w="221"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on Income/(loss) attributable to non-controlling interest</w:t>
            </w:r>
          </w:p>
        </w:tc>
        <w:tc>
          <w:tcPr>
            <w:tcW w:w="62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408"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21"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230"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Income/(loss) attributable to Shell plc shareholders</w:t>
            </w:r>
          </w:p>
        </w:tc>
        <w:tc>
          <w:tcPr>
            <w:tcW w:w="62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(508)</w:t>
            </w:r>
          </w:p>
        </w:tc>
        <w:tc>
          <w:tcPr>
            <w:tcW w:w="314"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272</w:t>
            </w:r>
            <w:r>
              <w:rPr>
                <w:color w:val="000000"/>
              </w:rPr>
              <w:t> </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w:t>
            </w:r>
            <w:r>
              <w:rPr>
                <w:color w:val="000000"/>
              </w:rPr>
              <w:t> </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(1,280)</w:t>
            </w:r>
          </w:p>
        </w:tc>
        <w:tc>
          <w:tcPr>
            <w:tcW w:w="408"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(450)</w:t>
            </w:r>
          </w:p>
        </w:tc>
        <w:tc>
          <w:tcPr>
            <w:tcW w:w="53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w:t>
            </w:r>
          </w:p>
        </w:tc>
        <w:tc>
          <w:tcPr>
            <w:tcW w:w="26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(1,999)</w:t>
            </w:r>
          </w:p>
        </w:tc>
        <w:tc>
          <w:tcPr>
            <w:tcW w:w="221"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5"/>
        </w:rPr>
        <w:t>For a detailed description, see the corresponding footnotes to the Q2 2026 identified items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4"/>
        <w:gridCol w:w="910"/>
        <w:gridCol w:w="882"/>
        <w:gridCol w:w="312"/>
        <w:gridCol w:w="312"/>
        <w:gridCol w:w="313"/>
        <w:gridCol w:w="255"/>
        <w:gridCol w:w="255"/>
        <w:gridCol w:w="256"/>
        <w:gridCol w:w="275"/>
        <w:gridCol w:w="275"/>
        <w:gridCol w:w="276"/>
        <w:gridCol w:w="422"/>
        <w:gridCol w:w="422"/>
        <w:gridCol w:w="423"/>
        <w:gridCol w:w="540"/>
        <w:gridCol w:w="540"/>
        <w:gridCol w:w="542"/>
        <w:gridCol w:w="265"/>
        <w:gridCol w:w="265"/>
        <w:gridCol w:w="266"/>
        <w:gridCol w:w="296"/>
        <w:gridCol w:w="299"/>
        <w:gridCol w:w="220"/>
      </w:tblGrid>
      <w:tr>
        <w:trPr/>
        <w:tc>
          <w:tcPr>
            <w:tcW w:w="138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17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2025</w:t>
            </w:r>
          </w:p>
        </w:tc>
        <w:tc>
          <w:tcPr>
            <w:tcW w:w="702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3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Chemicals and Products</w:t>
            </w:r>
          </w:p>
        </w:tc>
        <w:tc>
          <w:tcPr>
            <w:tcW w:w="16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Renewables and Energy Solutions</w:t>
            </w:r>
          </w:p>
        </w:tc>
        <w:tc>
          <w:tcPr>
            <w:tcW w:w="7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1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items included in Income/(loss) before taxation</w:t>
            </w:r>
          </w:p>
        </w:tc>
        <w:tc>
          <w:tcPr>
            <w:tcW w:w="9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Divestment gains/(losses)</w:t>
            </w:r>
          </w:p>
        </w:tc>
        <w:tc>
          <w:tcPr>
            <w:tcW w:w="62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1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4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5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reversals/(impairments)</w:t>
            </w:r>
          </w:p>
        </w:tc>
        <w:tc>
          <w:tcPr>
            <w:tcW w:w="62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31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w:t>
            </w:r>
          </w:p>
        </w:tc>
        <w:tc>
          <w:tcPr>
            <w:tcW w:w="4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54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w:t>
            </w:r>
          </w:p>
        </w:tc>
        <w:tc>
          <w:tcPr>
            <w:tcW w:w="62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1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4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54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Fair value accounting of commodity derivatives and certain gas contracts</w:t>
            </w:r>
            <w:r>
              <w:rPr>
                <w:rFonts w:ascii="Times New Roman;serif" w:hAnsi="Times New Roman;serif"/>
                <w:b w:val="false"/>
                <w:color w:val="000000"/>
                <w:sz w:val="10"/>
              </w:rPr>
              <w:t>1</w:t>
            </w:r>
          </w:p>
        </w:tc>
        <w:tc>
          <w:tcPr>
            <w:tcW w:w="62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934 </w:t>
            </w:r>
          </w:p>
        </w:tc>
        <w:tc>
          <w:tcPr>
            <w:tcW w:w="31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4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w:t>
            </w:r>
          </w:p>
        </w:tc>
        <w:tc>
          <w:tcPr>
            <w:tcW w:w="54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Other</w:t>
            </w:r>
            <w:r>
              <w:rPr>
                <w:rFonts w:ascii="Times New Roman;serif" w:hAnsi="Times New Roman;serif"/>
                <w:b w:val="false"/>
                <w:color w:val="000000"/>
                <w:sz w:val="10"/>
              </w:rPr>
              <w:t>1</w:t>
            </w:r>
          </w:p>
        </w:tc>
        <w:tc>
          <w:tcPr>
            <w:tcW w:w="62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1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4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54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identified items included in Income/(loss) before taxation</w:t>
            </w:r>
          </w:p>
        </w:tc>
        <w:tc>
          <w:tcPr>
            <w:tcW w:w="62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31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w:t>
            </w:r>
          </w:p>
        </w:tc>
        <w:tc>
          <w:tcPr>
            <w:tcW w:w="4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w:t>
            </w:r>
          </w:p>
        </w:tc>
        <w:tc>
          <w:tcPr>
            <w:tcW w:w="54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identified items included in Taxation (charge)/credit</w:t>
            </w:r>
          </w:p>
        </w:tc>
        <w:tc>
          <w:tcPr>
            <w:tcW w:w="6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w:t>
            </w:r>
            <w:r>
              <w:rPr>
                <w:color w:val="000000"/>
              </w:rPr>
              <w:t> </w:t>
            </w:r>
          </w:p>
        </w:tc>
        <w:tc>
          <w:tcPr>
            <w:tcW w:w="3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(373)</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w:t>
            </w:r>
            <w:r>
              <w:rPr>
                <w:color w:val="000000"/>
              </w:rPr>
              <w:t>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w:t>
            </w:r>
            <w:r>
              <w:rPr>
                <w:color w:val="000000"/>
              </w:rPr>
              <w:t> </w:t>
            </w:r>
          </w:p>
        </w:tc>
        <w:tc>
          <w:tcPr>
            <w:tcW w:w="4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5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w:t>
            </w:r>
            <w:r>
              <w:rPr>
                <w:color w:val="000000"/>
              </w:rPr>
              <w:t> </w:t>
            </w:r>
          </w:p>
        </w:tc>
        <w:tc>
          <w:tcPr>
            <w:tcW w:w="220"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6"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items included in Income/(loss) for the period</w:t>
            </w:r>
          </w:p>
        </w:tc>
        <w:tc>
          <w:tcPr>
            <w:tcW w:w="93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6" w:space="0" w:color="53575A"/>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Divestment gains/(losses)</w:t>
            </w:r>
          </w:p>
        </w:tc>
        <w:tc>
          <w:tcPr>
            <w:tcW w:w="62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31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25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27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423"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542"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66"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6"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20" w:type="dxa"/>
            <w:tcBorders>
              <w:top w:val="single" w:sz="6"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reversals/(impairments)</w:t>
            </w:r>
          </w:p>
        </w:tc>
        <w:tc>
          <w:tcPr>
            <w:tcW w:w="6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4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5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w:t>
            </w:r>
          </w:p>
        </w:tc>
        <w:tc>
          <w:tcPr>
            <w:tcW w:w="62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1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4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54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Fair value accounting of commodity derivatives and certain gas contracts</w:t>
            </w:r>
            <w:r>
              <w:rPr>
                <w:rFonts w:ascii="Times New Roman;serif" w:hAnsi="Times New Roman;serif"/>
                <w:b w:val="false"/>
                <w:color w:val="000000"/>
                <w:sz w:val="10"/>
              </w:rPr>
              <w:t>1</w:t>
            </w:r>
          </w:p>
        </w:tc>
        <w:tc>
          <w:tcPr>
            <w:tcW w:w="62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31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4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54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Impact of exchange rate movements and inflationary adjustments on tax balances</w:t>
            </w:r>
            <w:r>
              <w:rPr>
                <w:rFonts w:ascii="Times New Roman;serif" w:hAnsi="Times New Roman;serif"/>
                <w:b w:val="false"/>
                <w:color w:val="000000"/>
                <w:sz w:val="10"/>
              </w:rPr>
              <w:t>1</w:t>
            </w:r>
          </w:p>
        </w:tc>
        <w:tc>
          <w:tcPr>
            <w:tcW w:w="62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31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16"/>
              </w:rPr>
              <w:t>Other</w:t>
            </w:r>
            <w:r>
              <w:rPr>
                <w:rFonts w:ascii="Times New Roman;serif" w:hAnsi="Times New Roman;serif"/>
                <w:b w:val="false"/>
                <w:color w:val="000000"/>
                <w:sz w:val="10"/>
              </w:rPr>
              <w:t>1</w:t>
            </w:r>
          </w:p>
        </w:tc>
        <w:tc>
          <w:tcPr>
            <w:tcW w:w="62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1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4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54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Income/(loss) for the period</w:t>
            </w:r>
          </w:p>
        </w:tc>
        <w:tc>
          <w:tcPr>
            <w:tcW w:w="62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407</w:t>
            </w:r>
            <w:r>
              <w:rPr>
                <w:color w:val="000000"/>
              </w:rPr>
              <w:t> </w:t>
            </w:r>
          </w:p>
        </w:tc>
        <w:tc>
          <w:tcPr>
            <w:tcW w:w="31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25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(402)</w:t>
            </w:r>
          </w:p>
        </w:tc>
        <w:tc>
          <w:tcPr>
            <w:tcW w:w="27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(631)</w:t>
            </w:r>
          </w:p>
        </w:tc>
        <w:tc>
          <w:tcPr>
            <w:tcW w:w="423"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(450)</w:t>
            </w:r>
          </w:p>
        </w:tc>
        <w:tc>
          <w:tcPr>
            <w:tcW w:w="542"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w:t>
            </w:r>
          </w:p>
        </w:tc>
        <w:tc>
          <w:tcPr>
            <w:tcW w:w="266"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(1,160)</w:t>
            </w:r>
          </w:p>
        </w:tc>
        <w:tc>
          <w:tcPr>
            <w:tcW w:w="220" w:type="dxa"/>
            <w:tcBorders>
              <w:top w:val="single" w:sz="2" w:space="0" w:color="53575A"/>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on Income/(loss) attributable to non-controlling interest</w:t>
            </w:r>
          </w:p>
        </w:tc>
        <w:tc>
          <w:tcPr>
            <w:tcW w:w="62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176" w:type="dxa"/>
            <w:gridSpan w:val="3"/>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Income/(loss) attributable to Shell plc shareholders</w:t>
            </w:r>
          </w:p>
        </w:tc>
        <w:tc>
          <w:tcPr>
            <w:tcW w:w="624"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407</w:t>
            </w:r>
            <w:r>
              <w:rPr>
                <w:color w:val="000000"/>
              </w:rPr>
              <w:t> </w:t>
            </w:r>
          </w:p>
        </w:tc>
        <w:tc>
          <w:tcPr>
            <w:tcW w:w="313"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25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(402)</w:t>
            </w:r>
          </w:p>
        </w:tc>
        <w:tc>
          <w:tcPr>
            <w:tcW w:w="276"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(631)</w:t>
            </w:r>
          </w:p>
        </w:tc>
        <w:tc>
          <w:tcPr>
            <w:tcW w:w="423"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(450)</w:t>
            </w:r>
          </w:p>
        </w:tc>
        <w:tc>
          <w:tcPr>
            <w:tcW w:w="542"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w:t>
            </w:r>
          </w:p>
        </w:tc>
        <w:tc>
          <w:tcPr>
            <w:tcW w:w="266" w:type="dxa"/>
            <w:tcBorders>
              <w:top w:val="single" w:sz="4" w:space="0" w:color="000000"/>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(1,160)</w:t>
            </w:r>
          </w:p>
        </w:tc>
        <w:tc>
          <w:tcPr>
            <w:tcW w:w="220" w:type="dxa"/>
            <w:tcBorders>
              <w:top w:val="single" w:sz="6" w:space="0" w:color="53575A"/>
              <w:bottom w:val="single" w:sz="6" w:space="0" w:color="53575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5"/>
        </w:rPr>
        <w:t>For a detailed description, see the corresponding footnotes to the Q2 2026 identified items table above.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identified items categories above may include after-tax impacts of identified items of joint ventures and associates which are fully reported within "Share of profit/(loss) of joint ventures and associates" in the Consolidated Statement of Income, and fully reported as identified items included in Income/(loss) before taxation in the tables above. Identified items related to subsidiaries are consolidated and reported across appropriate lines of the Consolidated Statement of Income. Only pre-tax identified items reported by subsidiaries are taken into account in the calculation of underlying operating expenses (Reference 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pPr>
      <w:r>
        <w:rPr>
          <w:rFonts w:ascii="Times New Roman;serif" w:hAnsi="Times New Roman;serif"/>
          <w:b/>
          <w:color w:val="000000"/>
          <w:sz w:val="20"/>
        </w:rPr>
        <w:t>3</w:t>
      </w:r>
      <w:r>
        <w:rPr>
          <w:rFonts w:ascii="Times New Roman;serif" w:hAnsi="Times New Roman;serif"/>
          <w:b w:val="false"/>
          <w:color w:val="000000"/>
          <w:sz w:val="20"/>
        </w:rPr>
        <w:t xml:space="preserve">. </w:t>
      </w:r>
      <w:r>
        <w:rPr>
          <w:rFonts w:ascii="Times New Roman;serif" w:hAnsi="Times New Roman;serif"/>
          <w:b/>
          <w:color w:val="000000"/>
          <w:sz w:val="20"/>
        </w:rPr>
        <w:t>Earnings per share</w:t>
      </w:r>
    </w:p>
    <w:tbl>
      <w:tblPr>
        <w:tblW w:w="8918" w:type="dxa"/>
        <w:jc w:val="center"/>
        <w:tblInd w:w="0" w:type="dxa"/>
        <w:tblLayout w:type="fixed"/>
        <w:tblCellMar>
          <w:top w:w="28" w:type="dxa"/>
          <w:left w:w="28" w:type="dxa"/>
          <w:bottom w:w="28" w:type="dxa"/>
          <w:right w:w="28" w:type="dxa"/>
        </w:tblCellMar>
      </w:tblPr>
      <w:tblGrid>
        <w:gridCol w:w="271"/>
        <w:gridCol w:w="238"/>
        <w:gridCol w:w="240"/>
        <w:gridCol w:w="244"/>
        <w:gridCol w:w="244"/>
        <w:gridCol w:w="246"/>
        <w:gridCol w:w="244"/>
        <w:gridCol w:w="244"/>
        <w:gridCol w:w="246"/>
        <w:gridCol w:w="1648"/>
        <w:gridCol w:w="1648"/>
        <w:gridCol w:w="1654"/>
        <w:gridCol w:w="345"/>
        <w:gridCol w:w="346"/>
        <w:gridCol w:w="156"/>
        <w:gridCol w:w="345"/>
        <w:gridCol w:w="346"/>
        <w:gridCol w:w="21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918"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18"/>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r>
      <w:tr>
        <w:trPr/>
        <w:tc>
          <w:tcPr>
            <w:tcW w:w="221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49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w:t>
            </w:r>
          </w:p>
        </w:tc>
      </w:tr>
      <w:tr>
        <w:trPr/>
        <w:tc>
          <w:tcPr>
            <w:tcW w:w="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49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2026</w:t>
            </w:r>
          </w:p>
        </w:tc>
        <w:tc>
          <w:tcPr>
            <w:tcW w:w="9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2025</w:t>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10,821</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5,694</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3,601</w:t>
            </w:r>
          </w:p>
        </w:tc>
        <w:tc>
          <w:tcPr>
            <w:tcW w:w="49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Income/(loss) attributable to Shell plc shareholders ($ million)</w:t>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16,515 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8,381 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shares used as the basis for determining:</w:t>
            </w:r>
          </w:p>
        </w:tc>
        <w:tc>
          <w:tcPr>
            <w:tcW w:w="8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5,589.3</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5,653.9</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5,947.9</w:t>
            </w:r>
          </w:p>
        </w:tc>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 (million)</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5,990.5 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5,637.0</w:t>
            </w:r>
          </w:p>
        </w:tc>
        <w:tc>
          <w:tcPr>
            <w:tcW w:w="7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5,703.7</w:t>
            </w:r>
          </w:p>
        </w:tc>
        <w:tc>
          <w:tcPr>
            <w:tcW w:w="7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6,004.7</w:t>
            </w:r>
          </w:p>
        </w:tc>
        <w:tc>
          <w:tcPr>
            <w:tcW w:w="495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 (million)</w:t>
            </w:r>
          </w:p>
        </w:tc>
        <w:tc>
          <w:tcPr>
            <w:tcW w:w="69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5,670.2 </w:t>
            </w:r>
          </w:p>
        </w:tc>
        <w:tc>
          <w:tcPr>
            <w:tcW w:w="15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6,046.0 </w:t>
            </w:r>
          </w:p>
        </w:tc>
        <w:tc>
          <w:tcPr>
            <w:tcW w:w="213"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20"/>
        <w:jc w:val="left"/>
        <w:rPr/>
      </w:pPr>
      <w:r>
        <w:rPr/>
      </w:r>
    </w:p>
    <w:p>
      <w:pPr>
        <w:pStyle w:val="TextBody"/>
        <w:bidi w:val="0"/>
        <w:spacing w:before="200" w:after="120"/>
        <w:jc w:val="left"/>
        <w:rPr/>
      </w:pPr>
      <w:r>
        <w:rPr/>
      </w:r>
    </w:p>
    <w:p>
      <w:pPr>
        <w:pStyle w:val="TextBody"/>
        <w:bidi w:val="0"/>
        <w:spacing w:before="200" w:after="120"/>
        <w:jc w:val="left"/>
        <w:rPr/>
      </w:pPr>
      <w:r>
        <w:rPr/>
      </w:r>
    </w:p>
    <w:p>
      <w:pPr>
        <w:pStyle w:val="TextBody"/>
        <w:bidi w:val="0"/>
        <w:spacing w:before="20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4. Share capital</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ISSUED AND FULLY PAID ORDINARY SHARES OF €0.07 EACH</w:t>
      </w:r>
    </w:p>
    <w:tbl>
      <w:tblPr>
        <w:tblW w:w="5712" w:type="dxa"/>
        <w:jc w:val="center"/>
        <w:tblInd w:w="0" w:type="dxa"/>
        <w:tblLayout w:type="fixed"/>
        <w:tblCellMar>
          <w:top w:w="28" w:type="dxa"/>
          <w:left w:w="28" w:type="dxa"/>
          <w:bottom w:w="28" w:type="dxa"/>
          <w:right w:w="28" w:type="dxa"/>
        </w:tblCellMar>
      </w:tblPr>
      <w:tblGrid>
        <w:gridCol w:w="607"/>
        <w:gridCol w:w="536"/>
        <w:gridCol w:w="536"/>
        <w:gridCol w:w="966"/>
        <w:gridCol w:w="536"/>
        <w:gridCol w:w="536"/>
        <w:gridCol w:w="581"/>
        <w:gridCol w:w="581"/>
        <w:gridCol w:w="833"/>
      </w:tblGrid>
      <w:tr>
        <w:trPr/>
        <w:tc>
          <w:tcPr>
            <w:tcW w:w="60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6"/>
              </w:rPr>
            </w:pPr>
            <w:r>
              <w:rPr>
                <w:rFonts w:ascii="Times New Roman;serif" w:hAnsi="Times New Roman;serif"/>
                <w:b/>
                <w:color w:val="FFFFFF"/>
                <w:sz w:val="16"/>
              </w:rPr>
              <w:t>ISSUED AND FULLY PAID ORDINARY SHARES OF €0.07 EACH</w:t>
            </w:r>
          </w:p>
        </w:tc>
      </w:tr>
      <w:tr>
        <w:trPr/>
        <w:tc>
          <w:tcPr>
            <w:tcW w:w="16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 of shares</w:t>
            </w:r>
          </w:p>
        </w:tc>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Nominal value ($ million)</w:t>
            </w:r>
          </w:p>
        </w:tc>
      </w:tr>
      <w:tr>
        <w:trPr/>
        <w:tc>
          <w:tcPr>
            <w:tcW w:w="16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January 1, 2026</w:t>
            </w:r>
          </w:p>
        </w:tc>
        <w:tc>
          <w:tcPr>
            <w:tcW w:w="15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5,718,636,398</w:t>
            </w:r>
            <w:r>
              <w:rPr>
                <w:color w:val="000000"/>
              </w:rPr>
              <w:t> </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477</w:t>
            </w:r>
            <w:r>
              <w:rPr>
                <w:color w:val="000000"/>
              </w:rPr>
              <w:t> </w:t>
            </w:r>
          </w:p>
        </w:tc>
        <w:tc>
          <w:tcPr>
            <w:tcW w:w="8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w:t>
            </w:r>
          </w:p>
        </w:tc>
        <w:tc>
          <w:tcPr>
            <w:tcW w:w="15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(147,708,271)</w:t>
            </w:r>
          </w:p>
        </w:tc>
        <w:tc>
          <w:tcPr>
            <w:tcW w:w="5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8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June 30, 2026</w:t>
            </w:r>
          </w:p>
        </w:tc>
        <w:tc>
          <w:tcPr>
            <w:tcW w:w="15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5,570,928,127</w:t>
            </w:r>
            <w:r>
              <w:rPr>
                <w:color w:val="000000"/>
              </w:rPr>
              <w:t> </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465</w:t>
            </w:r>
            <w:r>
              <w:rPr>
                <w:color w:val="000000"/>
              </w:rPr>
              <w:t> </w:t>
            </w:r>
          </w:p>
        </w:tc>
        <w:tc>
          <w:tcPr>
            <w:tcW w:w="8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January 1, 2025</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6,115,031,158</w:t>
            </w: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510</w:t>
            </w:r>
            <w:r>
              <w:rPr>
                <w:color w:val="000000"/>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(202,687,052)</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June 30, 2025</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5,912,344,106</w:t>
            </w: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493</w:t>
            </w:r>
            <w:r>
              <w:rPr>
                <w:color w:val="000000"/>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At Shell plc’s Annual General Meeting on May 19, 2026, the Board was authorised to allot ordinary shares in Shell plc, and to grant rights to subscribe for, or to convert, any security into ordinary shares in Shell plc, up to an aggregate nominal amount of approximately €132 million (representing approximately 1,885 million ordinary shares of €0.07 each), and to list such shares or rights on any stock exchange. This authority expires at the earlier of the close of business on August 18, 2027, or the end of the Annual General Meeting to be held in 2027, unless previously renewed, revoked or varied by Shell plc in a general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5. Other reserves</w:t>
      </w:r>
    </w:p>
    <w:tbl>
      <w:tblPr>
        <w:tblW w:w="10205" w:type="dxa"/>
        <w:jc w:val="left"/>
        <w:tblInd w:w="0" w:type="dxa"/>
        <w:tblLayout w:type="fixed"/>
        <w:tblCellMar>
          <w:top w:w="28" w:type="dxa"/>
          <w:left w:w="28" w:type="dxa"/>
          <w:bottom w:w="28" w:type="dxa"/>
          <w:right w:w="28" w:type="dxa"/>
        </w:tblCellMar>
      </w:tblPr>
      <w:tblGrid>
        <w:gridCol w:w="1069"/>
        <w:gridCol w:w="838"/>
        <w:gridCol w:w="841"/>
        <w:gridCol w:w="404"/>
        <w:gridCol w:w="315"/>
        <w:gridCol w:w="291"/>
        <w:gridCol w:w="386"/>
        <w:gridCol w:w="386"/>
        <w:gridCol w:w="388"/>
        <w:gridCol w:w="462"/>
        <w:gridCol w:w="462"/>
        <w:gridCol w:w="464"/>
        <w:gridCol w:w="409"/>
        <w:gridCol w:w="318"/>
        <w:gridCol w:w="320"/>
        <w:gridCol w:w="651"/>
        <w:gridCol w:w="651"/>
        <w:gridCol w:w="653"/>
        <w:gridCol w:w="330"/>
        <w:gridCol w:w="331"/>
        <w:gridCol w:w="236"/>
      </w:tblGrid>
      <w:tr>
        <w:trPr/>
        <w:tc>
          <w:tcPr>
            <w:tcW w:w="106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RESERVES</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0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Merger reserve</w:t>
            </w:r>
          </w:p>
        </w:tc>
        <w:tc>
          <w:tcPr>
            <w:tcW w:w="1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 premium reserve</w:t>
            </w:r>
          </w:p>
        </w:tc>
        <w:tc>
          <w:tcPr>
            <w:tcW w:w="13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Capital redemption reserve</w:t>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 plan reserve</w:t>
            </w:r>
          </w:p>
        </w:tc>
        <w:tc>
          <w:tcPr>
            <w:tcW w:w="19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8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r>
      <w:tr>
        <w:trPr/>
        <w:tc>
          <w:tcPr>
            <w:tcW w:w="27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January 1, 2026</w:t>
            </w:r>
          </w:p>
        </w:tc>
        <w:tc>
          <w:tcPr>
            <w:tcW w:w="7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37,298</w:t>
            </w:r>
            <w:r>
              <w:rPr>
                <w:color w:val="000000"/>
              </w:rPr>
              <w:t> </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3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w:t>
            </w:r>
            <w:r>
              <w:rPr>
                <w:color w:val="000000"/>
              </w:rPr>
              <w:t> </w:t>
            </w:r>
          </w:p>
        </w:tc>
        <w:tc>
          <w:tcPr>
            <w:tcW w:w="4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1,359</w:t>
            </w:r>
            <w:r>
              <w:rPr>
                <w:color w:val="000000"/>
              </w:rPr>
              <w:t>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(17,880)</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21,234</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income/(loss) attributable to Shell plc shareholders</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from other comprehensive income</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June 30, 2026</w:t>
            </w:r>
          </w:p>
        </w:tc>
        <w:tc>
          <w:tcPr>
            <w:tcW w:w="7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37,298</w:t>
            </w:r>
            <w:r>
              <w:rPr>
                <w:color w:val="000000"/>
              </w:rPr>
              <w:t> </w:t>
            </w:r>
          </w:p>
        </w:tc>
        <w:tc>
          <w:tcPr>
            <w:tcW w:w="2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3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316</w:t>
            </w:r>
            <w:r>
              <w:rPr>
                <w:color w:val="000000"/>
              </w:rPr>
              <w:t> </w:t>
            </w:r>
          </w:p>
        </w:tc>
        <w:tc>
          <w:tcPr>
            <w:tcW w:w="4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805</w:t>
            </w:r>
            <w:r>
              <w:rPr>
                <w:color w:val="000000"/>
              </w:rPr>
              <w:t> </w:t>
            </w:r>
          </w:p>
        </w:tc>
        <w:tc>
          <w:tcPr>
            <w:tcW w:w="3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(18,716)</w:t>
            </w:r>
          </w:p>
        </w:tc>
        <w:tc>
          <w:tcPr>
            <w:tcW w:w="6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19,856</w:t>
            </w:r>
            <w:r>
              <w:rPr>
                <w:color w:val="000000"/>
              </w:rPr>
              <w:t> </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January 1, 2025</w:t>
            </w:r>
          </w:p>
        </w:tc>
        <w:tc>
          <w:tcPr>
            <w:tcW w:w="7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37,298</w:t>
            </w:r>
            <w:r>
              <w:rPr>
                <w:color w:val="000000"/>
              </w:rPr>
              <w:t> </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3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w:t>
            </w:r>
            <w:r>
              <w:rPr>
                <w:color w:val="000000"/>
              </w:rPr>
              <w:t> </w:t>
            </w:r>
          </w:p>
        </w:tc>
        <w:tc>
          <w:tcPr>
            <w:tcW w:w="4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1,417</w:t>
            </w:r>
            <w:r>
              <w:rPr>
                <w:color w:val="000000"/>
              </w:rPr>
              <w:t>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(19,373)</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19,766</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income/(loss) attributable to Shell plc shareholders</w:t>
            </w:r>
          </w:p>
        </w:tc>
        <w:tc>
          <w:tcPr>
            <w:tcW w:w="7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6,159 </w:t>
            </w:r>
          </w:p>
        </w:tc>
        <w:tc>
          <w:tcPr>
            <w:tcW w:w="6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6,159 </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from other comprehensive income</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June 30, 2025</w:t>
            </w:r>
          </w:p>
        </w:tc>
        <w:tc>
          <w:tcPr>
            <w:tcW w:w="719"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37,298</w:t>
            </w:r>
            <w:r>
              <w:rPr>
                <w:color w:val="000000"/>
              </w:rPr>
              <w:t> </w:t>
            </w:r>
          </w:p>
        </w:tc>
        <w:tc>
          <w:tcPr>
            <w:tcW w:w="29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38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287</w:t>
            </w:r>
            <w:r>
              <w:rPr>
                <w:color w:val="000000"/>
              </w:rPr>
              <w:t> </w:t>
            </w:r>
          </w:p>
        </w:tc>
        <w:tc>
          <w:tcPr>
            <w:tcW w:w="46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930</w:t>
            </w:r>
            <w:r>
              <w:rPr>
                <w:color w:val="000000"/>
              </w:rPr>
              <w:t> </w:t>
            </w:r>
          </w:p>
        </w:tc>
        <w:tc>
          <w:tcPr>
            <w:tcW w:w="32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(13,196)</w:t>
            </w:r>
          </w:p>
        </w:tc>
        <w:tc>
          <w:tcPr>
            <w:tcW w:w="65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25,473</w:t>
            </w:r>
            <w:r>
              <w:rPr>
                <w:color w:val="000000"/>
              </w:rPr>
              <w:t> </w:t>
            </w:r>
          </w:p>
        </w:tc>
        <w:tc>
          <w:tcPr>
            <w:tcW w:w="23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merger reserve and share premium reserve were established as a consequence of Shell plc (formerly Royal Dutch Shell plc) becoming the single parent company of Royal Dutch Petroleum Company and The “Shell” Transport and Trading Company, p.l.c., now The Shell Transport and Trading Company Limited, in 2005. The merger reserve increased in 2016 following the issuance of shares for the acquisition of BG Group plc. The capital redemption reserve was established in connection with repurchases of shares of Shell plc. The share plan reserve is in respect of equity-settled share-based compensation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pPr>
      <w:r>
        <w:rPr>
          <w:rFonts w:ascii="Times New Roman;serif" w:hAnsi="Times New Roman;serif"/>
          <w:b/>
          <w:color w:val="000000"/>
          <w:sz w:val="20"/>
        </w:rPr>
        <w:t>6</w:t>
      </w:r>
      <w:r>
        <w:rPr>
          <w:rFonts w:ascii="Times New Roman;serif" w:hAnsi="Times New Roman;serif"/>
          <w:b w:val="false"/>
          <w:color w:val="000000"/>
          <w:sz w:val="20"/>
        </w:rPr>
        <w:t xml:space="preserve">. </w:t>
      </w:r>
      <w:r>
        <w:rPr>
          <w:rFonts w:ascii="Times New Roman;serif" w:hAnsi="Times New Roman;serif"/>
          <w:b/>
          <w:color w:val="000000"/>
          <w:sz w:val="20"/>
        </w:rPr>
        <w:t>Derivative financial instruments and debt excluding lease liabilities</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disclosed in the Consolidated Financial Statements for the year ended December 31, 2025, presented in the Annual Report and Accounts and Form 20-F for that year, Shell is exposed to the risks of changes in fair value of its financial assets and liabilities. The fair values of the financial assets and liabilities are defined as the price that would be received to sell an asset or paid to transfer a liability in an orderly transaction between market participants at the measurement date. Methods and assumptions used to estimate the fair values at June 30, 2026, are consistent with those used in the year ended December 31, 2025, though the carrying amounts of derivative financial instruments have changed since that date. The movement of the derivative financial instruments between December 31, 2025 and June 30, 2026 is an increase of $373 million for the current assets and an increase of $1,561 million for the current liabilities.</w:t>
      </w:r>
    </w:p>
    <w:p>
      <w:pPr>
        <w:pStyle w:val="TextBody"/>
        <w:bidi w:val="0"/>
        <w:spacing w:lineRule="auto" w:line="288" w:before="0" w:after="120"/>
        <w:jc w:val="left"/>
        <w:rPr/>
      </w:pPr>
      <w:r>
        <w:rPr>
          <w:rFonts w:ascii="Times New Roman;serif" w:hAnsi="Times New Roman;serif"/>
          <w:b w:val="false"/>
          <w:color w:val="000000"/>
          <w:sz w:val="20"/>
        </w:rPr>
        <w:t>The table below provides the comparison of the fair value with the carrying amount of debt excluding lease liabilities, disclosed in accordance with IFRS 7</w:t>
      </w:r>
      <w:r>
        <w:rPr>
          <w:color w:val="000000"/>
        </w:rPr>
        <w:t xml:space="preserve"> </w:t>
      </w:r>
      <w:r>
        <w:rPr>
          <w:rFonts w:ascii="Times New Roman;serif" w:hAnsi="Times New Roman;serif"/>
          <w:b w:val="false"/>
          <w:color w:val="000000"/>
          <w:sz w:val="20"/>
        </w:rPr>
        <w:t>Financial Instruments: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30</w:t>
                      </w:r>
                    </w:p>
                  </w:txbxContent>
                </v:textbox>
                <w10:wrap type="none"/>
              </v:rect>
            </w:pict>
          </mc:Fallback>
        </mc:AlternateContent>
      </w:r>
    </w:p>
    <w:p>
      <w:pPr>
        <w:pStyle w:val="TextBody"/>
        <w:bidi w:val="0"/>
        <w:spacing w:before="0" w:after="0"/>
        <w:jc w:val="left"/>
        <w:rPr/>
      </w:pPr>
      <w:r>
        <w:rPr/>
      </w:r>
    </w:p>
    <w:tbl>
      <w:tblPr>
        <w:tblW w:w="5863" w:type="dxa"/>
        <w:jc w:val="center"/>
        <w:tblInd w:w="0" w:type="dxa"/>
        <w:tblLayout w:type="fixed"/>
        <w:tblCellMar>
          <w:top w:w="28" w:type="dxa"/>
          <w:left w:w="28" w:type="dxa"/>
          <w:bottom w:w="28" w:type="dxa"/>
          <w:right w:w="28" w:type="dxa"/>
        </w:tblCellMar>
      </w:tblPr>
      <w:tblGrid>
        <w:gridCol w:w="1158"/>
        <w:gridCol w:w="1016"/>
        <w:gridCol w:w="1021"/>
        <w:gridCol w:w="374"/>
        <w:gridCol w:w="374"/>
        <w:gridCol w:w="376"/>
        <w:gridCol w:w="452"/>
        <w:gridCol w:w="452"/>
        <w:gridCol w:w="640"/>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8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DEBT EXCLUDING LEASE LIABILITIES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June 30, 2026</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Carrying amount</w:t>
            </w:r>
            <w:r>
              <w:rPr>
                <w:rFonts w:ascii="Times New Roman;serif" w:hAnsi="Times New Roman;serif"/>
                <w:b w:val="false"/>
                <w:color w:val="000000"/>
                <w:sz w:val="10"/>
              </w:rPr>
              <w:t>1</w:t>
            </w:r>
          </w:p>
        </w:tc>
        <w:tc>
          <w:tcPr>
            <w:tcW w:w="7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43,449 </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46,710 </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Fair value</w:t>
            </w:r>
            <w:r>
              <w:rPr>
                <w:rFonts w:ascii="Times New Roman;serif" w:hAnsi="Times New Roman;serif"/>
                <w:b w:val="false"/>
                <w:color w:val="000000"/>
                <w:sz w:val="10"/>
              </w:rPr>
              <w:t>2</w:t>
            </w:r>
          </w:p>
        </w:tc>
        <w:tc>
          <w:tcPr>
            <w:tcW w:w="74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39,681 </w:t>
            </w:r>
          </w:p>
        </w:tc>
        <w:tc>
          <w:tcPr>
            <w:tcW w:w="37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43,142 </w:t>
            </w:r>
          </w:p>
        </w:tc>
        <w:tc>
          <w:tcPr>
            <w:tcW w:w="640"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84"/>
        <w:jc w:val="left"/>
        <w:rPr/>
      </w:pPr>
      <w:r>
        <w:rPr>
          <w:rFonts w:ascii="Times New Roman;serif" w:hAnsi="Times New Roman;serif"/>
          <w:b w:val="false"/>
          <w:color w:val="000000"/>
          <w:sz w:val="10"/>
        </w:rPr>
        <w:t>1.    </w:t>
      </w:r>
      <w:r>
        <w:rPr>
          <w:rFonts w:ascii="Times New Roman;serif" w:hAnsi="Times New Roman;serif"/>
          <w:b w:val="false"/>
          <w:color w:val="000000"/>
          <w:sz w:val="15"/>
        </w:rPr>
        <w:t xml:space="preserve">Shell issued no debt under the US shelf or under the Euro medium-term note programmes during 2026. </w:t>
      </w:r>
    </w:p>
    <w:p>
      <w:pPr>
        <w:pStyle w:val="TextBody"/>
        <w:bidi w:val="0"/>
        <w:spacing w:lineRule="auto" w:line="276" w:before="0" w:after="0"/>
        <w:ind w:left="0" w:right="0" w:hanging="284"/>
        <w:jc w:val="left"/>
        <w:rPr/>
      </w:pPr>
      <w:r>
        <w:rPr>
          <w:rFonts w:ascii="Times New Roman;serif" w:hAnsi="Times New Roman;serif"/>
          <w:b w:val="false"/>
          <w:color w:val="000000"/>
          <w:sz w:val="10"/>
        </w:rPr>
        <w:t>2.    </w:t>
      </w:r>
      <w:r>
        <w:rPr>
          <w:color w:val="595959"/>
        </w:rPr>
        <w:t xml:space="preserve"> </w:t>
      </w:r>
      <w:r>
        <w:rPr>
          <w:rFonts w:ascii="Times New Roman;serif" w:hAnsi="Times New Roman;serif"/>
          <w:b w:val="false"/>
          <w:color w:val="000000"/>
          <w:sz w:val="15"/>
        </w:rPr>
        <w:t xml:space="preserve">Mainly determined from the prices quoted for these securities. </w:t>
      </w:r>
    </w:p>
    <w:p>
      <w:pPr>
        <w:pStyle w:val="TextBody"/>
        <w:bidi w:val="0"/>
        <w:spacing w:before="0" w:after="12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60"/>
        <w:jc w:val="left"/>
        <w:rPr/>
      </w:pPr>
      <w:r>
        <w:rPr>
          <w:rFonts w:ascii="Times New Roman;serif" w:hAnsi="Times New Roman;serif"/>
          <w:b/>
          <w:color w:val="000000"/>
          <w:sz w:val="20"/>
        </w:rPr>
        <w:t>7</w:t>
      </w:r>
      <w:r>
        <w:rPr>
          <w:rFonts w:ascii="Times New Roman;serif" w:hAnsi="Times New Roman;serif"/>
          <w:b w:val="false"/>
          <w:color w:val="000000"/>
          <w:sz w:val="20"/>
        </w:rPr>
        <w:t xml:space="preserve">. </w:t>
      </w:r>
      <w:r>
        <w:rPr>
          <w:rFonts w:ascii="Times New Roman;serif" w:hAnsi="Times New Roman;serif"/>
          <w:b/>
          <w:color w:val="000000"/>
          <w:sz w:val="20"/>
        </w:rPr>
        <w:t>Other notes to the unaudited Condensed Consolidated Interim Financial Statements</w:t>
      </w:r>
    </w:p>
    <w:p>
      <w:pPr>
        <w:pStyle w:val="TextBody"/>
        <w:bidi w:val="0"/>
        <w:spacing w:lineRule="auto" w:line="256" w:before="0" w:after="60"/>
        <w:jc w:val="left"/>
        <w:rPr>
          <w:rFonts w:ascii="Times New Roman;serif" w:hAnsi="Times New Roman;serif"/>
          <w:b/>
          <w:color w:val="000000"/>
          <w:sz w:val="20"/>
        </w:rPr>
      </w:pPr>
      <w:r>
        <w:rPr>
          <w:rFonts w:ascii="Times New Roman;serif" w:hAnsi="Times New Roman;serif"/>
          <w:b/>
          <w:color w:val="000000"/>
          <w:sz w:val="20"/>
        </w:rPr>
        <w:t xml:space="preserve">Consolidated Statement of Income </w:t>
      </w:r>
    </w:p>
    <w:p>
      <w:pPr>
        <w:pStyle w:val="TextBody"/>
        <w:bidi w:val="0"/>
        <w:spacing w:lineRule="auto" w:line="256" w:before="0" w:after="60"/>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bl>
      <w:tblPr>
        <w:tblW w:w="9348" w:type="dxa"/>
        <w:jc w:val="left"/>
        <w:tblInd w:w="0" w:type="dxa"/>
        <w:tblLayout w:type="fixed"/>
        <w:tblCellMar>
          <w:top w:w="28" w:type="dxa"/>
          <w:left w:w="28" w:type="dxa"/>
          <w:bottom w:w="28" w:type="dxa"/>
          <w:right w:w="28" w:type="dxa"/>
        </w:tblCellMar>
      </w:tblPr>
      <w:tblGrid>
        <w:gridCol w:w="311"/>
        <w:gridCol w:w="275"/>
        <w:gridCol w:w="240"/>
        <w:gridCol w:w="244"/>
        <w:gridCol w:w="244"/>
        <w:gridCol w:w="246"/>
        <w:gridCol w:w="248"/>
        <w:gridCol w:w="248"/>
        <w:gridCol w:w="246"/>
        <w:gridCol w:w="1841"/>
        <w:gridCol w:w="1841"/>
        <w:gridCol w:w="1868"/>
        <w:gridCol w:w="285"/>
        <w:gridCol w:w="286"/>
        <w:gridCol w:w="156"/>
        <w:gridCol w:w="278"/>
        <w:gridCol w:w="278"/>
        <w:gridCol w:w="213"/>
      </w:tblGrid>
      <w:tr>
        <w:trPr/>
        <w:tc>
          <w:tcPr>
            <w:tcW w:w="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348" w:type="dxa"/>
            <w:gridSpan w:val="1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55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49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7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55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1,048</w:t>
            </w:r>
            <w:r>
              <w:rPr>
                <w:color w:val="000000"/>
              </w:rPr>
              <w:t>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535</w:t>
            </w:r>
            <w:r>
              <w:rPr>
                <w:color w:val="000000"/>
              </w:rPr>
              <w:t>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w:t>
            </w:r>
            <w:r>
              <w:rPr>
                <w:color w:val="000000"/>
              </w:rPr>
              <w:t>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and other income/(expenses)</w:t>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1,583</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628</w:t>
            </w:r>
            <w:r>
              <w:rPr>
                <w:color w:val="000000"/>
              </w:rPr>
              <w:t>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w:t>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income (from investments in equity securities)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gains/(losses) on sales and revaluation of non-current assets and businesses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foreign exchange gains/(losses) on financing activities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240"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13"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120" w:after="160"/>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amortisation</w:t>
      </w:r>
    </w:p>
    <w:tbl>
      <w:tblPr>
        <w:tblW w:w="7225" w:type="dxa"/>
        <w:jc w:val="left"/>
        <w:tblInd w:w="0" w:type="dxa"/>
        <w:tblLayout w:type="fixed"/>
        <w:tblCellMar>
          <w:top w:w="28" w:type="dxa"/>
          <w:left w:w="28" w:type="dxa"/>
          <w:bottom w:w="28" w:type="dxa"/>
          <w:right w:w="28" w:type="dxa"/>
        </w:tblCellMar>
      </w:tblPr>
      <w:tblGrid>
        <w:gridCol w:w="311"/>
        <w:gridCol w:w="275"/>
        <w:gridCol w:w="240"/>
        <w:gridCol w:w="285"/>
        <w:gridCol w:w="286"/>
        <w:gridCol w:w="246"/>
        <w:gridCol w:w="285"/>
        <w:gridCol w:w="286"/>
        <w:gridCol w:w="246"/>
        <w:gridCol w:w="1021"/>
        <w:gridCol w:w="1021"/>
        <w:gridCol w:w="1032"/>
        <w:gridCol w:w="330"/>
        <w:gridCol w:w="331"/>
        <w:gridCol w:w="156"/>
        <w:gridCol w:w="330"/>
        <w:gridCol w:w="331"/>
        <w:gridCol w:w="213"/>
      </w:tblGrid>
      <w:tr>
        <w:trPr/>
        <w:tc>
          <w:tcPr>
            <w:tcW w:w="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225" w:type="dxa"/>
            <w:gridSpan w:val="1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3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6,183</w:t>
            </w:r>
            <w:r>
              <w:rPr>
                <w:color w:val="000000"/>
              </w:rPr>
              <w:t>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5,743</w:t>
            </w:r>
            <w:r>
              <w:rPr>
                <w:color w:val="000000"/>
              </w:rPr>
              <w:t>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6,670</w:t>
            </w:r>
            <w:r>
              <w:rPr>
                <w:color w:val="000000"/>
              </w:rPr>
              <w:t>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Depreciation, depletion and amortisation</w:t>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11,926</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12,111</w:t>
            </w:r>
            <w:r>
              <w:rPr>
                <w:color w:val="000000"/>
              </w:rPr>
              <w:t>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w:t>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0"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24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reversals</w:t>
            </w:r>
          </w:p>
        </w:tc>
        <w:tc>
          <w:tcPr>
            <w:tcW w:w="6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13"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Impairments recognised in the second quarter 2026 of $629 million pre-tax ($545 million post-tax) principally relate to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Renewables and Energy Solutions ($581 million). The impairments in Renewables and Energy Solutions were principally triggered by portfolio choices regarding renewable generation assets in Asia and Europe.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Impairments recognised in the second quarter 2025 of $1,238 million pre-tax ($877 million post-tax) principally relate to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Integrated Gas ($666 million) and Marketing ($399 million). Impairments recognised in Integrated Gas were triggered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lower commodity prices applied in impairment testing. </w:t>
      </w:r>
    </w:p>
    <w:p>
      <w:pPr>
        <w:pStyle w:val="TextBody"/>
        <w:bidi w:val="0"/>
        <w:spacing w:lineRule="auto" w:line="300" w:before="200" w:after="120"/>
        <w:jc w:val="left"/>
        <w:rPr>
          <w:rFonts w:ascii="Times New Roman;serif" w:hAnsi="Times New Roman;serif"/>
          <w:b w:val="false"/>
          <w:color w:val="000000"/>
          <w:sz w:val="20"/>
        </w:rPr>
      </w:pPr>
      <w:r>
        <w:rPr>
          <w:rFonts w:ascii="Times New Roman;serif" w:hAnsi="Times New Roman;serif"/>
          <w:b w:val="false"/>
          <w:color w:val="000000"/>
          <w:sz w:val="20"/>
        </w:rPr>
        <w:t>Taxation charge/credit</w:t>
      </w:r>
    </w:p>
    <w:tbl>
      <w:tblPr>
        <w:tblW w:w="7166" w:type="dxa"/>
        <w:jc w:val="left"/>
        <w:tblInd w:w="0" w:type="dxa"/>
        <w:tblLayout w:type="fixed"/>
        <w:tblCellMar>
          <w:top w:w="28" w:type="dxa"/>
          <w:left w:w="28" w:type="dxa"/>
          <w:bottom w:w="28" w:type="dxa"/>
          <w:right w:w="28" w:type="dxa"/>
        </w:tblCellMar>
      </w:tblPr>
      <w:tblGrid>
        <w:gridCol w:w="311"/>
        <w:gridCol w:w="275"/>
        <w:gridCol w:w="240"/>
        <w:gridCol w:w="285"/>
        <w:gridCol w:w="286"/>
        <w:gridCol w:w="246"/>
        <w:gridCol w:w="285"/>
        <w:gridCol w:w="286"/>
        <w:gridCol w:w="246"/>
        <w:gridCol w:w="1060"/>
        <w:gridCol w:w="1060"/>
        <w:gridCol w:w="1075"/>
        <w:gridCol w:w="285"/>
        <w:gridCol w:w="286"/>
        <w:gridCol w:w="156"/>
        <w:gridCol w:w="285"/>
        <w:gridCol w:w="286"/>
        <w:gridCol w:w="213"/>
      </w:tblGrid>
      <w:tr>
        <w:trPr/>
        <w:tc>
          <w:tcPr>
            <w:tcW w:w="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166" w:type="dxa"/>
            <w:gridSpan w:val="1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1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51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31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4,949</w:t>
            </w:r>
            <w:r>
              <w:rPr>
                <w:color w:val="000000"/>
              </w:rPr>
              <w:t>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3,570</w:t>
            </w:r>
            <w:r>
              <w:rPr>
                <w:color w:val="000000"/>
              </w:rPr>
              <w:t>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2,332</w:t>
            </w:r>
            <w:r>
              <w:rPr>
                <w:color w:val="000000"/>
              </w:rPr>
              <w:t>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Taxation charge/(credit)</w:t>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8,519</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6,415</w:t>
            </w:r>
            <w:r>
              <w:rPr>
                <w:color w:val="000000"/>
              </w:rPr>
              <w:t>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w:t>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excluding Pillar Two income tax</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0"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4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related to Pillar Two income tax</w:t>
            </w:r>
          </w:p>
        </w:tc>
        <w:tc>
          <w:tcPr>
            <w:tcW w:w="57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5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13"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required by IAS 12 Income Taxes, Shell has applied the exception to recognising and disclosing information about deferred tax assets and liabilities related to Pillar Two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13, 2026, the UK Government published draft tax legislation that would exempt foreign permanent establishments from UK taxation, potentially limiting the use of foreign tax attributes against UK profits. Shell is monitoring the development of the draft legislation. </w:t>
      </w:r>
    </w:p>
    <w:p>
      <w:pPr>
        <w:pStyle w:val="TextBody"/>
        <w:bidi w:val="0"/>
        <w:spacing w:lineRule="auto" w:line="268" w:before="120" w:after="120"/>
        <w:jc w:val="left"/>
        <w:rPr>
          <w:rFonts w:ascii="Times New Roman;serif" w:hAnsi="Times New Roman;serif"/>
          <w:b/>
          <w:color w:val="000000"/>
          <w:sz w:val="20"/>
        </w:rPr>
      </w:pPr>
      <w:r>
        <w:rPr>
          <w:rFonts w:ascii="Times New Roman;serif" w:hAnsi="Times New Roman;serif"/>
          <w:b/>
          <w:color w:val="000000"/>
          <w:sz w:val="20"/>
        </w:rPr>
        <w:t>Consolidated Statement of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differences</w:t>
      </w:r>
    </w:p>
    <w:tbl>
      <w:tblPr>
        <w:tblW w:w="6951" w:type="dxa"/>
        <w:jc w:val="left"/>
        <w:tblInd w:w="0" w:type="dxa"/>
        <w:tblLayout w:type="fixed"/>
        <w:tblCellMar>
          <w:top w:w="28" w:type="dxa"/>
          <w:left w:w="28" w:type="dxa"/>
          <w:bottom w:w="28" w:type="dxa"/>
          <w:right w:w="28" w:type="dxa"/>
        </w:tblCellMar>
      </w:tblPr>
      <w:tblGrid>
        <w:gridCol w:w="271"/>
        <w:gridCol w:w="238"/>
        <w:gridCol w:w="240"/>
        <w:gridCol w:w="244"/>
        <w:gridCol w:w="244"/>
        <w:gridCol w:w="246"/>
        <w:gridCol w:w="244"/>
        <w:gridCol w:w="244"/>
        <w:gridCol w:w="246"/>
        <w:gridCol w:w="1050"/>
        <w:gridCol w:w="1050"/>
        <w:gridCol w:w="1064"/>
        <w:gridCol w:w="314"/>
        <w:gridCol w:w="316"/>
        <w:gridCol w:w="156"/>
        <w:gridCol w:w="285"/>
        <w:gridCol w:w="286"/>
        <w:gridCol w:w="21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951" w:type="dxa"/>
            <w:gridSpan w:val="1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1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57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31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(314)</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(820)</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4,127</w:t>
            </w:r>
          </w:p>
        </w:tc>
        <w:tc>
          <w:tcPr>
            <w:tcW w:w="31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Currency translation differences</w:t>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(1,134)</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5,837</w:t>
            </w:r>
            <w:r>
              <w:rPr>
                <w:color w:val="000000"/>
              </w:rPr>
              <w:t>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(375)</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(767)</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4,117</w:t>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Recognised in Other comprehensive income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7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7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16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(Gain)/loss reclassified to profit or loss</w:t>
            </w:r>
          </w:p>
        </w:tc>
        <w:tc>
          <w:tcPr>
            <w:tcW w:w="63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13"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color w:val="000000"/>
          <w:sz w:val="20"/>
        </w:rPr>
        <w:t>Condensed Consolidated Balance Shee</w:t>
      </w:r>
      <w:r>
        <w:rPr>
          <w:rFonts w:ascii="Times New Roman;serif" w:hAnsi="Times New Roman;serif"/>
          <w:b w:val="false"/>
          <w:color w:val="000000"/>
          <w:sz w:val="20"/>
        </w:rPr>
        <w:t>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associates</w:t>
      </w:r>
    </w:p>
    <w:tbl>
      <w:tblPr>
        <w:tblW w:w="5128" w:type="dxa"/>
        <w:jc w:val="left"/>
        <w:tblInd w:w="0" w:type="dxa"/>
        <w:tblLayout w:type="fixed"/>
        <w:tblCellMar>
          <w:top w:w="28" w:type="dxa"/>
          <w:left w:w="28" w:type="dxa"/>
          <w:bottom w:w="28" w:type="dxa"/>
          <w:right w:w="28" w:type="dxa"/>
        </w:tblCellMar>
      </w:tblPr>
      <w:tblGrid>
        <w:gridCol w:w="753"/>
        <w:gridCol w:w="662"/>
        <w:gridCol w:w="670"/>
        <w:gridCol w:w="424"/>
        <w:gridCol w:w="424"/>
        <w:gridCol w:w="426"/>
        <w:gridCol w:w="517"/>
        <w:gridCol w:w="517"/>
        <w:gridCol w:w="735"/>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51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 2026</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8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ventures and associates</w:t>
            </w:r>
          </w:p>
        </w:tc>
        <w:tc>
          <w:tcPr>
            <w:tcW w:w="84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27,997 </w:t>
            </w:r>
          </w:p>
        </w:tc>
        <w:tc>
          <w:tcPr>
            <w:tcW w:w="42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27,775 </w:t>
            </w:r>
          </w:p>
        </w:tc>
        <w:tc>
          <w:tcPr>
            <w:tcW w:w="73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June 2026, Shell's 44% joint venture Raizen filed its restructuring plan which remains subject to court approval. The restructuring plan contemplates a conversion of debt into equity, which would dilute Shell's ownership interest in Raizen, and a capital injection by Shell of BRL3.5 billion ($685 million). The capital injection would only take place after all conditions precedent have been satisfied. If all conditions precedent are not satisfied or waived by March 31, 2027, subject to a one-time extension of up to six months, the restructuring plan will automatically terminate.</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classified as held for sale</w:t>
      </w:r>
    </w:p>
    <w:tbl>
      <w:tblPr>
        <w:tblW w:w="7281" w:type="dxa"/>
        <w:jc w:val="left"/>
        <w:tblInd w:w="0" w:type="dxa"/>
        <w:tblLayout w:type="fixed"/>
        <w:tblCellMar>
          <w:top w:w="28" w:type="dxa"/>
          <w:left w:w="28" w:type="dxa"/>
          <w:bottom w:w="28" w:type="dxa"/>
          <w:right w:w="28" w:type="dxa"/>
        </w:tblCellMar>
      </w:tblPr>
      <w:tblGrid>
        <w:gridCol w:w="433"/>
        <w:gridCol w:w="380"/>
        <w:gridCol w:w="380"/>
        <w:gridCol w:w="380"/>
        <w:gridCol w:w="380"/>
        <w:gridCol w:w="380"/>
        <w:gridCol w:w="380"/>
        <w:gridCol w:w="380"/>
        <w:gridCol w:w="380"/>
        <w:gridCol w:w="380"/>
        <w:gridCol w:w="380"/>
        <w:gridCol w:w="380"/>
        <w:gridCol w:w="374"/>
        <w:gridCol w:w="374"/>
        <w:gridCol w:w="376"/>
        <w:gridCol w:w="452"/>
        <w:gridCol w:w="452"/>
        <w:gridCol w:w="640"/>
      </w:tblGrid>
      <w:tr>
        <w:trPr/>
        <w:tc>
          <w:tcPr>
            <w:tcW w:w="4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7281"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June 30, 2026</w:t>
            </w:r>
          </w:p>
        </w:tc>
        <w:tc>
          <w:tcPr>
            <w:tcW w:w="1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13" w:type="dxa"/>
            <w:gridSpan w:val="1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classified as held for sale</w:t>
            </w:r>
          </w:p>
        </w:tc>
        <w:tc>
          <w:tcPr>
            <w:tcW w:w="7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2,395 </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1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directly associated with assets classified as held for sale</w:t>
            </w:r>
          </w:p>
        </w:tc>
        <w:tc>
          <w:tcPr>
            <w:tcW w:w="74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37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640"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classified as held for sale and associated liabilities at June 30, 2026, principally relate to Sprng Energy in Renewables and Energy Solutions and a working interest in Brazil in Upstream.</w:t>
      </w:r>
    </w:p>
    <w:p>
      <w:pPr>
        <w:pStyle w:val="TextBody"/>
        <w:bidi w:val="0"/>
        <w:spacing w:lineRule="auto" w:line="30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major classes of assets and liabilities classified as held for sale at June 30, 2026, are Property, plant and equipment ($2,133 million; December 31, 2025: $662 million) and Decommissioning and other provisions ($466 million; December 31, 2025: $515 million). </w:t>
      </w:r>
    </w:p>
    <w:p>
      <w:pPr>
        <w:pStyle w:val="TextBody"/>
        <w:bidi w:val="0"/>
        <w:spacing w:lineRule="auto" w:line="300" w:before="200" w:after="120"/>
        <w:jc w:val="left"/>
        <w:rPr>
          <w:rFonts w:ascii="Times New Roman;serif" w:hAnsi="Times New Roman;serif"/>
          <w:b/>
          <w:color w:val="000000"/>
          <w:sz w:val="20"/>
        </w:rPr>
      </w:pPr>
      <w:r>
        <w:rPr>
          <w:rFonts w:ascii="Times New Roman;serif" w:hAnsi="Times New Roman;serif"/>
          <w:b/>
          <w:color w:val="000000"/>
          <w:sz w:val="20"/>
        </w:rPr>
        <w:t>Consolidated Statement of Cash Flows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Other investing cash outflows</w:t>
      </w:r>
    </w:p>
    <w:tbl>
      <w:tblPr>
        <w:tblW w:w="6023" w:type="dxa"/>
        <w:jc w:val="left"/>
        <w:tblInd w:w="0" w:type="dxa"/>
        <w:tblLayout w:type="fixed"/>
        <w:tblCellMar>
          <w:top w:w="28" w:type="dxa"/>
          <w:left w:w="28" w:type="dxa"/>
          <w:bottom w:w="28" w:type="dxa"/>
          <w:right w:w="28" w:type="dxa"/>
        </w:tblCellMar>
      </w:tblPr>
      <w:tblGrid>
        <w:gridCol w:w="272"/>
        <w:gridCol w:w="238"/>
        <w:gridCol w:w="240"/>
        <w:gridCol w:w="248"/>
        <w:gridCol w:w="248"/>
        <w:gridCol w:w="246"/>
        <w:gridCol w:w="248"/>
        <w:gridCol w:w="248"/>
        <w:gridCol w:w="246"/>
        <w:gridCol w:w="719"/>
        <w:gridCol w:w="719"/>
        <w:gridCol w:w="722"/>
        <w:gridCol w:w="314"/>
        <w:gridCol w:w="316"/>
        <w:gridCol w:w="156"/>
        <w:gridCol w:w="314"/>
        <w:gridCol w:w="316"/>
        <w:gridCol w:w="213"/>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5273" w:type="dxa"/>
            <w:gridSpan w:val="15"/>
            <w:tcBorders/>
          </w:tcPr>
          <w:p>
            <w:pPr>
              <w:pStyle w:val="TableContents"/>
              <w:bidi w:val="0"/>
              <w:spacing w:before="0" w:after="283"/>
              <w:jc w:val="left"/>
              <w:rPr>
                <w:sz w:val="4"/>
                <w:szCs w:val="4"/>
              </w:rPr>
            </w:pPr>
            <w:r>
              <w:rPr>
                <w:sz w:val="4"/>
                <w:szCs w:val="4"/>
              </w:rPr>
            </w:r>
          </w:p>
        </w:tc>
      </w:tr>
      <w:tr>
        <w:trPr/>
        <w:tc>
          <w:tcPr>
            <w:tcW w:w="223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29"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7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7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21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2026</w:t>
            </w:r>
          </w:p>
        </w:tc>
        <w:tc>
          <w:tcPr>
            <w:tcW w:w="8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2025</w:t>
            </w:r>
          </w:p>
        </w:tc>
      </w:tr>
      <w:tr>
        <w:trPr/>
        <w:tc>
          <w:tcPr>
            <w:tcW w:w="51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w:t>
            </w:r>
          </w:p>
        </w:tc>
        <w:tc>
          <w:tcPr>
            <w:tcW w:w="24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w:t>
            </w:r>
          </w:p>
        </w:tc>
        <w:tc>
          <w:tcPr>
            <w:tcW w:w="2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2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cash outflows</w:t>
            </w:r>
          </w:p>
        </w:tc>
        <w:tc>
          <w:tcPr>
            <w:tcW w:w="63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w:t>
            </w:r>
          </w:p>
        </w:tc>
        <w:tc>
          <w:tcPr>
            <w:tcW w:w="1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w:t>
            </w:r>
          </w:p>
        </w:tc>
        <w:tc>
          <w:tcPr>
            <w:tcW w:w="213"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 - Other investing cash outflows for the second quarter 2026 includes settlement of investment related FX swaps and a tax payment related to a disposal gain.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 - Other</w:t>
      </w:r>
    </w:p>
    <w:tbl>
      <w:tblPr>
        <w:tblW w:w="6840" w:type="dxa"/>
        <w:jc w:val="left"/>
        <w:tblInd w:w="0" w:type="dxa"/>
        <w:tblLayout w:type="fixed"/>
        <w:tblCellMar>
          <w:top w:w="28" w:type="dxa"/>
          <w:left w:w="28" w:type="dxa"/>
          <w:bottom w:w="28" w:type="dxa"/>
          <w:right w:w="28" w:type="dxa"/>
        </w:tblCellMar>
      </w:tblPr>
      <w:tblGrid>
        <w:gridCol w:w="271"/>
        <w:gridCol w:w="238"/>
        <w:gridCol w:w="240"/>
        <w:gridCol w:w="278"/>
        <w:gridCol w:w="278"/>
        <w:gridCol w:w="246"/>
        <w:gridCol w:w="244"/>
        <w:gridCol w:w="244"/>
        <w:gridCol w:w="246"/>
        <w:gridCol w:w="1019"/>
        <w:gridCol w:w="1019"/>
        <w:gridCol w:w="1036"/>
        <w:gridCol w:w="278"/>
        <w:gridCol w:w="278"/>
        <w:gridCol w:w="156"/>
        <w:gridCol w:w="278"/>
        <w:gridCol w:w="278"/>
        <w:gridCol w:w="21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6091" w:type="dxa"/>
            <w:gridSpan w:val="15"/>
            <w:tcBorders/>
          </w:tcPr>
          <w:p>
            <w:pPr>
              <w:pStyle w:val="TableContents"/>
              <w:bidi w:val="0"/>
              <w:spacing w:before="0" w:after="283"/>
              <w:jc w:val="left"/>
              <w:rPr>
                <w:sz w:val="4"/>
                <w:szCs w:val="4"/>
              </w:rPr>
            </w:pPr>
            <w:r>
              <w:rPr>
                <w:sz w:val="4"/>
                <w:szCs w:val="4"/>
              </w:rPr>
            </w:r>
          </w:p>
        </w:tc>
      </w:tr>
      <w:tr>
        <w:trPr/>
        <w:tc>
          <w:tcPr>
            <w:tcW w:w="228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4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8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3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9"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24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2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2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operating activities - Other</w:t>
            </w:r>
          </w:p>
        </w:tc>
        <w:tc>
          <w:tcPr>
            <w:tcW w:w="55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1,979 </w:t>
            </w:r>
          </w:p>
        </w:tc>
        <w:tc>
          <w:tcPr>
            <w:tcW w:w="1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213"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16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 - Other for the second quarter 2026 includes $1,288 million of net inflows (first quarter 2026: $1,289 million net inflows; second quarter 2025: $979 million net inflows) due to the timing of payments relating to emission certificates and biofuel programmes in Europe and North America, partly offset by the utilisation of recognised incentives of $470 million.</w:t>
      </w:r>
    </w:p>
    <w:p>
      <w:pPr>
        <w:pStyle w:val="TextBody"/>
        <w:bidi w:val="0"/>
        <w:spacing w:before="2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Reconciliation of Operating expenses and Total Debt</w:t>
      </w: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RECONCILIATION OF OPERATING EXPENSES </w:t>
      </w:r>
    </w:p>
    <w:tbl>
      <w:tblPr>
        <w:tblW w:w="8410" w:type="dxa"/>
        <w:jc w:val="left"/>
        <w:tblInd w:w="0" w:type="dxa"/>
        <w:tblLayout w:type="fixed"/>
        <w:tblCellMar>
          <w:top w:w="28" w:type="dxa"/>
          <w:left w:w="28" w:type="dxa"/>
          <w:bottom w:w="28" w:type="dxa"/>
          <w:right w:w="28" w:type="dxa"/>
        </w:tblCellMar>
      </w:tblPr>
      <w:tblGrid>
        <w:gridCol w:w="342"/>
        <w:gridCol w:w="304"/>
        <w:gridCol w:w="240"/>
        <w:gridCol w:w="315"/>
        <w:gridCol w:w="316"/>
        <w:gridCol w:w="246"/>
        <w:gridCol w:w="315"/>
        <w:gridCol w:w="316"/>
        <w:gridCol w:w="246"/>
        <w:gridCol w:w="1355"/>
        <w:gridCol w:w="1355"/>
        <w:gridCol w:w="1369"/>
        <w:gridCol w:w="330"/>
        <w:gridCol w:w="331"/>
        <w:gridCol w:w="156"/>
        <w:gridCol w:w="330"/>
        <w:gridCol w:w="331"/>
        <w:gridCol w:w="213"/>
      </w:tblGrid>
      <w:tr>
        <w:trPr/>
        <w:tc>
          <w:tcPr>
            <w:tcW w:w="3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4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40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8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8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40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manufacturing expenses</w:t>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11,221 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10,459 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distribution and administrative expenses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8,664</w:t>
            </w:r>
            <w:r>
              <w:rPr>
                <w:color w:val="000000"/>
              </w:rPr>
              <w:t> </w:t>
            </w:r>
          </w:p>
        </w:tc>
        <w:tc>
          <w:tcPr>
            <w:tcW w:w="2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8,716</w:t>
            </w:r>
            <w:r>
              <w:rPr>
                <w:color w:val="000000"/>
              </w:rPr>
              <w:t> </w:t>
            </w:r>
          </w:p>
        </w:tc>
        <w:tc>
          <w:tcPr>
            <w:tcW w:w="24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8,265</w:t>
            </w:r>
            <w:r>
              <w:rPr>
                <w:color w:val="000000"/>
              </w:rPr>
              <w:t> </w:t>
            </w:r>
          </w:p>
        </w:tc>
        <w:tc>
          <w:tcPr>
            <w:tcW w:w="24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6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17,380</w:t>
            </w:r>
            <w:r>
              <w:rPr>
                <w:color w:val="000000"/>
              </w:rPr>
              <w:t> </w:t>
            </w:r>
          </w:p>
        </w:tc>
        <w:tc>
          <w:tcPr>
            <w:tcW w:w="1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16,840</w:t>
            </w:r>
            <w:r>
              <w:rPr>
                <w:color w:val="000000"/>
              </w:rPr>
              <w:t> </w:t>
            </w:r>
          </w:p>
        </w:tc>
        <w:tc>
          <w:tcPr>
            <w:tcW w:w="21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RECONCILIATION OF TOTAL DEBT </w:t>
      </w:r>
    </w:p>
    <w:tbl>
      <w:tblPr>
        <w:tblW w:w="7122" w:type="dxa"/>
        <w:jc w:val="left"/>
        <w:tblInd w:w="0" w:type="dxa"/>
        <w:tblLayout w:type="fixed"/>
        <w:tblCellMar>
          <w:top w:w="28" w:type="dxa"/>
          <w:left w:w="28" w:type="dxa"/>
          <w:bottom w:w="28" w:type="dxa"/>
          <w:right w:w="28" w:type="dxa"/>
        </w:tblCellMar>
      </w:tblPr>
      <w:tblGrid>
        <w:gridCol w:w="411"/>
        <w:gridCol w:w="362"/>
        <w:gridCol w:w="367"/>
        <w:gridCol w:w="419"/>
        <w:gridCol w:w="419"/>
        <w:gridCol w:w="421"/>
        <w:gridCol w:w="374"/>
        <w:gridCol w:w="374"/>
        <w:gridCol w:w="376"/>
        <w:gridCol w:w="434"/>
        <w:gridCol w:w="434"/>
        <w:gridCol w:w="437"/>
        <w:gridCol w:w="374"/>
        <w:gridCol w:w="374"/>
        <w:gridCol w:w="376"/>
        <w:gridCol w:w="342"/>
        <w:gridCol w:w="342"/>
        <w:gridCol w:w="486"/>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1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June 30, 2026</w:t>
            </w:r>
          </w:p>
        </w:tc>
        <w:tc>
          <w:tcPr>
            <w:tcW w:w="11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June 30, 2025</w:t>
            </w:r>
          </w:p>
        </w:tc>
      </w:tr>
      <w:tr>
        <w:trPr/>
        <w:tc>
          <w:tcPr>
            <w:tcW w:w="77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8,542 </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10,060 </w:t>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10,457 </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w:t>
            </w:r>
          </w:p>
        </w:tc>
        <w:tc>
          <w:tcPr>
            <w:tcW w:w="7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8,542 </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10,457 </w:t>
            </w:r>
          </w:p>
        </w:tc>
        <w:tc>
          <w:tcPr>
            <w:tcW w:w="4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64,534 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65,585 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65,218 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debt</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64,534 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65,218 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73,076</w:t>
            </w:r>
            <w:r>
              <w:rPr>
                <w:color w:val="000000"/>
              </w:rPr>
              <w:t> </w:t>
            </w:r>
          </w:p>
        </w:tc>
        <w:tc>
          <w:tcPr>
            <w:tcW w:w="36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75,645</w:t>
            </w:r>
            <w:r>
              <w:rPr>
                <w:color w:val="000000"/>
              </w:rPr>
              <w:t> </w:t>
            </w:r>
          </w:p>
        </w:tc>
        <w:tc>
          <w:tcPr>
            <w:tcW w:w="42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75,675</w:t>
            </w:r>
            <w:r>
              <w:rPr>
                <w:color w:val="000000"/>
              </w:rPr>
              <w:t> </w:t>
            </w:r>
          </w:p>
        </w:tc>
        <w:tc>
          <w:tcPr>
            <w:tcW w:w="37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debt</w:t>
            </w:r>
          </w:p>
        </w:tc>
        <w:tc>
          <w:tcPr>
            <w:tcW w:w="74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73,076</w:t>
            </w:r>
            <w:r>
              <w:rPr>
                <w:color w:val="000000"/>
              </w:rPr>
              <w:t> </w:t>
            </w:r>
          </w:p>
        </w:tc>
        <w:tc>
          <w:tcPr>
            <w:tcW w:w="37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75,675</w:t>
            </w:r>
            <w:r>
              <w:rPr>
                <w:color w:val="000000"/>
              </w:rPr>
              <w:t> </w:t>
            </w:r>
          </w:p>
        </w:tc>
        <w:tc>
          <w:tcPr>
            <w:tcW w:w="48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9. Post-balance sheet events</w:t>
      </w:r>
    </w:p>
    <w:p>
      <w:pPr>
        <w:pStyle w:val="TextBody"/>
        <w:bidi w:val="0"/>
        <w:spacing w:lineRule="auto" w:line="268" w:before="2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14, 2026, ARC Resources Ltd. ("ARC") shareholders voted in favour of the previously announced acquisition by Shell. Under the terms of the agreement, ARC’s shareholders will receive CAD8.20 in cash and 0.40247 ordinary shares of Shell plc for each ARC share, resulting in an equity value of approximately USD13.6 billion, based on Shell’s closing share price at April 24, 2026 of GBP33.08 and GBP:CAD exchange ratio of 1.8480. The boards of both companies have unanimously supported the transaction, which is expected to close in the third quarter of 2026, subject to remaining regulatory approval.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left"/>
        <w:rPr>
          <w:rFonts w:ascii="Times New Roman;serif" w:hAnsi="Times New Roman;serif"/>
          <w:b/>
          <w:color w:val="FF0000"/>
          <w:sz w:val="20"/>
        </w:rPr>
      </w:pPr>
      <w:r>
        <w:rPr>
          <w:rFonts w:ascii="Times New Roman;serif" w:hAnsi="Times New Roman;serif"/>
          <w:b/>
          <w:color w:val="FF0000"/>
          <w:sz w:val="20"/>
        </w:rPr>
        <w:t xml:space="preserve">ALTERNATIVE PERFORMANCE (NON-GAAP)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A. Adjusted Earnings, Adjusted earnings before interest, taxes, depreciation and amortisation (“Adjusted EBITDA”) and Cash flow from operating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“Adjusted Earnings” measure is presented on a current cost of supplies basis and aims to facilitate a comparative understanding of Shell’s financial performance from period to period by removing the effects of oil price changes on inventory carrying amounts and removing the effects of identified items. These items are in some cases driven by external factors and may, either individually or collectively, hinder the comparative understanding of Shell’s financial results from period to period. This measure excludes earnings attributable to non-controlling interest when presenting the total Shell Group result but includes this item when presenting individual segment Adjusted Earnings as set out in the table below.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See Note 2 “Segment information” for the reconciliation of Adjusted Earnings.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“Income/(loss) for the period” adjusted for current cost of supplies; identified items; tax charge/(credit); depreciation, amortisation and depletion; exploration well write-offs and net interest expense. All items include the non-controlling interest component. Management uses this measure to evaluate Shell's performance in the period and over time. </w:t>
      </w:r>
    </w:p>
    <w:tbl>
      <w:tblPr>
        <w:tblW w:w="10205" w:type="dxa"/>
        <w:jc w:val="left"/>
        <w:tblInd w:w="0" w:type="dxa"/>
        <w:tblLayout w:type="fixed"/>
        <w:tblCellMar>
          <w:top w:w="28" w:type="dxa"/>
          <w:left w:w="28" w:type="dxa"/>
          <w:bottom w:w="28" w:type="dxa"/>
          <w:right w:w="28" w:type="dxa"/>
        </w:tblCellMar>
      </w:tblPr>
      <w:tblGrid>
        <w:gridCol w:w="1242"/>
        <w:gridCol w:w="861"/>
        <w:gridCol w:w="872"/>
        <w:gridCol w:w="332"/>
        <w:gridCol w:w="315"/>
        <w:gridCol w:w="317"/>
        <w:gridCol w:w="298"/>
        <w:gridCol w:w="299"/>
        <w:gridCol w:w="256"/>
        <w:gridCol w:w="285"/>
        <w:gridCol w:w="286"/>
        <w:gridCol w:w="276"/>
        <w:gridCol w:w="431"/>
        <w:gridCol w:w="414"/>
        <w:gridCol w:w="416"/>
        <w:gridCol w:w="542"/>
        <w:gridCol w:w="542"/>
        <w:gridCol w:w="544"/>
        <w:gridCol w:w="265"/>
        <w:gridCol w:w="265"/>
        <w:gridCol w:w="266"/>
        <w:gridCol w:w="329"/>
        <w:gridCol w:w="332"/>
        <w:gridCol w:w="220"/>
      </w:tblGrid>
      <w:tr>
        <w:trPr/>
        <w:tc>
          <w:tcPr>
            <w:tcW w:w="124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2026</w:t>
            </w:r>
          </w:p>
        </w:tc>
        <w:tc>
          <w:tcPr>
            <w:tcW w:w="7230"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9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9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w:t>
            </w:r>
          </w:p>
        </w:tc>
        <w:tc>
          <w:tcPr>
            <w:tcW w:w="9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9,836</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Non-controlling interest</w:t>
            </w:r>
          </w:p>
        </w:tc>
        <w:tc>
          <w:tcPr>
            <w:tcW w:w="9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plus non-controlling interest</w:t>
            </w:r>
          </w:p>
        </w:tc>
        <w:tc>
          <w:tcPr>
            <w:tcW w:w="6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2,691</w:t>
            </w:r>
            <w:r>
              <w:rPr>
                <w:color w:val="000000"/>
              </w:rPr>
              <w:t>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3,485</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1,329</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2,877</w:t>
            </w:r>
            <w:r>
              <w:rPr>
                <w:color w:val="000000"/>
              </w:rPr>
              <w:t> </w:t>
            </w:r>
          </w:p>
        </w:tc>
        <w:tc>
          <w:tcPr>
            <w:tcW w:w="4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w:t>
            </w:r>
            <w:r>
              <w:rPr>
                <w:color w:val="000000"/>
              </w:rPr>
              <w:t>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(617)</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9,845</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Taxation charge/(credit) excluding tax impact of identified items</w:t>
            </w:r>
          </w:p>
        </w:tc>
        <w:tc>
          <w:tcPr>
            <w:tcW w:w="6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3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4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5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Depreciation, depletion and amortisation excluding impairments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5,559 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Exploration well write-offs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Interest expense excluding identified items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Interest income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6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4,761</w:t>
            </w:r>
            <w:r>
              <w:rPr>
                <w:color w:val="000000"/>
              </w:rPr>
              <w:t>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8,891</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2,392</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4,664</w:t>
            </w:r>
            <w:r>
              <w:rPr>
                <w:color w:val="000000"/>
              </w:rPr>
              <w:t> </w:t>
            </w:r>
          </w:p>
        </w:tc>
        <w:tc>
          <w:tcPr>
            <w:tcW w:w="4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w:t>
            </w:r>
            <w:r>
              <w:rPr>
                <w:color w:val="000000"/>
              </w:rPr>
              <w:t>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(210)</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20,710</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cost of supplies adjustment before taxation</w:t>
            </w:r>
          </w:p>
        </w:tc>
        <w:tc>
          <w:tcPr>
            <w:tcW w:w="6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w:t>
            </w:r>
          </w:p>
        </w:tc>
        <w:tc>
          <w:tcPr>
            <w:tcW w:w="4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ventures and associates (dividends received less profit)</w:t>
            </w:r>
          </w:p>
        </w:tc>
        <w:tc>
          <w:tcPr>
            <w:tcW w:w="64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317"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5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27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1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544"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53575A"/>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220" w:type="dxa"/>
            <w:tcBorders>
              <w:top w:val="single" w:sz="2" w:space="0" w:color="53575A"/>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financial instruments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Taxation paid</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(Increase)/decrease in working capital</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 from operating activities</w:t>
            </w:r>
          </w:p>
        </w:tc>
        <w:tc>
          <w:tcPr>
            <w:tcW w:w="96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4,629</w:t>
            </w:r>
          </w:p>
        </w:tc>
        <w:tc>
          <w:tcPr>
            <w:tcW w:w="85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w:t>
            </w:r>
          </w:p>
        </w:tc>
        <w:tc>
          <w:tcPr>
            <w:tcW w:w="84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w:t>
            </w:r>
          </w:p>
        </w:tc>
        <w:tc>
          <w:tcPr>
            <w:tcW w:w="126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7,941</w:t>
            </w:r>
          </w:p>
        </w:tc>
        <w:tc>
          <w:tcPr>
            <w:tcW w:w="162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79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w:t>
            </w:r>
          </w:p>
        </w:tc>
        <w:tc>
          <w:tcPr>
            <w:tcW w:w="88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21,432</w:t>
            </w:r>
          </w:p>
        </w:tc>
      </w:tr>
    </w:tbl>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29"/>
        <w:gridCol w:w="845"/>
        <w:gridCol w:w="856"/>
        <w:gridCol w:w="331"/>
        <w:gridCol w:w="314"/>
        <w:gridCol w:w="315"/>
        <w:gridCol w:w="298"/>
        <w:gridCol w:w="299"/>
        <w:gridCol w:w="256"/>
        <w:gridCol w:w="298"/>
        <w:gridCol w:w="299"/>
        <w:gridCol w:w="276"/>
        <w:gridCol w:w="428"/>
        <w:gridCol w:w="411"/>
        <w:gridCol w:w="412"/>
        <w:gridCol w:w="536"/>
        <w:gridCol w:w="536"/>
        <w:gridCol w:w="537"/>
        <w:gridCol w:w="278"/>
        <w:gridCol w:w="278"/>
        <w:gridCol w:w="266"/>
        <w:gridCol w:w="342"/>
        <w:gridCol w:w="345"/>
        <w:gridCol w:w="220"/>
      </w:tblGrid>
      <w:tr>
        <w:trPr/>
        <w:tc>
          <w:tcPr>
            <w:tcW w:w="122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Q1 2026</w:t>
            </w:r>
          </w:p>
        </w:tc>
        <w:tc>
          <w:tcPr>
            <w:tcW w:w="727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9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9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w:t>
            </w:r>
          </w:p>
        </w:tc>
        <w:tc>
          <w:tcPr>
            <w:tcW w:w="9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6,915</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Non-controlling interest</w:t>
            </w:r>
          </w:p>
        </w:tc>
        <w:tc>
          <w:tcPr>
            <w:tcW w:w="9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plus non-controlling interest</w:t>
            </w:r>
          </w:p>
        </w:tc>
        <w:tc>
          <w:tcPr>
            <w:tcW w:w="6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1,819</w:t>
            </w:r>
            <w:r>
              <w:rPr>
                <w:color w:val="000000"/>
              </w:rPr>
              <w:t> </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2,377</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1,334</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1,925</w:t>
            </w:r>
            <w:r>
              <w:rPr>
                <w:color w:val="000000"/>
              </w:rPr>
              <w:t> </w:t>
            </w:r>
          </w:p>
        </w:tc>
        <w:tc>
          <w:tcPr>
            <w:tcW w:w="4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w:t>
            </w:r>
            <w:r>
              <w:rPr>
                <w:color w:val="000000"/>
              </w:rPr>
              <w:t> </w:t>
            </w:r>
          </w:p>
        </w:tc>
        <w:tc>
          <w:tcPr>
            <w:tcW w:w="5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(908)</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6,894</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Taxation charge/(credit) excluding tax impact of identified items</w:t>
            </w:r>
          </w:p>
        </w:tc>
        <w:tc>
          <w:tcPr>
            <w:tcW w:w="6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4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5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4,007 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Depreciation, depletion and amortisation excluding impairments</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Exploration well write-offs</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Interest expense excluding identified items</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Interest income</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6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4,115</w:t>
            </w:r>
            <w:r>
              <w:rPr>
                <w:color w:val="000000"/>
              </w:rPr>
              <w:t> </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7,261</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2,437</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3,544</w:t>
            </w:r>
            <w:r>
              <w:rPr>
                <w:color w:val="000000"/>
              </w:rPr>
              <w:t> </w:t>
            </w:r>
          </w:p>
        </w:tc>
        <w:tc>
          <w:tcPr>
            <w:tcW w:w="4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548</w:t>
            </w:r>
            <w:r>
              <w:rPr>
                <w:color w:val="000000"/>
              </w:rPr>
              <w:t> </w:t>
            </w:r>
          </w:p>
        </w:tc>
        <w:tc>
          <w:tcPr>
            <w:tcW w:w="5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(164)</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17,741</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cost of supplies adjustment before taxation</w:t>
            </w:r>
          </w:p>
        </w:tc>
        <w:tc>
          <w:tcPr>
            <w:tcW w:w="6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w:t>
            </w:r>
          </w:p>
        </w:tc>
        <w:tc>
          <w:tcPr>
            <w:tcW w:w="4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ventures and associates (dividends received less profit)</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financial instruments</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Taxation paid</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(Increase)/decrease in working capital</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(11,179)</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 from operating activities</w:t>
            </w:r>
          </w:p>
        </w:tc>
        <w:tc>
          <w:tcPr>
            <w:tcW w:w="96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483</w:t>
            </w:r>
          </w:p>
        </w:tc>
        <w:tc>
          <w:tcPr>
            <w:tcW w:w="85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3,178</w:t>
            </w:r>
          </w:p>
        </w:tc>
        <w:tc>
          <w:tcPr>
            <w:tcW w:w="87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2,224</w:t>
            </w:r>
          </w:p>
        </w:tc>
        <w:tc>
          <w:tcPr>
            <w:tcW w:w="125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(2,308)</w:t>
            </w:r>
          </w:p>
        </w:tc>
        <w:tc>
          <w:tcPr>
            <w:tcW w:w="160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2,937</w:t>
            </w:r>
          </w:p>
        </w:tc>
        <w:tc>
          <w:tcPr>
            <w:tcW w:w="82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(451)</w:t>
            </w:r>
          </w:p>
        </w:tc>
        <w:tc>
          <w:tcPr>
            <w:tcW w:w="90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6,062</w:t>
            </w:r>
          </w:p>
        </w:tc>
      </w:tr>
    </w:tbl>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34"/>
        <w:gridCol w:w="851"/>
        <w:gridCol w:w="861"/>
        <w:gridCol w:w="331"/>
        <w:gridCol w:w="314"/>
        <w:gridCol w:w="316"/>
        <w:gridCol w:w="298"/>
        <w:gridCol w:w="299"/>
        <w:gridCol w:w="256"/>
        <w:gridCol w:w="285"/>
        <w:gridCol w:w="286"/>
        <w:gridCol w:w="276"/>
        <w:gridCol w:w="412"/>
        <w:gridCol w:w="412"/>
        <w:gridCol w:w="413"/>
        <w:gridCol w:w="538"/>
        <w:gridCol w:w="538"/>
        <w:gridCol w:w="540"/>
        <w:gridCol w:w="298"/>
        <w:gridCol w:w="299"/>
        <w:gridCol w:w="266"/>
        <w:gridCol w:w="329"/>
        <w:gridCol w:w="332"/>
        <w:gridCol w:w="221"/>
      </w:tblGrid>
      <w:tr>
        <w:trPr/>
        <w:tc>
          <w:tcPr>
            <w:tcW w:w="123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2025</w:t>
            </w:r>
          </w:p>
        </w:tc>
        <w:tc>
          <w:tcPr>
            <w:tcW w:w="7259"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9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8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9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w:t>
            </w:r>
          </w:p>
        </w:tc>
        <w:tc>
          <w:tcPr>
            <w:tcW w:w="9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4,264</w:t>
            </w:r>
            <w:r>
              <w:rPr>
                <w:color w:val="000000"/>
              </w:rPr>
              <w:t>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Non-controlling interest</w:t>
            </w:r>
          </w:p>
        </w:tc>
        <w:tc>
          <w:tcPr>
            <w:tcW w:w="9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w:t>
            </w:r>
            <w:r>
              <w:rPr>
                <w:color w:val="000000"/>
              </w:rPr>
              <w:t>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plus non-controlling interest</w:t>
            </w:r>
          </w:p>
        </w:tc>
        <w:tc>
          <w:tcPr>
            <w:tcW w:w="6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1,737</w:t>
            </w:r>
            <w:r>
              <w:rPr>
                <w:color w:val="000000"/>
              </w:rPr>
              <w:t>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1,732</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1,199</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4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w:t>
            </w:r>
          </w:p>
        </w:tc>
        <w:tc>
          <w:tcPr>
            <w:tcW w:w="5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(463)</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4,314</w:t>
            </w:r>
            <w:r>
              <w:rPr>
                <w:color w:val="000000"/>
              </w:rPr>
              <w:t>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Taxation charge/(credit) excluding tax impact of identified items</w:t>
            </w:r>
          </w:p>
        </w:tc>
        <w:tc>
          <w:tcPr>
            <w:tcW w:w="6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4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5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Depreciation, depletion and amortisation excluding impairments</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5,463 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Exploration well write-offs</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Interest expense excluding identified items</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Interest income</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6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3,875</w:t>
            </w:r>
            <w:r>
              <w:rPr>
                <w:color w:val="000000"/>
              </w:rPr>
              <w:t>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6,638</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2,181</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864</w:t>
            </w:r>
            <w:r>
              <w:rPr>
                <w:color w:val="000000"/>
              </w:rPr>
              <w:t> </w:t>
            </w:r>
          </w:p>
        </w:tc>
        <w:tc>
          <w:tcPr>
            <w:tcW w:w="4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w:t>
            </w:r>
            <w:r>
              <w:rPr>
                <w:color w:val="000000"/>
              </w:rPr>
              <w:t> </w:t>
            </w:r>
          </w:p>
        </w:tc>
        <w:tc>
          <w:tcPr>
            <w:tcW w:w="5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(346)</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13,313</w:t>
            </w:r>
            <w:r>
              <w:rPr>
                <w:color w:val="000000"/>
              </w:rPr>
              <w:t>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cost of supplies adjustment before taxation</w:t>
            </w:r>
          </w:p>
        </w:tc>
        <w:tc>
          <w:tcPr>
            <w:tcW w:w="9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4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2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ventures and associates (dividends received less profit)</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financial instruments</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Taxation paid</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(3,432)</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(Increase)/decrease in working capital</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 from operating activities</w:t>
            </w:r>
          </w:p>
        </w:tc>
        <w:tc>
          <w:tcPr>
            <w:tcW w:w="96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3,629</w:t>
            </w:r>
          </w:p>
        </w:tc>
        <w:tc>
          <w:tcPr>
            <w:tcW w:w="85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6,500</w:t>
            </w:r>
          </w:p>
        </w:tc>
        <w:tc>
          <w:tcPr>
            <w:tcW w:w="84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2,718</w:t>
            </w:r>
          </w:p>
        </w:tc>
        <w:tc>
          <w:tcPr>
            <w:tcW w:w="123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1,372</w:t>
            </w:r>
          </w:p>
        </w:tc>
        <w:tc>
          <w:tcPr>
            <w:tcW w:w="161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86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(2,283)</w:t>
            </w:r>
          </w:p>
        </w:tc>
        <w:tc>
          <w:tcPr>
            <w:tcW w:w="88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11,937</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3"/>
        <w:gridCol w:w="865"/>
        <w:gridCol w:w="786"/>
        <w:gridCol w:w="330"/>
        <w:gridCol w:w="313"/>
        <w:gridCol w:w="314"/>
        <w:gridCol w:w="329"/>
        <w:gridCol w:w="332"/>
        <w:gridCol w:w="256"/>
        <w:gridCol w:w="297"/>
        <w:gridCol w:w="299"/>
        <w:gridCol w:w="276"/>
        <w:gridCol w:w="424"/>
        <w:gridCol w:w="407"/>
        <w:gridCol w:w="408"/>
        <w:gridCol w:w="529"/>
        <w:gridCol w:w="529"/>
        <w:gridCol w:w="531"/>
        <w:gridCol w:w="297"/>
        <w:gridCol w:w="299"/>
        <w:gridCol w:w="266"/>
        <w:gridCol w:w="330"/>
        <w:gridCol w:w="331"/>
        <w:gridCol w:w="224"/>
      </w:tblGrid>
      <w:tr>
        <w:trPr/>
        <w:tc>
          <w:tcPr>
            <w:tcW w:w="123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2026</w:t>
            </w:r>
          </w:p>
        </w:tc>
        <w:tc>
          <w:tcPr>
            <w:tcW w:w="73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8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w:t>
            </w:r>
          </w:p>
        </w:tc>
        <w:tc>
          <w:tcPr>
            <w:tcW w:w="9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16,751</w:t>
            </w:r>
            <w:r>
              <w:rPr>
                <w:color w:val="000000"/>
              </w:rPr>
              <w:t> </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Non-controlling interest</w:t>
            </w:r>
          </w:p>
        </w:tc>
        <w:tc>
          <w:tcPr>
            <w:tcW w:w="9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plus non-controlling interest</w:t>
            </w:r>
          </w:p>
        </w:tc>
        <w:tc>
          <w:tcPr>
            <w:tcW w:w="6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4,509</w:t>
            </w:r>
            <w:r>
              <w:rPr>
                <w:color w:val="000000"/>
              </w:rPr>
              <w:t>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5,862</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2,663</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4,802</w:t>
            </w:r>
            <w:r>
              <w:rPr>
                <w:color w:val="000000"/>
              </w:rPr>
              <w:t> </w:t>
            </w:r>
          </w:p>
        </w:tc>
        <w:tc>
          <w:tcPr>
            <w:tcW w:w="4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w:t>
            </w:r>
            <w:r>
              <w:rPr>
                <w:color w:val="000000"/>
              </w:rPr>
              <w:t> </w:t>
            </w:r>
          </w:p>
        </w:tc>
        <w:tc>
          <w:tcPr>
            <w:tcW w:w="5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(1,525)</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16,739</w:t>
            </w:r>
            <w:r>
              <w:rPr>
                <w:color w:val="000000"/>
              </w:rPr>
              <w:t> </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Taxation charge/(credit) excluding tax impact of identified items</w:t>
            </w:r>
          </w:p>
        </w:tc>
        <w:tc>
          <w:tcPr>
            <w:tcW w:w="6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4,889 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1,328 </w:t>
            </w:r>
          </w:p>
        </w:tc>
        <w:tc>
          <w:tcPr>
            <w:tcW w:w="4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5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8,516 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Depreciation, depletion and amortisation excluding impairments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Exploration well write-offs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Interest expense excluding identified items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Interest income</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6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8,876</w:t>
            </w:r>
            <w:r>
              <w:rPr>
                <w:color w:val="000000"/>
              </w:rPr>
              <w:t>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16,152</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4,830</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8,208</w:t>
            </w:r>
            <w:r>
              <w:rPr>
                <w:color w:val="000000"/>
              </w:rPr>
              <w:t> </w:t>
            </w:r>
          </w:p>
        </w:tc>
        <w:tc>
          <w:tcPr>
            <w:tcW w:w="4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760</w:t>
            </w:r>
            <w:r>
              <w:rPr>
                <w:color w:val="000000"/>
              </w:rPr>
              <w:t> </w:t>
            </w:r>
          </w:p>
        </w:tc>
        <w:tc>
          <w:tcPr>
            <w:tcW w:w="5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(374)</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38,451</w:t>
            </w:r>
            <w:r>
              <w:rPr>
                <w:color w:val="000000"/>
              </w:rPr>
              <w:t> </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cost of supplies adjustment before taxation</w:t>
            </w:r>
          </w:p>
        </w:tc>
        <w:tc>
          <w:tcPr>
            <w:tcW w:w="9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w:t>
            </w:r>
          </w:p>
        </w:tc>
        <w:tc>
          <w:tcPr>
            <w:tcW w:w="4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(2,455)</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ventures and associates (dividends received less profit)</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financial instruments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Taxation paid</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(Increase)/decrease in working capital</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(3,461)</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 from operating activities</w:t>
            </w:r>
          </w:p>
        </w:tc>
        <w:tc>
          <w:tcPr>
            <w:tcW w:w="643"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5,112</w:t>
            </w:r>
            <w:r>
              <w:rPr>
                <w:color w:val="000000"/>
              </w:rPr>
              <w:t> </w:t>
            </w:r>
          </w:p>
        </w:tc>
        <w:tc>
          <w:tcPr>
            <w:tcW w:w="31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10,013</w:t>
            </w:r>
            <w:r>
              <w:rPr>
                <w:color w:val="000000"/>
              </w:rPr>
              <w:t> </w:t>
            </w:r>
          </w:p>
        </w:tc>
        <w:tc>
          <w:tcPr>
            <w:tcW w:w="2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4,771</w:t>
            </w:r>
            <w:r>
              <w:rPr>
                <w:color w:val="000000"/>
              </w:rPr>
              <w:t> </w:t>
            </w:r>
          </w:p>
        </w:tc>
        <w:tc>
          <w:tcPr>
            <w:tcW w:w="2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5,633</w:t>
            </w:r>
            <w:r>
              <w:rPr>
                <w:color w:val="000000"/>
              </w:rPr>
              <w:t> </w:t>
            </w:r>
          </w:p>
        </w:tc>
        <w:tc>
          <w:tcPr>
            <w:tcW w:w="40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2,872</w:t>
            </w:r>
            <w:r>
              <w:rPr>
                <w:color w:val="000000"/>
              </w:rPr>
              <w:t> </w:t>
            </w:r>
          </w:p>
        </w:tc>
        <w:tc>
          <w:tcPr>
            <w:tcW w:w="53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(906)</w:t>
            </w:r>
          </w:p>
        </w:tc>
        <w:tc>
          <w:tcPr>
            <w:tcW w:w="2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27,495</w:t>
            </w:r>
            <w:r>
              <w:rPr>
                <w:color w:val="000000"/>
              </w:rPr>
              <w:t> </w:t>
            </w:r>
          </w:p>
        </w:tc>
        <w:tc>
          <w:tcPr>
            <w:tcW w:w="22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37"/>
        <w:gridCol w:w="870"/>
        <w:gridCol w:w="792"/>
        <w:gridCol w:w="331"/>
        <w:gridCol w:w="313"/>
        <w:gridCol w:w="315"/>
        <w:gridCol w:w="329"/>
        <w:gridCol w:w="332"/>
        <w:gridCol w:w="256"/>
        <w:gridCol w:w="285"/>
        <w:gridCol w:w="286"/>
        <w:gridCol w:w="276"/>
        <w:gridCol w:w="425"/>
        <w:gridCol w:w="408"/>
        <w:gridCol w:w="410"/>
        <w:gridCol w:w="532"/>
        <w:gridCol w:w="532"/>
        <w:gridCol w:w="533"/>
        <w:gridCol w:w="297"/>
        <w:gridCol w:w="299"/>
        <w:gridCol w:w="266"/>
        <w:gridCol w:w="329"/>
        <w:gridCol w:w="332"/>
        <w:gridCol w:w="220"/>
      </w:tblGrid>
      <w:tr>
        <w:trPr/>
        <w:tc>
          <w:tcPr>
            <w:tcW w:w="123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2025</w:t>
            </w:r>
          </w:p>
        </w:tc>
        <w:tc>
          <w:tcPr>
            <w:tcW w:w="73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8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Upstream</w:t>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Marketing</w:t>
            </w:r>
          </w:p>
        </w:tc>
        <w:tc>
          <w:tcPr>
            <w:tcW w:w="12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5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8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8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w:t>
            </w:r>
          </w:p>
        </w:tc>
        <w:tc>
          <w:tcPr>
            <w:tcW w:w="9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9,841</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Non-controlling interest</w:t>
            </w:r>
          </w:p>
        </w:tc>
        <w:tc>
          <w:tcPr>
            <w:tcW w:w="9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w:t>
            </w:r>
            <w:r>
              <w:rPr>
                <w:color w:val="000000"/>
              </w:rPr>
              <w:t>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plus non-controlling interest</w:t>
            </w:r>
          </w:p>
        </w:tc>
        <w:tc>
          <w:tcPr>
            <w:tcW w:w="6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4,220</w:t>
            </w:r>
            <w:r>
              <w:rPr>
                <w:color w:val="000000"/>
              </w:rPr>
              <w:t> </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4,068</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2,100</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w:t>
            </w:r>
            <w:r>
              <w:rPr>
                <w:color w:val="000000"/>
              </w:rPr>
              <w:t> </w:t>
            </w:r>
          </w:p>
        </w:tc>
        <w:tc>
          <w:tcPr>
            <w:tcW w:w="4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w:t>
            </w:r>
          </w:p>
        </w:tc>
        <w:tc>
          <w:tcPr>
            <w:tcW w:w="5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(920)</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9,984</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Taxation charge/(credit) excluding tax impact of identified items</w:t>
            </w:r>
          </w:p>
        </w:tc>
        <w:tc>
          <w:tcPr>
            <w:tcW w:w="6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4,824 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4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5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6,599 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Depreciation, depletion and amortisation excluding impairments</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Exploration well write-offs</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Interest expense excluding identified items</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Interest income</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6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8,610</w:t>
            </w:r>
            <w:r>
              <w:rPr>
                <w:color w:val="000000"/>
              </w:rPr>
              <w:t> </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14,024</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4,049</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2,274</w:t>
            </w:r>
            <w:r>
              <w:rPr>
                <w:color w:val="000000"/>
              </w:rPr>
              <w:t> </w:t>
            </w:r>
          </w:p>
        </w:tc>
        <w:tc>
          <w:tcPr>
            <w:tcW w:w="4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w:t>
            </w:r>
            <w:r>
              <w:rPr>
                <w:color w:val="000000"/>
              </w:rPr>
              <w:t> </w:t>
            </w:r>
          </w:p>
        </w:tc>
        <w:tc>
          <w:tcPr>
            <w:tcW w:w="5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(607)</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28,563</w:t>
            </w:r>
            <w:r>
              <w:rPr>
                <w:color w:val="000000"/>
              </w:rPr>
              <w:t>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cost of supplies adjustment before taxation</w:t>
            </w:r>
          </w:p>
        </w:tc>
        <w:tc>
          <w:tcPr>
            <w:tcW w:w="9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4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ventures and associates (dividends received less profit)</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financial instruments</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Taxation paid</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(Increase)/decrease in working capital</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 from operating activities</w:t>
            </w:r>
          </w:p>
        </w:tc>
        <w:tc>
          <w:tcPr>
            <w:tcW w:w="644"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7,092</w:t>
            </w:r>
            <w:r>
              <w:rPr>
                <w:color w:val="000000"/>
              </w:rPr>
              <w:t> </w:t>
            </w:r>
          </w:p>
        </w:tc>
        <w:tc>
          <w:tcPr>
            <w:tcW w:w="31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10,445</w:t>
            </w:r>
            <w:r>
              <w:rPr>
                <w:color w:val="000000"/>
              </w:rPr>
              <w:t> </w:t>
            </w:r>
          </w:p>
        </w:tc>
        <w:tc>
          <w:tcPr>
            <w:tcW w:w="2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4,625</w:t>
            </w:r>
            <w:r>
              <w:rPr>
                <w:color w:val="000000"/>
              </w:rPr>
              <w:t> </w:t>
            </w:r>
          </w:p>
        </w:tc>
        <w:tc>
          <w:tcPr>
            <w:tcW w:w="2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1,502</w:t>
            </w:r>
            <w:r>
              <w:rPr>
                <w:color w:val="000000"/>
              </w:rPr>
              <w:t> </w:t>
            </w:r>
          </w:p>
        </w:tc>
        <w:tc>
          <w:tcPr>
            <w:tcW w:w="41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368</w:t>
            </w:r>
            <w:r>
              <w:rPr>
                <w:color w:val="000000"/>
              </w:rPr>
              <w:t> </w:t>
            </w:r>
          </w:p>
        </w:tc>
        <w:tc>
          <w:tcPr>
            <w:tcW w:w="53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(2,814)</w:t>
            </w:r>
          </w:p>
        </w:tc>
        <w:tc>
          <w:tcPr>
            <w:tcW w:w="2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21,218</w:t>
            </w:r>
            <w:r>
              <w:rPr>
                <w:color w:val="000000"/>
              </w:rPr>
              <w:t> </w:t>
            </w:r>
          </w:p>
        </w:tc>
        <w:tc>
          <w:tcPr>
            <w:tcW w:w="22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540"/>
        <w:jc w:val="left"/>
        <w:rPr>
          <w:rFonts w:ascii="Times New Roman;serif" w:hAnsi="Times New Roman;serif"/>
          <w:b/>
          <w:color w:val="000000"/>
          <w:sz w:val="20"/>
        </w:rPr>
      </w:pPr>
      <w:r>
        <w:rPr>
          <w:rFonts w:ascii="Times New Roman;serif" w:hAnsi="Times New Roman;serif"/>
          <w:b/>
          <w:color w:val="000000"/>
          <w:sz w:val="20"/>
        </w:rPr>
        <w:t>Identified items</w:t>
      </w:r>
    </w:p>
    <w:p>
      <w:pPr>
        <w:pStyle w:val="TextBody"/>
        <w:bidi w:val="0"/>
        <w:spacing w:lineRule="auto" w:line="268" w:before="120" w:after="283"/>
        <w:jc w:val="left"/>
        <w:rPr/>
      </w:pPr>
      <w:r>
        <w:rPr>
          <w:rFonts w:ascii="Times New Roman;serif" w:hAnsi="Times New Roman;serif"/>
          <w:b w:val="false"/>
          <w:color w:val="000000"/>
          <w:sz w:val="20"/>
        </w:rPr>
        <w:t>The objective of identified items is to exclude material impacts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net income/loss arising from transactions which are typically outside the control of management and are unusual in nature (e.g., infrequent or non-recurring events) or that result in a misalignment between accounting and economic outcomes. Certain transactions that are generally excluded from underlying results within the industry may also be classified as identified items.</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Identified items comprise divestment gains and losses, impairment losses and reversals, redundancy and restructuring, fair value accounting effects on commodity derivatives and certain gas contracts, the impact of exchange rate movements and inflationary adjustments on certain deferred tax balances, and other items.</w:t>
      </w:r>
    </w:p>
    <w:p>
      <w:pPr>
        <w:pStyle w:val="TextBody"/>
        <w:bidi w:val="0"/>
        <w:spacing w:lineRule="auto" w:line="288" w:before="0" w:after="0"/>
        <w:jc w:val="left"/>
        <w:rPr/>
      </w:pPr>
      <w:r>
        <w:rPr>
          <w:rFonts w:ascii="Times New Roman;serif" w:hAnsi="Times New Roman;serif"/>
          <w:b w:val="false"/>
          <w:color w:val="000000"/>
          <w:sz w:val="20"/>
        </w:rPr>
        <w:t>See Note 2 “Segment</w:t>
      </w:r>
      <w:r>
        <w:rPr>
          <w:color w:val="000000"/>
        </w:rPr>
        <w:t xml:space="preserve"> </w:t>
      </w:r>
      <w:r>
        <w:rPr>
          <w:rFonts w:ascii="Times New Roman;serif" w:hAnsi="Times New Roman;serif"/>
          <w:b w:val="false"/>
          <w:color w:val="000000"/>
          <w:sz w:val="20"/>
        </w:rPr>
        <w:t>information</w:t>
      </w:r>
      <w:r>
        <w:rPr>
          <w:color w:val="000000"/>
        </w:rPr>
        <w:t xml:space="preserve">” </w:t>
      </w:r>
      <w:r>
        <w:rPr>
          <w:rFonts w:ascii="Times New Roman;serif" w:hAnsi="Times New Roman;serif"/>
          <w:b w:val="false"/>
          <w:color w:val="000000"/>
          <w:sz w:val="20"/>
        </w:rPr>
        <w:t>for details.</w:t>
      </w:r>
    </w:p>
    <w:p>
      <w:pPr>
        <w:pStyle w:val="TextBody"/>
        <w:bidi w:val="0"/>
        <w:spacing w:lineRule="auto" w:line="268" w:before="120" w:after="283"/>
        <w:ind w:left="0" w:right="0" w:hanging="5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5"/>
        </w:rPr>
        <w:t>For the purpose of identification of items in certain categories materiality thresholds are applied.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B. Adjusted Earnings per share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Earnings per share is calculated as Adjusted Earnings (see Reference A), divided by the weighted average number of shares used as the basis for basic earnings per share (see Note 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2"/>
        </w:rPr>
      </w:pPr>
      <w:r>
        <w:rPr>
          <w:rFonts w:ascii="Times New Roman;serif" w:hAnsi="Times New Roman;serif"/>
          <w:b/>
          <w:color w:val="000000"/>
          <w:sz w:val="22"/>
        </w:rPr>
        <w:t>C. Cash capital expenditure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capital expenditure represents cash spent on maintaining and developing assets as well as on investments in the period. Management regularly monitors this measure as a key lever to delivering sustainable cash flows. Cash capital expenditure is the sum of the following lines from the Consolidated Statement of Cash Flows: Capital expenditure, Investments in joint ventures and associates and Investments in equity securities.</w:t>
      </w:r>
    </w:p>
    <w:p>
      <w:pPr>
        <w:pStyle w:val="TextBody"/>
        <w:bidi w:val="0"/>
        <w:spacing w:lineRule="auto" w:line="288" w:before="12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See Note 2 “Segment information” for the reconciliation of cash capital expenditure.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2"/>
        </w:rPr>
      </w:pPr>
      <w:r>
        <w:rPr>
          <w:rFonts w:ascii="Times New Roman;serif" w:hAnsi="Times New Roman;serif"/>
          <w:b/>
          <w:color w:val="000000"/>
          <w:sz w:val="22"/>
        </w:rPr>
        <w:t>D. Capital employed and Return on average capital employed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Return on average capital employed ("ROACE") measures the efficiency of Shell’s utilisation of the capital that it employs.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refers to Capital employed which consists of total equity, current debt, and non-current debt reduced by cash and cash equivalents.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this calculation, the sum of Adjusted Earnings (see Reference A) plus non-controlling interest (NCI) excluding identified items for the current and previous three quarters, adjusted for after-tax interest expense and after-tax interest income, is expressed as a percentage of the average capital employed excluding cash and cash equivalents for the same period. </w:t>
      </w:r>
    </w:p>
    <w:tbl>
      <w:tblPr>
        <w:tblW w:w="4588" w:type="dxa"/>
        <w:jc w:val="left"/>
        <w:tblInd w:w="0" w:type="dxa"/>
        <w:tblLayout w:type="fixed"/>
        <w:tblCellMar>
          <w:top w:w="28" w:type="dxa"/>
          <w:left w:w="28" w:type="dxa"/>
          <w:bottom w:w="28" w:type="dxa"/>
          <w:right w:w="28" w:type="dxa"/>
        </w:tblCellMar>
      </w:tblPr>
      <w:tblGrid>
        <w:gridCol w:w="836"/>
        <w:gridCol w:w="735"/>
        <w:gridCol w:w="738"/>
        <w:gridCol w:w="244"/>
        <w:gridCol w:w="244"/>
        <w:gridCol w:w="246"/>
        <w:gridCol w:w="255"/>
        <w:gridCol w:w="255"/>
        <w:gridCol w:w="256"/>
        <w:gridCol w:w="227"/>
        <w:gridCol w:w="227"/>
        <w:gridCol w:w="325"/>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5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7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7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7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10,849</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debt</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65,218</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65,120</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64,619</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183,088</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180,670</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187,190</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Cash and cash equivalents</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(32,682)</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(35,601)</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(38,148)</w:t>
            </w:r>
          </w:p>
        </w:tc>
      </w:tr>
      <w:tr>
        <w:trPr/>
        <w:tc>
          <w:tcPr>
            <w:tcW w:w="23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Capital employed – opening</w:t>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226,081</w:t>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221,580</w:t>
            </w:r>
          </w:p>
        </w:tc>
        <w:tc>
          <w:tcPr>
            <w:tcW w:w="7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224,511</w:t>
            </w:r>
          </w:p>
        </w:tc>
      </w:tr>
      <w:tr>
        <w:trPr/>
        <w:tc>
          <w:tcPr>
            <w:tcW w:w="23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w:t>
            </w:r>
          </w:p>
        </w:tc>
        <w:tc>
          <w:tcPr>
            <w:tcW w:w="7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8,542</w:t>
            </w:r>
          </w:p>
        </w:tc>
        <w:tc>
          <w:tcPr>
            <w:tcW w:w="7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10,060</w:t>
            </w:r>
          </w:p>
        </w:tc>
        <w:tc>
          <w:tcPr>
            <w:tcW w:w="7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debt</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64,534</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65,585</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65,218</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181,781</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174,601</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183,088</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Cash and cash equivalents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(31,374)</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(23,117)</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(32,682)</w:t>
            </w:r>
          </w:p>
        </w:tc>
      </w:tr>
      <w:tr>
        <w:trPr/>
        <w:tc>
          <w:tcPr>
            <w:tcW w:w="23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employed – closing</w:t>
            </w:r>
          </w:p>
        </w:tc>
        <w:tc>
          <w:tcPr>
            <w:tcW w:w="7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223,483</w:t>
            </w:r>
          </w:p>
        </w:tc>
        <w:tc>
          <w:tcPr>
            <w:tcW w:w="7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227,128</w:t>
            </w:r>
          </w:p>
        </w:tc>
        <w:tc>
          <w:tcPr>
            <w:tcW w:w="7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226,081</w:t>
            </w:r>
          </w:p>
        </w:tc>
      </w:tr>
      <w:tr>
        <w:trPr/>
        <w:tc>
          <w:tcPr>
            <w:tcW w:w="230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Capital employed – average</w:t>
            </w:r>
          </w:p>
        </w:tc>
        <w:tc>
          <w:tcPr>
            <w:tcW w:w="73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224,782</w:t>
            </w:r>
          </w:p>
        </w:tc>
        <w:tc>
          <w:tcPr>
            <w:tcW w:w="76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224,354</w:t>
            </w:r>
          </w:p>
        </w:tc>
        <w:tc>
          <w:tcPr>
            <w:tcW w:w="77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225,296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53"/>
        <w:gridCol w:w="2330"/>
        <w:gridCol w:w="2339"/>
        <w:gridCol w:w="277"/>
        <w:gridCol w:w="279"/>
        <w:gridCol w:w="366"/>
        <w:gridCol w:w="277"/>
        <w:gridCol w:w="279"/>
        <w:gridCol w:w="426"/>
        <w:gridCol w:w="277"/>
        <w:gridCol w:w="279"/>
        <w:gridCol w:w="423"/>
      </w:tblGrid>
      <w:tr>
        <w:trPr/>
        <w:tc>
          <w:tcPr>
            <w:tcW w:w="2653"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7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ROACE on an Adjusted Earnings plus Non-controlling interest (NCI) basis</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r>
      <w:tr>
        <w:trPr/>
        <w:tc>
          <w:tcPr>
            <w:tcW w:w="732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 current and previous three quarters (Reference A)</w:t>
            </w:r>
          </w:p>
        </w:tc>
        <w:tc>
          <w:tcPr>
            <w:tcW w:w="92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25,439</w:t>
            </w:r>
          </w:p>
        </w:tc>
        <w:tc>
          <w:tcPr>
            <w:tcW w:w="98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19,867</w:t>
            </w:r>
          </w:p>
        </w:tc>
        <w:tc>
          <w:tcPr>
            <w:tcW w:w="97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19,529</w:t>
            </w:r>
          </w:p>
        </w:tc>
      </w:tr>
      <w:tr>
        <w:trPr/>
        <w:tc>
          <w:tcPr>
            <w:tcW w:w="732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Income/(loss) attributable to NCI - current and previous three quarters</w:t>
            </w:r>
          </w:p>
        </w:tc>
        <w:tc>
          <w:tcPr>
            <w:tcW w:w="5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36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42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42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Current cost of supplies adjustment attributable to NCI - current and previous three quarters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Identified items attributable to NCI (Reference A) - current and previous three quarters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plus NCI excluding identified items - current and previous three quarters</w:t>
            </w:r>
          </w:p>
        </w:tc>
        <w:tc>
          <w:tcPr>
            <w:tcW w:w="92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25,569</w:t>
            </w:r>
          </w:p>
        </w:tc>
        <w:tc>
          <w:tcPr>
            <w:tcW w:w="98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20,038</w:t>
            </w:r>
          </w:p>
        </w:tc>
        <w:tc>
          <w:tcPr>
            <w:tcW w:w="97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19,904</w:t>
            </w:r>
          </w:p>
        </w:tc>
      </w:tr>
      <w:tr>
        <w:trPr/>
        <w:tc>
          <w:tcPr>
            <w:tcW w:w="732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Interest expense after tax - current and previous three quarters</w:t>
            </w:r>
          </w:p>
        </w:tc>
        <w:tc>
          <w:tcPr>
            <w:tcW w:w="5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2,964 </w:t>
            </w:r>
          </w:p>
        </w:tc>
        <w:tc>
          <w:tcPr>
            <w:tcW w:w="36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2,951 </w:t>
            </w:r>
          </w:p>
        </w:tc>
        <w:tc>
          <w:tcPr>
            <w:tcW w:w="42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2,577 </w:t>
            </w:r>
          </w:p>
        </w:tc>
        <w:tc>
          <w:tcPr>
            <w:tcW w:w="42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Interest income after tax on cash and cash equivalents - current and previous three quarters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Earnings plus NCI excluding identified items before interest expense and interest income - current and previous three quarters</w:t>
            </w:r>
          </w:p>
        </w:tc>
        <w:tc>
          <w:tcPr>
            <w:tcW w:w="92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27,775</w:t>
            </w:r>
          </w:p>
        </w:tc>
        <w:tc>
          <w:tcPr>
            <w:tcW w:w="9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22,136</w:t>
            </w:r>
          </w:p>
        </w:tc>
        <w:tc>
          <w:tcPr>
            <w:tcW w:w="9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21,274</w:t>
            </w:r>
          </w:p>
        </w:tc>
      </w:tr>
      <w:tr>
        <w:trPr/>
        <w:tc>
          <w:tcPr>
            <w:tcW w:w="732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Capital employed – average</w:t>
            </w:r>
          </w:p>
        </w:tc>
        <w:tc>
          <w:tcPr>
            <w:tcW w:w="92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224,782</w:t>
            </w:r>
          </w:p>
        </w:tc>
        <w:tc>
          <w:tcPr>
            <w:tcW w:w="98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224,354</w:t>
            </w:r>
          </w:p>
        </w:tc>
        <w:tc>
          <w:tcPr>
            <w:tcW w:w="97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225,296</w:t>
            </w:r>
          </w:p>
        </w:tc>
      </w:tr>
      <w:tr>
        <w:trPr/>
        <w:tc>
          <w:tcPr>
            <w:tcW w:w="7322"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ROACE on an Adjusted Earnings plus NCI basis</w:t>
            </w:r>
          </w:p>
        </w:tc>
        <w:tc>
          <w:tcPr>
            <w:tcW w:w="55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12.4</w:t>
            </w:r>
            <w:r>
              <w:rPr>
                <w:color w:val="000000"/>
              </w:rPr>
              <w:t> </w:t>
            </w:r>
          </w:p>
        </w:tc>
        <w:tc>
          <w:tcPr>
            <w:tcW w:w="36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55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w:t>
            </w:r>
            <w:r>
              <w:rPr>
                <w:color w:val="000000"/>
              </w:rPr>
              <w:t> </w:t>
            </w:r>
          </w:p>
        </w:tc>
        <w:tc>
          <w:tcPr>
            <w:tcW w:w="42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55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w:t>
            </w:r>
            <w:r>
              <w:rPr>
                <w:color w:val="000000"/>
              </w:rPr>
              <w:t> </w:t>
            </w:r>
          </w:p>
        </w:tc>
        <w:tc>
          <w:tcPr>
            <w:tcW w:w="423"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540"/>
        <w:jc w:val="left"/>
        <w:rPr>
          <w:rFonts w:ascii="Times New Roman;serif" w:hAnsi="Times New Roman;serif"/>
          <w:b/>
          <w:color w:val="000000"/>
          <w:sz w:val="22"/>
        </w:rPr>
      </w:pPr>
      <w:r>
        <w:rPr>
          <w:rFonts w:ascii="Times New Roman;serif" w:hAnsi="Times New Roman;serif"/>
          <w:b/>
          <w:color w:val="000000"/>
          <w:sz w:val="22"/>
        </w:rPr>
        <w:t>E. Net debt and gearing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debt is defined as the sum of current and non-current debt, less cash and cash equivalents, adjusted for the fair value of derivative financial instruments used to hedge foreign exchange and interest rate risk relating to debt, and associated collateral balances. Management considers this adjustment useful because it reduces the volatility of net debt caused by fluctuations in foreign exchange and interest rates, and eliminates the potential impact of related collateral payments or receipts. Debt-related derivative financial instruments are a subset of the derivative financial instrument assets and liabilities presented on the balance sheet. Collateral balances are reported under “Trade and other receivables” or “Trade and other payables” as appropriate.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Gearing is a measure of Shell's capital structure and is defined as net debt as a percentage of total capital (net debt plus total equity).</w:t>
      </w:r>
    </w:p>
    <w:tbl>
      <w:tblPr>
        <w:tblW w:w="8489" w:type="dxa"/>
        <w:jc w:val="left"/>
        <w:tblInd w:w="0" w:type="dxa"/>
        <w:tblLayout w:type="fixed"/>
        <w:tblCellMar>
          <w:top w:w="28" w:type="dxa"/>
          <w:left w:w="28" w:type="dxa"/>
          <w:bottom w:w="28" w:type="dxa"/>
          <w:right w:w="28" w:type="dxa"/>
        </w:tblCellMar>
      </w:tblPr>
      <w:tblGrid>
        <w:gridCol w:w="1788"/>
        <w:gridCol w:w="1565"/>
        <w:gridCol w:w="1581"/>
        <w:gridCol w:w="267"/>
        <w:gridCol w:w="267"/>
        <w:gridCol w:w="591"/>
        <w:gridCol w:w="299"/>
        <w:gridCol w:w="299"/>
        <w:gridCol w:w="662"/>
        <w:gridCol w:w="253"/>
        <w:gridCol w:w="253"/>
        <w:gridCol w:w="664"/>
      </w:tblGrid>
      <w:tr>
        <w:trPr/>
        <w:tc>
          <w:tcPr>
            <w:tcW w:w="1788"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555" w:type="dxa"/>
            <w:gridSpan w:val="9"/>
            <w:tcBorders/>
          </w:tcPr>
          <w:p>
            <w:pPr>
              <w:pStyle w:val="TableContents"/>
              <w:bidi w:val="0"/>
              <w:spacing w:before="0" w:after="283"/>
              <w:jc w:val="left"/>
              <w:rPr>
                <w:sz w:val="4"/>
                <w:szCs w:val="4"/>
              </w:rPr>
            </w:pPr>
            <w:r>
              <w:rPr>
                <w:sz w:val="4"/>
                <w:szCs w:val="4"/>
              </w:rPr>
            </w:r>
          </w:p>
        </w:tc>
      </w:tr>
      <w:tr>
        <w:trPr/>
        <w:tc>
          <w:tcPr>
            <w:tcW w:w="84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49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1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9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w:t>
            </w:r>
          </w:p>
        </w:tc>
        <w:tc>
          <w:tcPr>
            <w:tcW w:w="11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8,542</w:t>
            </w:r>
          </w:p>
        </w:tc>
        <w:tc>
          <w:tcPr>
            <w:tcW w:w="12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10,060</w:t>
            </w:r>
          </w:p>
        </w:tc>
        <w:tc>
          <w:tcPr>
            <w:tcW w:w="11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debt</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64,534</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65,585</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65,218</w:t>
            </w:r>
          </w:p>
        </w:tc>
      </w:tr>
      <w:tr>
        <w:trPr/>
        <w:tc>
          <w:tcPr>
            <w:tcW w:w="49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debt</w:t>
            </w:r>
          </w:p>
        </w:tc>
        <w:tc>
          <w:tcPr>
            <w:tcW w:w="11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73,076</w:t>
            </w:r>
          </w:p>
        </w:tc>
        <w:tc>
          <w:tcPr>
            <w:tcW w:w="12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75,645</w:t>
            </w:r>
          </w:p>
        </w:tc>
        <w:tc>
          <w:tcPr>
            <w:tcW w:w="11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75,675</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 lease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29,627</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30,594</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28,955</w:t>
            </w:r>
          </w:p>
        </w:tc>
      </w:tr>
      <w:tr>
        <w:trPr/>
        <w:tc>
          <w:tcPr>
            <w:tcW w:w="49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Debt-related derivative financial instruments: net liability/(asset)</w:t>
            </w:r>
          </w:p>
        </w:tc>
        <w:tc>
          <w:tcPr>
            <w:tcW w:w="11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w:t>
            </w:r>
          </w:p>
        </w:tc>
        <w:tc>
          <w:tcPr>
            <w:tcW w:w="12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w:t>
            </w:r>
          </w:p>
        </w:tc>
        <w:tc>
          <w:tcPr>
            <w:tcW w:w="11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Collateral on debt-related derivatives: net liability/(asset)</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Cash and cash equivalents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(31,374)</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(23,117)</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(32,682)</w:t>
            </w:r>
          </w:p>
        </w:tc>
      </w:tr>
      <w:tr>
        <w:trPr/>
        <w:tc>
          <w:tcPr>
            <w:tcW w:w="49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debt</w:t>
            </w:r>
          </w:p>
        </w:tc>
        <w:tc>
          <w:tcPr>
            <w:tcW w:w="11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41,754</w:t>
            </w:r>
          </w:p>
        </w:tc>
        <w:tc>
          <w:tcPr>
            <w:tcW w:w="12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52,606</w:t>
            </w:r>
          </w:p>
        </w:tc>
        <w:tc>
          <w:tcPr>
            <w:tcW w:w="11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43,216</w:t>
            </w:r>
          </w:p>
        </w:tc>
      </w:tr>
      <w:tr>
        <w:trPr/>
        <w:tc>
          <w:tcPr>
            <w:tcW w:w="49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1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181,781</w:t>
            </w:r>
          </w:p>
        </w:tc>
        <w:tc>
          <w:tcPr>
            <w:tcW w:w="12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174,601</w:t>
            </w:r>
          </w:p>
        </w:tc>
        <w:tc>
          <w:tcPr>
            <w:tcW w:w="11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183,088</w:t>
            </w:r>
          </w:p>
        </w:tc>
      </w:tr>
      <w:tr>
        <w:trPr/>
        <w:tc>
          <w:tcPr>
            <w:tcW w:w="49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capital</w:t>
            </w:r>
          </w:p>
        </w:tc>
        <w:tc>
          <w:tcPr>
            <w:tcW w:w="11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223,534</w:t>
            </w:r>
          </w:p>
        </w:tc>
        <w:tc>
          <w:tcPr>
            <w:tcW w:w="12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227,207</w:t>
            </w:r>
          </w:p>
        </w:tc>
        <w:tc>
          <w:tcPr>
            <w:tcW w:w="11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226,304</w:t>
            </w:r>
          </w:p>
        </w:tc>
      </w:tr>
      <w:tr>
        <w:trPr/>
        <w:tc>
          <w:tcPr>
            <w:tcW w:w="493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Gearing</w:t>
            </w:r>
          </w:p>
        </w:tc>
        <w:tc>
          <w:tcPr>
            <w:tcW w:w="534"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59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66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66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Times New Roman;serif" w:hAnsi="Times New Roman;serif"/>
          <w:b/>
          <w:color w:val="000000"/>
          <w:sz w:val="22"/>
        </w:rPr>
      </w:pPr>
      <w:r>
        <w:rPr>
          <w:rFonts w:ascii="Times New Roman;serif" w:hAnsi="Times New Roman;serif"/>
          <w:b/>
          <w:color w:val="000000"/>
          <w:sz w:val="22"/>
        </w:rPr>
        <w:t>F. Operating expenses and Underlying operating expenses</w:t>
      </w:r>
    </w:p>
    <w:p>
      <w:pPr>
        <w:pStyle w:val="TextBody"/>
        <w:bidi w:val="0"/>
        <w:spacing w:lineRule="auto" w:line="288" w:before="120" w:after="120"/>
        <w:ind w:left="0" w:right="0" w:hanging="540"/>
        <w:jc w:val="left"/>
        <w:rPr>
          <w:rFonts w:ascii="Times New Roman;serif" w:hAnsi="Times New Roman;serif"/>
          <w:b/>
          <w:color w:val="000000"/>
          <w:sz w:val="22"/>
        </w:rPr>
      </w:pPr>
      <w:r>
        <w:rPr>
          <w:rFonts w:ascii="Times New Roman;serif" w:hAnsi="Times New Roman;serif"/>
          <w:b/>
          <w:color w:val="000000"/>
          <w:sz w:val="22"/>
        </w:rPr>
        <w:t>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is a measure of Shell’s cost management performance, comprising the following items from the Consolidated Statement of Income: production and manufacturing expenses; selling, distribution and administrative expenses; and research and development expenses. </w:t>
      </w:r>
    </w:p>
    <w:tbl>
      <w:tblPr>
        <w:tblW w:w="10205" w:type="dxa"/>
        <w:jc w:val="left"/>
        <w:tblInd w:w="0" w:type="dxa"/>
        <w:tblLayout w:type="fixed"/>
        <w:tblCellMar>
          <w:top w:w="28" w:type="dxa"/>
          <w:left w:w="28" w:type="dxa"/>
          <w:bottom w:w="28" w:type="dxa"/>
          <w:right w:w="28" w:type="dxa"/>
        </w:tblCellMar>
      </w:tblPr>
      <w:tblGrid>
        <w:gridCol w:w="1000"/>
        <w:gridCol w:w="878"/>
        <w:gridCol w:w="890"/>
        <w:gridCol w:w="339"/>
        <w:gridCol w:w="339"/>
        <w:gridCol w:w="341"/>
        <w:gridCol w:w="255"/>
        <w:gridCol w:w="255"/>
        <w:gridCol w:w="256"/>
        <w:gridCol w:w="275"/>
        <w:gridCol w:w="275"/>
        <w:gridCol w:w="276"/>
        <w:gridCol w:w="490"/>
        <w:gridCol w:w="490"/>
        <w:gridCol w:w="491"/>
        <w:gridCol w:w="665"/>
        <w:gridCol w:w="665"/>
        <w:gridCol w:w="667"/>
        <w:gridCol w:w="265"/>
        <w:gridCol w:w="265"/>
        <w:gridCol w:w="266"/>
        <w:gridCol w:w="162"/>
        <w:gridCol w:w="162"/>
        <w:gridCol w:w="23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2026</w:t>
            </w:r>
          </w:p>
        </w:tc>
        <w:tc>
          <w:tcPr>
            <w:tcW w:w="7437"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4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9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5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6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Production and manufacturing expenses</w:t>
            </w:r>
          </w:p>
        </w:tc>
        <w:tc>
          <w:tcPr>
            <w:tcW w:w="10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w:t>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2,164</w:t>
            </w:r>
          </w:p>
        </w:tc>
        <w:tc>
          <w:tcPr>
            <w:tcW w:w="8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320</w:t>
            </w:r>
          </w:p>
        </w:tc>
        <w:tc>
          <w:tcPr>
            <w:tcW w:w="14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1,527</w:t>
            </w:r>
          </w:p>
        </w:tc>
        <w:tc>
          <w:tcPr>
            <w:tcW w:w="19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440</w:t>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5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5,476</w:t>
            </w:r>
          </w:p>
        </w:tc>
      </w:tr>
      <w:tr>
        <w:trPr/>
        <w:tc>
          <w:tcPr>
            <w:tcW w:w="2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distribution and administrative expenses</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2,136</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463</w:t>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2,911</w:t>
            </w:r>
          </w:p>
        </w:tc>
      </w:tr>
      <w:tr>
        <w:trPr/>
        <w:tc>
          <w:tcPr>
            <w:tcW w:w="2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277</w:t>
            </w:r>
          </w:p>
        </w:tc>
      </w:tr>
      <w:tr>
        <w:trPr/>
        <w:tc>
          <w:tcPr>
            <w:tcW w:w="276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01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1,094</w:t>
            </w:r>
          </w:p>
        </w:tc>
        <w:tc>
          <w:tcPr>
            <w:tcW w:w="76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2,223</w:t>
            </w:r>
          </w:p>
        </w:tc>
        <w:tc>
          <w:tcPr>
            <w:tcW w:w="82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2,519</w:t>
            </w:r>
          </w:p>
        </w:tc>
        <w:tc>
          <w:tcPr>
            <w:tcW w:w="147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2,039</w:t>
            </w:r>
          </w:p>
        </w:tc>
        <w:tc>
          <w:tcPr>
            <w:tcW w:w="199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606</w:t>
            </w:r>
          </w:p>
        </w:tc>
        <w:tc>
          <w:tcPr>
            <w:tcW w:w="79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184</w:t>
            </w:r>
          </w:p>
        </w:tc>
        <w:tc>
          <w:tcPr>
            <w:tcW w:w="56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8,664</w:t>
            </w:r>
          </w:p>
        </w:tc>
      </w:tr>
    </w:tbl>
    <w:tbl>
      <w:tblPr>
        <w:tblW w:w="10205" w:type="dxa"/>
        <w:jc w:val="left"/>
        <w:tblInd w:w="0" w:type="dxa"/>
        <w:tblLayout w:type="fixed"/>
        <w:tblCellMar>
          <w:top w:w="28" w:type="dxa"/>
          <w:left w:w="28" w:type="dxa"/>
          <w:bottom w:w="28" w:type="dxa"/>
          <w:right w:w="28" w:type="dxa"/>
        </w:tblCellMar>
      </w:tblPr>
      <w:tblGrid>
        <w:gridCol w:w="1000"/>
        <w:gridCol w:w="878"/>
        <w:gridCol w:w="890"/>
        <w:gridCol w:w="339"/>
        <w:gridCol w:w="339"/>
        <w:gridCol w:w="341"/>
        <w:gridCol w:w="255"/>
        <w:gridCol w:w="255"/>
        <w:gridCol w:w="256"/>
        <w:gridCol w:w="275"/>
        <w:gridCol w:w="275"/>
        <w:gridCol w:w="276"/>
        <w:gridCol w:w="490"/>
        <w:gridCol w:w="490"/>
        <w:gridCol w:w="491"/>
        <w:gridCol w:w="665"/>
        <w:gridCol w:w="665"/>
        <w:gridCol w:w="667"/>
        <w:gridCol w:w="265"/>
        <w:gridCol w:w="265"/>
        <w:gridCol w:w="266"/>
        <w:gridCol w:w="162"/>
        <w:gridCol w:w="162"/>
        <w:gridCol w:w="23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Q1 2026</w:t>
            </w:r>
          </w:p>
        </w:tc>
        <w:tc>
          <w:tcPr>
            <w:tcW w:w="7437"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4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9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5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6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Production and manufacturing expenses</w:t>
            </w:r>
          </w:p>
        </w:tc>
        <w:tc>
          <w:tcPr>
            <w:tcW w:w="10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1,124</w:t>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2,126</w:t>
            </w:r>
          </w:p>
        </w:tc>
        <w:tc>
          <w:tcPr>
            <w:tcW w:w="8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471</w:t>
            </w:r>
          </w:p>
        </w:tc>
        <w:tc>
          <w:tcPr>
            <w:tcW w:w="14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1,591</w:t>
            </w:r>
          </w:p>
        </w:tc>
        <w:tc>
          <w:tcPr>
            <w:tcW w:w="19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w:t>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5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5,745</w:t>
            </w:r>
          </w:p>
        </w:tc>
      </w:tr>
      <w:tr>
        <w:trPr/>
        <w:tc>
          <w:tcPr>
            <w:tcW w:w="2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distribution and administrative expenses</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1,966</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398</w:t>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2,803</w:t>
            </w:r>
          </w:p>
        </w:tc>
      </w:tr>
      <w:tr>
        <w:trPr/>
        <w:tc>
          <w:tcPr>
            <w:tcW w:w="2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167</w:t>
            </w:r>
          </w:p>
        </w:tc>
      </w:tr>
      <w:tr>
        <w:trPr/>
        <w:tc>
          <w:tcPr>
            <w:tcW w:w="276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01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1,213</w:t>
            </w:r>
          </w:p>
        </w:tc>
        <w:tc>
          <w:tcPr>
            <w:tcW w:w="76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2,251</w:t>
            </w:r>
          </w:p>
        </w:tc>
        <w:tc>
          <w:tcPr>
            <w:tcW w:w="82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2,459</w:t>
            </w:r>
          </w:p>
        </w:tc>
        <w:tc>
          <w:tcPr>
            <w:tcW w:w="147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2,007</w:t>
            </w:r>
          </w:p>
        </w:tc>
        <w:tc>
          <w:tcPr>
            <w:tcW w:w="199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623</w:t>
            </w:r>
          </w:p>
        </w:tc>
        <w:tc>
          <w:tcPr>
            <w:tcW w:w="79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161</w:t>
            </w:r>
          </w:p>
        </w:tc>
        <w:tc>
          <w:tcPr>
            <w:tcW w:w="56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8,716</w:t>
            </w:r>
          </w:p>
        </w:tc>
      </w:tr>
    </w:tbl>
    <w:tbl>
      <w:tblPr>
        <w:tblW w:w="10205" w:type="dxa"/>
        <w:jc w:val="left"/>
        <w:tblInd w:w="0" w:type="dxa"/>
        <w:tblLayout w:type="fixed"/>
        <w:tblCellMar>
          <w:top w:w="28" w:type="dxa"/>
          <w:left w:w="28" w:type="dxa"/>
          <w:bottom w:w="28" w:type="dxa"/>
          <w:right w:w="28" w:type="dxa"/>
        </w:tblCellMar>
      </w:tblPr>
      <w:tblGrid>
        <w:gridCol w:w="1000"/>
        <w:gridCol w:w="878"/>
        <w:gridCol w:w="890"/>
        <w:gridCol w:w="339"/>
        <w:gridCol w:w="339"/>
        <w:gridCol w:w="341"/>
        <w:gridCol w:w="255"/>
        <w:gridCol w:w="255"/>
        <w:gridCol w:w="256"/>
        <w:gridCol w:w="275"/>
        <w:gridCol w:w="275"/>
        <w:gridCol w:w="276"/>
        <w:gridCol w:w="490"/>
        <w:gridCol w:w="490"/>
        <w:gridCol w:w="491"/>
        <w:gridCol w:w="665"/>
        <w:gridCol w:w="665"/>
        <w:gridCol w:w="667"/>
        <w:gridCol w:w="265"/>
        <w:gridCol w:w="265"/>
        <w:gridCol w:w="266"/>
        <w:gridCol w:w="162"/>
        <w:gridCol w:w="162"/>
        <w:gridCol w:w="23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Q2 2025</w:t>
            </w:r>
          </w:p>
        </w:tc>
        <w:tc>
          <w:tcPr>
            <w:tcW w:w="7437"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4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9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5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6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Production and manufacturing expenses</w:t>
            </w:r>
          </w:p>
        </w:tc>
        <w:tc>
          <w:tcPr>
            <w:tcW w:w="10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899</w:t>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1,940</w:t>
            </w:r>
          </w:p>
        </w:tc>
        <w:tc>
          <w:tcPr>
            <w:tcW w:w="8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179</w:t>
            </w:r>
          </w:p>
        </w:tc>
        <w:tc>
          <w:tcPr>
            <w:tcW w:w="14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1,459</w:t>
            </w:r>
          </w:p>
        </w:tc>
        <w:tc>
          <w:tcPr>
            <w:tcW w:w="19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431</w:t>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4,909</w:t>
            </w:r>
          </w:p>
        </w:tc>
      </w:tr>
      <w:tr>
        <w:trPr/>
        <w:tc>
          <w:tcPr>
            <w:tcW w:w="2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distribution and administrative expenses</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2,319</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441</w:t>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3,077</w:t>
            </w:r>
          </w:p>
        </w:tc>
      </w:tr>
      <w:tr>
        <w:trPr/>
        <w:tc>
          <w:tcPr>
            <w:tcW w:w="2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278</w:t>
            </w:r>
          </w:p>
        </w:tc>
      </w:tr>
      <w:tr>
        <w:trPr/>
        <w:tc>
          <w:tcPr>
            <w:tcW w:w="276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01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965</w:t>
            </w:r>
          </w:p>
        </w:tc>
        <w:tc>
          <w:tcPr>
            <w:tcW w:w="76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2,055</w:t>
            </w:r>
          </w:p>
        </w:tc>
        <w:tc>
          <w:tcPr>
            <w:tcW w:w="82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2,547</w:t>
            </w:r>
          </w:p>
        </w:tc>
        <w:tc>
          <w:tcPr>
            <w:tcW w:w="147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1,939</w:t>
            </w:r>
          </w:p>
        </w:tc>
        <w:tc>
          <w:tcPr>
            <w:tcW w:w="199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592</w:t>
            </w:r>
          </w:p>
        </w:tc>
        <w:tc>
          <w:tcPr>
            <w:tcW w:w="79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168</w:t>
            </w:r>
          </w:p>
        </w:tc>
        <w:tc>
          <w:tcPr>
            <w:tcW w:w="56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8,265</w:t>
            </w:r>
          </w:p>
        </w:tc>
      </w:tr>
    </w:tbl>
    <w:p>
      <w:pPr>
        <w:pStyle w:val="TextBody"/>
        <w:bidi w:val="0"/>
        <w:spacing w:before="120" w:after="120"/>
        <w:ind w:left="0" w:right="0" w:firstLine="7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7"/>
        <w:gridCol w:w="876"/>
        <w:gridCol w:w="855"/>
        <w:gridCol w:w="337"/>
        <w:gridCol w:w="337"/>
        <w:gridCol w:w="339"/>
        <w:gridCol w:w="255"/>
        <w:gridCol w:w="255"/>
        <w:gridCol w:w="256"/>
        <w:gridCol w:w="275"/>
        <w:gridCol w:w="275"/>
        <w:gridCol w:w="276"/>
        <w:gridCol w:w="484"/>
        <w:gridCol w:w="484"/>
        <w:gridCol w:w="486"/>
        <w:gridCol w:w="656"/>
        <w:gridCol w:w="656"/>
        <w:gridCol w:w="658"/>
        <w:gridCol w:w="265"/>
        <w:gridCol w:w="265"/>
        <w:gridCol w:w="266"/>
        <w:gridCol w:w="188"/>
        <w:gridCol w:w="188"/>
        <w:gridCol w:w="276"/>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2026</w:t>
            </w:r>
          </w:p>
        </w:tc>
        <w:tc>
          <w:tcPr>
            <w:tcW w:w="7477"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Production and manufacturing expenses</w:t>
            </w:r>
          </w:p>
        </w:tc>
        <w:tc>
          <w:tcPr>
            <w:tcW w:w="10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2,151</w:t>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4,290</w:t>
            </w:r>
          </w:p>
        </w:tc>
        <w:tc>
          <w:tcPr>
            <w:tcW w:w="8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791</w:t>
            </w:r>
          </w:p>
        </w:tc>
        <w:tc>
          <w:tcPr>
            <w:tcW w:w="14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3,118</w:t>
            </w:r>
          </w:p>
        </w:tc>
        <w:tc>
          <w:tcPr>
            <w:tcW w:w="19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870</w:t>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6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11,221</w:t>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distribution and administrative expenses</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4,103</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861</w:t>
            </w:r>
          </w:p>
        </w:tc>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339</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w:t>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5,714</w:t>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444</w:t>
            </w:r>
          </w:p>
        </w:tc>
      </w:tr>
      <w:tr>
        <w:trPr/>
        <w:tc>
          <w:tcPr>
            <w:tcW w:w="272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01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2,307</w:t>
            </w:r>
          </w:p>
        </w:tc>
        <w:tc>
          <w:tcPr>
            <w:tcW w:w="76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4,474</w:t>
            </w:r>
          </w:p>
        </w:tc>
        <w:tc>
          <w:tcPr>
            <w:tcW w:w="82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4,979</w:t>
            </w:r>
          </w:p>
        </w:tc>
        <w:tc>
          <w:tcPr>
            <w:tcW w:w="145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4,046</w:t>
            </w:r>
          </w:p>
        </w:tc>
        <w:tc>
          <w:tcPr>
            <w:tcW w:w="197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1,229</w:t>
            </w:r>
          </w:p>
        </w:tc>
        <w:tc>
          <w:tcPr>
            <w:tcW w:w="79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345</w:t>
            </w:r>
          </w:p>
        </w:tc>
        <w:tc>
          <w:tcPr>
            <w:tcW w:w="65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17,380</w:t>
            </w:r>
          </w:p>
        </w:tc>
      </w:tr>
    </w:tbl>
    <w:tbl>
      <w:tblPr>
        <w:tblW w:w="10205" w:type="dxa"/>
        <w:jc w:val="left"/>
        <w:tblInd w:w="0" w:type="dxa"/>
        <w:tblLayout w:type="fixed"/>
        <w:tblCellMar>
          <w:top w:w="28" w:type="dxa"/>
          <w:left w:w="28" w:type="dxa"/>
          <w:bottom w:w="28" w:type="dxa"/>
          <w:right w:w="28" w:type="dxa"/>
        </w:tblCellMar>
      </w:tblPr>
      <w:tblGrid>
        <w:gridCol w:w="997"/>
        <w:gridCol w:w="876"/>
        <w:gridCol w:w="855"/>
        <w:gridCol w:w="337"/>
        <w:gridCol w:w="337"/>
        <w:gridCol w:w="339"/>
        <w:gridCol w:w="255"/>
        <w:gridCol w:w="255"/>
        <w:gridCol w:w="256"/>
        <w:gridCol w:w="275"/>
        <w:gridCol w:w="275"/>
        <w:gridCol w:w="276"/>
        <w:gridCol w:w="484"/>
        <w:gridCol w:w="484"/>
        <w:gridCol w:w="486"/>
        <w:gridCol w:w="656"/>
        <w:gridCol w:w="656"/>
        <w:gridCol w:w="658"/>
        <w:gridCol w:w="265"/>
        <w:gridCol w:w="265"/>
        <w:gridCol w:w="266"/>
        <w:gridCol w:w="188"/>
        <w:gridCol w:w="188"/>
        <w:gridCol w:w="276"/>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Half year 2025</w:t>
            </w:r>
          </w:p>
        </w:tc>
        <w:tc>
          <w:tcPr>
            <w:tcW w:w="7477" w:type="dxa"/>
            <w:gridSpan w:val="21"/>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million</w:t>
            </w:r>
          </w:p>
        </w:tc>
      </w:tr>
      <w:tr>
        <w:trPr/>
        <w:tc>
          <w:tcPr>
            <w:tcW w:w="27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Integrated Gas</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Upstream</w:t>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Marketing</w:t>
            </w:r>
          </w:p>
        </w:tc>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Chemicals and Products</w:t>
            </w:r>
          </w:p>
        </w:tc>
        <w:tc>
          <w:tcPr>
            <w:tcW w:w="1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Renewables and Energy Solutions</w:t>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w:t>
            </w:r>
          </w:p>
        </w:tc>
        <w:tc>
          <w:tcPr>
            <w:tcW w:w="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7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Production and manufacturing expenses</w:t>
            </w:r>
          </w:p>
        </w:tc>
        <w:tc>
          <w:tcPr>
            <w:tcW w:w="10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1,846</w:t>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4,079</w:t>
            </w:r>
          </w:p>
        </w:tc>
        <w:tc>
          <w:tcPr>
            <w:tcW w:w="8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528</w:t>
            </w:r>
          </w:p>
        </w:tc>
        <w:tc>
          <w:tcPr>
            <w:tcW w:w="14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3,080</w:t>
            </w:r>
          </w:p>
        </w:tc>
        <w:tc>
          <w:tcPr>
            <w:tcW w:w="19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916</w:t>
            </w:r>
          </w:p>
        </w:tc>
        <w:tc>
          <w:tcPr>
            <w:tcW w:w="7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6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10,459</w:t>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distribution and administrative expenses</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4,371</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884</w:t>
            </w:r>
          </w:p>
        </w:tc>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218</w:t>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5,917</w:t>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464</w:t>
            </w:r>
          </w:p>
        </w:tc>
      </w:tr>
      <w:tr>
        <w:trPr/>
        <w:tc>
          <w:tcPr>
            <w:tcW w:w="272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01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1,971</w:t>
            </w:r>
          </w:p>
        </w:tc>
        <w:tc>
          <w:tcPr>
            <w:tcW w:w="76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4,268</w:t>
            </w:r>
          </w:p>
        </w:tc>
        <w:tc>
          <w:tcPr>
            <w:tcW w:w="82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4,991</w:t>
            </w:r>
          </w:p>
        </w:tc>
        <w:tc>
          <w:tcPr>
            <w:tcW w:w="145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4,027</w:t>
            </w:r>
          </w:p>
        </w:tc>
        <w:tc>
          <w:tcPr>
            <w:tcW w:w="197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1,253</w:t>
            </w:r>
          </w:p>
        </w:tc>
        <w:tc>
          <w:tcPr>
            <w:tcW w:w="79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330</w:t>
            </w:r>
          </w:p>
        </w:tc>
        <w:tc>
          <w:tcPr>
            <w:tcW w:w="65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16,840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84"/>
        <w:jc w:val="left"/>
        <w:rPr/>
      </w:pPr>
      <w:r>
        <w:rPr>
          <w:rFonts w:ascii="Times New Roman;serif" w:hAnsi="Times New Roman;serif"/>
          <w:b w:val="false"/>
          <w:color w:val="000000"/>
          <w:sz w:val="13"/>
        </w:rPr>
        <w:t>*</w:t>
      </w:r>
      <w:r>
        <w:rPr>
          <w:rFonts w:ascii="Times New Roman;serif" w:hAnsi="Times New Roman;serif"/>
          <w:b w:val="false"/>
          <w:color w:val="000000"/>
          <w:sz w:val="20"/>
        </w:rPr>
        <w:t>Operational measure for US reporting purposes</w:t>
      </w:r>
    </w:p>
    <w:p>
      <w:pPr>
        <w:pStyle w:val="TextBody"/>
        <w:bidi w:val="0"/>
        <w:spacing w:before="120" w:after="120"/>
        <w:ind w:left="0" w:right="0" w:hanging="540"/>
        <w:jc w:val="left"/>
        <w:rPr/>
      </w:pPr>
      <w:r>
        <w:rPr/>
      </w:r>
    </w:p>
    <w:p>
      <w:pPr>
        <w:pStyle w:val="TextBody"/>
        <w:bidi w:val="0"/>
        <w:spacing w:lineRule="auto" w:line="288" w:before="120" w:after="120"/>
        <w:ind w:left="0" w:right="0" w:hanging="540"/>
        <w:jc w:val="left"/>
        <w:rPr>
          <w:rFonts w:ascii="Times New Roman;serif" w:hAnsi="Times New Roman;serif"/>
          <w:b/>
          <w:color w:val="000000"/>
          <w:sz w:val="22"/>
        </w:rPr>
      </w:pPr>
      <w:r>
        <w:rPr>
          <w:rFonts w:ascii="Times New Roman;serif" w:hAnsi="Times New Roman;serif"/>
          <w:b/>
          <w:color w:val="000000"/>
          <w:sz w:val="22"/>
        </w:rPr>
        <w:t xml:space="preserve">Underlying operating expenses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Underlying operating expenses is a measure aimed at facilitating a comparative understanding of performance from period to period by removing the effects of identified items, which, either individually or collectively, can cause volatility, in some cases driven by external factors.</w:t>
      </w:r>
    </w:p>
    <w:tbl>
      <w:tblPr>
        <w:tblW w:w="7631" w:type="dxa"/>
        <w:jc w:val="left"/>
        <w:tblInd w:w="0" w:type="dxa"/>
        <w:tblLayout w:type="fixed"/>
        <w:tblCellMar>
          <w:top w:w="28" w:type="dxa"/>
          <w:left w:w="28" w:type="dxa"/>
          <w:bottom w:w="28" w:type="dxa"/>
          <w:right w:w="28" w:type="dxa"/>
        </w:tblCellMar>
      </w:tblPr>
      <w:tblGrid>
        <w:gridCol w:w="311"/>
        <w:gridCol w:w="275"/>
        <w:gridCol w:w="240"/>
        <w:gridCol w:w="285"/>
        <w:gridCol w:w="286"/>
        <w:gridCol w:w="246"/>
        <w:gridCol w:w="285"/>
        <w:gridCol w:w="286"/>
        <w:gridCol w:w="246"/>
        <w:gridCol w:w="1154"/>
        <w:gridCol w:w="1154"/>
        <w:gridCol w:w="1172"/>
        <w:gridCol w:w="330"/>
        <w:gridCol w:w="331"/>
        <w:gridCol w:w="156"/>
        <w:gridCol w:w="330"/>
        <w:gridCol w:w="331"/>
        <w:gridCol w:w="213"/>
      </w:tblGrid>
      <w:tr>
        <w:trPr/>
        <w:tc>
          <w:tcPr>
            <w:tcW w:w="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631" w:type="dxa"/>
            <w:gridSpan w:val="1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3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34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8,664</w:t>
            </w:r>
            <w:r>
              <w:rPr>
                <w:color w:val="000000"/>
              </w:rPr>
              <w:t>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8,716</w:t>
            </w:r>
            <w:r>
              <w:rPr>
                <w:color w:val="000000"/>
              </w:rPr>
              <w:t>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8,265</w:t>
            </w:r>
            <w:r>
              <w:rPr>
                <w:color w:val="000000"/>
              </w:rPr>
              <w:t>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17,380</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16,840</w:t>
            </w:r>
            <w:r>
              <w:rPr>
                <w:color w:val="000000"/>
              </w:rPr>
              <w:t>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2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2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Redundancy and restructuring (charges)/reversal</w:t>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w:t>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w:t>
            </w:r>
          </w:p>
        </w:tc>
        <w:tc>
          <w:tcPr>
            <w:tcW w:w="2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(120)</w:t>
            </w:r>
          </w:p>
        </w:tc>
        <w:tc>
          <w:tcPr>
            <w:tcW w:w="2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identified items</w:t>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(354)</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(241)</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8,440</w:t>
            </w:r>
            <w:r>
              <w:rPr>
                <w:color w:val="000000"/>
              </w:rPr>
              <w:t> </w:t>
            </w:r>
          </w:p>
        </w:tc>
        <w:tc>
          <w:tcPr>
            <w:tcW w:w="24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8,585</w:t>
            </w:r>
            <w:r>
              <w:rPr>
                <w:color w:val="000000"/>
              </w:rPr>
              <w:t> </w:t>
            </w:r>
          </w:p>
        </w:tc>
        <w:tc>
          <w:tcPr>
            <w:tcW w:w="2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8,145</w:t>
            </w:r>
            <w:r>
              <w:rPr>
                <w:color w:val="000000"/>
              </w:rPr>
              <w:t> </w:t>
            </w:r>
          </w:p>
        </w:tc>
        <w:tc>
          <w:tcPr>
            <w:tcW w:w="2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Underlying operating expenses</w:t>
            </w:r>
          </w:p>
        </w:tc>
        <w:tc>
          <w:tcPr>
            <w:tcW w:w="66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17,026</w:t>
            </w:r>
            <w:r>
              <w:rPr>
                <w:color w:val="000000"/>
              </w:rPr>
              <w:t> </w:t>
            </w:r>
          </w:p>
        </w:tc>
        <w:tc>
          <w:tcPr>
            <w:tcW w:w="1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16,598</w:t>
            </w:r>
            <w:r>
              <w:rPr>
                <w:color w:val="000000"/>
              </w:rPr>
              <w:t> </w:t>
            </w:r>
          </w:p>
        </w:tc>
        <w:tc>
          <w:tcPr>
            <w:tcW w:w="213"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G. Free cash flow and Organic free cash flow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Free cash flow is used to evaluate cash available for financing activities, including dividend payments and debt servicing, after investment in maintaining and growing the business. It is defined as the sum of “Cash flow from operating activities” and “Cash flow from investing activities”.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from acquisition and divestment activities are removed from Free cash flow to arrive at the Organic free cash flow, a measure used by management to evaluate the generation of free cash flow without these activities. </w:t>
      </w:r>
    </w:p>
    <w:tbl>
      <w:tblPr>
        <w:tblW w:w="9996" w:type="dxa"/>
        <w:jc w:val="center"/>
        <w:tblInd w:w="0" w:type="dxa"/>
        <w:tblLayout w:type="fixed"/>
        <w:tblCellMar>
          <w:top w:w="28" w:type="dxa"/>
          <w:left w:w="28" w:type="dxa"/>
          <w:bottom w:w="28" w:type="dxa"/>
          <w:right w:w="28" w:type="dxa"/>
        </w:tblCellMar>
      </w:tblPr>
      <w:tblGrid>
        <w:gridCol w:w="358"/>
        <w:gridCol w:w="318"/>
        <w:gridCol w:w="240"/>
        <w:gridCol w:w="314"/>
        <w:gridCol w:w="316"/>
        <w:gridCol w:w="256"/>
        <w:gridCol w:w="323"/>
        <w:gridCol w:w="323"/>
        <w:gridCol w:w="246"/>
        <w:gridCol w:w="1860"/>
        <w:gridCol w:w="1860"/>
        <w:gridCol w:w="1891"/>
        <w:gridCol w:w="330"/>
        <w:gridCol w:w="331"/>
        <w:gridCol w:w="156"/>
        <w:gridCol w:w="330"/>
        <w:gridCol w:w="331"/>
        <w:gridCol w:w="213"/>
      </w:tblGrid>
      <w:tr>
        <w:trPr/>
        <w:tc>
          <w:tcPr>
            <w:tcW w:w="3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996" w:type="dxa"/>
            <w:gridSpan w:val="1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8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9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56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21,432 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6,062 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11,937 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operating activities</w:t>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27,495 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21,218 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investing activities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17,524</w:t>
            </w:r>
            <w:r>
              <w:rPr>
                <w:color w:val="000000"/>
              </w:rPr>
              <w:t>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2,927</w:t>
            </w:r>
            <w:r>
              <w:rPr>
                <w:color w:val="000000"/>
              </w:rPr>
              <w:t>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6,531</w:t>
            </w:r>
            <w:r>
              <w:rPr>
                <w:color w:val="000000"/>
              </w:rPr>
              <w:t>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Free cash flow</w:t>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20,451</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11,853</w:t>
            </w:r>
            <w:r>
              <w:rPr>
                <w:color w:val="000000"/>
              </w:rPr>
              <w:t>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2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Divestment proceeds (Reference I)</w:t>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Add: Tax paid on divestments (reported under "Other investing cash outflows")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16"/>
              </w:rPr>
              <w:t>Add: Cash outflows related to inorganic capital expenditure</w:t>
            </w:r>
            <w:r>
              <w:rPr>
                <w:rFonts w:ascii="Times New Roman;serif" w:hAnsi="Times New Roman;serif"/>
                <w:b w:val="false"/>
                <w:color w:val="000000"/>
                <w:sz w:val="10"/>
              </w:rPr>
              <w:t>1</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17,279</w:t>
            </w:r>
            <w:r>
              <w:rPr>
                <w:color w:val="000000"/>
              </w:rPr>
              <w:t> </w:t>
            </w:r>
          </w:p>
        </w:tc>
        <w:tc>
          <w:tcPr>
            <w:tcW w:w="24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2,923</w:t>
            </w:r>
            <w:r>
              <w:rPr>
                <w:color w:val="000000"/>
              </w:rPr>
              <w:t> </w:t>
            </w:r>
          </w:p>
        </w:tc>
        <w:tc>
          <w:tcPr>
            <w:tcW w:w="2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7,458</w:t>
            </w:r>
            <w:r>
              <w:rPr>
                <w:color w:val="000000"/>
              </w:rPr>
              <w:t> </w:t>
            </w:r>
          </w:p>
        </w:tc>
        <w:tc>
          <w:tcPr>
            <w:tcW w:w="24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1"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Organic free cash flow</w:t>
            </w:r>
          </w:p>
        </w:tc>
        <w:tc>
          <w:tcPr>
            <w:tcW w:w="66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20,203</w:t>
            </w:r>
            <w:r>
              <w:rPr>
                <w:color w:val="000000"/>
              </w:rPr>
              <w:t> </w:t>
            </w:r>
          </w:p>
        </w:tc>
        <w:tc>
          <w:tcPr>
            <w:tcW w:w="1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12,357</w:t>
            </w:r>
            <w:r>
              <w:rPr>
                <w:color w:val="000000"/>
              </w:rPr>
              <w:t> </w:t>
            </w:r>
          </w:p>
        </w:tc>
        <w:tc>
          <w:tcPr>
            <w:tcW w:w="213"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84"/>
        <w:jc w:val="left"/>
        <w:rPr/>
      </w:pPr>
      <w:r>
        <w:rPr>
          <w:rFonts w:ascii="Times New Roman;serif" w:hAnsi="Times New Roman;serif"/>
          <w:b w:val="false"/>
          <w:color w:val="000000"/>
          <w:sz w:val="13"/>
        </w:rPr>
        <w:t>1.</w:t>
      </w:r>
      <w:r>
        <w:rPr>
          <w:rFonts w:ascii="Times New Roman;serif" w:hAnsi="Times New Roman;serif"/>
          <w:b w:val="false"/>
          <w:color w:val="000000"/>
          <w:sz w:val="20"/>
        </w:rPr>
        <w:t>Cash outflows related to inorganic capital expenditure includes portfolio actions which expand Shell's activities through acquisitions and restructuring activities as reported in capital expenditure lines in the Consolidated Statement of Cash Flows.</w:t>
      </w:r>
      <w:r>
        <w:rPr>
          <w:color w:val="000000"/>
        </w:rPr>
        <w:t xml:space="preserve"> </w:t>
      </w:r>
    </w:p>
    <w:p>
      <w:pPr>
        <w:pStyle w:val="TextBody"/>
        <w:bidi w:val="0"/>
        <w:spacing w:before="0" w:after="0"/>
        <w:ind w:left="0" w:right="0" w:firstLine="7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2"/>
        </w:rPr>
      </w:pPr>
      <w:r>
        <w:rPr>
          <w:rFonts w:ascii="Times New Roman;serif" w:hAnsi="Times New Roman;serif"/>
          <w:b/>
          <w:color w:val="000000"/>
          <w:sz w:val="22"/>
        </w:rPr>
        <w:t>H. Cash flow from operating activities excluding working capital movements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Working capital movements are defined as the sum of the following items in the Consolidated Statement of Cash Flows: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(increase)/decrease in inventories, (ii) (increase)/decrease in current receivables, and (iii) increase/(decrease) in current payables.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Cash flow from operating activities excluding working capital movements is a measure used by Shell to analyse its operating cash generation over time excluding the timing effects of changes in inventories and operating receivables and payables from period to period. </w:t>
      </w:r>
    </w:p>
    <w:tbl>
      <w:tblPr>
        <w:tblW w:w="9924" w:type="dxa"/>
        <w:jc w:val="left"/>
        <w:tblInd w:w="0" w:type="dxa"/>
        <w:tblLayout w:type="fixed"/>
        <w:tblCellMar>
          <w:top w:w="28" w:type="dxa"/>
          <w:left w:w="28" w:type="dxa"/>
          <w:bottom w:w="28" w:type="dxa"/>
          <w:right w:w="28" w:type="dxa"/>
        </w:tblCellMar>
      </w:tblPr>
      <w:tblGrid>
        <w:gridCol w:w="358"/>
        <w:gridCol w:w="318"/>
        <w:gridCol w:w="240"/>
        <w:gridCol w:w="358"/>
        <w:gridCol w:w="362"/>
        <w:gridCol w:w="246"/>
        <w:gridCol w:w="330"/>
        <w:gridCol w:w="331"/>
        <w:gridCol w:w="246"/>
        <w:gridCol w:w="1804"/>
        <w:gridCol w:w="1804"/>
        <w:gridCol w:w="1836"/>
        <w:gridCol w:w="330"/>
        <w:gridCol w:w="331"/>
        <w:gridCol w:w="156"/>
        <w:gridCol w:w="330"/>
        <w:gridCol w:w="331"/>
        <w:gridCol w:w="213"/>
      </w:tblGrid>
      <w:tr>
        <w:trPr/>
        <w:tc>
          <w:tcPr>
            <w:tcW w:w="3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924" w:type="dxa"/>
            <w:gridSpan w:val="1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54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6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9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54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2026</w:t>
            </w:r>
          </w:p>
        </w:tc>
        <w:tc>
          <w:tcPr>
            <w:tcW w:w="8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2025</w:t>
            </w:r>
          </w:p>
        </w:tc>
      </w:tr>
      <w:tr>
        <w:trPr/>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21,432 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6,062 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11,937 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from operating activities</w:t>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27,495 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21,218 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(Increase)/decrease in inventories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(Increase)/decrease in current receivables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Increase/(decrease) in current payables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3,446</w:t>
            </w:r>
            <w:r>
              <w:rPr>
                <w:color w:val="000000"/>
              </w:rPr>
              <w:t> </w:t>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(11,179)</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(386)</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(Increase)/decrease in working capital</w:t>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(7,733)</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(3,049)</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17,987</w:t>
            </w:r>
            <w:r>
              <w:rPr>
                <w:color w:val="000000"/>
              </w:rPr>
              <w:t> </w:t>
            </w:r>
          </w:p>
        </w:tc>
        <w:tc>
          <w:tcPr>
            <w:tcW w:w="24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17,241</w:t>
            </w:r>
            <w:r>
              <w:rPr>
                <w:color w:val="000000"/>
              </w:rPr>
              <w:t> </w:t>
            </w:r>
          </w:p>
        </w:tc>
        <w:tc>
          <w:tcPr>
            <w:tcW w:w="24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12,323</w:t>
            </w:r>
            <w:r>
              <w:rPr>
                <w:color w:val="000000"/>
              </w:rPr>
              <w:t> </w:t>
            </w:r>
          </w:p>
        </w:tc>
        <w:tc>
          <w:tcPr>
            <w:tcW w:w="24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4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 from operating activities excluding working capital movements</w:t>
            </w:r>
          </w:p>
        </w:tc>
        <w:tc>
          <w:tcPr>
            <w:tcW w:w="6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35,228</w:t>
            </w:r>
            <w:r>
              <w:rPr>
                <w:color w:val="000000"/>
              </w:rPr>
              <w:t> </w:t>
            </w:r>
          </w:p>
        </w:tc>
        <w:tc>
          <w:tcPr>
            <w:tcW w:w="1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24,267</w:t>
            </w:r>
            <w:r>
              <w:rPr>
                <w:color w:val="000000"/>
              </w:rPr>
              <w:t> </w:t>
            </w:r>
          </w:p>
        </w:tc>
        <w:tc>
          <w:tcPr>
            <w:tcW w:w="21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20"/>
        <w:ind w:left="0" w:right="0" w:hanging="540"/>
        <w:jc w:val="left"/>
        <w:rPr>
          <w:rFonts w:ascii="Times New Roman;serif" w:hAnsi="Times New Roman;serif"/>
          <w:b/>
          <w:color w:val="000000"/>
          <w:sz w:val="22"/>
        </w:rPr>
      </w:pPr>
      <w:r>
        <w:rPr>
          <w:rFonts w:ascii="Times New Roman;serif" w:hAnsi="Times New Roman;serif"/>
          <w:b/>
          <w:color w:val="000000"/>
          <w:sz w:val="22"/>
        </w:rPr>
        <w:t>I. Divestment proceeds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Divestment proceeds represent cash received from divestment activities in the period. Management regularly monitors this measure as a key lever to deliver free cash flow. </w:t>
      </w:r>
    </w:p>
    <w:tbl>
      <w:tblPr>
        <w:tblW w:w="10205" w:type="dxa"/>
        <w:jc w:val="left"/>
        <w:tblInd w:w="0" w:type="dxa"/>
        <w:tblLayout w:type="fixed"/>
        <w:tblCellMar>
          <w:top w:w="28" w:type="dxa"/>
          <w:left w:w="28" w:type="dxa"/>
          <w:bottom w:w="28" w:type="dxa"/>
          <w:right w:w="28" w:type="dxa"/>
        </w:tblCellMar>
      </w:tblPr>
      <w:tblGrid>
        <w:gridCol w:w="271"/>
        <w:gridCol w:w="232"/>
        <w:gridCol w:w="231"/>
        <w:gridCol w:w="244"/>
        <w:gridCol w:w="238"/>
        <w:gridCol w:w="236"/>
        <w:gridCol w:w="238"/>
        <w:gridCol w:w="235"/>
        <w:gridCol w:w="236"/>
        <w:gridCol w:w="2260"/>
        <w:gridCol w:w="2252"/>
        <w:gridCol w:w="2285"/>
        <w:gridCol w:w="217"/>
        <w:gridCol w:w="219"/>
        <w:gridCol w:w="156"/>
        <w:gridCol w:w="217"/>
        <w:gridCol w:w="219"/>
        <w:gridCol w:w="219"/>
      </w:tblGrid>
      <w:tr>
        <w:trPr/>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Quarters</w:t>
            </w:r>
          </w:p>
        </w:tc>
        <w:tc>
          <w:tcPr>
            <w:tcW w:w="6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million</w:t>
            </w:r>
          </w:p>
        </w:tc>
        <w:tc>
          <w:tcPr>
            <w:tcW w:w="124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Half year</w:t>
            </w:r>
          </w:p>
        </w:tc>
      </w:tr>
      <w:tr>
        <w:trPr/>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7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7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67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plant and equipment and businesses</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joint ventures and associates from sale, capital reduction and repayment of long-term loans</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equity securities</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469</w:t>
            </w:r>
            <w:r>
              <w:rPr>
                <w:color w:val="000000"/>
              </w:rPr>
              <w:t> </w:t>
            </w:r>
          </w:p>
        </w:tc>
        <w:tc>
          <w:tcPr>
            <w:tcW w:w="23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352</w:t>
            </w:r>
            <w:r>
              <w:rPr>
                <w:color w:val="000000"/>
              </w:rPr>
              <w:t> </w:t>
            </w:r>
          </w:p>
        </w:tc>
        <w:tc>
          <w:tcPr>
            <w:tcW w:w="23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w:t>
            </w:r>
          </w:p>
        </w:tc>
        <w:tc>
          <w:tcPr>
            <w:tcW w:w="23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9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Divestment proceeds</w:t>
            </w:r>
          </w:p>
        </w:tc>
        <w:tc>
          <w:tcPr>
            <w:tcW w:w="4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821</w:t>
            </w:r>
            <w:r>
              <w:rPr>
                <w:color w:val="000000"/>
              </w:rPr>
              <w:t> </w:t>
            </w:r>
          </w:p>
        </w:tc>
        <w:tc>
          <w:tcPr>
            <w:tcW w:w="1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560</w:t>
            </w:r>
            <w:r>
              <w:rPr>
                <w:color w:val="000000"/>
              </w:rPr>
              <w:t> </w:t>
            </w:r>
          </w:p>
        </w:tc>
        <w:tc>
          <w:tcPr>
            <w:tcW w:w="21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20"/>
        <w:ind w:left="0" w:right="0" w:hanging="540"/>
        <w:jc w:val="left"/>
        <w:rPr>
          <w:rFonts w:ascii="Times New Roman;serif" w:hAnsi="Times New Roman;serif"/>
          <w:b/>
          <w:color w:val="000000"/>
          <w:sz w:val="22"/>
        </w:rPr>
      </w:pPr>
      <w:r>
        <w:rPr>
          <w:rFonts w:ascii="Times New Roman;serif" w:hAnsi="Times New Roman;serif"/>
          <w:b/>
          <w:color w:val="000000"/>
          <w:sz w:val="22"/>
        </w:rPr>
        <w:t>J. Structural cost reduction*</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structural cost reduction target is used for the purpose of demonstrating how management drives cost discipline across the entire organisation, simplifying our processes and portfolio, and streamlining the way we work.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Structural cost reduction describes the decrease in underlying operating expenses as a result of operational efficiencies, divestments, workforce reductions and other cost-saving measures that are expected to be sustainable compared with 2022 levels.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change between periods in underlying operating expenses will reflect both structural cost reductions and other changes in spend, including market factors, such as inflation and foreign exchange impacts, as well as changes in activity levels and costs associated with new operations.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Structural cost reductions are stewarded internally to support management's oversight of spending over time. 2028 target reflects annualised saving achieved by end-2028.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48"/>
        <w:gridCol w:w="2931"/>
        <w:gridCol w:w="2953"/>
        <w:gridCol w:w="322"/>
        <w:gridCol w:w="324"/>
        <w:gridCol w:w="327"/>
      </w:tblGrid>
      <w:tr>
        <w:trPr/>
        <w:tc>
          <w:tcPr>
            <w:tcW w:w="3348"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million</w:t>
            </w:r>
          </w:p>
        </w:tc>
      </w:tr>
      <w:tr>
        <w:trPr/>
        <w:tc>
          <w:tcPr>
            <w:tcW w:w="92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Structural cost reduction up to second quarter 2026 compared with 2022 levels</w:t>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(5,825)</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Underlying operating expenses first half of 2026</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Underlying operating expenses first half of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increase/(decrease) in Underlying operating expenses</w:t>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w:t>
            </w:r>
            <w:r>
              <w:rPr>
                <w:color w:val="000000"/>
              </w:rPr>
              <w:t> </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w:t>
            </w:r>
          </w:p>
        </w:tc>
        <w:tc>
          <w:tcPr>
            <w:tcW w:w="9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Structural cost reduction first half of 2026</w:t>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(690)</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changes in underlying operating expenses including inflation and foreign exchange impacts, changes in activity levels and costs associated with new operations</w:t>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3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Underlying operating expenses 2025</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35,032</w:t>
            </w:r>
          </w:p>
        </w:tc>
      </w:tr>
      <w:tr>
        <w:trPr/>
        <w:tc>
          <w:tcPr>
            <w:tcW w:w="9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Underlying operating expenses 2022</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39,456</w:t>
            </w:r>
          </w:p>
        </w:tc>
      </w:tr>
      <w:tr>
        <w:trPr/>
        <w:tc>
          <w:tcPr>
            <w:tcW w:w="92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increase/(decrease) in Underlying operating expenses</w:t>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(4,424)</w:t>
            </w:r>
          </w:p>
        </w:tc>
        <w:tc>
          <w:tcPr>
            <w:tcW w:w="3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 which:</w:t>
            </w:r>
          </w:p>
        </w:tc>
        <w:tc>
          <w:tcPr>
            <w:tcW w:w="9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Structural cost reduction 2025-2022</w:t>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(5,135)</w:t>
            </w:r>
          </w:p>
        </w:tc>
        <w:tc>
          <w:tcPr>
            <w:tcW w:w="3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2"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changes in underlying operating expenses including inflation and foreign exchange impacts, changes in activity levels and costs associated with new operations</w:t>
            </w:r>
          </w:p>
        </w:tc>
        <w:tc>
          <w:tcPr>
            <w:tcW w:w="64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32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Operational measure for US reporting purposes</w:t>
      </w:r>
    </w:p>
    <w:p>
      <w:pPr>
        <w:pStyle w:val="TextBody"/>
        <w:bidi w:val="0"/>
        <w:spacing w:before="0" w:after="0"/>
        <w:ind w:left="0" w:right="0" w:firstLine="7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PRINCIPAL RISKS AND UNCERTAINTIES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principal risks and uncertainties affecting Shell are described in the Risk management and risk factors section of the Annual Report and Accounts (Risk Factors 1-9 on pages 125 to 135) and Form 20-F (Risk Factors 1-10 on pages 23 to 32) for the year ended December 31, 2025 and are summarised below. There are no material changes expected in those Risk Factors for the remaining six months of the financial year.</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1.Portfolio risks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risks that could adversely affect the resilience of our overall portfolio of businesses. These include external risks such as macroeconomic risks, including fluctuating commodity prices, competitive forces and political, geopolitical, legal and fiscal developments. Our future performance depends on the successful development and deployment of new technologies that provide new products and solutions. In addition, our future hydrocarbon production depends on the delivery of integrated projects and our ability to replace proved oil and gas reserves. Many of our major projects and operations are conducted in joint arrangements or with associates, which could reduce our degree of control and our ability to identify and manage risks.</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2.Climate change and the energy transition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Climate change and the energy transition pose multiple risks to Shell, including declines in the demand for and prices of our products, commercial risks from growing our low-carbon business, and adverse litigation and regulatory developments. The physical impacts of climate change could also adversely affect our assets and supply chains.</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3.Financial risks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treasury risks, including liquidity risk, interest rate risk, foreign exchange risk and credit risk. We are affected by the global macroeconomic environment and the conditions of financial markets. These, and changes to certain demographic factors, also impact our pension assets and liabilities.</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4.Trading risks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trading operations are exposed to market risks which cannot be fully mitigated and could lead to significant financial losses. Our trading entities are also exposed to regulatory and conduct risks, which could expose us to regulatory fines if the risks materialise.</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5.Health, safety, security and the environment</w:t>
      </w:r>
    </w:p>
    <w:p>
      <w:pPr>
        <w:pStyle w:val="TextBody"/>
        <w:bidi w:val="0"/>
        <w:spacing w:lineRule="auto" w:line="288" w:before="120" w:after="100"/>
        <w:jc w:val="left"/>
        <w:rPr>
          <w:rFonts w:ascii="Times New Roman;serif" w:hAnsi="Times New Roman;serif"/>
          <w:b w:val="false"/>
          <w:color w:val="000000"/>
          <w:sz w:val="20"/>
        </w:rPr>
      </w:pPr>
      <w:r>
        <w:rPr>
          <w:rFonts w:ascii="Times New Roman;serif" w:hAnsi="Times New Roman;serif"/>
          <w:b w:val="false"/>
          <w:color w:val="000000"/>
          <w:sz w:val="20"/>
        </w:rPr>
        <w:t>The nature of our operations exposes us, and the communities in which we work, to a wide range of health, safety, security and environment risks.</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6.Information technology and cybersecurity risks</w:t>
      </w:r>
    </w:p>
    <w:p>
      <w:pPr>
        <w:pStyle w:val="TextBody"/>
        <w:bidi w:val="0"/>
        <w:spacing w:lineRule="auto" w:line="288" w:before="120" w:after="100"/>
        <w:jc w:val="left"/>
        <w:rPr>
          <w:rFonts w:ascii="Times New Roman;serif" w:hAnsi="Times New Roman;serif"/>
          <w:b w:val="false"/>
          <w:color w:val="000000"/>
          <w:sz w:val="20"/>
        </w:rPr>
      </w:pPr>
      <w:r>
        <w:rPr>
          <w:rFonts w:ascii="Times New Roman;serif" w:hAnsi="Times New Roman;serif"/>
          <w:b w:val="false"/>
          <w:color w:val="000000"/>
          <w:sz w:val="20"/>
        </w:rPr>
        <w:t>We rely heavily on information technology systems in our operations, which have been, and could continue to be, impacted by cyber security incidents. In addition, if we fail to harness advancements in digital technologies, we may become less efficient and competitive, hindering our ability to execute our strategy.</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7.Litigation and regulatory compliance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Violations of laws carry fines and could expose us and/or our employees to criminal sanctions and civil suits. We have faced, and continue to face, the risk of litigation and disputes worldwide.</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8.Reputation and risks to our licence to operate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erosion of our business reputation could have a material adverse effect on our brand, our ability to secure new hydrocarbon or low-carbon opportunities, our ability to access capital markets, attract and retain people, and our licence to operate. </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9.Our people and culture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successful delivery of our strategy and achieving our vision are dependent on our people and on a culture that aligns to our goals and reflects the changes we need to make as part of the energy transition. </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10.Other (generally applicable to an investment in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Articles of Association determine the jurisdiction for shareholder disputes. This could limit shareholder remedies. </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2026 PORTFOLIO DEVELOPMENTS </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Integrated Gas</w:t>
      </w:r>
    </w:p>
    <w:p>
      <w:pPr>
        <w:pStyle w:val="TextBody"/>
        <w:bidi w:val="0"/>
        <w:spacing w:lineRule="auto" w:line="288" w:before="120" w:after="120"/>
        <w:jc w:val="left"/>
        <w:rPr/>
      </w:pPr>
      <w:r>
        <w:rPr>
          <w:rFonts w:ascii="Times New Roman;serif" w:hAnsi="Times New Roman;serif"/>
          <w:b w:val="false"/>
          <w:color w:val="000000"/>
          <w:sz w:val="20"/>
        </w:rPr>
        <w:t>In April 2026, we entered into a definitive agreement to acquire ARC Resources Ltd. (“ARC”), an energy company focused on the Montney shale basin in British Columbia and Alberta, Canada. Under the terms of the agreement, ARC’s shareholders will receive CAD 8.20 in cash and 0.40247 ordinary shares of Shell plc for each ARC share, resulting in an equity value of approximately USD 13.6 billion.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The boards of both companies have unanimously supported the transaction and the ARC shareholders have approved the transaction, with approximately 99.54% of the votes cast by ARC shareholders (present online or represented by proxy at the ARC shareholder meeting) in favour of the arrangement. The transaction is expected to close in the third quarter of 2026 subject to remaining regulatory approval. </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Upstream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June 2026, we agreed to sell our 50% non-operated working interest in the Na Kika platform and associated fields in the Gulf of America, together with our 100%-owned Coulomb tieback, for total consideration of $1.7 billion, subject to customary adjustments and certain contingent payments. The transaction has an effective date of July 1, 2025, and is expected to close by the end of 2026, subject to regulatory approvals.</w:t>
      </w:r>
    </w:p>
    <w:p>
      <w:pPr>
        <w:pStyle w:val="TextBody"/>
        <w:bidi w:val="0"/>
        <w:spacing w:lineRule="auto" w:line="240"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Marketing</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2026, we completed the previously announced sale of Jiffy Lube International to an affiliate of Monomoy Capital Partners (Monomoy) for $1.3 billion. As part of the transaction, we retain a long-term lubricants supply agreement with Monomoy. </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Renewables and Energy Solutions</w:t>
      </w:r>
    </w:p>
    <w:p>
      <w:pPr>
        <w:pStyle w:val="TextBody"/>
        <w:bidi w:val="0"/>
        <w:spacing w:lineRule="auto" w:line="331"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we agreed to sell 100% of Solenergi Power Private Limited, which includes the Sprng Energy group of companies, to Aditya Birla Renewables Limited for $1.8 billion. The transaction is expected to complete by the end of 2026, subject to regulatory approval and closing conditions. </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Based on Shell’s closing share price at April 24, 2026 of GBP 33.08 and GBP:CAD exchange ratio of 1.8480.</w:t>
      </w:r>
    </w:p>
    <w:p>
      <w:pPr>
        <w:pStyle w:val="TextBody"/>
        <w:bidi w:val="0"/>
        <w:spacing w:before="120" w:after="120"/>
        <w:jc w:val="left"/>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CAUTIONARY STATEMENT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All amounts shown throughout this Unaudited Condensed Interim Financial Report are unaudited. All peak production figures in Portfolio Developments are quoted at 100% expected production. The numbers presented throughout this Unaudited Condensed Interim Financial Report may not sum precisely to the totals provided and percentages may not precisely reflect the absolute figures, due to rounding.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companies in which Shell plc directly and indirectly owns investments are separate legal entities. In this Unaudited Condensed Interim Financial Report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Unaudited Condensed Interim Financial Report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Unaudited Condensed Interim Financial Report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Unaudited Condensed Interim Financial Report,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Unaudited Condensed Interim Financial Report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Unaudited Condensed Interim Financial Report and should be considered by the reader. Each forward-looking statement speaks only as of the date of this Unaudited Condensed Interim Financial Report, July 30,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Unaudited Condensed Interim Financial Report.</w:t>
      </w:r>
    </w:p>
    <w:p>
      <w:pPr>
        <w:pStyle w:val="TextBody"/>
        <w:bidi w:val="0"/>
        <w:spacing w:lineRule="auto" w:line="26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Forward-Looking non-GAAP measures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Unaudited Condensed Interim Financial Report may contain certain forward-looking non-GAAP measures such as cash capital expenditure and Adjusted Earnings.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comparable GAAP financial measure are calculated in a manner which is consistent with the accounting policies applied in Shell plc’s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contents of websites referred to in this Unaudited Condensed Interim Financial Report do not form part of this Unaudited Condensed Interim Financial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have used certain terms, such as resources, in this Unaudited Condensed Interim Financial Report that the United States Securities and Exchange Commission (SEC) strictly prohibits us from including in our filings with the SEC. Investors are urged to consider closely the disclosure in our Form 20-F, File No 1-32575, available on the SEC website www.sec.gov.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announcement contains inside information. </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July 30,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Unaudited Condensed Interim Financial Report reflects the unaudited consolidated financial position and results of Shell plc. Company No. 4366849, Registered Office: Shell Centre, London, SE1 7NA, England, UK.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Contacts: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Sean Ashley, Company Secretary</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Media: International +44 (0) 207 934 5550; U.S. and Canada: https://www.shell.us/about-us/news-and-insights/media/submit-an-inquiry.html</w:t>
      </w:r>
    </w:p>
    <w:p>
      <w:pPr>
        <w:pStyle w:val="TextBody"/>
        <w:bidi w:val="0"/>
        <w:spacing w:before="6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ACACAC"/>
                          <w:sz w:val="20"/>
                        </w:rPr>
                      </w:pPr>
                      <w:r>
                        <w:rPr>
                          <w:rFonts w:ascii="Times New Roman;serif" w:hAnsi="Times New Roman;serif"/>
                          <w:b w:val="false"/>
                          <w:color w:val="ACACAC"/>
                          <w:sz w:val="20"/>
                        </w:rPr>
                        <w:t>Shell plc            Unaudited Condensed Interim Financial Report            46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17249</Words>
  <Characters>98842</Characters>
  <CharactersWithSpaces>114777</CharactersWithSpaces>
  <Paragraphs>4539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