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20124.htm"/>
      <w:bookmarkStart w:id="1" w:name="ksf6k_020124"/>
      <w:bookmarkEnd w:id="0"/>
      <w:bookmarkEnd w:id="1"/>
      <w:r>
        <w:rPr>
          <w:bdr w:val="single" w:sz="20" w:space="1" w:color="000000"/>
        </w:rPr>
        <w:t> </w:t>
      </w:r>
    </w:p>
    <w:p>
      <w:pPr>
        <w:pStyle w:val="TextBody"/>
        <w:bidi w:val="0"/>
        <w:jc w:val="center"/>
        <w:rPr/>
      </w:pPr>
      <w:r>
        <w:rPr>
          <w:rStyle w:val="StrongEmphasis"/>
          <w:caps/>
          <w:sz w:val="28"/>
        </w:rPr>
        <w:t>UNITED STATES</w:t>
        <w:br/>
        <w:t>SECURITIES AND EXCHANGE COMMISSION</w:t>
        <w:br/>
        <w:t>Washington, D.C. 20549 </w:t>
      </w:r>
    </w:p>
    <w:p>
      <w:pPr>
        <w:pStyle w:val="TextBody"/>
        <w:bidi w:val="0"/>
        <w:jc w:val="center"/>
        <w:rPr/>
      </w:pPr>
      <w:r>
        <w:rPr>
          <w:rStyle w:val="StrongEmphasis"/>
          <w:caps/>
          <w:sz w:val="28"/>
        </w:rPr>
        <w:t>Form 6-K</w:t>
      </w:r>
    </w:p>
    <w:p>
      <w:pPr>
        <w:pStyle w:val="TextBody"/>
        <w:bidi w:val="0"/>
        <w:jc w:val="center"/>
        <w:rPr/>
      </w:pPr>
      <w:r>
        <w:rPr>
          <w:rStyle w:val="StrongEmphasis"/>
          <w:sz w:val="24"/>
        </w:rPr>
        <w:t xml:space="preserve">REPORT OF FOREIGN ISSUER </w:t>
        <w:br/>
        <w:t xml:space="preserve">PURSUANT TO RULE 13a-16 OR 15d-16 </w:t>
        <w:br/>
        <w:t>UNDER THE SECURITIES EXCHANGE ACT OF 1934</w:t>
      </w:r>
      <w:r>
        <w:rPr/>
        <w:t> </w:t>
      </w:r>
    </w:p>
    <w:p>
      <w:pPr>
        <w:pStyle w:val="TextBody"/>
        <w:bidi w:val="0"/>
        <w:jc w:val="center"/>
        <w:rPr/>
      </w:pPr>
      <w:r>
        <w:rPr>
          <w:rStyle w:val="StrongEmphasis"/>
        </w:rPr>
        <w:t>For the month of February 2024</w:t>
      </w:r>
    </w:p>
    <w:p>
      <w:pPr>
        <w:pStyle w:val="TextBody"/>
        <w:bidi w:val="0"/>
        <w:jc w:val="center"/>
        <w:rPr/>
      </w:pPr>
      <w:r>
        <w:rPr>
          <w:rStyle w:val="StrongEmphasis"/>
        </w:rPr>
        <w:t>Commission File Number: 1-32575</w:t>
      </w:r>
      <w:r>
        <w:rPr/>
        <w:t> </w:t>
      </w:r>
    </w:p>
    <w:p>
      <w:pPr>
        <w:pStyle w:val="TextBody"/>
        <w:bidi w:val="0"/>
        <w:jc w:val="center"/>
        <w:rPr/>
      </w:pPr>
      <w:r>
        <w:rPr>
          <w:rStyle w:val="StrongEmphasis"/>
          <w:sz w:val="32"/>
        </w:rPr>
        <w:t>Shell plc</w:t>
      </w:r>
      <w:r>
        <w:rPr/>
        <w:br/>
        <w:t>(Exact name of registrant as specified in its charter) </w:t>
      </w:r>
    </w:p>
    <w:p>
      <w:pPr>
        <w:pStyle w:val="TextBody"/>
        <w:bidi w:val="0"/>
        <w:jc w:val="center"/>
        <w:rPr/>
      </w:pPr>
      <w:r>
        <w:rPr>
          <w:rStyle w:val="StrongEmphasis"/>
        </w:rPr>
        <w:t>England and Wales</w:t>
        <w:br/>
      </w:r>
      <w:r>
        <w:rPr/>
        <w:t>(Jurisdiction of incorporation or organization) </w:t>
      </w:r>
    </w:p>
    <w:p>
      <w:pPr>
        <w:pStyle w:val="TextBody"/>
        <w:bidi w:val="0"/>
        <w:jc w:val="center"/>
        <w:rPr/>
      </w:pPr>
      <w:r>
        <w:rPr>
          <w:rStyle w:val="StrongEmphasis"/>
        </w:rPr>
        <w:t>Shell Centre</w:t>
        <w:br/>
        <w:t>London, SE1 7NA</w:t>
        <w:br/>
        <w:t>United Kingdom</w:t>
        <w:br/>
      </w:r>
      <w:r>
        <w:rPr/>
        <w:t>(Address of principal executive office)</w:t>
      </w:r>
    </w:p>
    <w:p>
      <w:pPr>
        <w:pStyle w:val="TextBody"/>
        <w:bidi w:val="0"/>
        <w:jc w:val="center"/>
        <w:rPr/>
      </w:pPr>
      <w:r>
        <w:rPr>
          <w:rStyle w:val="StrongEmphasis"/>
        </w:rPr>
        <w:t>________________________________</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HorizontalLine"/>
        <w:pBdr>
          <w:bottom w:val="single" w:sz="12" w:space="0" w:color="808080"/>
        </w:pBdr>
        <w:bidi w:val="0"/>
        <w:jc w:val="left"/>
        <w:rPr/>
      </w:pPr>
      <w:r>
        <w:rPr/>
      </w:r>
    </w:p>
    <w:p>
      <w:pPr>
        <w:pStyle w:val="TextBody"/>
        <w:bidi w:val="0"/>
        <w:jc w:val="left"/>
        <w:rPr>
          <w:b/>
          <w:sz w:val="24"/>
        </w:rPr>
      </w:pPr>
      <w:r>
        <w:rPr>
          <w:b/>
          <w:sz w:val="24"/>
        </w:rPr>
        <w:t>Shell plc Fourth Quarter 2023 Interim Dividend</w:t>
      </w:r>
    </w:p>
    <w:p>
      <w:pPr>
        <w:pStyle w:val="TextBody"/>
        <w:bidi w:val="0"/>
        <w:spacing w:before="0" w:after="283"/>
        <w:jc w:val="left"/>
        <w:rPr/>
      </w:pPr>
      <w:r>
        <w:rPr>
          <w:rStyle w:val="StrongEmphasis"/>
        </w:rPr>
        <w:t>London, February 1, 2024</w:t>
      </w:r>
      <w:r>
        <w:rPr/>
        <w:t xml:space="preserve"> − The Board of Shell plc (the “Company”) today announced an interim dividend in respect of the fourth quarter of 2023 of US$ 0.344 per ordinary share.</w:t>
      </w:r>
    </w:p>
    <w:p>
      <w:pPr>
        <w:pStyle w:val="TextBody"/>
        <w:bidi w:val="0"/>
        <w:spacing w:before="0" w:after="283"/>
        <w:jc w:val="left"/>
        <w:rPr/>
      </w:pPr>
      <w:r>
        <w:rPr>
          <w:rStyle w:val="StrongEmphasis"/>
        </w:rPr>
        <w:t>Details relating to the fourth quarter 2023 interim dividend</w:t>
      </w:r>
    </w:p>
    <w:tbl>
      <w:tblPr>
        <w:tblW w:w="3167" w:type="dxa"/>
        <w:jc w:val="left"/>
        <w:tblInd w:w="0" w:type="dxa"/>
        <w:tblLayout w:type="fixed"/>
        <w:tblCellMar>
          <w:top w:w="0" w:type="dxa"/>
          <w:left w:w="0" w:type="dxa"/>
          <w:bottom w:w="28" w:type="dxa"/>
          <w:right w:w="0" w:type="dxa"/>
        </w:tblCellMar>
      </w:tblPr>
      <w:tblGrid>
        <w:gridCol w:w="2116"/>
        <w:gridCol w:w="1051"/>
      </w:tblGrid>
      <w:tr>
        <w:trPr/>
        <w:tc>
          <w:tcPr>
            <w:tcW w:w="2116" w:type="dxa"/>
            <w:tcBorders>
              <w:bottom w:val="single" w:sz="8" w:space="0" w:color="000000"/>
            </w:tcBorders>
            <w:vAlign w:val="center"/>
          </w:tcPr>
          <w:p>
            <w:pPr>
              <w:pStyle w:val="TableContents"/>
              <w:bidi w:val="0"/>
              <w:spacing w:before="0" w:after="283"/>
              <w:jc w:val="left"/>
              <w:rPr/>
            </w:pPr>
            <w:r>
              <w:rPr>
                <w:rStyle w:val="StrongEmphasis"/>
              </w:rPr>
              <w:t>Per ordinary share</w:t>
            </w:r>
            <w:r>
              <w:rPr/>
              <w:t xml:space="preserve"> </w:t>
            </w:r>
          </w:p>
        </w:tc>
        <w:tc>
          <w:tcPr>
            <w:tcW w:w="1051" w:type="dxa"/>
            <w:tcBorders>
              <w:bottom w:val="single" w:sz="8" w:space="0" w:color="000000"/>
            </w:tcBorders>
            <w:vAlign w:val="center"/>
          </w:tcPr>
          <w:p>
            <w:pPr>
              <w:pStyle w:val="TableContents"/>
              <w:bidi w:val="0"/>
              <w:spacing w:before="0" w:after="283"/>
              <w:jc w:val="left"/>
              <w:rPr/>
            </w:pPr>
            <w:r>
              <w:rPr>
                <w:rStyle w:val="StrongEmphasis"/>
              </w:rPr>
              <w:t>Q4 2023</w:t>
            </w:r>
            <w:r>
              <w:rPr/>
              <w:t xml:space="preserve"> </w:t>
            </w:r>
          </w:p>
        </w:tc>
      </w:tr>
      <w:tr>
        <w:trPr/>
        <w:tc>
          <w:tcPr>
            <w:tcW w:w="2116" w:type="dxa"/>
            <w:tcBorders>
              <w:bottom w:val="single" w:sz="8" w:space="0" w:color="000000"/>
            </w:tcBorders>
            <w:vAlign w:val="center"/>
          </w:tcPr>
          <w:p>
            <w:pPr>
              <w:pStyle w:val="TableContents"/>
              <w:bidi w:val="0"/>
              <w:spacing w:before="0" w:after="283"/>
              <w:jc w:val="left"/>
              <w:rPr/>
            </w:pPr>
            <w:r>
              <w:rPr/>
              <w:t xml:space="preserve">Shell Shares (US$) </w:t>
            </w:r>
          </w:p>
        </w:tc>
        <w:tc>
          <w:tcPr>
            <w:tcW w:w="1051" w:type="dxa"/>
            <w:tcBorders>
              <w:bottom w:val="single" w:sz="8" w:space="0" w:color="000000"/>
            </w:tcBorders>
            <w:vAlign w:val="center"/>
          </w:tcPr>
          <w:p>
            <w:pPr>
              <w:pStyle w:val="TableContents"/>
              <w:bidi w:val="0"/>
              <w:spacing w:before="0" w:after="283"/>
              <w:jc w:val="left"/>
              <w:rPr/>
            </w:pPr>
            <w:r>
              <w:rPr>
                <w:rStyle w:val="StrongEmphasis"/>
              </w:rPr>
              <w:t>0.344</w:t>
            </w:r>
            <w:r>
              <w:rPr/>
              <w:t xml:space="preserve"> </w:t>
            </w:r>
          </w:p>
        </w:tc>
      </w:tr>
    </w:tbl>
    <w:p>
      <w:pPr>
        <w:pStyle w:val="TextBody"/>
        <w:bidi w:val="0"/>
        <w:spacing w:before="0" w:after="283"/>
        <w:jc w:val="left"/>
        <w:rPr/>
      </w:pPr>
      <w:r>
        <w:rPr/>
        <w:t xml:space="preserve">Shareholders will be able to elect to receive their dividends in US dollars, euros or pounds sterling. </w:t>
      </w:r>
    </w:p>
    <w:p>
      <w:pPr>
        <w:pStyle w:val="TextBody"/>
        <w:bidi w:val="0"/>
        <w:spacing w:before="0" w:after="283"/>
        <w:jc w:val="left"/>
        <w:rPr/>
      </w:pPr>
      <w:r>
        <w:rPr/>
        <w:t>Absent any valid election to the contrary, persons holding their ordinary shares through Euroclear Nederland will receive their dividends in euros.</w:t>
      </w:r>
    </w:p>
    <w:p>
      <w:pPr>
        <w:pStyle w:val="TextBody"/>
        <w:bidi w:val="0"/>
        <w:spacing w:before="0" w:after="283"/>
        <w:jc w:val="left"/>
        <w:rPr/>
      </w:pPr>
      <w:r>
        <w:rPr/>
        <w:t>Absent any valid election to the contrary, shareholders (both holding in certificated and uncertificated form (CREST members)) and persons holding their shares through the Shell Corporate Nominee will receive their dividends in pounds sterling.</w:t>
      </w:r>
    </w:p>
    <w:p>
      <w:pPr>
        <w:pStyle w:val="TextBody"/>
        <w:bidi w:val="0"/>
        <w:spacing w:before="0" w:after="283"/>
        <w:jc w:val="left"/>
        <w:rPr/>
      </w:pPr>
      <w:r>
        <w:rPr/>
        <w:t>The pound sterling and euro equivalent dividend payments will be announced on March 11, 2024.</w:t>
      </w:r>
    </w:p>
    <w:tbl>
      <w:tblPr>
        <w:tblW w:w="3002" w:type="dxa"/>
        <w:jc w:val="left"/>
        <w:tblInd w:w="0" w:type="dxa"/>
        <w:tblLayout w:type="fixed"/>
        <w:tblCellMar>
          <w:top w:w="0" w:type="dxa"/>
          <w:left w:w="0" w:type="dxa"/>
          <w:bottom w:w="28" w:type="dxa"/>
          <w:right w:w="0" w:type="dxa"/>
        </w:tblCellMar>
      </w:tblPr>
      <w:tblGrid>
        <w:gridCol w:w="1951"/>
        <w:gridCol w:w="1051"/>
      </w:tblGrid>
      <w:tr>
        <w:trPr/>
        <w:tc>
          <w:tcPr>
            <w:tcW w:w="1951" w:type="dxa"/>
            <w:tcBorders>
              <w:bottom w:val="single" w:sz="8" w:space="0" w:color="000000"/>
            </w:tcBorders>
            <w:vAlign w:val="center"/>
          </w:tcPr>
          <w:p>
            <w:pPr>
              <w:pStyle w:val="TableContents"/>
              <w:bidi w:val="0"/>
              <w:spacing w:before="0" w:after="283"/>
              <w:jc w:val="left"/>
              <w:rPr/>
            </w:pPr>
            <w:r>
              <w:rPr>
                <w:rStyle w:val="StrongEmphasis"/>
              </w:rPr>
              <w:t>Per ADS</w:t>
            </w:r>
            <w:r>
              <w:rPr/>
              <w:t xml:space="preserve"> </w:t>
            </w:r>
          </w:p>
        </w:tc>
        <w:tc>
          <w:tcPr>
            <w:tcW w:w="1051" w:type="dxa"/>
            <w:tcBorders>
              <w:bottom w:val="single" w:sz="8" w:space="0" w:color="000000"/>
            </w:tcBorders>
            <w:vAlign w:val="center"/>
          </w:tcPr>
          <w:p>
            <w:pPr>
              <w:pStyle w:val="TableContents"/>
              <w:bidi w:val="0"/>
              <w:spacing w:before="0" w:after="283"/>
              <w:jc w:val="left"/>
              <w:rPr/>
            </w:pPr>
            <w:r>
              <w:rPr>
                <w:rStyle w:val="StrongEmphasis"/>
              </w:rPr>
              <w:t>Q4 2023</w:t>
            </w:r>
            <w:r>
              <w:rPr/>
              <w:t xml:space="preserve"> </w:t>
            </w:r>
          </w:p>
        </w:tc>
      </w:tr>
      <w:tr>
        <w:trPr/>
        <w:tc>
          <w:tcPr>
            <w:tcW w:w="1951" w:type="dxa"/>
            <w:tcBorders>
              <w:bottom w:val="single" w:sz="8" w:space="0" w:color="000000"/>
            </w:tcBorders>
            <w:vAlign w:val="center"/>
          </w:tcPr>
          <w:p>
            <w:pPr>
              <w:pStyle w:val="TableContents"/>
              <w:bidi w:val="0"/>
              <w:spacing w:before="0" w:after="283"/>
              <w:jc w:val="left"/>
              <w:rPr/>
            </w:pPr>
            <w:r>
              <w:rPr/>
              <w:t xml:space="preserve">Shell ADSs (US$) </w:t>
            </w:r>
          </w:p>
        </w:tc>
        <w:tc>
          <w:tcPr>
            <w:tcW w:w="1051" w:type="dxa"/>
            <w:tcBorders>
              <w:bottom w:val="single" w:sz="8" w:space="0" w:color="000000"/>
            </w:tcBorders>
            <w:vAlign w:val="center"/>
          </w:tcPr>
          <w:p>
            <w:pPr>
              <w:pStyle w:val="TableContents"/>
              <w:bidi w:val="0"/>
              <w:spacing w:before="0" w:after="283"/>
              <w:jc w:val="left"/>
              <w:rPr/>
            </w:pPr>
            <w:r>
              <w:rPr>
                <w:rStyle w:val="StrongEmphasis"/>
              </w:rPr>
              <w:t>0.688</w:t>
            </w:r>
            <w:r>
              <w:rPr/>
              <w:t xml:space="preserve"> </w:t>
            </w:r>
          </w:p>
        </w:tc>
      </w:tr>
    </w:tbl>
    <w:p>
      <w:pPr>
        <w:pStyle w:val="TextBody"/>
        <w:bidi w:val="0"/>
        <w:spacing w:before="0" w:after="283"/>
        <w:jc w:val="left"/>
        <w:rPr/>
      </w:pPr>
      <w:r>
        <w:rPr/>
        <w:t>Cash dividends on American Depositary Shares (“ADSs”) will be paid, by default, in US dollars.</w:t>
      </w:r>
    </w:p>
    <w:p>
      <w:pPr>
        <w:pStyle w:val="TextBody"/>
        <w:bidi w:val="0"/>
        <w:spacing w:before="0" w:after="283"/>
        <w:jc w:val="left"/>
        <w:rPr/>
      </w:pPr>
      <w:r>
        <w:rPr/>
        <w:t>Each ADS represents two ordinary shares. ADSs are evidenced by an American Depositary Receipt (“ADR”) certificate. In many cases the terms ADR and ADS are used interchangeably.</w:t>
      </w:r>
    </w:p>
    <w:p>
      <w:pPr>
        <w:pStyle w:val="TextBody"/>
        <w:bidi w:val="0"/>
        <w:spacing w:before="0" w:after="283"/>
        <w:jc w:val="left"/>
        <w:rPr/>
      </w:pPr>
      <w:r>
        <w:rPr>
          <w:rStyle w:val="StrongEmphasis"/>
        </w:rPr>
        <w:t>Dividend timetable for the fourth quarter 2023 interim dividend</w:t>
      </w:r>
    </w:p>
    <w:tbl>
      <w:tblPr>
        <w:tblW w:w="7412" w:type="dxa"/>
        <w:jc w:val="left"/>
        <w:tblInd w:w="0" w:type="dxa"/>
        <w:tblLayout w:type="fixed"/>
        <w:tblCellMar>
          <w:top w:w="0" w:type="dxa"/>
          <w:left w:w="0" w:type="dxa"/>
          <w:bottom w:w="28" w:type="dxa"/>
          <w:right w:w="0" w:type="dxa"/>
        </w:tblCellMar>
      </w:tblPr>
      <w:tblGrid>
        <w:gridCol w:w="5446"/>
        <w:gridCol w:w="1966"/>
      </w:tblGrid>
      <w:tr>
        <w:trPr/>
        <w:tc>
          <w:tcPr>
            <w:tcW w:w="5446" w:type="dxa"/>
            <w:tcBorders>
              <w:bottom w:val="single" w:sz="8" w:space="0" w:color="000000"/>
            </w:tcBorders>
            <w:vAlign w:val="center"/>
          </w:tcPr>
          <w:p>
            <w:pPr>
              <w:pStyle w:val="TableContents"/>
              <w:bidi w:val="0"/>
              <w:spacing w:before="0" w:after="283"/>
              <w:jc w:val="left"/>
              <w:rPr/>
            </w:pPr>
            <w:r>
              <w:rPr>
                <w:rStyle w:val="StrongEmphasis"/>
              </w:rPr>
              <w:t>Event</w:t>
            </w:r>
            <w:r>
              <w:rPr/>
              <w:t xml:space="preserve"> </w:t>
            </w:r>
          </w:p>
        </w:tc>
        <w:tc>
          <w:tcPr>
            <w:tcW w:w="1966" w:type="dxa"/>
            <w:tcBorders>
              <w:bottom w:val="single" w:sz="8" w:space="0" w:color="000000"/>
            </w:tcBorders>
            <w:vAlign w:val="center"/>
          </w:tcPr>
          <w:p>
            <w:pPr>
              <w:pStyle w:val="TableContents"/>
              <w:bidi w:val="0"/>
              <w:spacing w:before="0" w:after="283"/>
              <w:jc w:val="left"/>
              <w:rPr/>
            </w:pPr>
            <w:r>
              <w:rPr>
                <w:rStyle w:val="StrongEmphasis"/>
              </w:rPr>
              <w:t>Date</w:t>
            </w:r>
            <w:r>
              <w:rPr/>
              <w:t xml:space="preserve"> </w:t>
            </w:r>
          </w:p>
        </w:tc>
      </w:tr>
      <w:tr>
        <w:trPr/>
        <w:tc>
          <w:tcPr>
            <w:tcW w:w="5446" w:type="dxa"/>
            <w:tcBorders>
              <w:bottom w:val="single" w:sz="8" w:space="0" w:color="000000"/>
            </w:tcBorders>
            <w:vAlign w:val="center"/>
          </w:tcPr>
          <w:p>
            <w:pPr>
              <w:pStyle w:val="TableContents"/>
              <w:bidi w:val="0"/>
              <w:spacing w:before="0" w:after="283"/>
              <w:jc w:val="left"/>
              <w:rPr/>
            </w:pPr>
            <w:r>
              <w:rPr/>
              <w:t xml:space="preserve">Announcement date </w:t>
            </w:r>
          </w:p>
        </w:tc>
        <w:tc>
          <w:tcPr>
            <w:tcW w:w="1966" w:type="dxa"/>
            <w:tcBorders>
              <w:bottom w:val="single" w:sz="8" w:space="0" w:color="000000"/>
            </w:tcBorders>
            <w:vAlign w:val="center"/>
          </w:tcPr>
          <w:p>
            <w:pPr>
              <w:pStyle w:val="TableContents"/>
              <w:bidi w:val="0"/>
              <w:spacing w:before="0" w:after="283"/>
              <w:jc w:val="left"/>
              <w:rPr/>
            </w:pPr>
            <w:r>
              <w:rPr/>
              <w:t xml:space="preserve">February 1, 2024 </w:t>
            </w:r>
          </w:p>
        </w:tc>
      </w:tr>
      <w:tr>
        <w:trPr/>
        <w:tc>
          <w:tcPr>
            <w:tcW w:w="5446" w:type="dxa"/>
            <w:tcBorders>
              <w:bottom w:val="single" w:sz="8" w:space="0" w:color="000000"/>
            </w:tcBorders>
            <w:vAlign w:val="center"/>
          </w:tcPr>
          <w:p>
            <w:pPr>
              <w:pStyle w:val="TableContents"/>
              <w:bidi w:val="0"/>
              <w:spacing w:before="0" w:after="283"/>
              <w:jc w:val="left"/>
              <w:rPr/>
            </w:pPr>
            <w:r>
              <w:rPr/>
              <w:t xml:space="preserve">Ex- Dividend Date for ADSs </w:t>
            </w:r>
          </w:p>
        </w:tc>
        <w:tc>
          <w:tcPr>
            <w:tcW w:w="1966" w:type="dxa"/>
            <w:tcBorders>
              <w:bottom w:val="single" w:sz="8" w:space="0" w:color="000000"/>
            </w:tcBorders>
            <w:vAlign w:val="center"/>
          </w:tcPr>
          <w:p>
            <w:pPr>
              <w:pStyle w:val="TableContents"/>
              <w:bidi w:val="0"/>
              <w:spacing w:before="0" w:after="283"/>
              <w:jc w:val="left"/>
              <w:rPr/>
            </w:pPr>
            <w:r>
              <w:rPr/>
              <w:t xml:space="preserve">February 15, 2024 </w:t>
            </w:r>
          </w:p>
        </w:tc>
      </w:tr>
      <w:tr>
        <w:trPr/>
        <w:tc>
          <w:tcPr>
            <w:tcW w:w="5446" w:type="dxa"/>
            <w:tcBorders>
              <w:bottom w:val="single" w:sz="8" w:space="0" w:color="000000"/>
            </w:tcBorders>
            <w:vAlign w:val="center"/>
          </w:tcPr>
          <w:p>
            <w:pPr>
              <w:pStyle w:val="TableContents"/>
              <w:bidi w:val="0"/>
              <w:spacing w:before="0" w:after="283"/>
              <w:jc w:val="left"/>
              <w:rPr/>
            </w:pPr>
            <w:r>
              <w:rPr/>
              <w:t xml:space="preserve">Ex- Dividend Date for ordinary shares </w:t>
            </w:r>
          </w:p>
        </w:tc>
        <w:tc>
          <w:tcPr>
            <w:tcW w:w="1966" w:type="dxa"/>
            <w:tcBorders>
              <w:bottom w:val="single" w:sz="8" w:space="0" w:color="000000"/>
            </w:tcBorders>
            <w:vAlign w:val="center"/>
          </w:tcPr>
          <w:p>
            <w:pPr>
              <w:pStyle w:val="TableContents"/>
              <w:bidi w:val="0"/>
              <w:spacing w:before="0" w:after="283"/>
              <w:jc w:val="left"/>
              <w:rPr/>
            </w:pPr>
            <w:r>
              <w:rPr/>
              <w:t xml:space="preserve">February 15, 2024 </w:t>
            </w:r>
          </w:p>
        </w:tc>
      </w:tr>
      <w:tr>
        <w:trPr/>
        <w:tc>
          <w:tcPr>
            <w:tcW w:w="5446" w:type="dxa"/>
            <w:tcBorders>
              <w:bottom w:val="single" w:sz="8" w:space="0" w:color="000000"/>
            </w:tcBorders>
            <w:vAlign w:val="center"/>
          </w:tcPr>
          <w:p>
            <w:pPr>
              <w:pStyle w:val="TableContents"/>
              <w:bidi w:val="0"/>
              <w:spacing w:before="0" w:after="283"/>
              <w:jc w:val="left"/>
              <w:rPr/>
            </w:pPr>
            <w:r>
              <w:rPr/>
              <w:t xml:space="preserve">Record date </w:t>
            </w:r>
          </w:p>
        </w:tc>
        <w:tc>
          <w:tcPr>
            <w:tcW w:w="1966" w:type="dxa"/>
            <w:tcBorders>
              <w:bottom w:val="single" w:sz="8" w:space="0" w:color="000000"/>
            </w:tcBorders>
            <w:vAlign w:val="center"/>
          </w:tcPr>
          <w:p>
            <w:pPr>
              <w:pStyle w:val="TableContents"/>
              <w:bidi w:val="0"/>
              <w:spacing w:before="0" w:after="283"/>
              <w:jc w:val="left"/>
              <w:rPr/>
            </w:pPr>
            <w:r>
              <w:rPr/>
              <w:t xml:space="preserve">February 16, 2024 </w:t>
            </w:r>
          </w:p>
        </w:tc>
      </w:tr>
      <w:tr>
        <w:trPr/>
        <w:tc>
          <w:tcPr>
            <w:tcW w:w="5446" w:type="dxa"/>
            <w:tcBorders>
              <w:bottom w:val="single" w:sz="8" w:space="0" w:color="000000"/>
            </w:tcBorders>
            <w:vAlign w:val="center"/>
          </w:tcPr>
          <w:p>
            <w:pPr>
              <w:pStyle w:val="TableContents"/>
              <w:bidi w:val="0"/>
              <w:spacing w:before="0" w:after="283"/>
              <w:jc w:val="left"/>
              <w:rPr/>
            </w:pPr>
            <w:r>
              <w:rPr/>
              <w:t xml:space="preserve">Closing of currency election date (see Note below) </w:t>
            </w:r>
          </w:p>
        </w:tc>
        <w:tc>
          <w:tcPr>
            <w:tcW w:w="1966" w:type="dxa"/>
            <w:tcBorders>
              <w:bottom w:val="single" w:sz="8" w:space="0" w:color="000000"/>
            </w:tcBorders>
            <w:vAlign w:val="center"/>
          </w:tcPr>
          <w:p>
            <w:pPr>
              <w:pStyle w:val="TableContents"/>
              <w:bidi w:val="0"/>
              <w:spacing w:before="0" w:after="283"/>
              <w:jc w:val="left"/>
              <w:rPr/>
            </w:pPr>
            <w:r>
              <w:rPr/>
              <w:t xml:space="preserve">March 1, 2024 </w:t>
            </w:r>
          </w:p>
        </w:tc>
      </w:tr>
      <w:tr>
        <w:trPr/>
        <w:tc>
          <w:tcPr>
            <w:tcW w:w="5446" w:type="dxa"/>
            <w:tcBorders>
              <w:bottom w:val="single" w:sz="8" w:space="0" w:color="000000"/>
            </w:tcBorders>
            <w:vAlign w:val="center"/>
          </w:tcPr>
          <w:p>
            <w:pPr>
              <w:pStyle w:val="TableContents"/>
              <w:bidi w:val="0"/>
              <w:spacing w:before="0" w:after="283"/>
              <w:jc w:val="left"/>
              <w:rPr/>
            </w:pPr>
            <w:r>
              <w:rPr/>
              <w:t xml:space="preserve">Pound sterling and euro equivalents announcement date </w:t>
            </w:r>
          </w:p>
        </w:tc>
        <w:tc>
          <w:tcPr>
            <w:tcW w:w="1966" w:type="dxa"/>
            <w:tcBorders>
              <w:bottom w:val="single" w:sz="8" w:space="0" w:color="000000"/>
            </w:tcBorders>
            <w:vAlign w:val="center"/>
          </w:tcPr>
          <w:p>
            <w:pPr>
              <w:pStyle w:val="TableContents"/>
              <w:bidi w:val="0"/>
              <w:spacing w:before="0" w:after="283"/>
              <w:jc w:val="left"/>
              <w:rPr/>
            </w:pPr>
            <w:r>
              <w:rPr/>
              <w:t xml:space="preserve">March 11, 2024 </w:t>
            </w:r>
          </w:p>
        </w:tc>
      </w:tr>
      <w:tr>
        <w:trPr/>
        <w:tc>
          <w:tcPr>
            <w:tcW w:w="5446" w:type="dxa"/>
            <w:tcBorders>
              <w:bottom w:val="single" w:sz="8" w:space="0" w:color="000000"/>
            </w:tcBorders>
            <w:vAlign w:val="center"/>
          </w:tcPr>
          <w:p>
            <w:pPr>
              <w:pStyle w:val="TableContents"/>
              <w:bidi w:val="0"/>
              <w:spacing w:before="0" w:after="283"/>
              <w:jc w:val="left"/>
              <w:rPr/>
            </w:pPr>
            <w:r>
              <w:rPr/>
              <w:t xml:space="preserve">Payment date </w:t>
            </w:r>
          </w:p>
        </w:tc>
        <w:tc>
          <w:tcPr>
            <w:tcW w:w="1966" w:type="dxa"/>
            <w:tcBorders>
              <w:bottom w:val="single" w:sz="8" w:space="0" w:color="000000"/>
            </w:tcBorders>
            <w:vAlign w:val="center"/>
          </w:tcPr>
          <w:p>
            <w:pPr>
              <w:pStyle w:val="TableContents"/>
              <w:bidi w:val="0"/>
              <w:spacing w:before="0" w:after="283"/>
              <w:jc w:val="left"/>
              <w:rPr/>
            </w:pPr>
            <w:r>
              <w:rPr/>
              <w:t xml:space="preserve">March 25, 2024 </w:t>
            </w:r>
          </w:p>
        </w:tc>
      </w:tr>
    </w:tbl>
    <w:p>
      <w:pPr>
        <w:pStyle w:val="TextBody"/>
        <w:bidi w:val="0"/>
        <w:spacing w:before="0" w:after="283"/>
        <w:jc w:val="left"/>
        <w:rPr/>
      </w:pPr>
      <w:r>
        <w:rPr>
          <w:rStyle w:val="StrongEmphasis"/>
        </w:rPr>
        <w:t>Note</w:t>
      </w:r>
    </w:p>
    <w:p>
      <w:pPr>
        <w:pStyle w:val="TextBody"/>
        <w:bidi w:val="0"/>
        <w:spacing w:before="0" w:after="283"/>
        <w:jc w:val="left"/>
        <w:rPr/>
      </w:pPr>
      <w:r>
        <w:rPr/>
        <w:t>A different currency election date may apply to shareholders holding shares in a securities account with a bank or financial institution ultimately holding through Euroclear Nederland. This may also apply to other shareholders who do not hold their shares either directly on the Register of Members or in the corporate sponsored nominee arrangement. Shareholders can contact their broker, financial intermediary, bank or financial institution for the election deadline that applies.</w:t>
      </w:r>
    </w:p>
    <w:p>
      <w:pPr>
        <w:pStyle w:val="TextBody"/>
        <w:bidi w:val="0"/>
        <w:spacing w:before="0" w:after="283"/>
        <w:jc w:val="left"/>
        <w:rPr/>
      </w:pPr>
      <w:r>
        <w:rPr>
          <w:rStyle w:val="StrongEmphasis"/>
        </w:rPr>
        <w:t>Taxation - cash dividends</w:t>
      </w:r>
    </w:p>
    <w:p>
      <w:pPr>
        <w:pStyle w:val="TextBody"/>
        <w:bidi w:val="0"/>
        <w:spacing w:before="0" w:after="283"/>
        <w:jc w:val="left"/>
        <w:rPr/>
      </w:pPr>
      <w:r>
        <w:rPr/>
        <w:t xml:space="preserve">If you are uncertain as to the tax treatment of any dividends you should consult your tax advisor. </w:t>
      </w:r>
    </w:p>
    <w:p>
      <w:pPr>
        <w:pStyle w:val="TextBody"/>
        <w:bidi w:val="0"/>
        <w:spacing w:before="0" w:after="283"/>
        <w:jc w:val="left"/>
        <w:rPr/>
      </w:pPr>
      <w:r>
        <w:rPr>
          <w:rStyle w:val="StrongEmphasis"/>
        </w:rPr>
        <w:t>Dividend Reinvestment Programmes (“DRIP”)</w:t>
      </w:r>
    </w:p>
    <w:p>
      <w:pPr>
        <w:pStyle w:val="TextBody"/>
        <w:bidi w:val="0"/>
        <w:spacing w:before="0" w:after="283"/>
        <w:jc w:val="left"/>
        <w:rPr/>
      </w:pPr>
      <w:r>
        <w:rPr/>
        <w:t xml:space="preserve">The following organisations offer Dividend Reinvestment Plans (“DRIPs”) which enable the Company’s shareholders to elect to have their dividend payments used to purchase the Company’s shares: </w:t>
      </w:r>
    </w:p>
    <w:p>
      <w:pPr>
        <w:pStyle w:val="TextBody"/>
        <w:numPr>
          <w:ilvl w:val="0"/>
          <w:numId w:val="2"/>
        </w:numPr>
        <w:tabs>
          <w:tab w:val="clear" w:pos="1134"/>
          <w:tab w:val="left" w:pos="709" w:leader="none"/>
        </w:tabs>
        <w:bidi w:val="0"/>
        <w:spacing w:before="0" w:after="0"/>
        <w:ind w:left="709" w:hanging="283"/>
        <w:jc w:val="left"/>
        <w:rPr/>
      </w:pPr>
      <w:r>
        <w:rPr/>
        <w:t>Equiniti Financial Services Limited (“EFSL”), for those holding shares (a) directly on the register as certificate holder or as CREST Member and (b) via the Shell Corporate Nominee;</w:t>
      </w:r>
    </w:p>
    <w:p>
      <w:pPr>
        <w:pStyle w:val="TextBody"/>
        <w:numPr>
          <w:ilvl w:val="0"/>
          <w:numId w:val="2"/>
        </w:numPr>
        <w:tabs>
          <w:tab w:val="clear" w:pos="1134"/>
          <w:tab w:val="left" w:pos="709" w:leader="none"/>
        </w:tabs>
        <w:bidi w:val="0"/>
        <w:spacing w:before="0" w:after="0"/>
        <w:ind w:left="709" w:hanging="283"/>
        <w:jc w:val="left"/>
        <w:rPr/>
      </w:pPr>
      <w:r>
        <w:rPr/>
        <w:t>ABN-AMRO NV (“ABN”) for Financial Intermediaries holding shares via Euroclear Nederland;</w:t>
      </w:r>
    </w:p>
    <w:p>
      <w:pPr>
        <w:pStyle w:val="TextBody"/>
        <w:numPr>
          <w:ilvl w:val="0"/>
          <w:numId w:val="2"/>
        </w:numPr>
        <w:tabs>
          <w:tab w:val="clear" w:pos="1134"/>
          <w:tab w:val="left" w:pos="709" w:leader="none"/>
        </w:tabs>
        <w:bidi w:val="0"/>
        <w:spacing w:before="0" w:after="0"/>
        <w:ind w:left="709" w:hanging="283"/>
        <w:jc w:val="left"/>
        <w:rPr/>
      </w:pPr>
      <w:r>
        <w:rPr/>
        <w:t>JPMorgan Chase Bank, N.A. (“JPM”) for holders of ADSs; and</w:t>
      </w:r>
    </w:p>
    <w:p>
      <w:pPr>
        <w:pStyle w:val="TextBody"/>
        <w:numPr>
          <w:ilvl w:val="0"/>
          <w:numId w:val="2"/>
        </w:numPr>
        <w:tabs>
          <w:tab w:val="clear" w:pos="1134"/>
          <w:tab w:val="left" w:pos="709" w:leader="none"/>
        </w:tabs>
        <w:bidi w:val="0"/>
        <w:ind w:left="709" w:hanging="283"/>
        <w:jc w:val="left"/>
        <w:rPr/>
      </w:pPr>
      <w:r>
        <w:rPr/>
        <w:t>Other DRIPs may also be available from the intermediary through which investors hold their shares and ADSs.</w:t>
      </w:r>
    </w:p>
    <w:p>
      <w:pPr>
        <w:pStyle w:val="TextBody"/>
        <w:bidi w:val="0"/>
        <w:spacing w:before="0" w:after="283"/>
        <w:jc w:val="left"/>
        <w:rPr/>
      </w:pPr>
      <w:r>
        <w:rPr/>
        <w:t>These DRIP offerors provide their DRIPs fully on their account and not on behalf of the Company. Interested parties should contact the relevant DRIP offeror directly.</w:t>
      </w:r>
    </w:p>
    <w:p>
      <w:pPr>
        <w:pStyle w:val="TextBody"/>
        <w:bidi w:val="0"/>
        <w:spacing w:before="0" w:after="283"/>
        <w:jc w:val="left"/>
        <w:rPr/>
      </w:pPr>
      <w:r>
        <w:rPr/>
        <w:t xml:space="preserve">More information can be found at https://www.shell.com/investors/dividend-information </w:t>
      </w:r>
    </w:p>
    <w:p>
      <w:pPr>
        <w:pStyle w:val="TextBody"/>
        <w:bidi w:val="0"/>
        <w:spacing w:before="0" w:after="283"/>
        <w:jc w:val="left"/>
        <w:rPr/>
      </w:pPr>
      <w:r>
        <w:rPr/>
        <w:t xml:space="preserve">To be eligible to participate in the DRIPs for the next dividend, shareholders must make a valid dividend reinvestment election before the published date for the close of elections.  </w:t>
      </w:r>
    </w:p>
    <w:p>
      <w:pPr>
        <w:pStyle w:val="TextBody"/>
        <w:bidi w:val="0"/>
        <w:spacing w:before="0" w:after="283"/>
        <w:jc w:val="left"/>
        <w:rPr/>
      </w:pPr>
      <w:r>
        <w:rPr>
          <w:rStyle w:val="StrongEmphasis"/>
        </w:rPr>
        <w:t>Enquiries</w:t>
      </w:r>
      <w:r>
        <w:rPr/>
        <w:br/>
      </w:r>
      <w:r>
        <w:rPr>
          <w:rStyle w:val="StrongEmphasis"/>
        </w:rPr>
        <w:t>Media International:</w:t>
      </w:r>
      <w:r>
        <w:rPr/>
        <w:t xml:space="preserve"> +44 207 934 5550 </w:t>
        <w:br/>
      </w:r>
      <w:r>
        <w:rPr>
          <w:rStyle w:val="StrongEmphasis"/>
        </w:rPr>
        <w:t>Media Americas:</w:t>
      </w:r>
      <w:r>
        <w:rPr/>
        <w:t xml:space="preserve"> +1 832 337 4355</w:t>
      </w:r>
    </w:p>
    <w:p>
      <w:pPr>
        <w:pStyle w:val="TextBody"/>
        <w:bidi w:val="0"/>
        <w:spacing w:before="0" w:after="283"/>
        <w:jc w:val="left"/>
        <w:rPr/>
      </w:pPr>
      <w:r>
        <w:rPr>
          <w:rStyle w:val="StrongEmphasis"/>
        </w:rPr>
        <w:t>Cautionary Note</w:t>
      </w:r>
    </w:p>
    <w:p>
      <w:pPr>
        <w:pStyle w:val="TextBody"/>
        <w:bidi w:val="0"/>
        <w:jc w:val="both"/>
        <w:rPr/>
      </w:pPr>
      <w:r>
        <w:rPr/>
        <w:t xml:space="preserve">The companies in which Shell plc directly and indirectly owns investments are separate legal entities. In this announcement “Shell”, “Shell Group” and “Group” are sometimes used for convenience where references are made to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announcement refer to entities over which Shell plc either directly or indirectly has control. Entities and unincorporated arrangements over which Shell has joint control are generally referred to as “joint ventures” and “joint operations”, respectively. “Joint ventures” and “joint operations” are collectively referred to as “joint arrangements”.  Entities over which Shell has significant influence but neither control nor joint control are referred to as “associates”. The term “Shell interest” is used for convenience to indicate the direct and/or indirect ownership interest held by Shell in an entity or unincorporated joint arrangement, after exclusion of all third-party interest. </w:t>
      </w:r>
    </w:p>
    <w:p>
      <w:pPr>
        <w:pStyle w:val="TextBody"/>
        <w:bidi w:val="0"/>
        <w:spacing w:before="0" w:after="283"/>
        <w:jc w:val="left"/>
        <w:rPr/>
      </w:pPr>
      <w:r>
        <w:rPr>
          <w:rStyle w:val="StrongEmphasis"/>
        </w:rPr>
        <w:t>Forward-Looking Statements</w:t>
      </w:r>
      <w:r>
        <w:rPr/>
        <w:br/>
        <w:t>This announcement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‘‘believe’’, ‘‘could’’, ‘‘estimate’’, ‘‘expect’’, ‘‘goals’’, ‘‘intend’’, ‘‘may’’, “milestones”, ‘‘objectives’’, ‘‘outlook’’, ‘‘plan’’, ‘‘probably’’, ‘‘project’’, ‘‘risks’’, “schedule”, ‘‘seek’’, ‘‘should’’, ‘‘target’’, ‘‘will’’ and similar terms and phrases. There are a number of factors that could affect the future operations of Shell and could cause those results to differ materially from those expressed in the forward-looking statements included in this announcement,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such as the COVID-19 (coronavirus) outbreak; and (n) changes in trading conditions. No assurance is provided that future dividend payments will match or exceed previous dividend payments. All forward-looking statements contained in this announcement are expressly qualified in their entirety by the cautionary statements contained or referred to in this section. Readers should not place undue reliance on forward-looking statements. Additional risk factors that may affect future results are contained in Shell plc’s Form 20-F for the year ended December 31, 2022 (available at www.shell.com/investor and www.sec.gov). These risk factors also expressly qualify all forward-looking statements contained in this announcement and should be considered by the reader.  Each forward-looking statement speaks only as of the date of this announcement, February 1, 2024.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announcement.</w:t>
      </w:r>
    </w:p>
    <w:p>
      <w:pPr>
        <w:pStyle w:val="TextBody"/>
        <w:bidi w:val="0"/>
        <w:spacing w:before="0" w:after="283"/>
        <w:jc w:val="left"/>
        <w:rPr/>
      </w:pPr>
      <w:r>
        <w:rPr>
          <w:rStyle w:val="StrongEmphasis"/>
        </w:rPr>
        <w:t>Shell’s net carbon intensity</w:t>
      </w:r>
      <w:r>
        <w:rPr/>
        <w:br/>
        <w:t>Also, in this announcement we may refer to Shell’s “Net Carbon Intensity”, which includes Shell’s carbon emissions from the production of our energy products, our suppliers’ carbon emissions in supplying energy for that production and our customers’ carbon emissions associated with their use of the energy products we sell. Shell only controls its own emissions. The use of the term Shell’s “Net Carbon Intensity” is for convenience only and not intended to suggest these emissions are those of Shell plc or its subsidiaries.</w:t>
      </w:r>
    </w:p>
    <w:p>
      <w:pPr>
        <w:pStyle w:val="TextBody"/>
        <w:bidi w:val="0"/>
        <w:spacing w:before="0" w:after="283"/>
        <w:jc w:val="left"/>
        <w:rPr/>
      </w:pPr>
      <w:r>
        <w:rPr>
          <w:rStyle w:val="StrongEmphasis"/>
        </w:rPr>
        <w:t>Shell’s net-Zero Emissions Target</w:t>
      </w:r>
      <w:r>
        <w:rPr/>
        <w:br/>
        <w:t>Shell’s operating plan, outlook and budgets are forecasted for a ten-year period and are updated every year.  They reflect the current economic environment and what we can reasonably expect to see over the next ten years. Accordingly, they reflect our Scope 1, Scope 2 and Net Carbon Intensity (NCI) targets over the next ten years.  However, Shell’s operating plans cannot reflect our 2050 net-zero emissions target and 2035 NCI target, as these targets are currently outside our planning period. In the future, as society moves towards net-zero emissions, we expect Shell’s operating plans to reflect this movement. However, if society is not net zero in 2050, as of today, there would be significant risk that Shell may not meet this target.</w:t>
      </w:r>
    </w:p>
    <w:p>
      <w:pPr>
        <w:pStyle w:val="TextBody"/>
        <w:bidi w:val="0"/>
        <w:spacing w:before="0" w:after="283"/>
        <w:jc w:val="left"/>
        <w:rPr/>
      </w:pPr>
      <w:r>
        <w:rPr>
          <w:rStyle w:val="StrongEmphasis"/>
        </w:rPr>
        <w:t>Forward Looking Non-GAAP measures</w:t>
      </w:r>
      <w:r>
        <w:rPr/>
        <w:br/>
        <w:t>This announcement may contain certain forward-looking non-GAAP measures such as cash capital expenditure and divestments.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w:t>
      </w:r>
    </w:p>
    <w:p>
      <w:pPr>
        <w:pStyle w:val="TextBody"/>
        <w:bidi w:val="0"/>
        <w:spacing w:before="0" w:after="283"/>
        <w:jc w:val="left"/>
        <w:rPr/>
      </w:pPr>
      <w:r>
        <w:rPr/>
        <w:t>The contents of websites referred to in this announcement do not form part of this announcement.</w:t>
      </w:r>
    </w:p>
    <w:p>
      <w:pPr>
        <w:pStyle w:val="TextBody"/>
        <w:bidi w:val="0"/>
        <w:spacing w:before="0" w:after="283"/>
        <w:jc w:val="left"/>
        <w:rPr/>
      </w:pPr>
      <w:r>
        <w:rPr/>
        <w:t xml:space="preserve">We may have used certain terms, such as resources, in this announcement that the United States Securities and Exchange Commission (SEC) strictly prohibits us from including in our filings with the SEC.  Investors are urged to consider closely the disclosure in our Form 20-F, File No 1-32575, available on the SEC website www.sec.gov. </w:t>
      </w:r>
    </w:p>
    <w:p>
      <w:pPr>
        <w:pStyle w:val="TextBody"/>
        <w:bidi w:val="0"/>
        <w:spacing w:before="0" w:after="283"/>
        <w:jc w:val="left"/>
        <w:rPr/>
      </w:pPr>
      <w:r>
        <w:rPr/>
        <w:t>LEI number of Shell plc: 21380068P1DRHMJ8KU70</w:t>
      </w:r>
    </w:p>
    <w:p>
      <w:pPr>
        <w:pStyle w:val="TextBody"/>
        <w:bidi w:val="0"/>
        <w:spacing w:before="0" w:after="283"/>
        <w:jc w:val="left"/>
        <w:rPr/>
      </w:pPr>
      <w:r>
        <w:rPr/>
        <w:t>Classification: Additional regulated information required to be disclosed under the laws of a Member State</w:t>
      </w:r>
    </w:p>
    <w:p>
      <w:pPr>
        <w:pStyle w:val="HorizontalLine"/>
        <w:pBdr>
          <w:bottom w:val="single" w:sz="12" w:space="0" w:color="80808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8"/>
        <w:gridCol w:w="9893"/>
      </w:tblGrid>
      <w:tr>
        <w:trPr/>
        <w:tc>
          <w:tcPr>
            <w:tcW w:w="7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283"/>
              <w:jc w:val="left"/>
              <w:rPr/>
            </w:pPr>
            <w:r>
              <w:rPr/>
              <w:t>the Registration Statement on Form F-3 of Shell plc, Shell Finance US Inc. and Shell International Finance B.V. (Registration Numbers 333-276068, 333-276068-01 and 333-276068-02);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87"/>
        <w:gridCol w:w="9844"/>
      </w:tblGrid>
      <w:tr>
        <w:trPr/>
        <w:tc>
          <w:tcPr>
            <w:tcW w:w="74"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(b)</w:t>
            </w:r>
          </w:p>
        </w:tc>
        <w:tc>
          <w:tcPr>
            <w:tcW w:w="9844" w:type="dxa"/>
            <w:tcBorders/>
            <w:vAlign w:val="center"/>
          </w:tcPr>
          <w:p>
            <w:pPr>
              <w:pStyle w:val="TableContents"/>
              <w:bidi w:val="0"/>
              <w:spacing w:before="0" w:after="283"/>
              <w:jc w:val="left"/>
              <w:rPr/>
            </w:pPr>
            <w:r>
              <w:rPr/>
              <w:t>the Registration Statements on Form S-8 of Shell plc (Registration Numbers 333-262396 and 333-272192).</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Shell plc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February 1, 2024</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Caroline Omloo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Caroline Omloo</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Company Secretary</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1871</Words>
  <Characters>10880</Characters>
  <CharactersWithSpaces>12754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