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200"/>
        <w:spacing w:after="0"/>
        <w:rPr>
          <w:sz w:val="20"/>
          <w:szCs w:val="20"/>
          <w:color w:val="auto"/>
        </w:rPr>
      </w:pPr>
      <w:r>
        <w:rPr>
          <w:rFonts w:ascii="Arial" w:cs="Arial" w:eastAsia="Arial" w:hAnsi="Arial"/>
          <w:sz w:val="16"/>
          <w:szCs w:val="16"/>
          <w:color w:val="auto"/>
        </w:rPr>
        <w:t>Filed by Royal Dutch Shell plc</w:t>
      </w:r>
    </w:p>
    <w:p>
      <w:pPr>
        <w:spacing w:after="0" w:line="218" w:lineRule="exact"/>
        <w:rPr>
          <w:sz w:val="20"/>
          <w:szCs w:val="20"/>
          <w:color w:val="auto"/>
        </w:rPr>
      </w:pPr>
    </w:p>
    <w:p>
      <w:pPr>
        <w:jc w:val="both"/>
        <w:ind w:left="4680" w:hanging="198"/>
        <w:spacing w:after="0" w:line="336"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Number: 333-125037</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June 13,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INFORMATION</w:t>
      </w:r>
    </w:p>
    <w:p>
      <w:pPr>
        <w:spacing w:after="0" w:line="18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Holders of ordinary shares of Royal Dutch Petroleum Company (N.V. Koninklijke Nederlandsche Petroleum Maatschappij) (“Royal Dutch”) are urged to carefully review the registration statement on Form F-4 (including the prospectus) and other documents relating to the Royal Dutch exchange offer (the “Royal Dutch Offer”) that have been or will be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have been filed with, or furnished to, Euronext Amsterdam N.V. and the Dutch Authority for the Financial Markets by Royal Dutch Shell, regarding the Royal Dutch Offer, because each of these documents will contain important information relating to the Royal Dutch Offer. </w:t>
      </w:r>
      <w:r>
        <w:rPr>
          <w:rFonts w:ascii="Arial" w:cs="Arial" w:eastAsia="Arial" w:hAnsi="Arial"/>
          <w:sz w:val="17"/>
          <w:szCs w:val="17"/>
          <w:color w:val="auto"/>
        </w:rPr>
        <w:t>A free copy of the documents filed with the SEC (once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filed) and other documents made public or filed with, or furnished to, the SEC by Royal Dutch Shell, Royal Dutch and The “Shell” Transport and Trading Company, p.l.c (“Shell Transport”) can be obtained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free of charge at the Royal Dutch Shell website at </w:t>
      </w:r>
      <w:r>
        <w:rPr>
          <w:rFonts w:ascii="Arial" w:cs="Arial" w:eastAsia="Arial" w:hAnsi="Arial"/>
          <w:sz w:val="17"/>
          <w:szCs w:val="17"/>
          <w:u w:val="single" w:color="auto"/>
          <w:color w:val="auto"/>
        </w:rPr>
        <w:t>www.shell.com/unification</w:t>
      </w:r>
      <w:r>
        <w:rPr>
          <w:rFonts w:ascii="Arial" w:cs="Arial" w:eastAsia="Arial" w:hAnsi="Arial"/>
          <w:sz w:val="17"/>
          <w:szCs w:val="17"/>
          <w:color w:val="auto"/>
        </w:rPr>
        <w:t xml:space="preserve"> or free of charge by contacting Investor Relations, Shell International B.V., FSK, PO Box 162, 2501 AN The Hague, The Netherlands.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FOR RELEASE, PUBLICATION OR DISTRIBUTION IN WHOLE OR IN PART INTO ITALY OR JAPAN</w:t>
      </w:r>
    </w:p>
    <w:p>
      <w:pPr>
        <w:spacing w:after="0" w:line="19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Royal Dutch Offer and the scheme of arrangement of Shell Transport (the “Scheme”) are not being and will not be made, directly or indirectly, in or into or by the use of the mails or any other means or instrumentality (including, without limitation, facsimile transmission, telex, telephone or internet) of interstate or foreign commerce of, or any such facilities of a national securities exchange of, Japan, and are not and will not be capable of acceptance by any such use, means, instrumentality or facilities from or within Japan. The Royal Dutch Offer and the Scheme are not being made to residents of Japan or in Japan. This document and other documents related to the Transaction must not be electronically provided to, nor accessed by, residents of Japan or persons who are in Japan. Copies of this document and any other documents related to the proposed transaction pursuant to which Royal Dutch Shell will become the holding company of Royal Dutch and Shell Transport (the “Transaction”) are not being, and must not be, mailed or otherwise distributed or sent to any person or company in or from Japan. Persons receiving this document (including custodians, nominees and trustees) or other documents related to the Transaction must not distribute or send them to any person or company in or from Japan.</w:t>
      </w:r>
    </w:p>
    <w:p>
      <w:pPr>
        <w:spacing w:after="0" w:line="14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Royal Dutch Offer and the Scheme have not been notified to the Commissione Nazionale per le Società e la Borsa pursuant to applicable Italian securities laws and implementing regulations. Absent such notification, no public offer can be carried out in the Republic of Italy. Consequently, this document and other documents relating to the Transaction have not been, and cannot be, disclosed to any Italian residents or person or entity in the Republic of Italy and no other form of solicitation has been and can be, carried out in the Republic of Italy. This document and any document relating to the Transaction may not be mailed, distributed, disseminated or otherwise disclosed to any Italian residents or persons or entities in the Republic of Italy.</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Royal Dutch Offer is not to be made in New Zealand and may not be accepted by persons in New Zealand except as set out below. No prospectus has been registered with the New Zealand Registrar of Companies in accordance with the Securities Act 1978 (New Zealand) (the “New Zealand Securities Act”). Accordingly, neither the Royal Dutch Offer Document nor any other offering materials or advertisement in relation to the Royal Dutch Offer may be received by a person in New Zealand nor may Royal Dutch Shell Shares be offered directly or indirectly in New Zealand except in circumstances where there is no contravention of the New Zealand Securities Act (or any statutory modification or re-enactment of, or statutory substitution for, the New Zealand Securities Act).</w:t>
      </w:r>
    </w:p>
    <w:p>
      <w:pPr>
        <w:spacing w:after="0" w:line="166"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color w:val="auto"/>
        </w:rPr>
        <w:t>The distribution of this document in jurisdictions other than The Netherlands, England or the US may be affected by the laws of the relevant jurisdiction. Interested persons should inform themselves about and observe all applicable requirements. Any failure to comply with these restrictions may constitute a violation of the securities laws of any such jurisdiction.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CONCERNING FORWARD LOOKING STATEMENTS</w:t>
      </w:r>
    </w:p>
    <w:p>
      <w:pPr>
        <w:spacing w:after="0" w:line="18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document contains forward-looking statements that are subject to risk factors associated with the oil, gas, power, chemicals and renewables business as well as risks related to the Transaction. It is believed that the expectations reflected in these statements are reasonable, but they may be affected by a variety of variables which could cause actual results, trends or reserves replacement to differ materially, including, but not limited to: the failure of the conditions to the Transaction to be satisfied (including the failure of the Royal Dutch general meeting of shareholders to approve the implementation agreement between Royal Dutch Shell, Royal Dutch and Shell Transport and the failure of Shell Transport shareholders to approve the Scheme); the costs related to the Transaction; the failure of the Transaction to achieve the expected benefits; changes in dividend policy; the development of the trading market in Royal Dutch Shell shares; tax treatment of dividends paid to shareholders; the accounting implications of the Transaction and other factors affecting the Royal Dutch/Shell Group’s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successful negotiation and consummation of such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 Each forward-looking statement speaks only as of the date of the particular statement. Please refer to the Annual Report on Form 20-F for the year ended 31 December 2004 (as amended) for a description of certain important factors, risks and uncertainties that may affect the Royal Dutch/Shell Group’s businesses. None of Royal Dutch Shell, Royal Dutch, Shell Transport nor any member of the Royal Dutch/Shell Group undertakes any obligation to publicly update or revise any forward-looking statements as a result of new information, future events or other information. In light of these risks, the results of Royal Dutch Shell, Royal Dutch, Shell Transport, the Royal Dutch/Shell Group or the Royal Dutch Shell Group could differ materially from the forward-looking statements contained in this document.</w:t>
      </w:r>
    </w:p>
    <w:p>
      <w:pPr>
        <w:spacing w:after="0" w:line="167" w:lineRule="exact"/>
        <w:rPr>
          <w:sz w:val="20"/>
          <w:szCs w:val="20"/>
          <w:color w:val="auto"/>
        </w:rPr>
      </w:pPr>
    </w:p>
    <w:p>
      <w:pPr>
        <w:ind w:right="1160"/>
        <w:spacing w:after="0" w:line="271" w:lineRule="auto"/>
        <w:rPr>
          <w:sz w:val="20"/>
          <w:szCs w:val="20"/>
          <w:color w:val="auto"/>
        </w:rPr>
      </w:pPr>
      <w:r>
        <w:rPr>
          <w:rFonts w:ascii="Arial" w:cs="Arial" w:eastAsia="Arial" w:hAnsi="Arial"/>
          <w:sz w:val="21"/>
          <w:szCs w:val="21"/>
          <w:color w:val="auto"/>
        </w:rPr>
        <w:t>THE FOLLOWING IS A LETTER BEING SENT BY ROYAL DUTCH SHELL TO HOLDERS OF ROYAL DUTCH ORDINARY SHARES IN NEW YORK REGISTRY FORM, FROM JUNE 13, 2005.</w:t>
      </w:r>
    </w:p>
    <w:p>
      <w:pPr>
        <w:sectPr>
          <w:pgSz w:w="11900" w:h="16838" w:orient="portrait"/>
          <w:cols w:equalWidth="0" w:num="1">
            <w:col w:w="11420"/>
          </w:cols>
          <w:pgMar w:left="240" w:top="635" w:right="239" w:bottom="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6876415</wp:posOffset>
            </wp:positionH>
            <wp:positionV relativeFrom="page">
              <wp:posOffset>88900</wp:posOffset>
            </wp:positionV>
            <wp:extent cx="528320" cy="476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28320" cy="476885"/>
                    </a:xfrm>
                    <a:prstGeom prst="rect">
                      <a:avLst/>
                    </a:prstGeom>
                    <a:noFill/>
                  </pic:spPr>
                </pic:pic>
              </a:graphicData>
            </a:graphic>
          </wp:anchor>
        </w:drawing>
        <w:t>Dear Royal Dutch Shareholder:</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By now you should have received material, including the US Prospectus, dated May 19, 2005, (the “US Prospectus”), relating to the offer by Royal Dutch Shell plc (“Royal Dutch Shell”) for your Royal Dutch ordinary shares in New York registry form. Defined terms used in this letter but not defined herein shall have meanings set forth in the US Prospectus.</w:t>
      </w:r>
    </w:p>
    <w:p>
      <w:pPr>
        <w:spacing w:after="0" w:line="169" w:lineRule="exact"/>
        <w:rPr>
          <w:sz w:val="20"/>
          <w:szCs w:val="20"/>
          <w:color w:val="auto"/>
        </w:rPr>
      </w:pPr>
    </w:p>
    <w:p>
      <w:pPr>
        <w:ind w:right="180"/>
        <w:spacing w:after="0" w:line="244" w:lineRule="auto"/>
        <w:rPr>
          <w:sz w:val="20"/>
          <w:szCs w:val="20"/>
          <w:color w:val="auto"/>
        </w:rPr>
      </w:pPr>
      <w:r>
        <w:rPr>
          <w:rFonts w:ascii="Arial" w:cs="Arial" w:eastAsia="Arial" w:hAnsi="Arial"/>
          <w:sz w:val="21"/>
          <w:szCs w:val="21"/>
          <w:color w:val="auto"/>
        </w:rPr>
        <w:t xml:space="preserve">Under the terms of the offer, for every Royal Dutch ordinary share held in New York registry form you tender in the offer, you will receive one Royal Dutch Shell Class A ADR (representing two Royal Dutch Shell Class A Shares) and for every Royal Dutch ordinary share held in bearer or Hague registry form you tender in the offer, you will receive two Royal Dutch Shell Class A ordinary shares. </w:t>
      </w:r>
      <w:r>
        <w:rPr>
          <w:rFonts w:ascii="Arial" w:cs="Arial" w:eastAsia="Arial" w:hAnsi="Arial"/>
          <w:sz w:val="21"/>
          <w:szCs w:val="21"/>
          <w:b w:val="1"/>
          <w:bCs w:val="1"/>
          <w:color w:val="auto"/>
        </w:rPr>
        <w:t>The offer is set to expire at 5:00 P.M., New York City Time on July 18, 2005 unless extended in accordance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with US federal securities laws and Dutch tender offer regulations. </w:t>
      </w:r>
      <w:r>
        <w:rPr>
          <w:rFonts w:ascii="Arial" w:cs="Arial" w:eastAsia="Arial" w:hAnsi="Arial"/>
          <w:sz w:val="21"/>
          <w:szCs w:val="21"/>
          <w:color w:val="auto"/>
        </w:rPr>
        <w:t>Any such extension will be announced the next trading day</w:t>
      </w:r>
      <w:r>
        <w:rPr>
          <w:rFonts w:ascii="Arial" w:cs="Arial" w:eastAsia="Arial" w:hAnsi="Arial"/>
          <w:sz w:val="21"/>
          <w:szCs w:val="21"/>
          <w:b w:val="1"/>
          <w:bCs w:val="1"/>
          <w:color w:val="auto"/>
        </w:rPr>
        <w:t xml:space="preserve"> </w:t>
      </w:r>
      <w:r>
        <w:rPr>
          <w:rFonts w:ascii="Arial" w:cs="Arial" w:eastAsia="Arial" w:hAnsi="Arial"/>
          <w:sz w:val="21"/>
          <w:szCs w:val="21"/>
          <w:color w:val="auto"/>
        </w:rPr>
        <w:t>on the Euronext Amsterdam stock Exchange after the previously scheduled expiration date by issuing a press release on, among others, the Dow Jones News Service. If you wish to participate, your custodian bank or broker must receive your instructions prior to the expiration date.</w:t>
      </w:r>
    </w:p>
    <w:p>
      <w:pPr>
        <w:spacing w:after="0" w:line="182" w:lineRule="exact"/>
        <w:rPr>
          <w:sz w:val="20"/>
          <w:szCs w:val="20"/>
          <w:color w:val="auto"/>
        </w:rPr>
      </w:pPr>
    </w:p>
    <w:p>
      <w:pPr>
        <w:ind w:right="320"/>
        <w:spacing w:after="0" w:line="271" w:lineRule="auto"/>
        <w:rPr>
          <w:sz w:val="20"/>
          <w:szCs w:val="20"/>
          <w:color w:val="auto"/>
        </w:rPr>
      </w:pPr>
      <w:r>
        <w:rPr>
          <w:rFonts w:ascii="Arial" w:cs="Arial" w:eastAsia="Arial" w:hAnsi="Arial"/>
          <w:sz w:val="21"/>
          <w:szCs w:val="21"/>
          <w:color w:val="auto"/>
        </w:rPr>
        <w:t>We urge you to carefully review the US Prospectus that has previously been sent to you including the section “RISK FACTORS” beginning on page 25, before deciding whether or not to accept the offer.</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Among other considerations you should be aware that:</w:t>
      </w:r>
    </w:p>
    <w:p>
      <w:pPr>
        <w:spacing w:after="0" w:line="215" w:lineRule="exact"/>
        <w:rPr>
          <w:sz w:val="20"/>
          <w:szCs w:val="20"/>
          <w:color w:val="auto"/>
        </w:rPr>
      </w:pPr>
    </w:p>
    <w:p>
      <w:pPr>
        <w:ind w:left="820" w:hanging="236"/>
        <w:spacing w:after="0" w:line="245" w:lineRule="auto"/>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Following completion of the Transaction and depending on the level of acceptance of the offer, Royal Dutch Shell intends to request that Royal Dutch seeks to de-list the Royal Dutch ordinary shares in New York registry form from the New York Stock Exchange. In addition, depending on the number of Royal Dutch ordinary shares in New York registry form acquired pursuant to the offer, the Royal Dutch ordinary shares in New York registry form may no longer be eligible for trading on the New York Stock Exchange. While the Royal Dutch ordinary shares could continue to be traded in the over-the-counter market and price quotations could be reported, there can be no assurance that such an over-the-counter market will develop.</w:t>
      </w:r>
    </w:p>
    <w:p>
      <w:pPr>
        <w:spacing w:after="0" w:line="205" w:lineRule="exact"/>
        <w:rPr>
          <w:rFonts w:ascii="Arial" w:cs="Arial" w:eastAsia="Arial" w:hAnsi="Arial"/>
          <w:sz w:val="21"/>
          <w:szCs w:val="21"/>
          <w:color w:val="auto"/>
        </w:rPr>
      </w:pPr>
    </w:p>
    <w:p>
      <w:pPr>
        <w:ind w:left="820" w:hanging="236"/>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There are no appraisal rights with respect to shares not exchanged in the Transaction.</w:t>
      </w:r>
    </w:p>
    <w:p>
      <w:pPr>
        <w:spacing w:after="0" w:line="241" w:lineRule="exact"/>
        <w:rPr>
          <w:rFonts w:ascii="Arial" w:cs="Arial" w:eastAsia="Arial" w:hAnsi="Arial"/>
          <w:sz w:val="21"/>
          <w:szCs w:val="21"/>
          <w:color w:val="auto"/>
        </w:rPr>
      </w:pPr>
    </w:p>
    <w:p>
      <w:pPr>
        <w:ind w:left="820" w:right="80" w:hanging="236"/>
        <w:spacing w:after="0" w:line="271" w:lineRule="auto"/>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In the event the Transaction is completed and Royal Dutch Shell is able to (and elects to) effectuate a squeeze-out, a Dutch court will determine the price to be paid for Royal Dutch ordinary shares not tendered in the offer.</w:t>
      </w:r>
    </w:p>
    <w:p>
      <w:pPr>
        <w:spacing w:after="0" w:line="178" w:lineRule="exact"/>
        <w:rPr>
          <w:rFonts w:ascii="Arial" w:cs="Arial" w:eastAsia="Arial" w:hAnsi="Arial"/>
          <w:sz w:val="21"/>
          <w:szCs w:val="21"/>
          <w:color w:val="auto"/>
        </w:rPr>
      </w:pPr>
    </w:p>
    <w:p>
      <w:pPr>
        <w:ind w:left="820" w:right="120" w:hanging="236"/>
        <w:spacing w:after="0" w:line="295" w:lineRule="auto"/>
        <w:tabs>
          <w:tab w:leader="none" w:pos="8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Royal Dutch ordinary shares in New York registry form may cease to be “Margin Securities” under the regulations of the Board of Governors of the U.S. Federal Reserve System, which status has the effect, among other things, of allowing U.S. brokers to extend credit on the collateral of such shares for purposes of buying, carrying and trading in securities.</w:t>
      </w:r>
    </w:p>
    <w:p>
      <w:pPr>
        <w:spacing w:after="0" w:line="159" w:lineRule="exact"/>
        <w:rPr>
          <w:rFonts w:ascii="Arial" w:cs="Arial" w:eastAsia="Arial" w:hAnsi="Arial"/>
          <w:sz w:val="19"/>
          <w:szCs w:val="19"/>
          <w:color w:val="auto"/>
        </w:rPr>
      </w:pPr>
    </w:p>
    <w:p>
      <w:pPr>
        <w:ind w:left="820" w:right="620" w:hanging="236"/>
        <w:spacing w:after="0" w:line="250" w:lineRule="auto"/>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In addition to the squeeze-out procedures described above, Royal Dutch Shell would have the right following the Transaction to use any other legally permitted method to obtain 100% of the Royal Dutch ordinary shares, including engaging in one or more corporate restructuring transactions, or engaging in one or more transactions with minority holders of Royal Dutch ordinary shares.</w:t>
      </w:r>
    </w:p>
    <w:p>
      <w:pPr>
        <w:spacing w:after="0" w:line="168"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b w:val="1"/>
          <w:bCs w:val="1"/>
          <w:color w:val="auto"/>
        </w:rPr>
        <w:t>The Royal Dutch supervisory board and the Royal Dutch board of management have unanimously reached the conclusion, on the basis of the considerations stated in the US Prospectus, that the Transaction between Royal Dutch, Shell Transport and Royal Dutch Shell is in the best interest of Royal Dutch, holders of Royal Dutch ordinary shares and Royal Dutch’s other stakeholders. They are furthermore of the opinion that the offer is fair and reasonable and accordingly unanimously recommend its acceptance.</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20"/>
          <w:szCs w:val="20"/>
          <w:b w:val="1"/>
          <w:bCs w:val="1"/>
          <w:color w:val="auto"/>
        </w:rPr>
        <w:t>Please be aware that each member of the Royal Dutch supervisory board and the Royal Dutch board of management intends to tender his or her Royal Dutch ordinary shares in the offer. Royal Dutch and its subsidiaries intend to tender Royal Dutch ordinary shares it and its subsidiaries hold in the offer, other than shares designated for cancellation.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420370</wp:posOffset>
            </wp:positionV>
            <wp:extent cx="725170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3" w:name="page4"/>
    <w:bookmarkEnd w:id="3"/>
    <w:p>
      <w:pPr>
        <w:ind w:left="4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154940</wp:posOffset>
            </wp:positionH>
            <wp:positionV relativeFrom="page">
              <wp:posOffset>597535</wp:posOffset>
            </wp:positionV>
            <wp:extent cx="7312660" cy="1647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2660" cy="1647825"/>
                    </a:xfrm>
                    <a:prstGeom prst="rect">
                      <a:avLst/>
                    </a:prstGeom>
                    <a:noFill/>
                  </pic:spPr>
                </pic:pic>
              </a:graphicData>
            </a:graphic>
          </wp:anchor>
        </w:drawing>
        <w:t>If you have any questions or need assistance in submitting your shares for exchange please call your financial advisor or the</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Information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Toll Free: (877) 278-4235</w:t>
      </w:r>
    </w:p>
    <w:p>
      <w:pPr>
        <w:spacing w:after="0" w:line="215"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Collect : (212) 440-9800</w:t>
      </w:r>
    </w:p>
    <w:p>
      <w:pPr>
        <w:spacing w:after="0" w:line="308" w:lineRule="exact"/>
        <w:rPr>
          <w:sz w:val="20"/>
          <w:szCs w:val="20"/>
          <w:color w:val="auto"/>
        </w:rPr>
      </w:pPr>
    </w:p>
    <w:p>
      <w:pPr>
        <w:ind w:firstLine="322"/>
        <w:spacing w:after="0" w:line="258" w:lineRule="auto"/>
        <w:rPr>
          <w:sz w:val="20"/>
          <w:szCs w:val="20"/>
          <w:color w:val="auto"/>
        </w:rPr>
      </w:pPr>
      <w:r>
        <w:rPr>
          <w:rFonts w:ascii="Arial" w:cs="Arial" w:eastAsia="Arial" w:hAnsi="Arial"/>
          <w:sz w:val="21"/>
          <w:szCs w:val="21"/>
          <w:b w:val="1"/>
          <w:bCs w:val="1"/>
          <w:color w:val="auto"/>
        </w:rPr>
        <w:t>All investment is subject to risk. The value of the Royal Dutch Shell shares may go down as well as up. Past performance is no guarantee for future returns. Investors are advised to seek expert financial advice before making any decisions as regards the proposals, including the Royal Dutch Offer referred to in this letter.</w:t>
      </w:r>
    </w:p>
    <w:p>
      <w:pPr>
        <w:spacing w:after="0" w:line="160" w:lineRule="exact"/>
        <w:rPr>
          <w:sz w:val="20"/>
          <w:szCs w:val="20"/>
          <w:color w:val="auto"/>
        </w:rPr>
      </w:pPr>
    </w:p>
    <w:p>
      <w:pPr>
        <w:ind w:right="800" w:firstLine="322"/>
        <w:spacing w:after="0" w:line="273" w:lineRule="auto"/>
        <w:rPr>
          <w:sz w:val="20"/>
          <w:szCs w:val="20"/>
          <w:color w:val="auto"/>
        </w:rPr>
      </w:pPr>
      <w:r>
        <w:rPr>
          <w:rFonts w:ascii="Arial" w:cs="Arial" w:eastAsia="Arial" w:hAnsi="Arial"/>
          <w:sz w:val="19"/>
          <w:szCs w:val="19"/>
          <w:b w:val="1"/>
          <w:bCs w:val="1"/>
          <w:color w:val="auto"/>
        </w:rPr>
        <w:t>Holders of ordinary shares of Royal Dutch Petroleum Company (N.V. Koninklijke Nederlandsche Petroleum Maatschappij) (“Royal Dutch”) are urged to carefully review the registration statement on Form F-4 (including the US Prospectus) and other documents relating to the offer that have been or will be filed with, or furnished to, the</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 xml:space="preserve">US Securities and Exchange Commission (the “SEC”) by Royal Dutch Shell and the related solicitation/recommendation statement on Schedule 14D-9 that has been filed with the SEC by Royal Dutch and, as the case may be, the offer document and the prospectus which have been filed with, or furnished to, Euronext Amsterdam N.V. and the Dutch Authority for the Financial Markets by Royal Dutch Shell, regarding the offer, because each of these documents will contain important information relating to the offer. </w:t>
      </w:r>
      <w:r>
        <w:rPr>
          <w:rFonts w:ascii="Arial" w:cs="Arial" w:eastAsia="Arial" w:hAnsi="Arial"/>
          <w:sz w:val="20"/>
          <w:szCs w:val="20"/>
          <w:color w:val="auto"/>
        </w:rPr>
        <w:t>A free copy of the documents filed with the SEC (once filed) and other documents made public</w:t>
      </w:r>
      <w:r>
        <w:rPr>
          <w:rFonts w:ascii="Arial" w:cs="Arial" w:eastAsia="Arial" w:hAnsi="Arial"/>
          <w:sz w:val="20"/>
          <w:szCs w:val="20"/>
          <w:b w:val="1"/>
          <w:bCs w:val="1"/>
          <w:color w:val="auto"/>
        </w:rPr>
        <w:t xml:space="preserve"> </w:t>
      </w:r>
      <w:r>
        <w:rPr>
          <w:rFonts w:ascii="Arial" w:cs="Arial" w:eastAsia="Arial" w:hAnsi="Arial"/>
          <w:sz w:val="20"/>
          <w:szCs w:val="20"/>
          <w:color w:val="auto"/>
        </w:rPr>
        <w:t>or filed with, or furnished to, the SEC by Royal Dutch Shell, Royal Dutch and The “Shell” Transport and Trading Company, p.l.c. can be obtained at the SEC’s website at www.sec.gov. These documents may also be obtained free of charge at the Royal Dutch Shell website at www.shell.com/unification or free of charge by contacting Investor Relations, Shell International B.V., FSK, PO Box 162, 2501 AN The Hague, The Netherlands.</w:t>
      </w:r>
    </w:p>
    <w:sectPr>
      <w:pgSz w:w="11900" w:h="16838" w:orient="portrait"/>
      <w:cols w:equalWidth="0" w:num="1">
        <w:col w:w="11340"/>
      </w:cols>
      <w:pgMar w:left="240" w:top="12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2019-12-17T07:40:59Z</dcterms:created>
  <dcterms:modified xsi:type="dcterms:W3CDTF">2019-12-17T07:40:59Z</dcterms:modified>
</cp:coreProperties>
</file>